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799AC" w14:textId="77777777" w:rsidR="001A5518" w:rsidRDefault="001A5518" w:rsidP="001A5518">
      <w:pPr>
        <w:rPr>
          <w:b/>
          <w:bCs/>
          <w:i/>
          <w:iCs/>
          <w:sz w:val="22"/>
          <w:szCs w:val="22"/>
          <w:u w:val="single"/>
        </w:rPr>
      </w:pPr>
    </w:p>
    <w:p w14:paraId="2A8F61D5" w14:textId="77777777" w:rsidR="00F91C7B" w:rsidRPr="00786071" w:rsidRDefault="00F91C7B" w:rsidP="001A5518">
      <w:pPr>
        <w:rPr>
          <w:b/>
          <w:bCs/>
          <w:i/>
          <w:iCs/>
          <w:sz w:val="22"/>
          <w:szCs w:val="22"/>
          <w:u w:val="single"/>
        </w:rPr>
      </w:pPr>
    </w:p>
    <w:p w14:paraId="59A8F614" w14:textId="77777777" w:rsidR="002510A5" w:rsidRPr="00936526" w:rsidRDefault="002510A5" w:rsidP="002510A5">
      <w:pPr>
        <w:jc w:val="center"/>
        <w:rPr>
          <w:b/>
          <w:bCs/>
          <w:iCs/>
          <w:sz w:val="22"/>
          <w:szCs w:val="22"/>
          <w:u w:val="single"/>
          <w:lang w:val="sr-Latn-RS"/>
        </w:rPr>
      </w:pPr>
      <w:r w:rsidRPr="00936526">
        <w:rPr>
          <w:b/>
          <w:bCs/>
          <w:iCs/>
          <w:sz w:val="22"/>
          <w:szCs w:val="22"/>
          <w:u w:val="single"/>
          <w:lang w:val="sr-Latn-RS"/>
        </w:rPr>
        <w:t>SAŽETAK KARAKTERISTIKA LIJEKA</w:t>
      </w:r>
    </w:p>
    <w:p w14:paraId="41F544F7" w14:textId="77777777" w:rsidR="002510A5" w:rsidRPr="00936526" w:rsidRDefault="002510A5" w:rsidP="002510A5">
      <w:pPr>
        <w:rPr>
          <w:b/>
          <w:bCs/>
          <w:i/>
          <w:iCs/>
          <w:sz w:val="22"/>
          <w:szCs w:val="22"/>
          <w:u w:val="single"/>
          <w:lang w:val="sr-Latn-RS"/>
        </w:rPr>
      </w:pPr>
    </w:p>
    <w:p w14:paraId="65D38BD2" w14:textId="77777777" w:rsidR="00C37FD7" w:rsidRPr="00936526" w:rsidRDefault="00C37FD7" w:rsidP="00F5167F">
      <w:pPr>
        <w:tabs>
          <w:tab w:val="left" w:pos="540"/>
          <w:tab w:val="left" w:pos="569"/>
        </w:tabs>
        <w:rPr>
          <w:bCs/>
          <w:sz w:val="22"/>
          <w:szCs w:val="22"/>
          <w:lang w:val="sr-Latn-RS"/>
        </w:rPr>
      </w:pPr>
    </w:p>
    <w:p w14:paraId="7FA7DA57" w14:textId="77777777" w:rsidR="00411B4B" w:rsidRPr="00936526" w:rsidRDefault="00411B4B" w:rsidP="00F5167F">
      <w:pPr>
        <w:tabs>
          <w:tab w:val="left" w:pos="540"/>
          <w:tab w:val="left" w:pos="569"/>
        </w:tabs>
        <w:rPr>
          <w:b/>
          <w:bCs/>
          <w:sz w:val="22"/>
          <w:szCs w:val="22"/>
          <w:lang w:val="sr-Latn-RS"/>
        </w:rPr>
      </w:pPr>
      <w:r w:rsidRPr="00936526">
        <w:rPr>
          <w:b/>
          <w:bCs/>
          <w:sz w:val="22"/>
          <w:szCs w:val="22"/>
          <w:lang w:val="sr-Latn-RS"/>
        </w:rPr>
        <w:t>1.</w:t>
      </w:r>
      <w:r w:rsidR="00F5167F" w:rsidRPr="00936526">
        <w:rPr>
          <w:b/>
          <w:bCs/>
          <w:sz w:val="22"/>
          <w:szCs w:val="22"/>
          <w:lang w:val="sr-Latn-RS"/>
        </w:rPr>
        <w:tab/>
      </w:r>
      <w:r w:rsidR="002846DB" w:rsidRPr="00936526">
        <w:rPr>
          <w:b/>
          <w:bCs/>
          <w:sz w:val="22"/>
          <w:szCs w:val="22"/>
          <w:lang w:val="sr-Latn-RS"/>
        </w:rPr>
        <w:t xml:space="preserve">NAZIV </w:t>
      </w:r>
      <w:r w:rsidRPr="00936526">
        <w:rPr>
          <w:b/>
          <w:bCs/>
          <w:sz w:val="22"/>
          <w:szCs w:val="22"/>
          <w:lang w:val="sr-Latn-RS"/>
        </w:rPr>
        <w:t>LIJEKA</w:t>
      </w:r>
    </w:p>
    <w:p w14:paraId="657040C0" w14:textId="77777777" w:rsidR="00EC2532" w:rsidRPr="00936526" w:rsidRDefault="00EC2532">
      <w:pPr>
        <w:rPr>
          <w:sz w:val="22"/>
          <w:szCs w:val="22"/>
          <w:lang w:val="sr-Latn-RS"/>
        </w:rPr>
      </w:pPr>
    </w:p>
    <w:p w14:paraId="6FB6820E" w14:textId="4CD1C1AB" w:rsidR="000D425A" w:rsidRPr="00936526" w:rsidRDefault="00F9470E">
      <w:pPr>
        <w:rPr>
          <w:sz w:val="22"/>
          <w:szCs w:val="22"/>
          <w:lang w:val="sr-Latn-RS"/>
        </w:rPr>
      </w:pPr>
      <w:r w:rsidRPr="00936526">
        <w:rPr>
          <w:sz w:val="22"/>
          <w:szCs w:val="22"/>
          <w:lang w:val="sr-Latn-RS"/>
        </w:rPr>
        <w:t>Lantus SoloStar, 100 jedinica/ml, rastvor za injekciju u napunjenom injekcionom penu</w:t>
      </w:r>
    </w:p>
    <w:p w14:paraId="4A23C7A9" w14:textId="77777777" w:rsidR="00F9470E" w:rsidRPr="00936526" w:rsidRDefault="00F9470E">
      <w:pPr>
        <w:rPr>
          <w:bCs/>
          <w:sz w:val="22"/>
          <w:szCs w:val="22"/>
          <w:lang w:val="sr-Latn-RS"/>
        </w:rPr>
      </w:pPr>
    </w:p>
    <w:p w14:paraId="47A835EB" w14:textId="25FF8E32" w:rsidR="006D20A5" w:rsidRPr="00936526" w:rsidRDefault="006D20A5" w:rsidP="006D20A5">
      <w:pPr>
        <w:rPr>
          <w:sz w:val="22"/>
          <w:szCs w:val="22"/>
          <w:lang w:val="sr-Latn-RS"/>
        </w:rPr>
      </w:pPr>
      <w:r w:rsidRPr="00936526">
        <w:rPr>
          <w:sz w:val="22"/>
          <w:szCs w:val="22"/>
          <w:lang w:val="sr-Latn-RS"/>
        </w:rPr>
        <w:t>INN:</w:t>
      </w:r>
      <w:r w:rsidR="00AA659C" w:rsidRPr="00936526">
        <w:rPr>
          <w:sz w:val="22"/>
          <w:szCs w:val="22"/>
          <w:lang w:val="sr-Latn-RS"/>
        </w:rPr>
        <w:t xml:space="preserve"> </w:t>
      </w:r>
      <w:r w:rsidR="00F9470E" w:rsidRPr="00936526">
        <w:rPr>
          <w:sz w:val="22"/>
          <w:szCs w:val="22"/>
          <w:lang w:val="sr-Latn-RS"/>
        </w:rPr>
        <w:t>insulin glargin</w:t>
      </w:r>
    </w:p>
    <w:p w14:paraId="1B294254" w14:textId="2921BF3E" w:rsidR="006D20A5" w:rsidRPr="00936526" w:rsidRDefault="006D20A5">
      <w:pPr>
        <w:rPr>
          <w:bCs/>
          <w:sz w:val="22"/>
          <w:szCs w:val="22"/>
          <w:lang w:val="sr-Latn-RS"/>
        </w:rPr>
      </w:pPr>
    </w:p>
    <w:p w14:paraId="0EB26A5E" w14:textId="77777777" w:rsidR="00121CF3" w:rsidRPr="00936526" w:rsidRDefault="00121CF3">
      <w:pPr>
        <w:rPr>
          <w:bCs/>
          <w:sz w:val="22"/>
          <w:szCs w:val="22"/>
          <w:lang w:val="sr-Latn-RS"/>
        </w:rPr>
      </w:pPr>
    </w:p>
    <w:p w14:paraId="3CF24674" w14:textId="77777777" w:rsidR="00411B4B" w:rsidRPr="00936526" w:rsidRDefault="00411B4B" w:rsidP="00F5167F">
      <w:pPr>
        <w:tabs>
          <w:tab w:val="left" w:pos="540"/>
          <w:tab w:val="left" w:pos="569"/>
        </w:tabs>
        <w:rPr>
          <w:b/>
          <w:bCs/>
          <w:sz w:val="22"/>
          <w:szCs w:val="22"/>
          <w:lang w:val="sr-Latn-RS"/>
        </w:rPr>
      </w:pPr>
      <w:r w:rsidRPr="00936526">
        <w:rPr>
          <w:b/>
          <w:bCs/>
          <w:sz w:val="22"/>
          <w:szCs w:val="22"/>
          <w:lang w:val="sr-Latn-RS"/>
        </w:rPr>
        <w:t xml:space="preserve">2. </w:t>
      </w:r>
      <w:r w:rsidR="00F5167F" w:rsidRPr="00936526">
        <w:rPr>
          <w:b/>
          <w:bCs/>
          <w:sz w:val="22"/>
          <w:szCs w:val="22"/>
          <w:lang w:val="sr-Latn-RS"/>
        </w:rPr>
        <w:tab/>
      </w:r>
      <w:r w:rsidRPr="00936526">
        <w:rPr>
          <w:b/>
          <w:bCs/>
          <w:sz w:val="22"/>
          <w:szCs w:val="22"/>
          <w:lang w:val="sr-Latn-RS"/>
        </w:rPr>
        <w:t>KVALITATIVNI I KVANTITATIVNI SASTAV</w:t>
      </w:r>
    </w:p>
    <w:p w14:paraId="3D33FC01" w14:textId="77777777" w:rsidR="00F9470E" w:rsidRPr="00936526" w:rsidRDefault="00F9470E" w:rsidP="00B0113F">
      <w:pPr>
        <w:tabs>
          <w:tab w:val="left" w:pos="284"/>
        </w:tabs>
        <w:spacing w:before="120"/>
        <w:rPr>
          <w:sz w:val="22"/>
          <w:szCs w:val="22"/>
          <w:lang w:val="sr-Latn-RS"/>
        </w:rPr>
      </w:pPr>
      <w:r w:rsidRPr="00936526">
        <w:rPr>
          <w:sz w:val="22"/>
          <w:szCs w:val="22"/>
          <w:lang w:val="sr-Latn-RS"/>
        </w:rPr>
        <w:t xml:space="preserve">Jedan ml rastvora za injekciju sadrži 100 jedinica insulin glargina (što odgovara 3,64 mg aktivne supstance). </w:t>
      </w:r>
    </w:p>
    <w:p w14:paraId="0E5786BC" w14:textId="77777777" w:rsidR="00F9470E" w:rsidRPr="00936526" w:rsidRDefault="00F9470E" w:rsidP="00B0113F">
      <w:pPr>
        <w:tabs>
          <w:tab w:val="left" w:pos="284"/>
        </w:tabs>
        <w:rPr>
          <w:sz w:val="22"/>
          <w:szCs w:val="22"/>
          <w:lang w:val="sr-Latn-RS"/>
        </w:rPr>
      </w:pPr>
      <w:r w:rsidRPr="00936526">
        <w:rPr>
          <w:sz w:val="22"/>
          <w:szCs w:val="22"/>
          <w:lang w:val="sr-Latn-RS"/>
        </w:rPr>
        <w:t>Svaki uložak sadrži 3 ml, odnosno 300 jedinica.</w:t>
      </w:r>
    </w:p>
    <w:p w14:paraId="35859BAB" w14:textId="4ED8A201" w:rsidR="005A0B2E" w:rsidRPr="00936526" w:rsidRDefault="00F9470E" w:rsidP="00B0113F">
      <w:pPr>
        <w:rPr>
          <w:sz w:val="22"/>
          <w:szCs w:val="22"/>
          <w:lang w:val="sr-Latn-RS"/>
        </w:rPr>
      </w:pPr>
      <w:r w:rsidRPr="00936526">
        <w:rPr>
          <w:sz w:val="22"/>
          <w:szCs w:val="22"/>
          <w:lang w:val="sr-Latn-RS"/>
        </w:rPr>
        <w:t xml:space="preserve">Insulin glargin je proizveden tehnologijom rekombinantne DNK, upotrijebom </w:t>
      </w:r>
      <w:r w:rsidRPr="00936526">
        <w:rPr>
          <w:i/>
          <w:sz w:val="22"/>
          <w:szCs w:val="22"/>
          <w:lang w:val="sr-Latn-RS"/>
        </w:rPr>
        <w:t xml:space="preserve">Escherichia coli </w:t>
      </w:r>
      <w:r w:rsidRPr="00936526">
        <w:rPr>
          <w:sz w:val="22"/>
          <w:szCs w:val="22"/>
          <w:lang w:val="sr-Latn-RS"/>
        </w:rPr>
        <w:t>.</w:t>
      </w:r>
    </w:p>
    <w:p w14:paraId="61B1CC8E" w14:textId="77777777" w:rsidR="0003793F" w:rsidRPr="00936526" w:rsidRDefault="0003793F" w:rsidP="00B0113F">
      <w:pPr>
        <w:spacing w:before="120"/>
        <w:rPr>
          <w:sz w:val="22"/>
          <w:szCs w:val="22"/>
          <w:lang w:val="sr-Latn-RS"/>
        </w:rPr>
      </w:pPr>
      <w:r w:rsidRPr="00936526">
        <w:rPr>
          <w:sz w:val="22"/>
          <w:szCs w:val="22"/>
          <w:lang w:val="sr-Latn-RS"/>
        </w:rPr>
        <w:t>Za spisak svih ekscipijenasa, pogledati dio 6.1.</w:t>
      </w:r>
    </w:p>
    <w:p w14:paraId="3686CEC6" w14:textId="6E2082FB" w:rsidR="00C37FD7" w:rsidRPr="00936526" w:rsidRDefault="00C37FD7">
      <w:pPr>
        <w:rPr>
          <w:sz w:val="22"/>
          <w:szCs w:val="22"/>
          <w:lang w:val="sr-Latn-RS"/>
        </w:rPr>
      </w:pPr>
    </w:p>
    <w:p w14:paraId="704DC03B" w14:textId="77777777" w:rsidR="00121CF3" w:rsidRPr="00936526" w:rsidRDefault="00121CF3">
      <w:pPr>
        <w:rPr>
          <w:sz w:val="22"/>
          <w:szCs w:val="22"/>
          <w:lang w:val="sr-Latn-RS"/>
        </w:rPr>
      </w:pPr>
    </w:p>
    <w:p w14:paraId="6CB76236" w14:textId="77777777" w:rsidR="00411B4B" w:rsidRPr="00936526" w:rsidRDefault="00411B4B" w:rsidP="00F5167F">
      <w:pPr>
        <w:tabs>
          <w:tab w:val="left" w:pos="540"/>
          <w:tab w:val="left" w:pos="569"/>
        </w:tabs>
        <w:rPr>
          <w:b/>
          <w:bCs/>
          <w:sz w:val="22"/>
          <w:szCs w:val="22"/>
          <w:lang w:val="sr-Latn-RS"/>
        </w:rPr>
      </w:pPr>
      <w:r w:rsidRPr="00936526">
        <w:rPr>
          <w:b/>
          <w:bCs/>
          <w:sz w:val="22"/>
          <w:szCs w:val="22"/>
          <w:lang w:val="sr-Latn-RS"/>
        </w:rPr>
        <w:t xml:space="preserve">3. </w:t>
      </w:r>
      <w:r w:rsidR="00F5167F" w:rsidRPr="00936526">
        <w:rPr>
          <w:b/>
          <w:bCs/>
          <w:sz w:val="22"/>
          <w:szCs w:val="22"/>
          <w:lang w:val="sr-Latn-RS"/>
        </w:rPr>
        <w:tab/>
      </w:r>
      <w:r w:rsidRPr="00936526">
        <w:rPr>
          <w:b/>
          <w:bCs/>
          <w:sz w:val="22"/>
          <w:szCs w:val="22"/>
          <w:lang w:val="sr-Latn-RS"/>
        </w:rPr>
        <w:t>FARMACEUTSKI OBLIK</w:t>
      </w:r>
      <w:r w:rsidR="009F2D23" w:rsidRPr="00936526">
        <w:rPr>
          <w:b/>
          <w:bCs/>
          <w:sz w:val="22"/>
          <w:szCs w:val="22"/>
          <w:lang w:val="sr-Latn-RS"/>
        </w:rPr>
        <w:t xml:space="preserve"> </w:t>
      </w:r>
    </w:p>
    <w:p w14:paraId="523F9B1E" w14:textId="77777777" w:rsidR="00411B4B" w:rsidRPr="00936526" w:rsidRDefault="00411B4B">
      <w:pPr>
        <w:rPr>
          <w:bCs/>
          <w:sz w:val="22"/>
          <w:szCs w:val="22"/>
          <w:lang w:val="sr-Latn-RS"/>
        </w:rPr>
      </w:pPr>
    </w:p>
    <w:p w14:paraId="0D09EB85" w14:textId="7DA64F87" w:rsidR="00F9470E" w:rsidRPr="00936526" w:rsidRDefault="00F9470E" w:rsidP="00B0113F">
      <w:pPr>
        <w:tabs>
          <w:tab w:val="left" w:pos="284"/>
        </w:tabs>
        <w:jc w:val="both"/>
        <w:rPr>
          <w:sz w:val="22"/>
          <w:szCs w:val="22"/>
          <w:lang w:val="sr-Latn-RS"/>
        </w:rPr>
      </w:pPr>
      <w:r w:rsidRPr="00936526">
        <w:rPr>
          <w:sz w:val="22"/>
          <w:szCs w:val="22"/>
          <w:lang w:val="sr-Latn-RS"/>
        </w:rPr>
        <w:t>Rastvor za injekciju u napunjenom injekcionom penu.</w:t>
      </w:r>
    </w:p>
    <w:p w14:paraId="6D2E9E25" w14:textId="6E8BF771" w:rsidR="00EC2532" w:rsidRPr="00936526" w:rsidRDefault="00F9470E" w:rsidP="00B0113F">
      <w:pPr>
        <w:jc w:val="both"/>
        <w:rPr>
          <w:sz w:val="22"/>
          <w:szCs w:val="22"/>
          <w:lang w:val="sr-Latn-RS"/>
        </w:rPr>
      </w:pPr>
      <w:r w:rsidRPr="00936526">
        <w:rPr>
          <w:sz w:val="22"/>
          <w:szCs w:val="22"/>
          <w:lang w:val="sr-Latn-RS"/>
        </w:rPr>
        <w:t>Bistar</w:t>
      </w:r>
      <w:r w:rsidR="00922BAB" w:rsidRPr="00936526">
        <w:rPr>
          <w:sz w:val="22"/>
          <w:szCs w:val="22"/>
          <w:lang w:val="sr-Latn-RS"/>
        </w:rPr>
        <w:t>,</w:t>
      </w:r>
      <w:r w:rsidRPr="00936526">
        <w:rPr>
          <w:sz w:val="22"/>
          <w:szCs w:val="22"/>
          <w:lang w:val="sr-Latn-RS"/>
        </w:rPr>
        <w:t xml:space="preserve"> bezbojan rastvor.</w:t>
      </w:r>
    </w:p>
    <w:p w14:paraId="0AA0A1DE" w14:textId="77777777" w:rsidR="0059475B" w:rsidRPr="00936526" w:rsidRDefault="0059475B" w:rsidP="00B0113F">
      <w:pPr>
        <w:jc w:val="both"/>
        <w:rPr>
          <w:bCs/>
          <w:sz w:val="22"/>
          <w:szCs w:val="22"/>
          <w:lang w:val="sr-Latn-RS"/>
        </w:rPr>
      </w:pPr>
    </w:p>
    <w:p w14:paraId="3075DFE3" w14:textId="57FEE7A2" w:rsidR="00411B4B" w:rsidRPr="00936526" w:rsidRDefault="00411B4B" w:rsidP="00F9470E">
      <w:pPr>
        <w:tabs>
          <w:tab w:val="left" w:pos="540"/>
          <w:tab w:val="left" w:pos="569"/>
        </w:tabs>
        <w:spacing w:before="120"/>
        <w:rPr>
          <w:b/>
          <w:bCs/>
          <w:sz w:val="22"/>
          <w:szCs w:val="22"/>
          <w:lang w:val="sr-Latn-RS"/>
        </w:rPr>
      </w:pPr>
      <w:r w:rsidRPr="00936526">
        <w:rPr>
          <w:b/>
          <w:bCs/>
          <w:sz w:val="22"/>
          <w:szCs w:val="22"/>
          <w:lang w:val="sr-Latn-RS"/>
        </w:rPr>
        <w:t>4. KLINIČKI PODACI</w:t>
      </w:r>
      <w:bookmarkStart w:id="0" w:name="_GoBack"/>
      <w:bookmarkEnd w:id="0"/>
    </w:p>
    <w:p w14:paraId="351AD76A" w14:textId="77777777" w:rsidR="00CD6F02" w:rsidRPr="00936526" w:rsidRDefault="00CD6F02" w:rsidP="00480FB1">
      <w:pPr>
        <w:tabs>
          <w:tab w:val="left" w:pos="540"/>
          <w:tab w:val="left" w:pos="569"/>
        </w:tabs>
        <w:rPr>
          <w:bCs/>
          <w:sz w:val="22"/>
          <w:szCs w:val="22"/>
          <w:lang w:val="sr-Latn-RS"/>
        </w:rPr>
      </w:pPr>
    </w:p>
    <w:p w14:paraId="13C201D3" w14:textId="69091907" w:rsidR="0059475B" w:rsidRPr="00936526" w:rsidRDefault="00411B4B" w:rsidP="00121CF3">
      <w:pPr>
        <w:tabs>
          <w:tab w:val="left" w:pos="540"/>
          <w:tab w:val="left" w:pos="569"/>
        </w:tabs>
        <w:spacing w:line="276" w:lineRule="auto"/>
        <w:rPr>
          <w:b/>
          <w:bCs/>
          <w:sz w:val="22"/>
          <w:szCs w:val="22"/>
          <w:lang w:val="sr-Latn-RS"/>
        </w:rPr>
      </w:pPr>
      <w:r w:rsidRPr="00936526">
        <w:rPr>
          <w:b/>
          <w:bCs/>
          <w:sz w:val="22"/>
          <w:szCs w:val="22"/>
          <w:lang w:val="sr-Latn-RS"/>
        </w:rPr>
        <w:t>4.1. Terapijske indikacije</w:t>
      </w:r>
    </w:p>
    <w:p w14:paraId="23296F8D" w14:textId="2E6F8227" w:rsidR="00411B4B" w:rsidRPr="00936526" w:rsidRDefault="00F9470E" w:rsidP="0067677B">
      <w:pPr>
        <w:tabs>
          <w:tab w:val="left" w:pos="540"/>
          <w:tab w:val="left" w:pos="569"/>
        </w:tabs>
        <w:spacing w:before="120" w:line="360" w:lineRule="auto"/>
        <w:rPr>
          <w:sz w:val="22"/>
          <w:szCs w:val="22"/>
          <w:lang w:val="sr-Latn-RS"/>
        </w:rPr>
      </w:pPr>
      <w:r w:rsidRPr="00936526">
        <w:rPr>
          <w:sz w:val="22"/>
          <w:szCs w:val="22"/>
          <w:lang w:val="sr-Latn-RS"/>
        </w:rPr>
        <w:t>Za terapiju di</w:t>
      </w:r>
      <w:r w:rsidR="00422C19" w:rsidRPr="00936526">
        <w:rPr>
          <w:sz w:val="22"/>
          <w:szCs w:val="22"/>
          <w:lang w:val="sr-Latn-RS"/>
        </w:rPr>
        <w:t>j</w:t>
      </w:r>
      <w:r w:rsidRPr="00936526">
        <w:rPr>
          <w:sz w:val="22"/>
          <w:szCs w:val="22"/>
          <w:lang w:val="sr-Latn-RS"/>
        </w:rPr>
        <w:t xml:space="preserve">abetes melitusa kod odraslih, adolescenata i djece </w:t>
      </w:r>
      <w:r w:rsidR="00422C19" w:rsidRPr="00936526">
        <w:rPr>
          <w:sz w:val="22"/>
          <w:szCs w:val="22"/>
          <w:lang w:val="sr-Latn-RS"/>
        </w:rPr>
        <w:t xml:space="preserve">uzrasta </w:t>
      </w:r>
      <w:r w:rsidRPr="00936526">
        <w:rPr>
          <w:sz w:val="22"/>
          <w:szCs w:val="22"/>
          <w:lang w:val="sr-Latn-RS"/>
        </w:rPr>
        <w:t>iznad  2 godine.</w:t>
      </w:r>
    </w:p>
    <w:p w14:paraId="07A9375D" w14:textId="61046FF5" w:rsidR="00411B4B" w:rsidRPr="00936526" w:rsidRDefault="00411B4B" w:rsidP="00F9470E">
      <w:pPr>
        <w:tabs>
          <w:tab w:val="left" w:pos="540"/>
          <w:tab w:val="left" w:pos="569"/>
        </w:tabs>
        <w:spacing w:before="120"/>
        <w:rPr>
          <w:b/>
          <w:bCs/>
          <w:sz w:val="22"/>
          <w:szCs w:val="22"/>
          <w:lang w:val="sr-Latn-RS"/>
        </w:rPr>
      </w:pPr>
      <w:r w:rsidRPr="00936526">
        <w:rPr>
          <w:b/>
          <w:bCs/>
          <w:sz w:val="22"/>
          <w:szCs w:val="22"/>
          <w:lang w:val="sr-Latn-RS"/>
        </w:rPr>
        <w:t>4.2. Doziranje i način primjene</w:t>
      </w:r>
    </w:p>
    <w:p w14:paraId="256F398F" w14:textId="77777777" w:rsidR="00F9470E" w:rsidRPr="00936526" w:rsidRDefault="00F9470E" w:rsidP="00F9470E">
      <w:pPr>
        <w:tabs>
          <w:tab w:val="left" w:pos="284"/>
        </w:tabs>
        <w:spacing w:before="120"/>
        <w:jc w:val="both"/>
        <w:rPr>
          <w:sz w:val="22"/>
          <w:szCs w:val="22"/>
          <w:lang w:val="sr-Latn-RS"/>
        </w:rPr>
      </w:pPr>
      <w:r w:rsidRPr="00936526">
        <w:rPr>
          <w:sz w:val="22"/>
          <w:szCs w:val="22"/>
          <w:u w:val="single"/>
          <w:lang w:val="sr-Latn-RS"/>
        </w:rPr>
        <w:t>Doziranje</w:t>
      </w:r>
    </w:p>
    <w:p w14:paraId="36FFDFDE" w14:textId="118C96B8" w:rsidR="00F9470E" w:rsidRPr="00936526" w:rsidRDefault="00422C19" w:rsidP="00F9470E">
      <w:pPr>
        <w:tabs>
          <w:tab w:val="left" w:pos="284"/>
        </w:tabs>
        <w:spacing w:before="120"/>
        <w:jc w:val="both"/>
        <w:rPr>
          <w:sz w:val="22"/>
          <w:szCs w:val="22"/>
          <w:lang w:val="sr-Latn-RS"/>
        </w:rPr>
      </w:pPr>
      <w:r w:rsidRPr="00936526">
        <w:rPr>
          <w:sz w:val="22"/>
          <w:szCs w:val="22"/>
          <w:lang w:val="sr-Latn-RS"/>
        </w:rPr>
        <w:t xml:space="preserve">Lijek </w:t>
      </w:r>
      <w:r w:rsidR="00F9470E" w:rsidRPr="00936526">
        <w:rPr>
          <w:sz w:val="22"/>
          <w:szCs w:val="22"/>
          <w:lang w:val="sr-Latn-RS"/>
        </w:rPr>
        <w:t>Lantus sadrži insulin glargin, analog insulina sa produženim trajanjem dejstva. Daje se jednom dnevno u bilo koje vrijeme, ali u isto vrijeme svakog dana.</w:t>
      </w:r>
    </w:p>
    <w:p w14:paraId="113C14FA" w14:textId="0EBC1EB4" w:rsidR="00F9470E" w:rsidRPr="00936526" w:rsidRDefault="00422C19" w:rsidP="00F9470E">
      <w:pPr>
        <w:tabs>
          <w:tab w:val="left" w:pos="284"/>
        </w:tabs>
        <w:spacing w:before="120"/>
        <w:jc w:val="both"/>
        <w:rPr>
          <w:sz w:val="22"/>
          <w:szCs w:val="22"/>
          <w:lang w:val="sr-Latn-RS"/>
        </w:rPr>
      </w:pPr>
      <w:r w:rsidRPr="00936526">
        <w:rPr>
          <w:sz w:val="22"/>
          <w:szCs w:val="22"/>
          <w:lang w:val="sr-Latn-RS"/>
        </w:rPr>
        <w:t>Režim (d</w:t>
      </w:r>
      <w:r w:rsidR="00F9470E" w:rsidRPr="00936526">
        <w:rPr>
          <w:sz w:val="22"/>
          <w:szCs w:val="22"/>
          <w:lang w:val="sr-Latn-RS"/>
        </w:rPr>
        <w:t>oza i vrijeme</w:t>
      </w:r>
      <w:r w:rsidRPr="00936526">
        <w:rPr>
          <w:sz w:val="22"/>
          <w:szCs w:val="22"/>
          <w:lang w:val="sr-Latn-RS"/>
        </w:rPr>
        <w:t>)</w:t>
      </w:r>
      <w:r w:rsidR="00F9470E" w:rsidRPr="00936526">
        <w:rPr>
          <w:sz w:val="22"/>
          <w:szCs w:val="22"/>
          <w:lang w:val="sr-Latn-RS"/>
        </w:rPr>
        <w:t xml:space="preserve"> primjene lijeka Lantus prilagođavaju se kod svakog pacijenta pojedinačno. Kod pacijenata sa di</w:t>
      </w:r>
      <w:r w:rsidRPr="00936526">
        <w:rPr>
          <w:sz w:val="22"/>
          <w:szCs w:val="22"/>
          <w:lang w:val="sr-Latn-RS"/>
        </w:rPr>
        <w:t>j</w:t>
      </w:r>
      <w:r w:rsidR="00F9470E" w:rsidRPr="00936526">
        <w:rPr>
          <w:sz w:val="22"/>
          <w:szCs w:val="22"/>
          <w:lang w:val="sr-Latn-RS"/>
        </w:rPr>
        <w:t>abetes melitusom tipa 2, Lantus se takođe može dati i u kombinaciji sa oralnim antidijabeticima. Jačina lijeka izražena je u jedinicama. Ove jedinice se isključivo odnose na Lantus</w:t>
      </w:r>
      <w:r w:rsidR="00F9470E" w:rsidRPr="00936526">
        <w:rPr>
          <w:sz w:val="22"/>
          <w:szCs w:val="22"/>
          <w:vertAlign w:val="superscript"/>
          <w:lang w:val="sr-Latn-RS"/>
        </w:rPr>
        <w:t xml:space="preserve"> </w:t>
      </w:r>
      <w:r w:rsidR="00F9470E" w:rsidRPr="00936526">
        <w:rPr>
          <w:sz w:val="22"/>
          <w:szCs w:val="22"/>
          <w:lang w:val="sr-Latn-RS"/>
        </w:rPr>
        <w:t>i ni</w:t>
      </w:r>
      <w:r w:rsidRPr="00936526">
        <w:rPr>
          <w:sz w:val="22"/>
          <w:szCs w:val="22"/>
          <w:lang w:val="sr-Latn-RS"/>
        </w:rPr>
        <w:t>je</w:t>
      </w:r>
      <w:r w:rsidR="00F9470E" w:rsidRPr="00936526">
        <w:rPr>
          <w:sz w:val="22"/>
          <w:szCs w:val="22"/>
          <w:lang w:val="sr-Latn-RS"/>
        </w:rPr>
        <w:t>su iste kao i.j. ili jedinice koje označavaju jačinu drugih insulinskih analoga. (vidjeti dio 5.1).</w:t>
      </w:r>
    </w:p>
    <w:p w14:paraId="48FD7FAE" w14:textId="77777777" w:rsidR="00F9470E" w:rsidRPr="00936526" w:rsidRDefault="00F9470E" w:rsidP="00F9470E">
      <w:pPr>
        <w:tabs>
          <w:tab w:val="left" w:pos="284"/>
        </w:tabs>
        <w:spacing w:before="120"/>
        <w:jc w:val="both"/>
        <w:rPr>
          <w:i/>
          <w:iCs/>
          <w:sz w:val="22"/>
          <w:szCs w:val="22"/>
          <w:u w:val="single"/>
          <w:lang w:val="sr-Latn-RS"/>
        </w:rPr>
      </w:pPr>
      <w:r w:rsidRPr="00936526">
        <w:rPr>
          <w:i/>
          <w:iCs/>
          <w:sz w:val="22"/>
          <w:szCs w:val="22"/>
          <w:u w:val="single"/>
          <w:lang w:val="sr-Latn-RS"/>
        </w:rPr>
        <w:t xml:space="preserve">Posebne populacije </w:t>
      </w:r>
    </w:p>
    <w:p w14:paraId="40180D47" w14:textId="77777777" w:rsidR="00F9470E" w:rsidRPr="00936526" w:rsidRDefault="00F9470E" w:rsidP="00F9470E">
      <w:pPr>
        <w:tabs>
          <w:tab w:val="left" w:pos="284"/>
        </w:tabs>
        <w:spacing w:before="120"/>
        <w:jc w:val="both"/>
        <w:rPr>
          <w:i/>
          <w:sz w:val="22"/>
          <w:szCs w:val="22"/>
          <w:lang w:val="sr-Latn-RS"/>
        </w:rPr>
      </w:pPr>
      <w:r w:rsidRPr="00936526">
        <w:rPr>
          <w:i/>
          <w:sz w:val="22"/>
          <w:szCs w:val="22"/>
          <w:lang w:val="sr-Latn-RS"/>
        </w:rPr>
        <w:t>Starija populacija (</w:t>
      </w:r>
      <w:r w:rsidRPr="00936526">
        <w:rPr>
          <w:i/>
          <w:sz w:val="22"/>
          <w:szCs w:val="22"/>
          <w:lang w:val="sr-Latn-RS"/>
        </w:rPr>
        <w:sym w:font="Symbol" w:char="F0B3"/>
      </w:r>
      <w:r w:rsidRPr="00936526">
        <w:rPr>
          <w:i/>
          <w:sz w:val="22"/>
          <w:szCs w:val="22"/>
          <w:lang w:val="sr-Latn-RS"/>
        </w:rPr>
        <w:t xml:space="preserve"> 65 godina starosti)</w:t>
      </w:r>
    </w:p>
    <w:p w14:paraId="75C2392D" w14:textId="32D0B69F" w:rsidR="00F9470E" w:rsidRPr="00936526" w:rsidRDefault="00F9470E" w:rsidP="00F9470E">
      <w:pPr>
        <w:tabs>
          <w:tab w:val="left" w:pos="284"/>
        </w:tabs>
        <w:jc w:val="both"/>
        <w:rPr>
          <w:sz w:val="22"/>
          <w:szCs w:val="22"/>
          <w:lang w:val="sr-Latn-RS"/>
        </w:rPr>
      </w:pPr>
      <w:r w:rsidRPr="00936526">
        <w:rPr>
          <w:sz w:val="22"/>
          <w:szCs w:val="22"/>
          <w:lang w:val="sr-Latn-RS"/>
        </w:rPr>
        <w:t xml:space="preserve">Kod starijih osoba, </w:t>
      </w:r>
      <w:r w:rsidR="00422C19" w:rsidRPr="00936526">
        <w:rPr>
          <w:sz w:val="22"/>
          <w:szCs w:val="22"/>
          <w:lang w:val="sr-Latn-RS"/>
        </w:rPr>
        <w:t>progresivno pogoršanje</w:t>
      </w:r>
      <w:r w:rsidRPr="00936526">
        <w:rPr>
          <w:sz w:val="22"/>
          <w:szCs w:val="22"/>
          <w:lang w:val="sr-Latn-RS"/>
        </w:rPr>
        <w:t xml:space="preserve"> renalne funkcije može dovesti do stalnog </w:t>
      </w:r>
      <w:r w:rsidR="00422C19" w:rsidRPr="00936526">
        <w:rPr>
          <w:sz w:val="22"/>
          <w:szCs w:val="22"/>
          <w:lang w:val="sr-Latn-RS"/>
        </w:rPr>
        <w:t xml:space="preserve">smanjenja </w:t>
      </w:r>
      <w:r w:rsidRPr="00936526">
        <w:rPr>
          <w:sz w:val="22"/>
          <w:szCs w:val="22"/>
          <w:lang w:val="sr-Latn-RS"/>
        </w:rPr>
        <w:t>potrebe za insulinom.</w:t>
      </w:r>
    </w:p>
    <w:p w14:paraId="514E987A" w14:textId="2EFD0925" w:rsidR="00422C19" w:rsidRPr="00936526" w:rsidRDefault="00F9470E" w:rsidP="00F9470E">
      <w:pPr>
        <w:tabs>
          <w:tab w:val="left" w:pos="284"/>
        </w:tabs>
        <w:spacing w:before="120"/>
        <w:jc w:val="both"/>
        <w:rPr>
          <w:i/>
          <w:sz w:val="22"/>
          <w:szCs w:val="22"/>
          <w:lang w:val="sr-Latn-RS"/>
        </w:rPr>
      </w:pPr>
      <w:r w:rsidRPr="00936526">
        <w:rPr>
          <w:i/>
          <w:sz w:val="22"/>
          <w:szCs w:val="22"/>
          <w:lang w:val="sr-Latn-RS"/>
        </w:rPr>
        <w:t>Oštećen</w:t>
      </w:r>
      <w:r w:rsidR="00422C19" w:rsidRPr="00936526">
        <w:rPr>
          <w:i/>
          <w:sz w:val="22"/>
          <w:szCs w:val="22"/>
          <w:lang w:val="sr-Latn-RS"/>
        </w:rPr>
        <w:t>je</w:t>
      </w:r>
      <w:r w:rsidRPr="00936526">
        <w:rPr>
          <w:i/>
          <w:sz w:val="22"/>
          <w:szCs w:val="22"/>
          <w:lang w:val="sr-Latn-RS"/>
        </w:rPr>
        <w:t xml:space="preserve"> funkcij</w:t>
      </w:r>
      <w:r w:rsidR="00422C19" w:rsidRPr="00936526">
        <w:rPr>
          <w:i/>
          <w:sz w:val="22"/>
          <w:szCs w:val="22"/>
          <w:lang w:val="sr-Latn-RS"/>
        </w:rPr>
        <w:t>e</w:t>
      </w:r>
      <w:r w:rsidRPr="00936526">
        <w:rPr>
          <w:i/>
          <w:sz w:val="22"/>
          <w:szCs w:val="22"/>
          <w:lang w:val="sr-Latn-RS"/>
        </w:rPr>
        <w:t xml:space="preserve"> bubrega</w:t>
      </w:r>
    </w:p>
    <w:p w14:paraId="3FDF1C5A" w14:textId="3C54A09D" w:rsidR="00F9470E" w:rsidRPr="00936526" w:rsidRDefault="00F9470E" w:rsidP="00F9470E">
      <w:pPr>
        <w:tabs>
          <w:tab w:val="left" w:pos="284"/>
        </w:tabs>
        <w:jc w:val="both"/>
        <w:rPr>
          <w:sz w:val="22"/>
          <w:szCs w:val="22"/>
          <w:lang w:val="sr-Latn-RS"/>
        </w:rPr>
      </w:pPr>
      <w:bookmarkStart w:id="1" w:name="OLE_LINK5"/>
      <w:r w:rsidRPr="00936526">
        <w:rPr>
          <w:sz w:val="22"/>
          <w:szCs w:val="22"/>
          <w:lang w:val="sr-Latn-RS"/>
        </w:rPr>
        <w:t xml:space="preserve">Kod pacijenata sa oštećenom funkcijom bubrega, potrebe za insulinom mogu biti </w:t>
      </w:r>
      <w:r w:rsidR="00422C19" w:rsidRPr="00936526">
        <w:rPr>
          <w:sz w:val="22"/>
          <w:szCs w:val="22"/>
          <w:lang w:val="sr-Latn-RS"/>
        </w:rPr>
        <w:t>s</w:t>
      </w:r>
      <w:r w:rsidRPr="00936526">
        <w:rPr>
          <w:sz w:val="22"/>
          <w:szCs w:val="22"/>
          <w:lang w:val="sr-Latn-RS"/>
        </w:rPr>
        <w:t>manjene usl</w:t>
      </w:r>
      <w:r w:rsidR="00422C19" w:rsidRPr="00936526">
        <w:rPr>
          <w:sz w:val="22"/>
          <w:szCs w:val="22"/>
          <w:lang w:val="sr-Latn-RS"/>
        </w:rPr>
        <w:t>j</w:t>
      </w:r>
      <w:r w:rsidRPr="00936526">
        <w:rPr>
          <w:sz w:val="22"/>
          <w:szCs w:val="22"/>
          <w:lang w:val="sr-Latn-RS"/>
        </w:rPr>
        <w:t>ed smanjenog metabolizma insulina.</w:t>
      </w:r>
    </w:p>
    <w:bookmarkEnd w:id="1"/>
    <w:p w14:paraId="6D4F83A8" w14:textId="6E32C2BA" w:rsidR="00F9470E" w:rsidRPr="00936526" w:rsidRDefault="00F9470E" w:rsidP="00F9470E">
      <w:pPr>
        <w:tabs>
          <w:tab w:val="left" w:pos="284"/>
        </w:tabs>
        <w:spacing w:before="120"/>
        <w:jc w:val="both"/>
        <w:rPr>
          <w:i/>
          <w:sz w:val="22"/>
          <w:szCs w:val="22"/>
          <w:lang w:val="sr-Latn-RS"/>
        </w:rPr>
      </w:pPr>
      <w:r w:rsidRPr="00936526">
        <w:rPr>
          <w:i/>
          <w:sz w:val="22"/>
          <w:szCs w:val="22"/>
          <w:lang w:val="sr-Latn-RS"/>
        </w:rPr>
        <w:t>Oštećen</w:t>
      </w:r>
      <w:r w:rsidR="00422C19" w:rsidRPr="00936526">
        <w:rPr>
          <w:i/>
          <w:sz w:val="22"/>
          <w:szCs w:val="22"/>
          <w:lang w:val="sr-Latn-RS"/>
        </w:rPr>
        <w:t>je</w:t>
      </w:r>
      <w:r w:rsidRPr="00936526">
        <w:rPr>
          <w:i/>
          <w:sz w:val="22"/>
          <w:szCs w:val="22"/>
          <w:lang w:val="sr-Latn-RS"/>
        </w:rPr>
        <w:t xml:space="preserve"> funkcij</w:t>
      </w:r>
      <w:r w:rsidR="00422C19" w:rsidRPr="00936526">
        <w:rPr>
          <w:i/>
          <w:sz w:val="22"/>
          <w:szCs w:val="22"/>
          <w:lang w:val="sr-Latn-RS"/>
        </w:rPr>
        <w:t>e</w:t>
      </w:r>
      <w:r w:rsidRPr="00936526">
        <w:rPr>
          <w:i/>
          <w:sz w:val="22"/>
          <w:szCs w:val="22"/>
          <w:lang w:val="sr-Latn-RS"/>
        </w:rPr>
        <w:t xml:space="preserve"> jetre</w:t>
      </w:r>
    </w:p>
    <w:p w14:paraId="1E7AB181" w14:textId="732ECFC8" w:rsidR="00F9470E" w:rsidRPr="00936526" w:rsidRDefault="00F9470E" w:rsidP="00F9470E">
      <w:pPr>
        <w:tabs>
          <w:tab w:val="left" w:pos="284"/>
        </w:tabs>
        <w:jc w:val="both"/>
        <w:rPr>
          <w:sz w:val="22"/>
          <w:szCs w:val="22"/>
          <w:lang w:val="sr-Latn-RS"/>
        </w:rPr>
      </w:pPr>
      <w:r w:rsidRPr="00936526">
        <w:rPr>
          <w:sz w:val="22"/>
          <w:szCs w:val="22"/>
          <w:lang w:val="sr-Latn-RS"/>
        </w:rPr>
        <w:t xml:space="preserve">Kod pacijenata sa oštećenom funkcijom jetre, potrebe za insulinom mogu biti </w:t>
      </w:r>
      <w:r w:rsidR="00422C19" w:rsidRPr="00936526">
        <w:rPr>
          <w:sz w:val="22"/>
          <w:szCs w:val="22"/>
          <w:lang w:val="sr-Latn-RS"/>
        </w:rPr>
        <w:t>s</w:t>
      </w:r>
      <w:r w:rsidRPr="00936526">
        <w:rPr>
          <w:sz w:val="22"/>
          <w:szCs w:val="22"/>
          <w:lang w:val="sr-Latn-RS"/>
        </w:rPr>
        <w:t>manjene usl</w:t>
      </w:r>
      <w:r w:rsidR="00422C19" w:rsidRPr="00936526">
        <w:rPr>
          <w:sz w:val="22"/>
          <w:szCs w:val="22"/>
          <w:lang w:val="sr-Latn-RS"/>
        </w:rPr>
        <w:t>j</w:t>
      </w:r>
      <w:r w:rsidRPr="00936526">
        <w:rPr>
          <w:sz w:val="22"/>
          <w:szCs w:val="22"/>
          <w:lang w:val="sr-Latn-RS"/>
        </w:rPr>
        <w:t xml:space="preserve">ed </w:t>
      </w:r>
      <w:r w:rsidR="00422C19" w:rsidRPr="00936526">
        <w:rPr>
          <w:sz w:val="22"/>
          <w:szCs w:val="22"/>
          <w:lang w:val="sr-Latn-RS"/>
        </w:rPr>
        <w:t xml:space="preserve">smanjenog </w:t>
      </w:r>
      <w:r w:rsidRPr="00936526">
        <w:rPr>
          <w:sz w:val="22"/>
          <w:szCs w:val="22"/>
          <w:lang w:val="sr-Latn-RS"/>
        </w:rPr>
        <w:t xml:space="preserve">kapaciteta </w:t>
      </w:r>
      <w:r w:rsidR="00422C19" w:rsidRPr="00936526">
        <w:rPr>
          <w:sz w:val="22"/>
          <w:szCs w:val="22"/>
          <w:lang w:val="sr-Latn-RS"/>
        </w:rPr>
        <w:t>glukoneogeneze</w:t>
      </w:r>
      <w:r w:rsidRPr="00936526">
        <w:rPr>
          <w:sz w:val="22"/>
          <w:szCs w:val="22"/>
          <w:lang w:val="sr-Latn-RS"/>
        </w:rPr>
        <w:t xml:space="preserve"> i smanjenog metabolizma insulina.</w:t>
      </w:r>
    </w:p>
    <w:p w14:paraId="3D37DF20" w14:textId="77777777" w:rsidR="00796D00" w:rsidRPr="00936526" w:rsidRDefault="00796D00" w:rsidP="00F9470E">
      <w:pPr>
        <w:tabs>
          <w:tab w:val="left" w:pos="284"/>
        </w:tabs>
        <w:spacing w:before="120"/>
        <w:jc w:val="both"/>
        <w:rPr>
          <w:i/>
          <w:sz w:val="22"/>
          <w:szCs w:val="22"/>
          <w:lang w:val="sr-Latn-RS"/>
        </w:rPr>
      </w:pPr>
    </w:p>
    <w:p w14:paraId="11CD4A01" w14:textId="77777777" w:rsidR="00796D00" w:rsidRPr="00936526" w:rsidRDefault="00796D00" w:rsidP="00F9470E">
      <w:pPr>
        <w:tabs>
          <w:tab w:val="left" w:pos="284"/>
        </w:tabs>
        <w:spacing w:before="120"/>
        <w:jc w:val="both"/>
        <w:rPr>
          <w:i/>
          <w:sz w:val="22"/>
          <w:szCs w:val="22"/>
          <w:lang w:val="sr-Latn-RS"/>
        </w:rPr>
      </w:pPr>
    </w:p>
    <w:p w14:paraId="63F863E0" w14:textId="28A66068" w:rsidR="00F9470E" w:rsidRPr="00936526" w:rsidRDefault="00F9470E" w:rsidP="00F9470E">
      <w:pPr>
        <w:tabs>
          <w:tab w:val="left" w:pos="284"/>
        </w:tabs>
        <w:spacing w:before="120"/>
        <w:jc w:val="both"/>
        <w:rPr>
          <w:i/>
          <w:sz w:val="22"/>
          <w:szCs w:val="22"/>
          <w:lang w:val="sr-Latn-RS"/>
        </w:rPr>
      </w:pPr>
      <w:r w:rsidRPr="00936526">
        <w:rPr>
          <w:i/>
          <w:sz w:val="22"/>
          <w:szCs w:val="22"/>
          <w:lang w:val="sr-Latn-RS"/>
        </w:rPr>
        <w:lastRenderedPageBreak/>
        <w:t>Pedijatrijska populacija</w:t>
      </w:r>
    </w:p>
    <w:p w14:paraId="2C937381" w14:textId="1E1B17E7" w:rsidR="002051F2" w:rsidRPr="00936526" w:rsidRDefault="002051F2" w:rsidP="002051F2">
      <w:pPr>
        <w:numPr>
          <w:ilvl w:val="0"/>
          <w:numId w:val="14"/>
        </w:numPr>
        <w:spacing w:before="120"/>
        <w:rPr>
          <w:bCs/>
          <w:noProof/>
          <w:sz w:val="22"/>
          <w:szCs w:val="22"/>
          <w:lang w:val="sr-Latn-RS"/>
        </w:rPr>
      </w:pPr>
      <w:r w:rsidRPr="00936526">
        <w:rPr>
          <w:bCs/>
          <w:noProof/>
          <w:sz w:val="22"/>
          <w:szCs w:val="22"/>
          <w:lang w:val="sr-Latn-RS"/>
        </w:rPr>
        <w:t>Adolescenti i djeca uzrasta od 2 godine i starija</w:t>
      </w:r>
    </w:p>
    <w:p w14:paraId="2FC2E764" w14:textId="6D7AC75B" w:rsidR="002051F2" w:rsidRPr="00936526" w:rsidRDefault="002051F2" w:rsidP="002051F2">
      <w:pPr>
        <w:spacing w:before="120"/>
        <w:rPr>
          <w:bCs/>
          <w:noProof/>
          <w:sz w:val="22"/>
          <w:szCs w:val="22"/>
          <w:lang w:val="sr-Latn-RS"/>
        </w:rPr>
      </w:pPr>
      <w:r w:rsidRPr="00936526">
        <w:rPr>
          <w:bCs/>
          <w:noProof/>
          <w:sz w:val="22"/>
          <w:szCs w:val="22"/>
          <w:lang w:val="sr-Latn-RS"/>
        </w:rPr>
        <w:t>Bezbjednost i efikasnost lijeka Lantus utvrđena je kod adolescenata i djece uzrasta 2 godine i starije (vidjeti dio 5.1). Režim doziranja (doza i vrijeme) treba da se individualno prilagode.</w:t>
      </w:r>
    </w:p>
    <w:p w14:paraId="6333C4C3" w14:textId="2E2E934B" w:rsidR="002051F2" w:rsidRPr="00936526" w:rsidRDefault="002051F2" w:rsidP="002051F2">
      <w:pPr>
        <w:numPr>
          <w:ilvl w:val="0"/>
          <w:numId w:val="14"/>
        </w:numPr>
        <w:spacing w:before="120"/>
        <w:rPr>
          <w:bCs/>
          <w:noProof/>
          <w:sz w:val="22"/>
          <w:szCs w:val="22"/>
          <w:lang w:val="sr-Latn-RS"/>
        </w:rPr>
      </w:pPr>
      <w:r w:rsidRPr="00936526">
        <w:rPr>
          <w:bCs/>
          <w:noProof/>
          <w:sz w:val="22"/>
          <w:szCs w:val="22"/>
          <w:lang w:val="sr-Latn-RS"/>
        </w:rPr>
        <w:t>Djeca mlađa od 2 godine</w:t>
      </w:r>
    </w:p>
    <w:p w14:paraId="54105A16" w14:textId="5DA195FD" w:rsidR="002051F2" w:rsidRPr="00936526" w:rsidRDefault="002051F2" w:rsidP="002051F2">
      <w:pPr>
        <w:spacing w:before="120"/>
        <w:rPr>
          <w:bCs/>
          <w:noProof/>
          <w:sz w:val="22"/>
          <w:szCs w:val="22"/>
          <w:lang w:val="sr-Latn-RS"/>
        </w:rPr>
      </w:pPr>
      <w:r w:rsidRPr="00936526">
        <w:rPr>
          <w:bCs/>
          <w:noProof/>
          <w:sz w:val="22"/>
          <w:szCs w:val="22"/>
          <w:lang w:val="sr-Latn-RS"/>
        </w:rPr>
        <w:t>Bezbjednost primjene i efikasnost lijeka Lantus nisu ustanovljene. Nema dostupnih podataka.</w:t>
      </w:r>
    </w:p>
    <w:p w14:paraId="1B1607F9" w14:textId="614AA4F6" w:rsidR="00F9470E" w:rsidRPr="00936526" w:rsidRDefault="002F4679" w:rsidP="00F9470E">
      <w:pPr>
        <w:tabs>
          <w:tab w:val="left" w:pos="284"/>
        </w:tabs>
        <w:spacing w:before="120"/>
        <w:jc w:val="both"/>
        <w:rPr>
          <w:sz w:val="22"/>
          <w:szCs w:val="22"/>
          <w:u w:val="single"/>
          <w:lang w:val="sr-Latn-RS"/>
        </w:rPr>
      </w:pPr>
      <w:r w:rsidRPr="00936526">
        <w:rPr>
          <w:sz w:val="22"/>
          <w:szCs w:val="22"/>
          <w:u w:val="single"/>
          <w:lang w:val="sr-Latn-RS"/>
        </w:rPr>
        <w:t xml:space="preserve">Prelaz </w:t>
      </w:r>
      <w:r w:rsidR="00F9470E" w:rsidRPr="00936526">
        <w:rPr>
          <w:sz w:val="22"/>
          <w:szCs w:val="22"/>
          <w:u w:val="single"/>
          <w:lang w:val="sr-Latn-RS"/>
        </w:rPr>
        <w:t xml:space="preserve">sa drugih insulina na </w:t>
      </w:r>
      <w:r w:rsidR="002051F2" w:rsidRPr="00936526">
        <w:rPr>
          <w:sz w:val="22"/>
          <w:szCs w:val="22"/>
          <w:u w:val="single"/>
          <w:lang w:val="sr-Latn-RS"/>
        </w:rPr>
        <w:t xml:space="preserve">lijek </w:t>
      </w:r>
      <w:r w:rsidR="00F9470E" w:rsidRPr="00936526">
        <w:rPr>
          <w:sz w:val="22"/>
          <w:szCs w:val="22"/>
          <w:u w:val="single"/>
          <w:lang w:val="sr-Latn-RS"/>
        </w:rPr>
        <w:t>Lantus</w:t>
      </w:r>
    </w:p>
    <w:p w14:paraId="373CA5A3" w14:textId="07A7667C" w:rsidR="00F9470E" w:rsidRPr="00936526" w:rsidRDefault="00F9470E" w:rsidP="00F9470E">
      <w:pPr>
        <w:tabs>
          <w:tab w:val="left" w:pos="284"/>
        </w:tabs>
        <w:spacing w:before="120"/>
        <w:jc w:val="both"/>
        <w:rPr>
          <w:sz w:val="22"/>
          <w:szCs w:val="22"/>
          <w:lang w:val="sr-Latn-RS"/>
        </w:rPr>
      </w:pPr>
      <w:r w:rsidRPr="00936526">
        <w:rPr>
          <w:sz w:val="22"/>
          <w:szCs w:val="22"/>
          <w:lang w:val="sr-Latn-RS"/>
        </w:rPr>
        <w:t>Kada se m</w:t>
      </w:r>
      <w:r w:rsidR="002F4679" w:rsidRPr="00936526">
        <w:rPr>
          <w:sz w:val="22"/>
          <w:szCs w:val="22"/>
          <w:lang w:val="sr-Latn-RS"/>
        </w:rPr>
        <w:t>i</w:t>
      </w:r>
      <w:r w:rsidRPr="00936526">
        <w:rPr>
          <w:sz w:val="22"/>
          <w:szCs w:val="22"/>
          <w:lang w:val="sr-Latn-RS"/>
        </w:rPr>
        <w:t xml:space="preserve">jenja režim liječenja i prelazi sa srednje- ili dugo-djelujućeg insulina na primjenu </w:t>
      </w:r>
      <w:r w:rsidR="002051F2" w:rsidRPr="00936526">
        <w:rPr>
          <w:sz w:val="22"/>
          <w:szCs w:val="22"/>
          <w:lang w:val="sr-Latn-RS"/>
        </w:rPr>
        <w:t xml:space="preserve">lijeka </w:t>
      </w:r>
      <w:r w:rsidRPr="00936526">
        <w:rPr>
          <w:sz w:val="22"/>
          <w:szCs w:val="22"/>
          <w:lang w:val="sr-Latn-RS"/>
        </w:rPr>
        <w:t>Lantus, može biti neophodna promjena doze bazalnog insulina, uz istovremeno prilagođavanje prateće antidijabetičke terapije (ovo se odnosi na dozu i vrijeme dodatnih regularnih insulina ili brzo djelujućih analoga insulina, ili pak dozu oralnih antidijabetika).</w:t>
      </w:r>
    </w:p>
    <w:p w14:paraId="2CAB3150" w14:textId="3C1352DA" w:rsidR="00F9470E" w:rsidRPr="00936526" w:rsidRDefault="002F4679" w:rsidP="00F9470E">
      <w:pPr>
        <w:tabs>
          <w:tab w:val="left" w:pos="284"/>
        </w:tabs>
        <w:spacing w:before="120"/>
        <w:jc w:val="both"/>
        <w:rPr>
          <w:i/>
          <w:iCs/>
          <w:sz w:val="22"/>
          <w:szCs w:val="22"/>
          <w:u w:val="single"/>
          <w:lang w:val="sr-Latn-RS"/>
        </w:rPr>
      </w:pPr>
      <w:r w:rsidRPr="00936526">
        <w:rPr>
          <w:i/>
          <w:iCs/>
          <w:sz w:val="22"/>
          <w:szCs w:val="22"/>
          <w:u w:val="single"/>
          <w:lang w:val="sr-Latn-RS"/>
        </w:rPr>
        <w:t xml:space="preserve">Prelaz </w:t>
      </w:r>
      <w:r w:rsidR="00F9470E" w:rsidRPr="00936526">
        <w:rPr>
          <w:i/>
          <w:iCs/>
          <w:sz w:val="22"/>
          <w:szCs w:val="22"/>
          <w:u w:val="single"/>
          <w:lang w:val="sr-Latn-RS"/>
        </w:rPr>
        <w:t>sa primjene NPH insulina dva</w:t>
      </w:r>
      <w:r w:rsidRPr="00936526">
        <w:rPr>
          <w:i/>
          <w:iCs/>
          <w:sz w:val="22"/>
          <w:szCs w:val="22"/>
          <w:u w:val="single"/>
          <w:lang w:val="sr-Latn-RS"/>
        </w:rPr>
        <w:t xml:space="preserve"> </w:t>
      </w:r>
      <w:r w:rsidR="00F9470E" w:rsidRPr="00936526">
        <w:rPr>
          <w:i/>
          <w:iCs/>
          <w:sz w:val="22"/>
          <w:szCs w:val="22"/>
          <w:u w:val="single"/>
          <w:lang w:val="sr-Latn-RS"/>
        </w:rPr>
        <w:t>put</w:t>
      </w:r>
      <w:r w:rsidRPr="00936526">
        <w:rPr>
          <w:i/>
          <w:iCs/>
          <w:sz w:val="22"/>
          <w:szCs w:val="22"/>
          <w:u w:val="single"/>
          <w:lang w:val="sr-Latn-RS"/>
        </w:rPr>
        <w:t>a</w:t>
      </w:r>
      <w:r w:rsidR="00F9470E" w:rsidRPr="00936526">
        <w:rPr>
          <w:i/>
          <w:iCs/>
          <w:sz w:val="22"/>
          <w:szCs w:val="22"/>
          <w:u w:val="single"/>
          <w:lang w:val="sr-Latn-RS"/>
        </w:rPr>
        <w:t xml:space="preserve"> dnevno na </w:t>
      </w:r>
      <w:r w:rsidR="002051F2" w:rsidRPr="00936526">
        <w:rPr>
          <w:i/>
          <w:iCs/>
          <w:sz w:val="22"/>
          <w:szCs w:val="22"/>
          <w:u w:val="single"/>
          <w:lang w:val="sr-Latn-RS"/>
        </w:rPr>
        <w:t xml:space="preserve">lijek </w:t>
      </w:r>
      <w:r w:rsidR="00F9470E" w:rsidRPr="00936526">
        <w:rPr>
          <w:i/>
          <w:iCs/>
          <w:sz w:val="22"/>
          <w:szCs w:val="22"/>
          <w:u w:val="single"/>
          <w:lang w:val="sr-Latn-RS"/>
        </w:rPr>
        <w:t xml:space="preserve">Lantus </w:t>
      </w:r>
    </w:p>
    <w:p w14:paraId="3E8F8E66" w14:textId="4C5E4AB0" w:rsidR="00F9470E" w:rsidRPr="00936526" w:rsidRDefault="00F9470E" w:rsidP="00F9470E">
      <w:pPr>
        <w:tabs>
          <w:tab w:val="left" w:pos="284"/>
        </w:tabs>
        <w:spacing w:before="120"/>
        <w:jc w:val="both"/>
        <w:rPr>
          <w:sz w:val="22"/>
          <w:szCs w:val="22"/>
          <w:lang w:val="sr-Latn-RS"/>
        </w:rPr>
      </w:pPr>
      <w:r w:rsidRPr="00936526">
        <w:rPr>
          <w:sz w:val="22"/>
          <w:szCs w:val="22"/>
          <w:lang w:val="sr-Latn-RS"/>
        </w:rPr>
        <w:t>Da bi se smanjio rizik od noćne i rane jutarnje hipoglikemije, pacijenti koji m</w:t>
      </w:r>
      <w:r w:rsidR="002F4679" w:rsidRPr="00936526">
        <w:rPr>
          <w:sz w:val="22"/>
          <w:szCs w:val="22"/>
          <w:lang w:val="sr-Latn-RS"/>
        </w:rPr>
        <w:t>i</w:t>
      </w:r>
      <w:r w:rsidRPr="00936526">
        <w:rPr>
          <w:sz w:val="22"/>
          <w:szCs w:val="22"/>
          <w:lang w:val="sr-Latn-RS"/>
        </w:rPr>
        <w:t xml:space="preserve">jenjaju režim primjene svog osnovnog (bazalnog) insulina sa dva puta dnevno NPH insulina na režim primjene </w:t>
      </w:r>
      <w:r w:rsidR="002051F2" w:rsidRPr="00936526">
        <w:rPr>
          <w:sz w:val="22"/>
          <w:szCs w:val="22"/>
          <w:lang w:val="sr-Latn-RS"/>
        </w:rPr>
        <w:t xml:space="preserve">lijeka </w:t>
      </w:r>
      <w:r w:rsidRPr="00936526">
        <w:rPr>
          <w:sz w:val="22"/>
          <w:szCs w:val="22"/>
          <w:lang w:val="sr-Latn-RS"/>
        </w:rPr>
        <w:t>Lantus jednom dnevno, treba da smanje svoju dozu bazalnog insulina za 20-30% u toku prvih ned</w:t>
      </w:r>
      <w:r w:rsidR="002F4679" w:rsidRPr="00936526">
        <w:rPr>
          <w:sz w:val="22"/>
          <w:szCs w:val="22"/>
          <w:lang w:val="sr-Latn-RS"/>
        </w:rPr>
        <w:t>j</w:t>
      </w:r>
      <w:r w:rsidRPr="00936526">
        <w:rPr>
          <w:sz w:val="22"/>
          <w:szCs w:val="22"/>
          <w:lang w:val="sr-Latn-RS"/>
        </w:rPr>
        <w:t>elja liječenja.</w:t>
      </w:r>
    </w:p>
    <w:p w14:paraId="2456ABB5" w14:textId="58642571" w:rsidR="00F9470E" w:rsidRPr="00936526" w:rsidRDefault="002F4679" w:rsidP="00F9470E">
      <w:pPr>
        <w:tabs>
          <w:tab w:val="left" w:pos="284"/>
        </w:tabs>
        <w:spacing w:before="120"/>
        <w:jc w:val="both"/>
        <w:rPr>
          <w:i/>
          <w:iCs/>
          <w:sz w:val="22"/>
          <w:szCs w:val="22"/>
          <w:u w:val="single"/>
          <w:lang w:val="sr-Latn-RS"/>
        </w:rPr>
      </w:pPr>
      <w:r w:rsidRPr="00936526">
        <w:rPr>
          <w:i/>
          <w:iCs/>
          <w:sz w:val="22"/>
          <w:szCs w:val="22"/>
          <w:u w:val="single"/>
          <w:lang w:val="sr-Latn-RS"/>
        </w:rPr>
        <w:t xml:space="preserve">Prelaz </w:t>
      </w:r>
      <w:r w:rsidR="00F9470E" w:rsidRPr="00936526">
        <w:rPr>
          <w:i/>
          <w:iCs/>
          <w:sz w:val="22"/>
          <w:szCs w:val="22"/>
          <w:u w:val="single"/>
          <w:lang w:val="sr-Latn-RS"/>
        </w:rPr>
        <w:t xml:space="preserve">sa insulina glargina jačine 300 jedinica/ml na </w:t>
      </w:r>
      <w:r w:rsidR="002051F2" w:rsidRPr="00936526">
        <w:rPr>
          <w:i/>
          <w:iCs/>
          <w:sz w:val="22"/>
          <w:szCs w:val="22"/>
          <w:u w:val="single"/>
          <w:lang w:val="sr-Latn-RS"/>
        </w:rPr>
        <w:t xml:space="preserve">lijek </w:t>
      </w:r>
      <w:r w:rsidR="00F9470E" w:rsidRPr="00936526">
        <w:rPr>
          <w:i/>
          <w:iCs/>
          <w:sz w:val="22"/>
          <w:szCs w:val="22"/>
          <w:u w:val="single"/>
          <w:lang w:val="sr-Latn-RS"/>
        </w:rPr>
        <w:t xml:space="preserve">Lantus </w:t>
      </w:r>
    </w:p>
    <w:p w14:paraId="2C0611A0" w14:textId="67AEBAF4" w:rsidR="00F9470E" w:rsidRPr="00936526" w:rsidRDefault="002051F2" w:rsidP="00F9470E">
      <w:pPr>
        <w:tabs>
          <w:tab w:val="left" w:pos="284"/>
        </w:tabs>
        <w:spacing w:before="120"/>
        <w:jc w:val="both"/>
        <w:rPr>
          <w:sz w:val="22"/>
          <w:szCs w:val="22"/>
          <w:lang w:val="sr-Latn-RS"/>
        </w:rPr>
      </w:pPr>
      <w:r w:rsidRPr="00936526">
        <w:rPr>
          <w:sz w:val="22"/>
          <w:szCs w:val="22"/>
          <w:lang w:val="sr-Latn-RS"/>
        </w:rPr>
        <w:t xml:space="preserve">Lijek </w:t>
      </w:r>
      <w:r w:rsidR="00F9470E" w:rsidRPr="00936526">
        <w:rPr>
          <w:sz w:val="22"/>
          <w:szCs w:val="22"/>
          <w:lang w:val="sr-Latn-RS"/>
        </w:rPr>
        <w:t xml:space="preserve">Lantus i </w:t>
      </w:r>
      <w:r w:rsidRPr="00936526">
        <w:rPr>
          <w:sz w:val="22"/>
          <w:szCs w:val="22"/>
          <w:lang w:val="sr-Latn-RS"/>
        </w:rPr>
        <w:t xml:space="preserve">lijek </w:t>
      </w:r>
      <w:r w:rsidR="00F9470E" w:rsidRPr="00936526">
        <w:rPr>
          <w:sz w:val="22"/>
          <w:szCs w:val="22"/>
          <w:lang w:val="sr-Latn-RS"/>
        </w:rPr>
        <w:t xml:space="preserve">Toujeo (insulin glargin 300 jedinica/ml) nijesu bioekvivalentni i nijesu direktno međusobno zamjenjivi. Kako bi se smanjio rizik od hipoglikemije, pacijenti koji mijenjaju svoj režim uzimanja bazalnog insulina sa uzimanja insulina glargina 300 jedinica/ml jednom dnevno na režim uzimanja lijeka Lantus jednom dnevno, treba da smanje svoju dozu za približno 20%. </w:t>
      </w:r>
    </w:p>
    <w:p w14:paraId="7FDEFCEA" w14:textId="77777777" w:rsidR="00F9470E" w:rsidRPr="00936526" w:rsidRDefault="00F9470E" w:rsidP="00F9470E">
      <w:pPr>
        <w:tabs>
          <w:tab w:val="left" w:pos="284"/>
        </w:tabs>
        <w:jc w:val="both"/>
        <w:rPr>
          <w:sz w:val="22"/>
          <w:szCs w:val="22"/>
          <w:lang w:val="sr-Latn-RS"/>
        </w:rPr>
      </w:pPr>
    </w:p>
    <w:p w14:paraId="28999C63" w14:textId="7219ED6A" w:rsidR="00F9470E" w:rsidRPr="00936526" w:rsidRDefault="00F9470E" w:rsidP="00F9470E">
      <w:pPr>
        <w:tabs>
          <w:tab w:val="left" w:pos="284"/>
        </w:tabs>
        <w:jc w:val="both"/>
        <w:rPr>
          <w:sz w:val="22"/>
          <w:szCs w:val="22"/>
          <w:lang w:val="sr-Latn-RS"/>
        </w:rPr>
      </w:pPr>
      <w:r w:rsidRPr="00936526">
        <w:rPr>
          <w:sz w:val="22"/>
          <w:szCs w:val="22"/>
          <w:lang w:val="sr-Latn-RS"/>
        </w:rPr>
        <w:t>U toku prvih ned</w:t>
      </w:r>
      <w:r w:rsidR="002F4679" w:rsidRPr="00936526">
        <w:rPr>
          <w:sz w:val="22"/>
          <w:szCs w:val="22"/>
          <w:lang w:val="sr-Latn-RS"/>
        </w:rPr>
        <w:t>j</w:t>
      </w:r>
      <w:r w:rsidRPr="00936526">
        <w:rPr>
          <w:sz w:val="22"/>
          <w:szCs w:val="22"/>
          <w:lang w:val="sr-Latn-RS"/>
        </w:rPr>
        <w:t>elja to smanjenje mora, makar d</w:t>
      </w:r>
      <w:r w:rsidR="002F4679" w:rsidRPr="00936526">
        <w:rPr>
          <w:sz w:val="22"/>
          <w:szCs w:val="22"/>
          <w:lang w:val="sr-Latn-RS"/>
        </w:rPr>
        <w:t>j</w:t>
      </w:r>
      <w:r w:rsidRPr="00936526">
        <w:rPr>
          <w:sz w:val="22"/>
          <w:szCs w:val="22"/>
          <w:lang w:val="sr-Latn-RS"/>
        </w:rPr>
        <w:t>elimično, da bude kompenzovano povećanjem doza insulina za vrijeme obroka, dok se poslije toga terapijski režim podešava pojedinačno za svakog pacijenta.</w:t>
      </w:r>
    </w:p>
    <w:p w14:paraId="281153B7" w14:textId="284EA8A5" w:rsidR="00F9470E" w:rsidRPr="00936526" w:rsidRDefault="00F9470E" w:rsidP="00F9470E">
      <w:pPr>
        <w:tabs>
          <w:tab w:val="left" w:pos="284"/>
        </w:tabs>
        <w:jc w:val="both"/>
        <w:rPr>
          <w:sz w:val="22"/>
          <w:szCs w:val="22"/>
          <w:lang w:val="sr-Latn-RS"/>
        </w:rPr>
      </w:pPr>
      <w:r w:rsidRPr="00936526">
        <w:rPr>
          <w:sz w:val="22"/>
          <w:szCs w:val="22"/>
          <w:lang w:val="sr-Latn-RS"/>
        </w:rPr>
        <w:t>Slično drugim analozima insulina, pacijent</w:t>
      </w:r>
      <w:r w:rsidR="002F4679" w:rsidRPr="00936526">
        <w:rPr>
          <w:sz w:val="22"/>
          <w:szCs w:val="22"/>
          <w:lang w:val="sr-Latn-RS"/>
        </w:rPr>
        <w:t>i</w:t>
      </w:r>
      <w:r w:rsidRPr="00936526">
        <w:rPr>
          <w:sz w:val="22"/>
          <w:szCs w:val="22"/>
          <w:lang w:val="sr-Latn-RS"/>
        </w:rPr>
        <w:t xml:space="preserve"> na visokim dozama insulina zbog prisustva antit</w:t>
      </w:r>
      <w:r w:rsidR="002F4679" w:rsidRPr="00936526">
        <w:rPr>
          <w:sz w:val="22"/>
          <w:szCs w:val="22"/>
          <w:lang w:val="sr-Latn-RS"/>
        </w:rPr>
        <w:t>ij</w:t>
      </w:r>
      <w:r w:rsidRPr="00936526">
        <w:rPr>
          <w:sz w:val="22"/>
          <w:szCs w:val="22"/>
          <w:lang w:val="sr-Latn-RS"/>
        </w:rPr>
        <w:t>ela na humani insulin mo</w:t>
      </w:r>
      <w:r w:rsidR="002F4679" w:rsidRPr="00936526">
        <w:rPr>
          <w:sz w:val="22"/>
          <w:szCs w:val="22"/>
          <w:lang w:val="sr-Latn-RS"/>
        </w:rPr>
        <w:t>gu</w:t>
      </w:r>
      <w:r w:rsidRPr="00936526">
        <w:rPr>
          <w:sz w:val="22"/>
          <w:szCs w:val="22"/>
          <w:lang w:val="sr-Latn-RS"/>
        </w:rPr>
        <w:t xml:space="preserve"> povoljnije da reaguj</w:t>
      </w:r>
      <w:r w:rsidR="002F4679" w:rsidRPr="00936526">
        <w:rPr>
          <w:sz w:val="22"/>
          <w:szCs w:val="22"/>
          <w:lang w:val="sr-Latn-RS"/>
        </w:rPr>
        <w:t>u</w:t>
      </w:r>
      <w:r w:rsidRPr="00936526">
        <w:rPr>
          <w:sz w:val="22"/>
          <w:szCs w:val="22"/>
          <w:lang w:val="sr-Latn-RS"/>
        </w:rPr>
        <w:t xml:space="preserve"> na </w:t>
      </w:r>
      <w:r w:rsidR="002051F2" w:rsidRPr="00936526">
        <w:rPr>
          <w:sz w:val="22"/>
          <w:szCs w:val="22"/>
          <w:lang w:val="sr-Latn-RS"/>
        </w:rPr>
        <w:t xml:space="preserve">lijek </w:t>
      </w:r>
      <w:r w:rsidRPr="00936526">
        <w:rPr>
          <w:sz w:val="22"/>
          <w:szCs w:val="22"/>
          <w:lang w:val="sr-Latn-RS"/>
        </w:rPr>
        <w:t>Lantus.</w:t>
      </w:r>
    </w:p>
    <w:p w14:paraId="3BC54D7A" w14:textId="77777777" w:rsidR="00F9470E" w:rsidRPr="00936526" w:rsidRDefault="00F9470E" w:rsidP="005C7FE3">
      <w:pPr>
        <w:tabs>
          <w:tab w:val="left" w:pos="284"/>
        </w:tabs>
        <w:spacing w:before="120"/>
        <w:jc w:val="both"/>
        <w:rPr>
          <w:sz w:val="22"/>
          <w:szCs w:val="22"/>
          <w:lang w:val="sr-Latn-RS"/>
        </w:rPr>
      </w:pPr>
      <w:r w:rsidRPr="00936526">
        <w:rPr>
          <w:sz w:val="22"/>
          <w:szCs w:val="22"/>
          <w:lang w:val="sr-Latn-RS"/>
        </w:rPr>
        <w:t>Preporučuje se pažljivo praćenje metabolizma za vrijeme prelaska, kao i u prvim nedjeljama nakon toga.</w:t>
      </w:r>
    </w:p>
    <w:p w14:paraId="71555479" w14:textId="53359895" w:rsidR="00452E9D" w:rsidRPr="00936526" w:rsidRDefault="00F9470E">
      <w:pPr>
        <w:tabs>
          <w:tab w:val="left" w:pos="540"/>
          <w:tab w:val="left" w:pos="569"/>
        </w:tabs>
        <w:jc w:val="both"/>
        <w:rPr>
          <w:sz w:val="22"/>
          <w:szCs w:val="22"/>
          <w:lang w:val="sr-Latn-RS"/>
        </w:rPr>
      </w:pPr>
      <w:r w:rsidRPr="00936526">
        <w:rPr>
          <w:sz w:val="22"/>
          <w:szCs w:val="22"/>
          <w:lang w:val="sr-Latn-RS"/>
        </w:rPr>
        <w:t>Sa poboljšanjem metaboličke kontrole i povećanjem os</w:t>
      </w:r>
      <w:r w:rsidR="002F4679" w:rsidRPr="00936526">
        <w:rPr>
          <w:sz w:val="22"/>
          <w:szCs w:val="22"/>
          <w:lang w:val="sr-Latn-RS"/>
        </w:rPr>
        <w:t>j</w:t>
      </w:r>
      <w:r w:rsidRPr="00936526">
        <w:rPr>
          <w:sz w:val="22"/>
          <w:szCs w:val="22"/>
          <w:lang w:val="sr-Latn-RS"/>
        </w:rPr>
        <w:t>etljivosti na insulin, može biti neophodno dalje prilagođavanje režima doziranja. Takvo prilagođavanje može takođe da bude neophodno npr. i u slučajevima u kojima dođe do promjene tjelesne težine pacijenta ili pak do promjene njegovih životnih navika, promjene vremena primjene doze insulina ili drugih proisteklih okolnosti koje dovode do povećane sklonosti ka javljanju hipo- ili hiperglikemije (vid</w:t>
      </w:r>
      <w:r w:rsidR="002F4679" w:rsidRPr="00936526">
        <w:rPr>
          <w:sz w:val="22"/>
          <w:szCs w:val="22"/>
          <w:lang w:val="sr-Latn-RS"/>
        </w:rPr>
        <w:t>j</w:t>
      </w:r>
      <w:r w:rsidRPr="00936526">
        <w:rPr>
          <w:sz w:val="22"/>
          <w:szCs w:val="22"/>
          <w:lang w:val="sr-Latn-RS"/>
        </w:rPr>
        <w:t>eti dio 4.4).</w:t>
      </w:r>
    </w:p>
    <w:p w14:paraId="70E5795C" w14:textId="3D4E2A32" w:rsidR="002051F2" w:rsidRPr="00936526" w:rsidRDefault="002051F2" w:rsidP="00121CF3">
      <w:pPr>
        <w:tabs>
          <w:tab w:val="left" w:pos="540"/>
          <w:tab w:val="left" w:pos="569"/>
        </w:tabs>
        <w:jc w:val="both"/>
        <w:rPr>
          <w:bCs/>
          <w:sz w:val="22"/>
          <w:szCs w:val="22"/>
          <w:u w:val="single"/>
          <w:lang w:val="sr-Latn-RS"/>
        </w:rPr>
      </w:pPr>
      <w:r w:rsidRPr="00936526">
        <w:rPr>
          <w:bCs/>
          <w:sz w:val="22"/>
          <w:szCs w:val="22"/>
          <w:u w:val="single"/>
          <w:lang w:val="sr-Latn-RS"/>
        </w:rPr>
        <w:t>Slično drugim analozima insulina, pacijenti na visokim dozama insulina zbog prisustva antitijela na humani insulin mogu povoljnije da reaguju na lijek Lantus.</w:t>
      </w:r>
    </w:p>
    <w:p w14:paraId="7196A7F4" w14:textId="77777777" w:rsidR="00452E9D" w:rsidRPr="00936526" w:rsidRDefault="00452E9D" w:rsidP="00121CF3">
      <w:pPr>
        <w:tabs>
          <w:tab w:val="left" w:pos="540"/>
          <w:tab w:val="left" w:pos="569"/>
        </w:tabs>
        <w:spacing w:before="120"/>
        <w:jc w:val="both"/>
        <w:rPr>
          <w:bCs/>
          <w:sz w:val="22"/>
          <w:szCs w:val="22"/>
          <w:u w:val="single"/>
          <w:lang w:val="sr-Latn-RS"/>
        </w:rPr>
      </w:pPr>
      <w:r w:rsidRPr="00936526">
        <w:rPr>
          <w:bCs/>
          <w:sz w:val="22"/>
          <w:szCs w:val="22"/>
          <w:u w:val="single"/>
          <w:lang w:val="sr-Latn-RS"/>
        </w:rPr>
        <w:t>Način primjene</w:t>
      </w:r>
    </w:p>
    <w:p w14:paraId="6A8CE1B8" w14:textId="0F9034D4" w:rsidR="00F9470E" w:rsidRPr="00936526" w:rsidRDefault="00AB0D6B" w:rsidP="00F9470E">
      <w:pPr>
        <w:tabs>
          <w:tab w:val="left" w:pos="284"/>
        </w:tabs>
        <w:spacing w:before="120"/>
        <w:jc w:val="both"/>
        <w:rPr>
          <w:sz w:val="22"/>
          <w:szCs w:val="22"/>
          <w:lang w:val="sr-Latn-RS"/>
        </w:rPr>
      </w:pPr>
      <w:r w:rsidRPr="00936526">
        <w:rPr>
          <w:sz w:val="22"/>
          <w:szCs w:val="22"/>
          <w:lang w:val="sr-Latn-RS"/>
        </w:rPr>
        <w:t xml:space="preserve">Lijek </w:t>
      </w:r>
      <w:r w:rsidR="00F9470E" w:rsidRPr="00936526">
        <w:rPr>
          <w:sz w:val="22"/>
          <w:szCs w:val="22"/>
          <w:lang w:val="sr-Latn-RS"/>
        </w:rPr>
        <w:t>Lantus se prim</w:t>
      </w:r>
      <w:r w:rsidR="002F4679" w:rsidRPr="00936526">
        <w:rPr>
          <w:sz w:val="22"/>
          <w:szCs w:val="22"/>
          <w:lang w:val="sr-Latn-RS"/>
        </w:rPr>
        <w:t>j</w:t>
      </w:r>
      <w:r w:rsidR="00F9470E" w:rsidRPr="00936526">
        <w:rPr>
          <w:sz w:val="22"/>
          <w:szCs w:val="22"/>
          <w:lang w:val="sr-Latn-RS"/>
        </w:rPr>
        <w:t>enjuje subkutano.</w:t>
      </w:r>
    </w:p>
    <w:p w14:paraId="39BC3D64" w14:textId="7BC6A388" w:rsidR="00F9470E" w:rsidRPr="00936526" w:rsidRDefault="00AB0D6B" w:rsidP="00F9470E">
      <w:pPr>
        <w:tabs>
          <w:tab w:val="left" w:pos="284"/>
        </w:tabs>
        <w:spacing w:before="120"/>
        <w:jc w:val="both"/>
        <w:rPr>
          <w:sz w:val="22"/>
          <w:szCs w:val="22"/>
          <w:lang w:val="sr-Latn-RS"/>
        </w:rPr>
      </w:pPr>
      <w:r w:rsidRPr="00936526">
        <w:rPr>
          <w:sz w:val="22"/>
          <w:szCs w:val="22"/>
          <w:lang w:val="sr-Latn-RS"/>
        </w:rPr>
        <w:t xml:space="preserve">Lijek </w:t>
      </w:r>
      <w:r w:rsidR="00F9470E" w:rsidRPr="00936526">
        <w:rPr>
          <w:sz w:val="22"/>
          <w:szCs w:val="22"/>
          <w:lang w:val="sr-Latn-RS"/>
        </w:rPr>
        <w:t>Lantus se ne smije dati intravenski. Produženo dejstvo lijeka Lantus zavisi od njegove injekcije u subkutano tkivo. Intravenska primjena uobičajene subkutane doze može da dovede do teške hipoglikemije.</w:t>
      </w:r>
    </w:p>
    <w:p w14:paraId="058BEE3D" w14:textId="6CA893C3" w:rsidR="00F9470E" w:rsidRPr="00936526" w:rsidRDefault="00F9470E" w:rsidP="00F9470E">
      <w:pPr>
        <w:tabs>
          <w:tab w:val="left" w:pos="284"/>
        </w:tabs>
        <w:spacing w:before="120"/>
        <w:jc w:val="both"/>
        <w:rPr>
          <w:sz w:val="22"/>
          <w:szCs w:val="22"/>
          <w:lang w:val="sr-Latn-RS"/>
        </w:rPr>
      </w:pPr>
      <w:r w:rsidRPr="00936526">
        <w:rPr>
          <w:sz w:val="22"/>
          <w:szCs w:val="22"/>
          <w:lang w:val="sr-Latn-RS"/>
        </w:rPr>
        <w:t>Nema klinički značajnih razlika u nivou insulina u serumu i glukoze u krvi posl</w:t>
      </w:r>
      <w:r w:rsidR="00033DDF" w:rsidRPr="00936526">
        <w:rPr>
          <w:sz w:val="22"/>
          <w:szCs w:val="22"/>
          <w:lang w:val="sr-Latn-RS"/>
        </w:rPr>
        <w:t>ij</w:t>
      </w:r>
      <w:r w:rsidRPr="00936526">
        <w:rPr>
          <w:sz w:val="22"/>
          <w:szCs w:val="22"/>
          <w:lang w:val="sr-Latn-RS"/>
        </w:rPr>
        <w:t>e subkutane primjene lijeka u pred</w:t>
      </w:r>
      <w:r w:rsidR="00033DDF" w:rsidRPr="00936526">
        <w:rPr>
          <w:sz w:val="22"/>
          <w:szCs w:val="22"/>
          <w:lang w:val="sr-Latn-RS"/>
        </w:rPr>
        <w:t>j</w:t>
      </w:r>
      <w:r w:rsidRPr="00936526">
        <w:rPr>
          <w:sz w:val="22"/>
          <w:szCs w:val="22"/>
          <w:lang w:val="sr-Latn-RS"/>
        </w:rPr>
        <w:t>elu abdomena, deltoidnog mišića ili butine. Injekciona mjesta se moraju rotirati (mijenjati) u okviru injekcione površine sa svakom sl</w:t>
      </w:r>
      <w:r w:rsidR="00033DDF" w:rsidRPr="00936526">
        <w:rPr>
          <w:sz w:val="22"/>
          <w:szCs w:val="22"/>
          <w:lang w:val="sr-Latn-RS"/>
        </w:rPr>
        <w:t>j</w:t>
      </w:r>
      <w:r w:rsidRPr="00936526">
        <w:rPr>
          <w:sz w:val="22"/>
          <w:szCs w:val="22"/>
          <w:lang w:val="sr-Latn-RS"/>
        </w:rPr>
        <w:t>edećom injekcijom kako bi se smanjio rizik od pojave lipodistrofije i kutane amiloidoze (vidjeti d</w:t>
      </w:r>
      <w:r w:rsidR="00033DDF" w:rsidRPr="00936526">
        <w:rPr>
          <w:sz w:val="22"/>
          <w:szCs w:val="22"/>
          <w:lang w:val="sr-Latn-RS"/>
        </w:rPr>
        <w:t>i</w:t>
      </w:r>
      <w:r w:rsidRPr="00936526">
        <w:rPr>
          <w:sz w:val="22"/>
          <w:szCs w:val="22"/>
          <w:lang w:val="sr-Latn-RS"/>
        </w:rPr>
        <w:t>jelove 4.4 i 4.8).</w:t>
      </w:r>
    </w:p>
    <w:p w14:paraId="643F4385" w14:textId="1877FD5B" w:rsidR="00F9470E" w:rsidRPr="00936526" w:rsidRDefault="00AB0D6B" w:rsidP="00F9470E">
      <w:pPr>
        <w:tabs>
          <w:tab w:val="left" w:pos="284"/>
        </w:tabs>
        <w:spacing w:before="120"/>
        <w:jc w:val="both"/>
        <w:rPr>
          <w:sz w:val="22"/>
          <w:szCs w:val="22"/>
          <w:lang w:val="sr-Latn-RS"/>
        </w:rPr>
      </w:pPr>
      <w:r w:rsidRPr="00936526">
        <w:rPr>
          <w:sz w:val="22"/>
          <w:szCs w:val="22"/>
          <w:lang w:val="sr-Latn-RS"/>
        </w:rPr>
        <w:t xml:space="preserve">Lijek </w:t>
      </w:r>
      <w:r w:rsidR="00F9470E" w:rsidRPr="00936526">
        <w:rPr>
          <w:sz w:val="22"/>
          <w:szCs w:val="22"/>
          <w:lang w:val="sr-Latn-RS"/>
        </w:rPr>
        <w:t>Lantus se ne smije m</w:t>
      </w:r>
      <w:r w:rsidR="00033DDF" w:rsidRPr="00936526">
        <w:rPr>
          <w:sz w:val="22"/>
          <w:szCs w:val="22"/>
          <w:lang w:val="sr-Latn-RS"/>
        </w:rPr>
        <w:t>i</w:t>
      </w:r>
      <w:r w:rsidR="00F9470E" w:rsidRPr="00936526">
        <w:rPr>
          <w:sz w:val="22"/>
          <w:szCs w:val="22"/>
          <w:lang w:val="sr-Latn-RS"/>
        </w:rPr>
        <w:t>ješati sa bilo kojim drugim insulinom ili pak razblaživati. M</w:t>
      </w:r>
      <w:r w:rsidR="00033DDF" w:rsidRPr="00936526">
        <w:rPr>
          <w:sz w:val="22"/>
          <w:szCs w:val="22"/>
          <w:lang w:val="sr-Latn-RS"/>
        </w:rPr>
        <w:t>i</w:t>
      </w:r>
      <w:r w:rsidR="00F9470E" w:rsidRPr="00936526">
        <w:rPr>
          <w:sz w:val="22"/>
          <w:szCs w:val="22"/>
          <w:lang w:val="sr-Latn-RS"/>
        </w:rPr>
        <w:t>ješanje ili razblaživanje može da dovede do promjene njegovog profila vrijeme/dejstvo, a m</w:t>
      </w:r>
      <w:r w:rsidR="00033DDF" w:rsidRPr="00936526">
        <w:rPr>
          <w:sz w:val="22"/>
          <w:szCs w:val="22"/>
          <w:lang w:val="sr-Latn-RS"/>
        </w:rPr>
        <w:t>i</w:t>
      </w:r>
      <w:r w:rsidR="00F9470E" w:rsidRPr="00936526">
        <w:rPr>
          <w:sz w:val="22"/>
          <w:szCs w:val="22"/>
          <w:lang w:val="sr-Latn-RS"/>
        </w:rPr>
        <w:t>ješanje može da uzrokuje precipitaciju (taloženje) lijeka.</w:t>
      </w:r>
    </w:p>
    <w:p w14:paraId="3198C31A" w14:textId="6DB52004" w:rsidR="00AB0D6B" w:rsidRPr="00936526" w:rsidRDefault="00AB0D6B" w:rsidP="00F9470E">
      <w:pPr>
        <w:tabs>
          <w:tab w:val="left" w:pos="540"/>
          <w:tab w:val="left" w:pos="569"/>
        </w:tabs>
        <w:rPr>
          <w:bCs/>
          <w:sz w:val="22"/>
          <w:szCs w:val="22"/>
          <w:lang w:val="sr-Latn-RS"/>
        </w:rPr>
      </w:pPr>
      <w:r w:rsidRPr="00936526">
        <w:rPr>
          <w:bCs/>
          <w:sz w:val="22"/>
          <w:szCs w:val="22"/>
          <w:lang w:val="sr-Latn-RS"/>
        </w:rPr>
        <w:t>Lijek Lantus SoloStar, 100 j. /mL, rastvor za injekciju u napunjenom injekcionom penu namijenjen je isključivo za subkutanu prim</w:t>
      </w:r>
      <w:r w:rsidR="00121CF3" w:rsidRPr="00936526">
        <w:rPr>
          <w:bCs/>
          <w:sz w:val="22"/>
          <w:szCs w:val="22"/>
          <w:lang w:val="sr-Latn-RS"/>
        </w:rPr>
        <w:t>j</w:t>
      </w:r>
      <w:r w:rsidRPr="00936526">
        <w:rPr>
          <w:bCs/>
          <w:sz w:val="22"/>
          <w:szCs w:val="22"/>
          <w:lang w:val="sr-Latn-RS"/>
        </w:rPr>
        <w:t>enu. Ako je neophodna primjena pomoću šprica, trebalo bi koristiti bočicu (vidjeti dio 4.4).</w:t>
      </w:r>
    </w:p>
    <w:p w14:paraId="6A0E2958" w14:textId="2D22F835" w:rsidR="00F9470E" w:rsidRPr="00936526" w:rsidRDefault="00F9470E" w:rsidP="00F9470E">
      <w:pPr>
        <w:tabs>
          <w:tab w:val="left" w:pos="540"/>
          <w:tab w:val="left" w:pos="569"/>
        </w:tabs>
        <w:rPr>
          <w:sz w:val="22"/>
          <w:szCs w:val="22"/>
          <w:lang w:val="sr-Latn-RS"/>
        </w:rPr>
      </w:pPr>
      <w:r w:rsidRPr="00936526">
        <w:rPr>
          <w:sz w:val="22"/>
          <w:szCs w:val="22"/>
          <w:lang w:val="sr-Latn-RS"/>
        </w:rPr>
        <w:lastRenderedPageBreak/>
        <w:t>Prije upotrebe SoloStar pena potrebno je pažljivo proučiti Uputstvo za upotrebu priloženo uz lijek (vidjeti dio 6.6).</w:t>
      </w:r>
    </w:p>
    <w:p w14:paraId="3BB6418A" w14:textId="77777777" w:rsidR="00452E9D" w:rsidRPr="00936526" w:rsidRDefault="00452E9D" w:rsidP="00480FB1">
      <w:pPr>
        <w:tabs>
          <w:tab w:val="left" w:pos="540"/>
          <w:tab w:val="left" w:pos="569"/>
        </w:tabs>
        <w:rPr>
          <w:bCs/>
          <w:sz w:val="22"/>
          <w:szCs w:val="22"/>
          <w:lang w:val="sr-Latn-RS"/>
        </w:rPr>
      </w:pPr>
    </w:p>
    <w:p w14:paraId="59FD1563" w14:textId="1A39872B" w:rsidR="00411B4B" w:rsidRPr="00936526" w:rsidRDefault="00411B4B" w:rsidP="00121CF3">
      <w:pPr>
        <w:tabs>
          <w:tab w:val="left" w:pos="540"/>
          <w:tab w:val="left" w:pos="569"/>
        </w:tabs>
        <w:spacing w:line="360" w:lineRule="auto"/>
        <w:rPr>
          <w:b/>
          <w:bCs/>
          <w:sz w:val="22"/>
          <w:szCs w:val="22"/>
          <w:lang w:val="sr-Latn-RS"/>
        </w:rPr>
      </w:pPr>
      <w:r w:rsidRPr="00936526">
        <w:rPr>
          <w:b/>
          <w:bCs/>
          <w:sz w:val="22"/>
          <w:szCs w:val="22"/>
          <w:lang w:val="sr-Latn-RS"/>
        </w:rPr>
        <w:t>4.3. Kontraindikacije</w:t>
      </w:r>
    </w:p>
    <w:p w14:paraId="0DCF9B2F" w14:textId="1421E0AF" w:rsidR="00F9470E" w:rsidRPr="00936526" w:rsidRDefault="00F9470E" w:rsidP="00F9470E">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rPr>
          <w:snapToGrid w:val="0"/>
          <w:color w:val="000000"/>
          <w:sz w:val="22"/>
          <w:szCs w:val="22"/>
          <w:lang w:val="sr-Latn-RS" w:eastAsia="cs-CZ"/>
        </w:rPr>
      </w:pPr>
      <w:r w:rsidRPr="00936526">
        <w:rPr>
          <w:snapToGrid w:val="0"/>
          <w:color w:val="000000"/>
          <w:sz w:val="22"/>
          <w:szCs w:val="22"/>
          <w:lang w:val="sr-Latn-RS" w:eastAsia="cs-CZ"/>
        </w:rPr>
        <w:t xml:space="preserve">Preosjetljivost na </w:t>
      </w:r>
      <w:r w:rsidR="00033DDF" w:rsidRPr="00936526">
        <w:rPr>
          <w:snapToGrid w:val="0"/>
          <w:color w:val="000000"/>
          <w:sz w:val="22"/>
          <w:szCs w:val="22"/>
          <w:lang w:val="sr-Latn-RS" w:eastAsia="cs-CZ"/>
        </w:rPr>
        <w:t>aktivnu supstancu (</w:t>
      </w:r>
      <w:r w:rsidRPr="00936526">
        <w:rPr>
          <w:snapToGrid w:val="0"/>
          <w:color w:val="000000"/>
          <w:sz w:val="22"/>
          <w:szCs w:val="22"/>
          <w:lang w:val="sr-Latn-RS" w:eastAsia="cs-CZ"/>
        </w:rPr>
        <w:t>insulin glargin</w:t>
      </w:r>
      <w:r w:rsidR="00033DDF" w:rsidRPr="00936526">
        <w:rPr>
          <w:snapToGrid w:val="0"/>
          <w:color w:val="000000"/>
          <w:sz w:val="22"/>
          <w:szCs w:val="22"/>
          <w:lang w:val="sr-Latn-RS" w:eastAsia="cs-CZ"/>
        </w:rPr>
        <w:t>)</w:t>
      </w:r>
      <w:r w:rsidRPr="00936526">
        <w:rPr>
          <w:snapToGrid w:val="0"/>
          <w:color w:val="000000"/>
          <w:sz w:val="22"/>
          <w:szCs w:val="22"/>
          <w:lang w:val="sr-Latn-RS" w:eastAsia="cs-CZ"/>
        </w:rPr>
        <w:t xml:space="preserve"> ili </w:t>
      </w:r>
      <w:r w:rsidR="00033DDF" w:rsidRPr="00936526">
        <w:rPr>
          <w:snapToGrid w:val="0"/>
          <w:color w:val="000000"/>
          <w:sz w:val="22"/>
          <w:szCs w:val="22"/>
          <w:lang w:val="sr-Latn-RS" w:eastAsia="cs-CZ"/>
        </w:rPr>
        <w:t xml:space="preserve">na </w:t>
      </w:r>
      <w:r w:rsidRPr="00936526">
        <w:rPr>
          <w:snapToGrid w:val="0"/>
          <w:color w:val="000000"/>
          <w:sz w:val="22"/>
          <w:szCs w:val="22"/>
          <w:lang w:val="sr-Latn-RS" w:eastAsia="cs-CZ"/>
        </w:rPr>
        <w:t xml:space="preserve">bilo koju od pomoćnih </w:t>
      </w:r>
      <w:r w:rsidR="00033DDF" w:rsidRPr="00936526">
        <w:rPr>
          <w:snapToGrid w:val="0"/>
          <w:color w:val="000000"/>
          <w:sz w:val="22"/>
          <w:szCs w:val="22"/>
          <w:lang w:val="sr-Latn-RS" w:eastAsia="cs-CZ"/>
        </w:rPr>
        <w:t xml:space="preserve">supstanci </w:t>
      </w:r>
      <w:r w:rsidRPr="00936526">
        <w:rPr>
          <w:snapToGrid w:val="0"/>
          <w:color w:val="000000"/>
          <w:sz w:val="22"/>
          <w:szCs w:val="22"/>
          <w:lang w:val="sr-Latn-RS" w:eastAsia="cs-CZ"/>
        </w:rPr>
        <w:t>lijeka</w:t>
      </w:r>
      <w:r w:rsidR="00033DDF" w:rsidRPr="00936526">
        <w:rPr>
          <w:snapToGrid w:val="0"/>
          <w:color w:val="000000"/>
          <w:sz w:val="22"/>
          <w:szCs w:val="22"/>
          <w:lang w:val="sr-Latn-RS" w:eastAsia="cs-CZ"/>
        </w:rPr>
        <w:t xml:space="preserve"> (navedenih u dijelu 6.1).</w:t>
      </w:r>
    </w:p>
    <w:p w14:paraId="3B73601F" w14:textId="72B55A62" w:rsidR="00411B4B" w:rsidRPr="00936526" w:rsidRDefault="00411B4B" w:rsidP="00480FB1">
      <w:pPr>
        <w:tabs>
          <w:tab w:val="left" w:pos="540"/>
          <w:tab w:val="left" w:pos="569"/>
        </w:tabs>
        <w:rPr>
          <w:b/>
          <w:bCs/>
          <w:sz w:val="22"/>
          <w:szCs w:val="22"/>
          <w:lang w:val="sr-Latn-RS"/>
        </w:rPr>
      </w:pPr>
      <w:r w:rsidRPr="00936526">
        <w:rPr>
          <w:b/>
          <w:bCs/>
          <w:sz w:val="22"/>
          <w:szCs w:val="22"/>
          <w:lang w:val="sr-Latn-RS"/>
        </w:rPr>
        <w:t>4.4. Posebna upozorenja i mjere opreza pri upotrebi lijeka</w:t>
      </w:r>
    </w:p>
    <w:p w14:paraId="24F90DA2" w14:textId="77777777" w:rsidR="00F9470E" w:rsidRPr="00936526" w:rsidRDefault="00F9470E" w:rsidP="00F9470E">
      <w:pPr>
        <w:tabs>
          <w:tab w:val="left" w:pos="284"/>
        </w:tabs>
        <w:spacing w:before="120"/>
        <w:jc w:val="both"/>
        <w:rPr>
          <w:sz w:val="22"/>
          <w:szCs w:val="22"/>
          <w:u w:val="single"/>
          <w:lang w:val="sr-Latn-RS"/>
        </w:rPr>
      </w:pPr>
      <w:r w:rsidRPr="00936526">
        <w:rPr>
          <w:sz w:val="22"/>
          <w:szCs w:val="22"/>
          <w:u w:val="single"/>
          <w:lang w:val="sr-Latn-RS"/>
        </w:rPr>
        <w:t>Praćenje</w:t>
      </w:r>
    </w:p>
    <w:p w14:paraId="018CC025" w14:textId="77777777" w:rsidR="00F9470E" w:rsidRPr="00936526" w:rsidRDefault="00F9470E" w:rsidP="00F9470E">
      <w:pPr>
        <w:tabs>
          <w:tab w:val="left" w:pos="284"/>
        </w:tabs>
        <w:spacing w:before="120"/>
        <w:jc w:val="both"/>
        <w:rPr>
          <w:sz w:val="22"/>
          <w:szCs w:val="22"/>
          <w:lang w:val="sr-Latn-RS"/>
        </w:rPr>
      </w:pPr>
      <w:r w:rsidRPr="00936526">
        <w:rPr>
          <w:sz w:val="22"/>
          <w:szCs w:val="22"/>
          <w:lang w:val="sr-Latn-RS"/>
        </w:rPr>
        <w:t>U cilju poboljšanja praćenja bioloških medicinskih proizvoda, ime i broj serije primijenjenog lijeka treba jasno zabilježiti.</w:t>
      </w:r>
    </w:p>
    <w:p w14:paraId="0FB3F913" w14:textId="32596660" w:rsidR="00F9470E" w:rsidRPr="00936526" w:rsidRDefault="00F9470E" w:rsidP="00F9470E">
      <w:pPr>
        <w:tabs>
          <w:tab w:val="left" w:pos="284"/>
        </w:tabs>
        <w:spacing w:before="120"/>
        <w:jc w:val="both"/>
        <w:rPr>
          <w:sz w:val="22"/>
          <w:szCs w:val="22"/>
          <w:lang w:val="sr-Latn-RS"/>
        </w:rPr>
      </w:pPr>
      <w:r w:rsidRPr="00936526">
        <w:rPr>
          <w:sz w:val="22"/>
          <w:szCs w:val="22"/>
          <w:lang w:val="sr-Latn-RS"/>
        </w:rPr>
        <w:t xml:space="preserve">Lantus nije lijek izbora u terapiji </w:t>
      </w:r>
      <w:r w:rsidR="00033DDF" w:rsidRPr="00936526">
        <w:rPr>
          <w:sz w:val="22"/>
          <w:szCs w:val="22"/>
          <w:lang w:val="sr-Latn-RS"/>
        </w:rPr>
        <w:t xml:space="preserve">dijabetesne </w:t>
      </w:r>
      <w:r w:rsidRPr="00936526">
        <w:rPr>
          <w:sz w:val="22"/>
          <w:szCs w:val="22"/>
          <w:lang w:val="sr-Latn-RS"/>
        </w:rPr>
        <w:t>ketoacidoze. Um</w:t>
      </w:r>
      <w:r w:rsidR="00033DDF" w:rsidRPr="00936526">
        <w:rPr>
          <w:sz w:val="22"/>
          <w:szCs w:val="22"/>
          <w:lang w:val="sr-Latn-RS"/>
        </w:rPr>
        <w:t>j</w:t>
      </w:r>
      <w:r w:rsidRPr="00936526">
        <w:rPr>
          <w:sz w:val="22"/>
          <w:szCs w:val="22"/>
          <w:lang w:val="sr-Latn-RS"/>
        </w:rPr>
        <w:t>esto njega, u takvim slučajevima preporučuje se intravensko davanje regularnog insulina.</w:t>
      </w:r>
    </w:p>
    <w:p w14:paraId="06671923" w14:textId="2AB9459F" w:rsidR="00F9470E" w:rsidRPr="00936526" w:rsidRDefault="00F9470E" w:rsidP="00F9470E">
      <w:pPr>
        <w:tabs>
          <w:tab w:val="left" w:pos="284"/>
        </w:tabs>
        <w:spacing w:before="120"/>
        <w:jc w:val="both"/>
        <w:rPr>
          <w:i/>
          <w:sz w:val="22"/>
          <w:szCs w:val="22"/>
          <w:lang w:val="sr-Latn-RS"/>
        </w:rPr>
      </w:pPr>
      <w:r w:rsidRPr="00936526">
        <w:rPr>
          <w:sz w:val="22"/>
          <w:szCs w:val="22"/>
          <w:lang w:val="sr-Latn-RS"/>
        </w:rPr>
        <w:t xml:space="preserve">U slučajevima nedovoljne kontrole glukoze ili </w:t>
      </w:r>
      <w:r w:rsidR="00033DDF" w:rsidRPr="00936526">
        <w:rPr>
          <w:sz w:val="22"/>
          <w:szCs w:val="22"/>
          <w:lang w:val="sr-Latn-RS"/>
        </w:rPr>
        <w:t xml:space="preserve">sklonosti </w:t>
      </w:r>
      <w:r w:rsidRPr="00936526">
        <w:rPr>
          <w:sz w:val="22"/>
          <w:szCs w:val="22"/>
          <w:lang w:val="sr-Latn-RS"/>
        </w:rPr>
        <w:t>ka epizodama hiper- ili hipoglikemije, pridržavanje pacijenta propisanom režimu upotrebe, pravilan izbor injekcionih mjesta i pravilna tehnika injiciranja, kao i svi drugi faktori, moraju biti razmotreni prije nego što se uzme u obzir prilagođavanje doze lijeka.</w:t>
      </w:r>
    </w:p>
    <w:p w14:paraId="3C3BFA6A" w14:textId="344E30FE" w:rsidR="00F9470E" w:rsidRPr="00936526" w:rsidRDefault="00F9470E" w:rsidP="00F9470E">
      <w:pPr>
        <w:tabs>
          <w:tab w:val="left" w:pos="284"/>
        </w:tabs>
        <w:spacing w:before="120"/>
        <w:jc w:val="both"/>
        <w:rPr>
          <w:sz w:val="22"/>
          <w:szCs w:val="22"/>
          <w:lang w:val="sr-Latn-RS"/>
        </w:rPr>
      </w:pPr>
      <w:r w:rsidRPr="00936526">
        <w:rPr>
          <w:sz w:val="22"/>
          <w:szCs w:val="22"/>
          <w:lang w:val="sr-Latn-RS"/>
        </w:rPr>
        <w:t>Prebacivanje pacijenata na drugu vrstu insulina ili insulin drugog proizvođača treba da bude urađeno pod strogim medicinskim nadzorom. Promjena jačine, proizvođača, tipa (regular, NPH, lente, dugo-d</w:t>
      </w:r>
      <w:r w:rsidR="00033DDF" w:rsidRPr="00936526">
        <w:rPr>
          <w:sz w:val="22"/>
          <w:szCs w:val="22"/>
          <w:lang w:val="sr-Latn-RS"/>
        </w:rPr>
        <w:t>j</w:t>
      </w:r>
      <w:r w:rsidRPr="00936526">
        <w:rPr>
          <w:sz w:val="22"/>
          <w:szCs w:val="22"/>
          <w:lang w:val="sr-Latn-RS"/>
        </w:rPr>
        <w:t xml:space="preserve">elujući itd.), porijekla (životinjski, humani, </w:t>
      </w:r>
      <w:r w:rsidR="00564EE3" w:rsidRPr="00936526">
        <w:rPr>
          <w:sz w:val="22"/>
          <w:szCs w:val="22"/>
          <w:lang w:val="sr-Latn-RS"/>
        </w:rPr>
        <w:t>humani insulinski analog</w:t>
      </w:r>
      <w:r w:rsidRPr="00936526">
        <w:rPr>
          <w:sz w:val="22"/>
          <w:szCs w:val="22"/>
          <w:lang w:val="sr-Latn-RS"/>
        </w:rPr>
        <w:t xml:space="preserve">) i/ili </w:t>
      </w:r>
      <w:r w:rsidR="00564EE3" w:rsidRPr="00936526">
        <w:rPr>
          <w:sz w:val="22"/>
          <w:szCs w:val="22"/>
          <w:lang w:val="sr-Latn-RS"/>
        </w:rPr>
        <w:t xml:space="preserve">načina </w:t>
      </w:r>
      <w:r w:rsidRPr="00936526">
        <w:rPr>
          <w:sz w:val="22"/>
          <w:szCs w:val="22"/>
          <w:lang w:val="sr-Latn-RS"/>
        </w:rPr>
        <w:t>proizvodnje može zaht</w:t>
      </w:r>
      <w:r w:rsidR="00564EE3" w:rsidRPr="00936526">
        <w:rPr>
          <w:sz w:val="22"/>
          <w:szCs w:val="22"/>
          <w:lang w:val="sr-Latn-RS"/>
        </w:rPr>
        <w:t>ij</w:t>
      </w:r>
      <w:r w:rsidRPr="00936526">
        <w:rPr>
          <w:sz w:val="22"/>
          <w:szCs w:val="22"/>
          <w:lang w:val="sr-Latn-RS"/>
        </w:rPr>
        <w:t>evati promjenu doze.</w:t>
      </w:r>
    </w:p>
    <w:p w14:paraId="64029A85" w14:textId="2650BA03" w:rsidR="00F9470E" w:rsidRPr="00936526" w:rsidRDefault="00F9470E" w:rsidP="00F9470E">
      <w:pPr>
        <w:tabs>
          <w:tab w:val="left" w:pos="284"/>
        </w:tabs>
        <w:spacing w:before="120"/>
        <w:jc w:val="both"/>
        <w:rPr>
          <w:sz w:val="22"/>
          <w:szCs w:val="22"/>
          <w:lang w:val="sr-Latn-RS"/>
        </w:rPr>
      </w:pPr>
      <w:r w:rsidRPr="00936526">
        <w:rPr>
          <w:sz w:val="22"/>
          <w:szCs w:val="22"/>
          <w:lang w:val="sr-Latn-RS"/>
        </w:rPr>
        <w:t xml:space="preserve">Pacijenti moraju biti upućeni da vrše kontinuiranu rotaciju mjesta </w:t>
      </w:r>
      <w:r w:rsidR="00564EE3" w:rsidRPr="00936526">
        <w:rPr>
          <w:sz w:val="22"/>
          <w:szCs w:val="22"/>
          <w:lang w:val="sr-Latn-RS"/>
        </w:rPr>
        <w:t xml:space="preserve">injiciranja </w:t>
      </w:r>
      <w:r w:rsidRPr="00936526">
        <w:rPr>
          <w:sz w:val="22"/>
          <w:szCs w:val="22"/>
          <w:lang w:val="sr-Latn-RS"/>
        </w:rPr>
        <w:t>kako bi smanjili rizik od razvoja lipodistrofije i kutane amiloidoze. Postoji potencijalni rizik od odložene apsorpcije insulina i pogoršanja kontrol</w:t>
      </w:r>
      <w:r w:rsidR="00564EE3" w:rsidRPr="00936526">
        <w:rPr>
          <w:sz w:val="22"/>
          <w:szCs w:val="22"/>
          <w:lang w:val="sr-Latn-RS"/>
        </w:rPr>
        <w:t>e</w:t>
      </w:r>
      <w:r w:rsidRPr="00936526">
        <w:rPr>
          <w:sz w:val="22"/>
          <w:szCs w:val="22"/>
          <w:lang w:val="sr-Latn-RS"/>
        </w:rPr>
        <w:t xml:space="preserve"> glikemije nakon davanja injekcija insulina na mjestima sa ovim reakcijama. Zabilježeno je da iznenadna promjena mjesta ubrizgavanja u neoštećeno područje dovodi do hipoglikemije.</w:t>
      </w:r>
    </w:p>
    <w:p w14:paraId="52EED8F3" w14:textId="77777777" w:rsidR="00F9470E" w:rsidRPr="00936526" w:rsidRDefault="00F9470E" w:rsidP="00F9470E">
      <w:pPr>
        <w:tabs>
          <w:tab w:val="left" w:pos="284"/>
        </w:tabs>
        <w:spacing w:before="120"/>
        <w:jc w:val="both"/>
        <w:rPr>
          <w:sz w:val="22"/>
          <w:szCs w:val="22"/>
          <w:lang w:val="sr-Latn-RS"/>
        </w:rPr>
      </w:pPr>
      <w:r w:rsidRPr="00936526">
        <w:rPr>
          <w:sz w:val="22"/>
          <w:szCs w:val="22"/>
          <w:lang w:val="sr-Latn-RS"/>
        </w:rPr>
        <w:t>Nakon promjene mjesta ubrizgavanja i prilagođavanja doze antidijabetičkih ljekova preporučuje se monitoring vrijednosti glukoze u krvi.</w:t>
      </w:r>
    </w:p>
    <w:p w14:paraId="10C2E1B9" w14:textId="12410619" w:rsidR="00F9470E" w:rsidRPr="00936526" w:rsidRDefault="00F9470E" w:rsidP="00F9470E">
      <w:pPr>
        <w:tabs>
          <w:tab w:val="left" w:pos="284"/>
        </w:tabs>
        <w:spacing w:before="120"/>
        <w:jc w:val="both"/>
        <w:rPr>
          <w:sz w:val="22"/>
          <w:szCs w:val="22"/>
          <w:u w:val="single"/>
          <w:lang w:val="sr-Latn-RS"/>
        </w:rPr>
      </w:pPr>
      <w:r w:rsidRPr="00936526">
        <w:rPr>
          <w:sz w:val="22"/>
          <w:szCs w:val="22"/>
          <w:u w:val="single"/>
          <w:lang w:val="sr-Latn-RS"/>
        </w:rPr>
        <w:t>Hipoglikemija</w:t>
      </w:r>
    </w:p>
    <w:p w14:paraId="1F5A2603" w14:textId="7D972C0B" w:rsidR="00F9470E" w:rsidRPr="00936526" w:rsidRDefault="00F9470E" w:rsidP="00F9470E">
      <w:pPr>
        <w:tabs>
          <w:tab w:val="left" w:pos="284"/>
        </w:tabs>
        <w:spacing w:before="120"/>
        <w:jc w:val="both"/>
        <w:rPr>
          <w:sz w:val="22"/>
          <w:szCs w:val="22"/>
          <w:lang w:val="sr-Latn-RS"/>
        </w:rPr>
      </w:pPr>
      <w:r w:rsidRPr="00936526">
        <w:rPr>
          <w:sz w:val="22"/>
          <w:szCs w:val="22"/>
          <w:lang w:val="sr-Latn-RS"/>
        </w:rPr>
        <w:t>Vrijeme pojave hipoglikemije zavisi od profila dejstva insulina i stoga može da se promjeni kada dođe do promjene terapijskog režima. Zbog obezb</w:t>
      </w:r>
      <w:r w:rsidR="00564EE3" w:rsidRPr="00936526">
        <w:rPr>
          <w:sz w:val="22"/>
          <w:szCs w:val="22"/>
          <w:lang w:val="sr-Latn-RS"/>
        </w:rPr>
        <w:t>j</w:t>
      </w:r>
      <w:r w:rsidRPr="00936526">
        <w:rPr>
          <w:sz w:val="22"/>
          <w:szCs w:val="22"/>
          <w:lang w:val="sr-Latn-RS"/>
        </w:rPr>
        <w:t>eđenja kontinuiranog oslobađanja insulina pri primjeni lijeka Lantus, može se očekivati da će manje dolaziti do noćnih, a više do jutarnjih hipoglikemija.</w:t>
      </w:r>
    </w:p>
    <w:p w14:paraId="60711695" w14:textId="455F02C2" w:rsidR="00F9470E" w:rsidRPr="00936526" w:rsidRDefault="00F9470E" w:rsidP="00F9470E">
      <w:pPr>
        <w:tabs>
          <w:tab w:val="left" w:pos="284"/>
        </w:tabs>
        <w:spacing w:before="120"/>
        <w:jc w:val="both"/>
        <w:rPr>
          <w:sz w:val="22"/>
          <w:szCs w:val="22"/>
          <w:lang w:val="sr-Latn-RS"/>
        </w:rPr>
      </w:pPr>
      <w:r w:rsidRPr="00936526">
        <w:rPr>
          <w:sz w:val="22"/>
          <w:szCs w:val="22"/>
          <w:lang w:val="sr-Latn-RS"/>
        </w:rPr>
        <w:t>Neophodan je naročit oprez i učestalije određivanje nivoa glukoze kod pacijenata kod kojih epizode hipoglikemije mogu da budu od posebnog kliničkog značaja, kao što su npr. pacijenti sa značajnom stenozom koronarnih arterija ili krvnih sudova koji snab</w:t>
      </w:r>
      <w:r w:rsidR="00564EE3" w:rsidRPr="00936526">
        <w:rPr>
          <w:sz w:val="22"/>
          <w:szCs w:val="22"/>
          <w:lang w:val="sr-Latn-RS"/>
        </w:rPr>
        <w:t>ij</w:t>
      </w:r>
      <w:r w:rsidRPr="00936526">
        <w:rPr>
          <w:sz w:val="22"/>
          <w:szCs w:val="22"/>
          <w:lang w:val="sr-Latn-RS"/>
        </w:rPr>
        <w:t>devaju mozak (rizik od srčanih ili cerebralnih komplikacija hipoglikemije), kao i kod pacijenata sa proliferativnom retinopatijom, a naročito ako ista nije l</w:t>
      </w:r>
      <w:r w:rsidR="00564EE3" w:rsidRPr="00936526">
        <w:rPr>
          <w:sz w:val="22"/>
          <w:szCs w:val="22"/>
          <w:lang w:val="sr-Latn-RS"/>
        </w:rPr>
        <w:t>ij</w:t>
      </w:r>
      <w:r w:rsidRPr="00936526">
        <w:rPr>
          <w:sz w:val="22"/>
          <w:szCs w:val="22"/>
          <w:lang w:val="sr-Latn-RS"/>
        </w:rPr>
        <w:t>ečena fotokoagulacijom (rizik od prolazne amauroze uzrokovane hipoglikemijom).</w:t>
      </w:r>
    </w:p>
    <w:p w14:paraId="6D7C35A2" w14:textId="7016AC3F" w:rsidR="00F9470E" w:rsidRPr="00936526" w:rsidRDefault="00F9470E" w:rsidP="00F9470E">
      <w:pPr>
        <w:tabs>
          <w:tab w:val="left" w:pos="284"/>
        </w:tabs>
        <w:spacing w:before="120"/>
        <w:jc w:val="both"/>
        <w:rPr>
          <w:sz w:val="22"/>
          <w:szCs w:val="22"/>
          <w:lang w:val="sr-Latn-RS"/>
        </w:rPr>
      </w:pPr>
      <w:r w:rsidRPr="00936526">
        <w:rPr>
          <w:sz w:val="22"/>
          <w:szCs w:val="22"/>
          <w:lang w:val="sr-Latn-RS"/>
        </w:rPr>
        <w:t>Pacijenti treba da imaju u vidu okolnosti pod kojima su upozoravajući simptomi hipoglikemije manje izraženi. Upozoravajući simptomi hipoglikemije mogu da se promjene, da budu manje izraženi ili da budu odsutni kod nekih rizičnih grupa. To se dešava kod sl</w:t>
      </w:r>
      <w:r w:rsidR="00564EE3" w:rsidRPr="00936526">
        <w:rPr>
          <w:sz w:val="22"/>
          <w:szCs w:val="22"/>
          <w:lang w:val="sr-Latn-RS"/>
        </w:rPr>
        <w:t>j</w:t>
      </w:r>
      <w:r w:rsidRPr="00936526">
        <w:rPr>
          <w:sz w:val="22"/>
          <w:szCs w:val="22"/>
          <w:lang w:val="sr-Latn-RS"/>
        </w:rPr>
        <w:t>edećih pacijenata:</w:t>
      </w:r>
    </w:p>
    <w:p w14:paraId="51226A15" w14:textId="77777777"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kod kojih je kontrola glikemije značajno poboljšana,</w:t>
      </w:r>
    </w:p>
    <w:p w14:paraId="304C8690" w14:textId="77777777"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kod kojih se hipoglikemija razvija postepeno,</w:t>
      </w:r>
    </w:p>
    <w:p w14:paraId="02D3217A" w14:textId="6393AFFE"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 xml:space="preserve">koji su starije </w:t>
      </w:r>
      <w:r w:rsidR="00564EE3" w:rsidRPr="00936526">
        <w:rPr>
          <w:sz w:val="22"/>
          <w:szCs w:val="22"/>
          <w:lang w:val="sr-Latn-RS"/>
        </w:rPr>
        <w:t>životne dobi</w:t>
      </w:r>
      <w:r w:rsidRPr="00936526">
        <w:rPr>
          <w:sz w:val="22"/>
          <w:szCs w:val="22"/>
          <w:lang w:val="sr-Latn-RS"/>
        </w:rPr>
        <w:t>,</w:t>
      </w:r>
    </w:p>
    <w:p w14:paraId="78B7ECA8" w14:textId="6B7983C1"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posl</w:t>
      </w:r>
      <w:r w:rsidR="00564EE3" w:rsidRPr="00936526">
        <w:rPr>
          <w:sz w:val="22"/>
          <w:szCs w:val="22"/>
          <w:lang w:val="sr-Latn-RS"/>
        </w:rPr>
        <w:t>ij</w:t>
      </w:r>
      <w:r w:rsidRPr="00936526">
        <w:rPr>
          <w:sz w:val="22"/>
          <w:szCs w:val="22"/>
          <w:lang w:val="sr-Latn-RS"/>
        </w:rPr>
        <w:t>e prelaska sa animalnih insulina na humani insulin,</w:t>
      </w:r>
    </w:p>
    <w:p w14:paraId="42FED0BC" w14:textId="77777777"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kod kojih je prisutna autonomna neuropatija,</w:t>
      </w:r>
    </w:p>
    <w:p w14:paraId="449A95D6" w14:textId="77777777"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sa dugotrajnim dijabetesom u anamnezi,</w:t>
      </w:r>
    </w:p>
    <w:p w14:paraId="79730EE7" w14:textId="77777777"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koji pate od psihijatrijskih oboljenja,</w:t>
      </w:r>
    </w:p>
    <w:p w14:paraId="4E0F9DCB" w14:textId="33D384FB"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koji primaju istovremenu terapiju nekim drugim ljekovima (vid</w:t>
      </w:r>
      <w:r w:rsidR="00564EE3" w:rsidRPr="00936526">
        <w:rPr>
          <w:sz w:val="22"/>
          <w:szCs w:val="22"/>
          <w:lang w:val="sr-Latn-RS"/>
        </w:rPr>
        <w:t>j</w:t>
      </w:r>
      <w:r w:rsidRPr="00936526">
        <w:rPr>
          <w:sz w:val="22"/>
          <w:szCs w:val="22"/>
          <w:lang w:val="sr-Latn-RS"/>
        </w:rPr>
        <w:t>eti dio 4.5).</w:t>
      </w:r>
    </w:p>
    <w:p w14:paraId="4825418C" w14:textId="1408F0E8" w:rsidR="00F9470E" w:rsidRPr="00936526" w:rsidRDefault="00F9470E" w:rsidP="00121CF3">
      <w:pPr>
        <w:tabs>
          <w:tab w:val="left" w:pos="284"/>
        </w:tabs>
        <w:spacing w:before="120"/>
        <w:jc w:val="both"/>
        <w:rPr>
          <w:sz w:val="22"/>
          <w:szCs w:val="22"/>
          <w:lang w:val="sr-Latn-RS"/>
        </w:rPr>
      </w:pPr>
      <w:r w:rsidRPr="00936526">
        <w:rPr>
          <w:sz w:val="22"/>
          <w:szCs w:val="22"/>
          <w:lang w:val="sr-Latn-RS"/>
        </w:rPr>
        <w:t>Takva stanja mogu da dovedu do teške hipoglikemije (sa mogućim gubitkom svijesti) prije nego što pacijenti i postanu sv</w:t>
      </w:r>
      <w:r w:rsidR="00564EE3" w:rsidRPr="00936526">
        <w:rPr>
          <w:sz w:val="22"/>
          <w:szCs w:val="22"/>
          <w:lang w:val="sr-Latn-RS"/>
        </w:rPr>
        <w:t>j</w:t>
      </w:r>
      <w:r w:rsidRPr="00936526">
        <w:rPr>
          <w:sz w:val="22"/>
          <w:szCs w:val="22"/>
          <w:lang w:val="sr-Latn-RS"/>
        </w:rPr>
        <w:t>esni hipoglikemije.</w:t>
      </w:r>
    </w:p>
    <w:p w14:paraId="585078AA" w14:textId="63E90CB4" w:rsidR="00F9470E" w:rsidRPr="00936526" w:rsidRDefault="00F9470E" w:rsidP="00F9470E">
      <w:pPr>
        <w:tabs>
          <w:tab w:val="left" w:pos="284"/>
        </w:tabs>
        <w:spacing w:before="120"/>
        <w:jc w:val="both"/>
        <w:rPr>
          <w:sz w:val="22"/>
          <w:szCs w:val="22"/>
          <w:lang w:val="sr-Latn-RS"/>
        </w:rPr>
      </w:pPr>
      <w:r w:rsidRPr="00936526">
        <w:rPr>
          <w:sz w:val="22"/>
          <w:szCs w:val="22"/>
          <w:lang w:val="sr-Latn-RS"/>
        </w:rPr>
        <w:lastRenderedPageBreak/>
        <w:t>Produženo djelovanje subkutano prim</w:t>
      </w:r>
      <w:r w:rsidR="00564EE3" w:rsidRPr="00936526">
        <w:rPr>
          <w:sz w:val="22"/>
          <w:szCs w:val="22"/>
          <w:lang w:val="sr-Latn-RS"/>
        </w:rPr>
        <w:t>j</w:t>
      </w:r>
      <w:r w:rsidRPr="00936526">
        <w:rPr>
          <w:sz w:val="22"/>
          <w:szCs w:val="22"/>
          <w:lang w:val="sr-Latn-RS"/>
        </w:rPr>
        <w:t>enjenog insulin glargina može da uspori oporavak od hipoglikemije.</w:t>
      </w:r>
    </w:p>
    <w:p w14:paraId="223205AD" w14:textId="77777777" w:rsidR="00F9470E" w:rsidRPr="00936526" w:rsidRDefault="00F9470E" w:rsidP="00F9470E">
      <w:pPr>
        <w:tabs>
          <w:tab w:val="left" w:pos="284"/>
        </w:tabs>
        <w:spacing w:before="120"/>
        <w:jc w:val="both"/>
        <w:rPr>
          <w:sz w:val="22"/>
          <w:szCs w:val="22"/>
          <w:lang w:val="sr-Latn-RS"/>
        </w:rPr>
      </w:pPr>
      <w:r w:rsidRPr="00936526">
        <w:rPr>
          <w:sz w:val="22"/>
          <w:szCs w:val="22"/>
          <w:lang w:val="sr-Latn-RS"/>
        </w:rPr>
        <w:t>Ukoliko su nađene normalne ili smanjene vrijednosti glikoziliranog hemoglobina, moraju se uzeti u obzir moguće ponavljane (rekurentne) i neprepoznatljive (naročito noćne) epizode hipoglikemije.</w:t>
      </w:r>
    </w:p>
    <w:p w14:paraId="7410713F" w14:textId="4A366776" w:rsidR="00F9470E" w:rsidRPr="00936526" w:rsidRDefault="00F9470E" w:rsidP="00F9470E">
      <w:pPr>
        <w:tabs>
          <w:tab w:val="left" w:pos="284"/>
        </w:tabs>
        <w:spacing w:before="120"/>
        <w:jc w:val="both"/>
        <w:rPr>
          <w:sz w:val="22"/>
          <w:szCs w:val="22"/>
          <w:lang w:val="sr-Latn-RS"/>
        </w:rPr>
      </w:pPr>
      <w:r w:rsidRPr="00936526">
        <w:rPr>
          <w:sz w:val="22"/>
          <w:szCs w:val="22"/>
          <w:lang w:val="sr-Latn-RS"/>
        </w:rPr>
        <w:t>Za smanjenje rizika od pojave hipoglikemije najbitni</w:t>
      </w:r>
      <w:r w:rsidR="00564EE3" w:rsidRPr="00936526">
        <w:rPr>
          <w:sz w:val="22"/>
          <w:szCs w:val="22"/>
          <w:lang w:val="sr-Latn-RS"/>
        </w:rPr>
        <w:t>ji</w:t>
      </w:r>
      <w:r w:rsidRPr="00936526">
        <w:rPr>
          <w:sz w:val="22"/>
          <w:szCs w:val="22"/>
          <w:lang w:val="sr-Latn-RS"/>
        </w:rPr>
        <w:t xml:space="preserve"> su pridržavanje pacijenta doznom i dijetnom režimu, pravilan način primjene insulina i prepoznavanje simptoma hipoglikemije. Faktori koji povećavaju sklonost prema hipoglikemiji zahtjevaju posebno pažljivo praćenje, a može biti neophodno i prilagođavanje doze. U te faktore spadaju:</w:t>
      </w:r>
    </w:p>
    <w:p w14:paraId="35D56EF4" w14:textId="77777777"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promjena mjesta injiciranja,</w:t>
      </w:r>
    </w:p>
    <w:p w14:paraId="580E643A" w14:textId="77777777"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povećana osjetljivost na insulin (npr. uklanjanjem stresogenih faktora),</w:t>
      </w:r>
    </w:p>
    <w:p w14:paraId="3B27D9E4" w14:textId="77777777"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neuobičajena, povećana ili produžena fizička aktivnost,</w:t>
      </w:r>
    </w:p>
    <w:p w14:paraId="02DECAFC" w14:textId="77777777"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interkurentna oboljenja (npr. povraćanje, dijareja),</w:t>
      </w:r>
    </w:p>
    <w:p w14:paraId="381DE024" w14:textId="77777777"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neadekvatan unos hrane,</w:t>
      </w:r>
    </w:p>
    <w:p w14:paraId="6D2CA091" w14:textId="77777777"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propušteni obroci,</w:t>
      </w:r>
    </w:p>
    <w:p w14:paraId="6418C333" w14:textId="77777777"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konzumiranje alkohola,</w:t>
      </w:r>
    </w:p>
    <w:p w14:paraId="2505645B" w14:textId="77777777"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neki nekompenzovani endokrini poremećaji (npr. hipotireoidizam i insuficijencija prednjeg režnja hipofize ili kore nadbubrega),</w:t>
      </w:r>
    </w:p>
    <w:p w14:paraId="5AE7AEF4" w14:textId="45FF2E5F" w:rsidR="00F9470E" w:rsidRPr="00936526" w:rsidRDefault="00F9470E" w:rsidP="00F9470E">
      <w:pPr>
        <w:numPr>
          <w:ilvl w:val="0"/>
          <w:numId w:val="12"/>
        </w:numPr>
        <w:tabs>
          <w:tab w:val="num" w:pos="180"/>
          <w:tab w:val="left" w:pos="284"/>
        </w:tabs>
        <w:ind w:left="180" w:hanging="180"/>
        <w:jc w:val="both"/>
        <w:rPr>
          <w:sz w:val="22"/>
          <w:szCs w:val="22"/>
          <w:lang w:val="sr-Latn-RS"/>
        </w:rPr>
      </w:pPr>
      <w:r w:rsidRPr="00936526">
        <w:rPr>
          <w:sz w:val="22"/>
          <w:szCs w:val="22"/>
          <w:lang w:val="sr-Latn-RS"/>
        </w:rPr>
        <w:t>istovremena terapija nekim drugim medicinskim proizvodima</w:t>
      </w:r>
      <w:r w:rsidR="00B71C32" w:rsidRPr="00936526">
        <w:rPr>
          <w:sz w:val="22"/>
          <w:szCs w:val="22"/>
          <w:lang w:val="sr-Latn-RS"/>
        </w:rPr>
        <w:t xml:space="preserve"> (vidjeti dio 4.5)</w:t>
      </w:r>
      <w:r w:rsidRPr="00936526">
        <w:rPr>
          <w:sz w:val="22"/>
          <w:szCs w:val="22"/>
          <w:lang w:val="sr-Latn-RS"/>
        </w:rPr>
        <w:t>.</w:t>
      </w:r>
    </w:p>
    <w:p w14:paraId="052FB3D1" w14:textId="77777777" w:rsidR="00F9470E" w:rsidRPr="00936526" w:rsidRDefault="00F9470E" w:rsidP="00F9470E">
      <w:pPr>
        <w:tabs>
          <w:tab w:val="left" w:pos="284"/>
        </w:tabs>
        <w:spacing w:before="120"/>
        <w:jc w:val="both"/>
        <w:rPr>
          <w:bCs/>
          <w:sz w:val="22"/>
          <w:szCs w:val="22"/>
          <w:u w:val="single"/>
          <w:lang w:val="sr-Latn-RS"/>
        </w:rPr>
      </w:pPr>
      <w:r w:rsidRPr="00936526">
        <w:rPr>
          <w:bCs/>
          <w:sz w:val="22"/>
          <w:szCs w:val="22"/>
          <w:u w:val="single"/>
          <w:lang w:val="sr-Latn-RS"/>
        </w:rPr>
        <w:t>Istovremena (prateća) oboljenja</w:t>
      </w:r>
    </w:p>
    <w:p w14:paraId="1211FEFE" w14:textId="54A165A0" w:rsidR="00F9470E" w:rsidRPr="00936526" w:rsidRDefault="00F9470E" w:rsidP="00F9470E">
      <w:pPr>
        <w:tabs>
          <w:tab w:val="left" w:pos="284"/>
        </w:tabs>
        <w:spacing w:before="120"/>
        <w:jc w:val="both"/>
        <w:rPr>
          <w:b/>
          <w:sz w:val="22"/>
          <w:szCs w:val="22"/>
          <w:u w:val="single"/>
          <w:lang w:val="sr-Latn-RS"/>
        </w:rPr>
      </w:pPr>
      <w:r w:rsidRPr="00936526">
        <w:rPr>
          <w:sz w:val="22"/>
          <w:szCs w:val="22"/>
          <w:lang w:val="sr-Latn-RS"/>
        </w:rPr>
        <w:t>Istovremena (prateća) oboljenja zahtjevaju intenzivan metabolički monitoring. U mnogim slučajevima indikovano je određivanje ketonskih t</w:t>
      </w:r>
      <w:r w:rsidR="00C92B25" w:rsidRPr="00936526">
        <w:rPr>
          <w:sz w:val="22"/>
          <w:szCs w:val="22"/>
          <w:lang w:val="sr-Latn-RS"/>
        </w:rPr>
        <w:t>ij</w:t>
      </w:r>
      <w:r w:rsidRPr="00936526">
        <w:rPr>
          <w:sz w:val="22"/>
          <w:szCs w:val="22"/>
          <w:lang w:val="sr-Latn-RS"/>
        </w:rPr>
        <w:t xml:space="preserve">ela u urinu, a često je neophodno i prilagođavanje doze insulina. Potrebe za insulinom su često povećane. Pacijenti sa </w:t>
      </w:r>
      <w:r w:rsidR="00C92B25" w:rsidRPr="00936526">
        <w:rPr>
          <w:sz w:val="22"/>
          <w:szCs w:val="22"/>
          <w:lang w:val="sr-Latn-RS"/>
        </w:rPr>
        <w:t>dijabetesom tipa 1</w:t>
      </w:r>
      <w:r w:rsidRPr="00936526">
        <w:rPr>
          <w:sz w:val="22"/>
          <w:szCs w:val="22"/>
          <w:lang w:val="sr-Latn-RS"/>
        </w:rPr>
        <w:t xml:space="preserve"> moraju da nastave sa unosom barem malih količina ugljenih hidrata i to redovno, čak i u sličajevima kada ni</w:t>
      </w:r>
      <w:r w:rsidR="00C92B25" w:rsidRPr="00936526">
        <w:rPr>
          <w:sz w:val="22"/>
          <w:szCs w:val="22"/>
          <w:lang w:val="sr-Latn-RS"/>
        </w:rPr>
        <w:t>je</w:t>
      </w:r>
      <w:r w:rsidRPr="00936526">
        <w:rPr>
          <w:sz w:val="22"/>
          <w:szCs w:val="22"/>
          <w:lang w:val="sr-Latn-RS"/>
        </w:rPr>
        <w:t>su u stanju da jedu ili mogu da unesu samo malo hrane, ili kada povraćaju i slično, i nikad ne smiju da izostave upotrebu insulina.</w:t>
      </w:r>
      <w:r w:rsidRPr="00936526">
        <w:rPr>
          <w:b/>
          <w:sz w:val="22"/>
          <w:szCs w:val="22"/>
          <w:u w:val="single"/>
          <w:lang w:val="sr-Latn-RS"/>
        </w:rPr>
        <w:t xml:space="preserve"> </w:t>
      </w:r>
    </w:p>
    <w:p w14:paraId="0EE730F2" w14:textId="425B3983" w:rsidR="00C86584" w:rsidRPr="00936526" w:rsidRDefault="00C86584" w:rsidP="00F9470E">
      <w:pPr>
        <w:tabs>
          <w:tab w:val="left" w:pos="284"/>
        </w:tabs>
        <w:spacing w:before="120"/>
        <w:jc w:val="both"/>
        <w:rPr>
          <w:b/>
          <w:sz w:val="22"/>
          <w:szCs w:val="22"/>
          <w:u w:val="single"/>
          <w:lang w:val="sr-Latn-RS"/>
        </w:rPr>
      </w:pPr>
      <w:r w:rsidRPr="00936526">
        <w:rPr>
          <w:b/>
          <w:sz w:val="22"/>
          <w:szCs w:val="22"/>
          <w:u w:val="single"/>
          <w:lang w:val="sr-Latn-RS"/>
        </w:rPr>
        <w:t>Antitijela na insulin</w:t>
      </w:r>
    </w:p>
    <w:p w14:paraId="1296A20D" w14:textId="14F2B3D3" w:rsidR="00C86584" w:rsidRPr="00936526" w:rsidRDefault="00C86584" w:rsidP="00C86584">
      <w:pPr>
        <w:tabs>
          <w:tab w:val="left" w:pos="284"/>
        </w:tabs>
        <w:jc w:val="both"/>
        <w:rPr>
          <w:sz w:val="22"/>
          <w:szCs w:val="22"/>
          <w:lang w:val="sr-Latn-RS"/>
        </w:rPr>
      </w:pPr>
      <w:r w:rsidRPr="00936526">
        <w:rPr>
          <w:sz w:val="22"/>
          <w:szCs w:val="22"/>
          <w:lang w:val="sr-Latn-RS"/>
        </w:rPr>
        <w:t>Primjena insulina može izazvati stvaranje antiinsulinskih antit</w:t>
      </w:r>
      <w:r w:rsidR="00121CF3" w:rsidRPr="00936526">
        <w:rPr>
          <w:sz w:val="22"/>
          <w:szCs w:val="22"/>
          <w:lang w:val="sr-Latn-RS"/>
        </w:rPr>
        <w:t>ij</w:t>
      </w:r>
      <w:r w:rsidRPr="00936526">
        <w:rPr>
          <w:sz w:val="22"/>
          <w:szCs w:val="22"/>
          <w:lang w:val="sr-Latn-RS"/>
        </w:rPr>
        <w:t>ela. U rijetkim slučajevima, zbog prisustva ovih antit</w:t>
      </w:r>
      <w:r w:rsidR="00121CF3" w:rsidRPr="00936526">
        <w:rPr>
          <w:sz w:val="22"/>
          <w:szCs w:val="22"/>
          <w:lang w:val="sr-Latn-RS"/>
        </w:rPr>
        <w:t>ij</w:t>
      </w:r>
      <w:r w:rsidRPr="00936526">
        <w:rPr>
          <w:sz w:val="22"/>
          <w:szCs w:val="22"/>
          <w:lang w:val="sr-Latn-RS"/>
        </w:rPr>
        <w:t>ela, može biti neophodno prilagođavanje doze kako bi se korigovala tendencija ka hipo- i hiperglikemiji (vidjeti dio 4.8).</w:t>
      </w:r>
    </w:p>
    <w:p w14:paraId="6790E21D" w14:textId="77777777" w:rsidR="00C86584" w:rsidRPr="00936526" w:rsidRDefault="00C86584" w:rsidP="00F9470E">
      <w:pPr>
        <w:tabs>
          <w:tab w:val="left" w:pos="284"/>
        </w:tabs>
        <w:spacing w:before="120"/>
        <w:jc w:val="both"/>
        <w:rPr>
          <w:b/>
          <w:sz w:val="22"/>
          <w:szCs w:val="22"/>
          <w:u w:val="single"/>
          <w:lang w:val="sr-Latn-RS"/>
        </w:rPr>
      </w:pPr>
    </w:p>
    <w:p w14:paraId="5770143D" w14:textId="77777777" w:rsidR="00F9470E" w:rsidRPr="00936526" w:rsidRDefault="00F9470E" w:rsidP="00F9470E">
      <w:pPr>
        <w:tabs>
          <w:tab w:val="left" w:pos="284"/>
        </w:tabs>
        <w:spacing w:before="120"/>
        <w:jc w:val="both"/>
        <w:rPr>
          <w:sz w:val="22"/>
          <w:szCs w:val="22"/>
          <w:u w:val="single"/>
          <w:lang w:val="sr-Latn-RS"/>
        </w:rPr>
      </w:pPr>
      <w:r w:rsidRPr="00936526">
        <w:rPr>
          <w:sz w:val="22"/>
          <w:szCs w:val="22"/>
          <w:u w:val="single"/>
          <w:lang w:val="sr-Latn-RS"/>
        </w:rPr>
        <w:t>Rukovanje penom</w:t>
      </w:r>
    </w:p>
    <w:p w14:paraId="01C54A52" w14:textId="4EC4A02A" w:rsidR="00F9470E" w:rsidRPr="00936526" w:rsidRDefault="0068706D" w:rsidP="00F9470E">
      <w:pPr>
        <w:tabs>
          <w:tab w:val="left" w:pos="284"/>
        </w:tabs>
        <w:spacing w:before="120"/>
        <w:jc w:val="both"/>
        <w:rPr>
          <w:sz w:val="22"/>
          <w:szCs w:val="22"/>
          <w:lang w:val="sr-Latn-RS"/>
        </w:rPr>
      </w:pPr>
      <w:r w:rsidRPr="00936526">
        <w:rPr>
          <w:sz w:val="22"/>
          <w:szCs w:val="22"/>
          <w:lang w:val="sr-Latn-RS"/>
        </w:rPr>
        <w:t>Lijek Lantus SoloStar, 100 jedinica/ml, rastvor za injekciju u napunjenom injekcionom penu, namenjen je isključivo za subkutanu primenu. Ako je potrebna primjena putem šprica, treba koristiti bočicu (vidjeti dio 4.2).</w:t>
      </w:r>
      <w:r w:rsidR="00F9470E" w:rsidRPr="00936526">
        <w:rPr>
          <w:sz w:val="22"/>
          <w:szCs w:val="22"/>
          <w:lang w:val="sr-Latn-RS"/>
        </w:rPr>
        <w:t>Prije upotrebe SoloStar</w:t>
      </w:r>
      <w:r w:rsidRPr="00936526">
        <w:rPr>
          <w:sz w:val="22"/>
          <w:szCs w:val="22"/>
          <w:lang w:val="sr-Latn-RS"/>
        </w:rPr>
        <w:t xml:space="preserve"> pena</w:t>
      </w:r>
      <w:r w:rsidR="00F9470E" w:rsidRPr="00936526">
        <w:rPr>
          <w:sz w:val="22"/>
          <w:szCs w:val="22"/>
          <w:lang w:val="sr-Latn-RS"/>
        </w:rPr>
        <w:t xml:space="preserve">, mora se pažljivo proučiti Uputstvo za upotrebu priloženo uz lijek. </w:t>
      </w:r>
      <w:r w:rsidRPr="00936526">
        <w:rPr>
          <w:sz w:val="22"/>
          <w:szCs w:val="22"/>
          <w:lang w:val="sr-Latn-RS"/>
        </w:rPr>
        <w:t xml:space="preserve">Pen </w:t>
      </w:r>
      <w:r w:rsidR="00F9470E" w:rsidRPr="00936526">
        <w:rPr>
          <w:sz w:val="22"/>
          <w:szCs w:val="22"/>
          <w:lang w:val="sr-Latn-RS"/>
        </w:rPr>
        <w:t>SoloStar se mora koristiti u skladu sa preporukama iz Uputstva za upotrebu (vidjeti dio 6.6).</w:t>
      </w:r>
    </w:p>
    <w:p w14:paraId="08C0DD52" w14:textId="77777777" w:rsidR="00F9470E" w:rsidRPr="00936526" w:rsidRDefault="00F9470E" w:rsidP="00F9470E">
      <w:pPr>
        <w:tabs>
          <w:tab w:val="left" w:pos="284"/>
        </w:tabs>
        <w:spacing w:before="120"/>
        <w:jc w:val="both"/>
        <w:rPr>
          <w:sz w:val="22"/>
          <w:szCs w:val="22"/>
          <w:u w:val="single"/>
          <w:lang w:val="sr-Latn-RS"/>
        </w:rPr>
      </w:pPr>
      <w:r w:rsidRPr="00936526">
        <w:rPr>
          <w:sz w:val="22"/>
          <w:szCs w:val="22"/>
          <w:u w:val="single"/>
          <w:lang w:val="sr-Latn-RS"/>
        </w:rPr>
        <w:t>Upotreba pogrešnog lijeka</w:t>
      </w:r>
    </w:p>
    <w:p w14:paraId="69F748BD" w14:textId="40AF8607" w:rsidR="00F9470E" w:rsidRPr="00936526" w:rsidRDefault="00F9470E" w:rsidP="00F9470E">
      <w:pPr>
        <w:tabs>
          <w:tab w:val="left" w:pos="284"/>
        </w:tabs>
        <w:spacing w:before="120"/>
        <w:jc w:val="both"/>
        <w:rPr>
          <w:sz w:val="22"/>
          <w:szCs w:val="22"/>
          <w:lang w:val="sr-Latn-RS"/>
        </w:rPr>
      </w:pPr>
      <w:r w:rsidRPr="00936526">
        <w:rPr>
          <w:sz w:val="22"/>
          <w:szCs w:val="22"/>
          <w:lang w:val="sr-Latn-RS"/>
        </w:rPr>
        <w:t>Upotreba pogrešnog lijeka zab</w:t>
      </w:r>
      <w:r w:rsidR="00C92B25" w:rsidRPr="00936526">
        <w:rPr>
          <w:sz w:val="22"/>
          <w:szCs w:val="22"/>
          <w:lang w:val="sr-Latn-RS"/>
        </w:rPr>
        <w:t>i</w:t>
      </w:r>
      <w:r w:rsidRPr="00936526">
        <w:rPr>
          <w:sz w:val="22"/>
          <w:szCs w:val="22"/>
          <w:lang w:val="sr-Latn-RS"/>
        </w:rPr>
        <w:t>l</w:t>
      </w:r>
      <w:r w:rsidR="00C92B25" w:rsidRPr="00936526">
        <w:rPr>
          <w:sz w:val="22"/>
          <w:szCs w:val="22"/>
          <w:lang w:val="sr-Latn-RS"/>
        </w:rPr>
        <w:t>j</w:t>
      </w:r>
      <w:r w:rsidRPr="00936526">
        <w:rPr>
          <w:sz w:val="22"/>
          <w:szCs w:val="22"/>
          <w:lang w:val="sr-Latn-RS"/>
        </w:rPr>
        <w:t>ežena je kada su drugi insulini, posebno kratkodjelujući insulini, greškom primijenjeni umjesto insulin glargina. Oznake na insulinu se moraju provjeriti prije svake injekcije da bi se izb</w:t>
      </w:r>
      <w:r w:rsidR="00C92B25" w:rsidRPr="00936526">
        <w:rPr>
          <w:sz w:val="22"/>
          <w:szCs w:val="22"/>
          <w:lang w:val="sr-Latn-RS"/>
        </w:rPr>
        <w:t>j</w:t>
      </w:r>
      <w:r w:rsidRPr="00936526">
        <w:rPr>
          <w:sz w:val="22"/>
          <w:szCs w:val="22"/>
          <w:lang w:val="sr-Latn-RS"/>
        </w:rPr>
        <w:t>egla slučajna zamjena insulin glargina i ostalih insulina.</w:t>
      </w:r>
    </w:p>
    <w:p w14:paraId="4EAE631A" w14:textId="77777777" w:rsidR="00F9470E" w:rsidRPr="00936526" w:rsidRDefault="00F9470E" w:rsidP="00F9470E">
      <w:pPr>
        <w:tabs>
          <w:tab w:val="left" w:pos="284"/>
        </w:tabs>
        <w:autoSpaceDE w:val="0"/>
        <w:autoSpaceDN w:val="0"/>
        <w:adjustRightInd w:val="0"/>
        <w:spacing w:before="120"/>
        <w:jc w:val="both"/>
        <w:rPr>
          <w:rFonts w:eastAsia="MS Mincho"/>
          <w:i/>
          <w:sz w:val="22"/>
          <w:szCs w:val="22"/>
          <w:u w:val="single"/>
          <w:lang w:val="sr-Latn-RS" w:eastAsia="ja-JP"/>
        </w:rPr>
      </w:pPr>
      <w:r w:rsidRPr="00936526">
        <w:rPr>
          <w:rFonts w:eastAsia="MS Mincho"/>
          <w:sz w:val="22"/>
          <w:szCs w:val="22"/>
          <w:u w:val="single"/>
          <w:lang w:val="sr-Latn-RS" w:eastAsia="ja-JP"/>
        </w:rPr>
        <w:t>Istovremena upotreba lijeka Lantus i pioglitazona</w:t>
      </w:r>
    </w:p>
    <w:p w14:paraId="698648B3" w14:textId="549BB66D" w:rsidR="00C92B25" w:rsidRPr="00936526" w:rsidRDefault="00F9470E" w:rsidP="00F9470E">
      <w:pPr>
        <w:tabs>
          <w:tab w:val="left" w:pos="540"/>
          <w:tab w:val="left" w:pos="569"/>
        </w:tabs>
        <w:rPr>
          <w:rFonts w:eastAsia="MS Mincho"/>
          <w:sz w:val="22"/>
          <w:szCs w:val="22"/>
          <w:lang w:val="sr-Latn-RS" w:eastAsia="ja-JP"/>
        </w:rPr>
      </w:pPr>
      <w:r w:rsidRPr="00936526">
        <w:rPr>
          <w:rFonts w:eastAsia="MS Mincho"/>
          <w:sz w:val="22"/>
          <w:szCs w:val="22"/>
          <w:lang w:val="sr-Latn-RS" w:eastAsia="ja-JP"/>
        </w:rPr>
        <w:t>Prijavljeni su slučajevi pojave srčane insuficijencije pri istovremenoj upotrebi pioglitazona i insulina, a pogotovo kod pacijenata sa već postojećim faktorima rizika za razvoj srčane insuficijencije. Ovo treba imati u vidu ukoliko se razmatra terapija koja podrazum</w:t>
      </w:r>
      <w:r w:rsidR="00C92B25" w:rsidRPr="00936526">
        <w:rPr>
          <w:rFonts w:eastAsia="MS Mincho"/>
          <w:sz w:val="22"/>
          <w:szCs w:val="22"/>
          <w:lang w:val="sr-Latn-RS" w:eastAsia="ja-JP"/>
        </w:rPr>
        <w:t>ij</w:t>
      </w:r>
      <w:r w:rsidRPr="00936526">
        <w:rPr>
          <w:rFonts w:eastAsia="MS Mincho"/>
          <w:sz w:val="22"/>
          <w:szCs w:val="22"/>
          <w:lang w:val="sr-Latn-RS" w:eastAsia="ja-JP"/>
        </w:rPr>
        <w:t>eva kombinaciju lijeka Lantus i pioglitazona. Ako se kombinacija koristi, kod pacijenata treba pratiti pojavu znakova i simptoma srčane insuficijencije poput porasta t</w:t>
      </w:r>
      <w:r w:rsidR="00C92B25" w:rsidRPr="00936526">
        <w:rPr>
          <w:rFonts w:eastAsia="MS Mincho"/>
          <w:sz w:val="22"/>
          <w:szCs w:val="22"/>
          <w:lang w:val="sr-Latn-RS" w:eastAsia="ja-JP"/>
        </w:rPr>
        <w:t>j</w:t>
      </w:r>
      <w:r w:rsidRPr="00936526">
        <w:rPr>
          <w:rFonts w:eastAsia="MS Mincho"/>
          <w:sz w:val="22"/>
          <w:szCs w:val="22"/>
          <w:lang w:val="sr-Latn-RS" w:eastAsia="ja-JP"/>
        </w:rPr>
        <w:t>elesne mase i edema. Upotrebu pioglitazona treba prekinuti ako dođe do bilo kakvog pogoršanja kardioloških simptoma.</w:t>
      </w:r>
      <w:r w:rsidR="00C92B25" w:rsidRPr="00936526">
        <w:rPr>
          <w:rFonts w:eastAsia="MS Mincho"/>
          <w:sz w:val="22"/>
          <w:szCs w:val="22"/>
          <w:lang w:val="sr-Latn-RS" w:eastAsia="ja-JP"/>
        </w:rPr>
        <w:t xml:space="preserve"> </w:t>
      </w:r>
    </w:p>
    <w:p w14:paraId="565E7848" w14:textId="77777777" w:rsidR="0068706D" w:rsidRPr="00936526" w:rsidRDefault="0068706D" w:rsidP="00121CF3">
      <w:pPr>
        <w:tabs>
          <w:tab w:val="left" w:pos="540"/>
          <w:tab w:val="left" w:pos="569"/>
        </w:tabs>
        <w:spacing w:before="120"/>
        <w:rPr>
          <w:rFonts w:eastAsia="MS Mincho"/>
          <w:sz w:val="22"/>
          <w:szCs w:val="22"/>
          <w:lang w:val="sr-Latn-RS" w:eastAsia="ja-JP"/>
        </w:rPr>
      </w:pPr>
      <w:r w:rsidRPr="00936526">
        <w:rPr>
          <w:rFonts w:eastAsia="MS Mincho"/>
          <w:sz w:val="22"/>
          <w:szCs w:val="22"/>
          <w:u w:val="single"/>
          <w:lang w:val="sr-Latn-RS" w:eastAsia="ja-JP"/>
        </w:rPr>
        <w:t>Pomoćna supstanca</w:t>
      </w:r>
    </w:p>
    <w:p w14:paraId="5F8C6D3D" w14:textId="0337F3E4" w:rsidR="0068706D" w:rsidRPr="00936526" w:rsidRDefault="0068706D" w:rsidP="0068706D">
      <w:pPr>
        <w:tabs>
          <w:tab w:val="left" w:pos="540"/>
          <w:tab w:val="left" w:pos="569"/>
        </w:tabs>
        <w:rPr>
          <w:rFonts w:eastAsia="MS Mincho"/>
          <w:sz w:val="22"/>
          <w:szCs w:val="22"/>
          <w:lang w:val="sr-Latn-RS" w:eastAsia="ja-JP"/>
        </w:rPr>
      </w:pPr>
      <w:r w:rsidRPr="00936526">
        <w:rPr>
          <w:rFonts w:eastAsia="MS Mincho"/>
          <w:sz w:val="22"/>
          <w:szCs w:val="22"/>
          <w:lang w:val="sr-Latn-RS" w:eastAsia="ja-JP"/>
        </w:rPr>
        <w:t>Ovaj lijek sadrži manje od 1 mmol (23 mg) natrijuma po dozi, tj. suštinski je „bez natrijuma”.</w:t>
      </w:r>
    </w:p>
    <w:p w14:paraId="4E702CDD" w14:textId="74025409" w:rsidR="00F9470E" w:rsidRPr="00936526" w:rsidRDefault="00F9470E" w:rsidP="00F9470E">
      <w:pPr>
        <w:tabs>
          <w:tab w:val="left" w:pos="540"/>
          <w:tab w:val="left" w:pos="569"/>
        </w:tabs>
        <w:rPr>
          <w:bCs/>
          <w:sz w:val="22"/>
          <w:szCs w:val="22"/>
          <w:lang w:val="sr-Latn-RS"/>
        </w:rPr>
      </w:pPr>
    </w:p>
    <w:p w14:paraId="185ECF77" w14:textId="19F01B07" w:rsidR="0067677B" w:rsidRPr="00936526" w:rsidRDefault="0067677B" w:rsidP="00F9470E">
      <w:pPr>
        <w:tabs>
          <w:tab w:val="left" w:pos="540"/>
          <w:tab w:val="left" w:pos="569"/>
        </w:tabs>
        <w:rPr>
          <w:bCs/>
          <w:sz w:val="22"/>
          <w:szCs w:val="22"/>
          <w:lang w:val="sr-Latn-RS"/>
        </w:rPr>
      </w:pPr>
    </w:p>
    <w:p w14:paraId="2B499B02" w14:textId="77777777" w:rsidR="0067677B" w:rsidRPr="00936526" w:rsidRDefault="0067677B" w:rsidP="00F9470E">
      <w:pPr>
        <w:tabs>
          <w:tab w:val="left" w:pos="540"/>
          <w:tab w:val="left" w:pos="569"/>
        </w:tabs>
        <w:rPr>
          <w:bCs/>
          <w:sz w:val="22"/>
          <w:szCs w:val="22"/>
          <w:lang w:val="sr-Latn-RS"/>
        </w:rPr>
      </w:pPr>
    </w:p>
    <w:p w14:paraId="4416D470" w14:textId="28B5A04C" w:rsidR="00411B4B" w:rsidRPr="00936526" w:rsidRDefault="00411B4B" w:rsidP="00121CF3">
      <w:pPr>
        <w:tabs>
          <w:tab w:val="left" w:pos="540"/>
          <w:tab w:val="left" w:pos="569"/>
        </w:tabs>
        <w:spacing w:line="360" w:lineRule="auto"/>
        <w:rPr>
          <w:b/>
          <w:bCs/>
          <w:sz w:val="22"/>
          <w:szCs w:val="22"/>
          <w:lang w:val="sr-Latn-RS"/>
        </w:rPr>
      </w:pPr>
      <w:r w:rsidRPr="00936526">
        <w:rPr>
          <w:b/>
          <w:bCs/>
          <w:sz w:val="22"/>
          <w:szCs w:val="22"/>
          <w:lang w:val="sr-Latn-RS"/>
        </w:rPr>
        <w:lastRenderedPageBreak/>
        <w:t>4.5.</w:t>
      </w:r>
      <w:r w:rsidR="00796D00" w:rsidRPr="00936526">
        <w:rPr>
          <w:b/>
          <w:bCs/>
          <w:sz w:val="22"/>
          <w:szCs w:val="22"/>
          <w:lang w:val="sr-Latn-RS"/>
        </w:rPr>
        <w:t xml:space="preserve"> </w:t>
      </w:r>
      <w:r w:rsidRPr="00936526">
        <w:rPr>
          <w:b/>
          <w:bCs/>
          <w:sz w:val="22"/>
          <w:szCs w:val="22"/>
          <w:lang w:val="sr-Latn-RS"/>
        </w:rPr>
        <w:t>Interakcije sa drugim ljekovima i druge vrste interakcija</w:t>
      </w:r>
    </w:p>
    <w:p w14:paraId="437BDA32" w14:textId="77777777" w:rsidR="0075236C" w:rsidRPr="00936526" w:rsidRDefault="0075236C" w:rsidP="0075236C">
      <w:pPr>
        <w:tabs>
          <w:tab w:val="left" w:pos="284"/>
        </w:tabs>
        <w:spacing w:before="120"/>
        <w:jc w:val="both"/>
        <w:rPr>
          <w:sz w:val="22"/>
          <w:szCs w:val="22"/>
          <w:lang w:val="sr-Latn-RS"/>
        </w:rPr>
      </w:pPr>
      <w:r w:rsidRPr="00936526">
        <w:rPr>
          <w:sz w:val="22"/>
          <w:szCs w:val="22"/>
          <w:lang w:val="sr-Latn-RS"/>
        </w:rPr>
        <w:t>Brojne supstance utiču na metabolizam glukoze i mogu prouzrokovati potrebu za prilagođavanjem režima doziranja insulin glargina.</w:t>
      </w:r>
    </w:p>
    <w:p w14:paraId="016E9266" w14:textId="77CC2C6E" w:rsidR="0075236C" w:rsidRPr="00936526" w:rsidRDefault="0075236C" w:rsidP="0075236C">
      <w:pPr>
        <w:tabs>
          <w:tab w:val="left" w:pos="284"/>
        </w:tabs>
        <w:spacing w:before="120"/>
        <w:jc w:val="both"/>
        <w:rPr>
          <w:sz w:val="22"/>
          <w:szCs w:val="22"/>
          <w:lang w:val="sr-Latn-RS"/>
        </w:rPr>
      </w:pPr>
      <w:r w:rsidRPr="00936526">
        <w:rPr>
          <w:sz w:val="22"/>
          <w:szCs w:val="22"/>
          <w:lang w:val="sr-Latn-RS"/>
        </w:rPr>
        <w:t xml:space="preserve">U supstance koje mogu da pojačaju efekat sniženja glukoze u krvi i da povećaju sklonost </w:t>
      </w:r>
      <w:r w:rsidR="00C92B25" w:rsidRPr="00936526">
        <w:rPr>
          <w:sz w:val="22"/>
          <w:szCs w:val="22"/>
          <w:lang w:val="sr-Latn-RS"/>
        </w:rPr>
        <w:t xml:space="preserve">ka </w:t>
      </w:r>
      <w:r w:rsidRPr="00936526">
        <w:rPr>
          <w:sz w:val="22"/>
          <w:szCs w:val="22"/>
          <w:lang w:val="sr-Latn-RS"/>
        </w:rPr>
        <w:t>hipoglikemiji spadaju oralni antidijabetici, inhibitori angiotenzin-konvertujućeg enzima (ACE inhibitori), dizopiramid, fibrati, fluoksetin, inhibitori monoamino oksidaze (inhibitori MAO), pentoksifilin, propoksifen, salicilati i sulfonamidski antibiotici.</w:t>
      </w:r>
    </w:p>
    <w:p w14:paraId="09F30B8E" w14:textId="766BA473" w:rsidR="0075236C" w:rsidRPr="00936526" w:rsidRDefault="0075236C" w:rsidP="0075236C">
      <w:pPr>
        <w:tabs>
          <w:tab w:val="left" w:pos="284"/>
        </w:tabs>
        <w:spacing w:before="120"/>
        <w:jc w:val="both"/>
        <w:rPr>
          <w:sz w:val="22"/>
          <w:szCs w:val="22"/>
          <w:lang w:val="sr-Latn-RS"/>
        </w:rPr>
      </w:pPr>
      <w:r w:rsidRPr="00936526">
        <w:rPr>
          <w:sz w:val="22"/>
          <w:szCs w:val="22"/>
          <w:lang w:val="sr-Latn-RS"/>
        </w:rPr>
        <w:t>U supstance koje mogu da smanje efekat sniženja nivoa glukoze u krvi spadaju kortikosteroidi, danazol, diazoksid, diuretici, glukagon, izoniazid, estrogeni i progestageni, derivati fenotiazina, somatropin, simpatikomimetici (npr. adrenalin, salbutamol, terbutalin), tiroidni hormoni, atipični antipsihotici (npr. klozapin i olanzapin)</w:t>
      </w:r>
      <w:r w:rsidR="00720342" w:rsidRPr="00936526">
        <w:rPr>
          <w:sz w:val="22"/>
          <w:szCs w:val="22"/>
          <w:lang w:val="sr-Latn-RS"/>
        </w:rPr>
        <w:t xml:space="preserve"> i </w:t>
      </w:r>
      <w:r w:rsidRPr="00936526">
        <w:rPr>
          <w:sz w:val="22"/>
          <w:szCs w:val="22"/>
          <w:lang w:val="sr-Latn-RS"/>
        </w:rPr>
        <w:t>inhibitori proteaze.</w:t>
      </w:r>
    </w:p>
    <w:p w14:paraId="4C0EF86A" w14:textId="77777777" w:rsidR="0075236C" w:rsidRPr="00936526" w:rsidRDefault="0075236C" w:rsidP="0075236C">
      <w:pPr>
        <w:tabs>
          <w:tab w:val="left" w:pos="284"/>
        </w:tabs>
        <w:spacing w:before="120"/>
        <w:jc w:val="both"/>
        <w:rPr>
          <w:sz w:val="22"/>
          <w:szCs w:val="22"/>
          <w:lang w:val="sr-Latn-RS"/>
        </w:rPr>
      </w:pPr>
      <w:r w:rsidRPr="00936526">
        <w:rPr>
          <w:sz w:val="22"/>
          <w:szCs w:val="22"/>
          <w:lang w:val="sr-Latn-RS"/>
        </w:rPr>
        <w:t>Beta-blokatori, klonidin, soli litijuma ili alkohol mogu ili da pojačaju ili da oslabe efekat insulina na snižavanje nivoa glukoze. Pentamidin može da izazove hipoglikemiju, koja ponekad može da bude praćena hiperglikemijom.</w:t>
      </w:r>
    </w:p>
    <w:p w14:paraId="755CD7D4" w14:textId="1A90B9CE" w:rsidR="0075236C" w:rsidRPr="00936526" w:rsidRDefault="0075236C" w:rsidP="0075236C">
      <w:pPr>
        <w:tabs>
          <w:tab w:val="left" w:pos="540"/>
          <w:tab w:val="left" w:pos="569"/>
        </w:tabs>
        <w:rPr>
          <w:sz w:val="22"/>
          <w:szCs w:val="22"/>
          <w:lang w:val="sr-Latn-RS"/>
        </w:rPr>
      </w:pPr>
      <w:r w:rsidRPr="00936526">
        <w:rPr>
          <w:sz w:val="22"/>
          <w:szCs w:val="22"/>
          <w:lang w:val="sr-Latn-RS"/>
        </w:rPr>
        <w:t>Pored toga, pod uticajem simpatikolitičkih ljekova, kao što su beta-blokatori, klonidin, gvanetidin ili rezerpin, znaci adrenergičke kontraregulacije mogu da budu smanjeni ili da izostanu.</w:t>
      </w:r>
    </w:p>
    <w:p w14:paraId="3AE0A3D4" w14:textId="77777777" w:rsidR="0072020E" w:rsidRPr="00936526" w:rsidRDefault="0072020E" w:rsidP="00480FB1">
      <w:pPr>
        <w:tabs>
          <w:tab w:val="left" w:pos="540"/>
          <w:tab w:val="left" w:pos="569"/>
        </w:tabs>
        <w:rPr>
          <w:bCs/>
          <w:sz w:val="22"/>
          <w:szCs w:val="22"/>
          <w:lang w:val="sr-Latn-RS"/>
        </w:rPr>
      </w:pPr>
    </w:p>
    <w:p w14:paraId="56F9DF5F" w14:textId="3D34C836" w:rsidR="0072020E" w:rsidRPr="00936526" w:rsidRDefault="0072020E" w:rsidP="00480FB1">
      <w:pPr>
        <w:tabs>
          <w:tab w:val="left" w:pos="540"/>
          <w:tab w:val="left" w:pos="569"/>
        </w:tabs>
        <w:rPr>
          <w:b/>
          <w:sz w:val="22"/>
          <w:szCs w:val="22"/>
          <w:lang w:val="sr-Latn-RS"/>
        </w:rPr>
      </w:pPr>
      <w:r w:rsidRPr="00936526">
        <w:rPr>
          <w:b/>
          <w:bCs/>
          <w:sz w:val="22"/>
          <w:szCs w:val="22"/>
          <w:lang w:val="sr-Latn-RS"/>
        </w:rPr>
        <w:t xml:space="preserve">4.6. </w:t>
      </w:r>
      <w:r w:rsidR="006D20A5" w:rsidRPr="00936526">
        <w:rPr>
          <w:b/>
          <w:sz w:val="22"/>
          <w:szCs w:val="22"/>
          <w:lang w:val="sr-Latn-RS"/>
        </w:rPr>
        <w:t>Plodnost, trudnoća i dojenje</w:t>
      </w:r>
    </w:p>
    <w:p w14:paraId="4AFB13CE" w14:textId="77777777" w:rsidR="002031B3" w:rsidRPr="00936526" w:rsidRDefault="002031B3" w:rsidP="00480FB1">
      <w:pPr>
        <w:tabs>
          <w:tab w:val="left" w:pos="540"/>
          <w:tab w:val="left" w:pos="569"/>
        </w:tabs>
        <w:rPr>
          <w:sz w:val="22"/>
          <w:szCs w:val="22"/>
          <w:u w:val="single"/>
          <w:lang w:val="sr-Latn-RS"/>
        </w:rPr>
      </w:pPr>
    </w:p>
    <w:p w14:paraId="2201DB5B" w14:textId="4BE19504" w:rsidR="007A3ECB" w:rsidRPr="00936526" w:rsidRDefault="007A3ECB" w:rsidP="00480FB1">
      <w:pPr>
        <w:tabs>
          <w:tab w:val="left" w:pos="540"/>
          <w:tab w:val="left" w:pos="569"/>
        </w:tabs>
        <w:rPr>
          <w:sz w:val="22"/>
          <w:szCs w:val="22"/>
          <w:u w:val="single"/>
          <w:lang w:val="sr-Latn-RS"/>
        </w:rPr>
      </w:pPr>
      <w:r w:rsidRPr="00936526">
        <w:rPr>
          <w:sz w:val="22"/>
          <w:szCs w:val="22"/>
          <w:u w:val="single"/>
          <w:lang w:val="sr-Latn-RS"/>
        </w:rPr>
        <w:t>Trudnoća</w:t>
      </w:r>
    </w:p>
    <w:p w14:paraId="7A8623E2" w14:textId="77777777" w:rsidR="0075236C" w:rsidRPr="00936526" w:rsidRDefault="0075236C" w:rsidP="0075236C">
      <w:pPr>
        <w:tabs>
          <w:tab w:val="left" w:pos="284"/>
        </w:tabs>
        <w:spacing w:before="120"/>
        <w:jc w:val="both"/>
        <w:rPr>
          <w:sz w:val="22"/>
          <w:szCs w:val="22"/>
          <w:lang w:val="sr-Latn-RS"/>
        </w:rPr>
      </w:pPr>
      <w:r w:rsidRPr="00936526">
        <w:rPr>
          <w:sz w:val="22"/>
          <w:szCs w:val="22"/>
          <w:lang w:val="sr-Latn-RS"/>
        </w:rPr>
        <w:t>Ne postoje podaci o izloženosti insulin glarginu iz dobro kontrolisanih studija primjene ovog insulina u trudnoći. Na osnovu velike količine podataka (više od 1000 ishoda trudnoća) o izloženosti trudnica insulin glarginu nema osnova za očekivanje specifičnih neželjenih dejstava na trudnoću, ni za očekivanje specifičnog malformativnog dejstva niti feto/neonatalne toksičnosti.</w:t>
      </w:r>
    </w:p>
    <w:p w14:paraId="071B8BB8" w14:textId="77777777" w:rsidR="0075236C" w:rsidRPr="00936526" w:rsidRDefault="0075236C" w:rsidP="0075236C">
      <w:pPr>
        <w:tabs>
          <w:tab w:val="left" w:pos="284"/>
        </w:tabs>
        <w:jc w:val="both"/>
        <w:rPr>
          <w:sz w:val="22"/>
          <w:szCs w:val="22"/>
          <w:lang w:val="sr-Latn-RS"/>
        </w:rPr>
      </w:pPr>
      <w:r w:rsidRPr="00936526">
        <w:rPr>
          <w:sz w:val="22"/>
          <w:szCs w:val="22"/>
          <w:lang w:val="sr-Latn-RS"/>
        </w:rPr>
        <w:t>Rezultati ispitivanja na životinjama ne ukazuju na reproduktivnu toksičnost.</w:t>
      </w:r>
    </w:p>
    <w:p w14:paraId="46CBB3A3" w14:textId="77777777" w:rsidR="0075236C" w:rsidRPr="00936526" w:rsidRDefault="0075236C" w:rsidP="0075236C">
      <w:pPr>
        <w:tabs>
          <w:tab w:val="left" w:pos="284"/>
        </w:tabs>
        <w:jc w:val="both"/>
        <w:rPr>
          <w:sz w:val="22"/>
          <w:szCs w:val="22"/>
          <w:lang w:val="sr-Latn-RS"/>
        </w:rPr>
      </w:pPr>
      <w:r w:rsidRPr="00936526">
        <w:rPr>
          <w:sz w:val="22"/>
          <w:szCs w:val="22"/>
          <w:lang w:val="sr-Latn-RS"/>
        </w:rPr>
        <w:t>Ukoliko je klinički opravdano, može se razmotriti upotreba lijeka Lantus za vrijeme trudnoće.</w:t>
      </w:r>
    </w:p>
    <w:p w14:paraId="0FB74AFC" w14:textId="197760C9" w:rsidR="0075236C" w:rsidRPr="00936526" w:rsidRDefault="0075236C" w:rsidP="0075236C">
      <w:pPr>
        <w:tabs>
          <w:tab w:val="left" w:pos="284"/>
        </w:tabs>
        <w:spacing w:before="120"/>
        <w:jc w:val="both"/>
        <w:rPr>
          <w:sz w:val="22"/>
          <w:szCs w:val="22"/>
          <w:lang w:val="sr-Latn-RS"/>
        </w:rPr>
      </w:pPr>
      <w:r w:rsidRPr="00936526">
        <w:rPr>
          <w:sz w:val="22"/>
          <w:szCs w:val="22"/>
          <w:lang w:val="sr-Latn-RS"/>
        </w:rPr>
        <w:t>Za pacijentkinje sa prethodnim ili gestacijskim dijabetesom bitno je da se tokom trudnoće održava dobra metabolička kontrola kako bi se spr</w:t>
      </w:r>
      <w:r w:rsidR="00720342" w:rsidRPr="00936526">
        <w:rPr>
          <w:sz w:val="22"/>
          <w:szCs w:val="22"/>
          <w:lang w:val="sr-Latn-RS"/>
        </w:rPr>
        <w:t>ij</w:t>
      </w:r>
      <w:r w:rsidRPr="00936526">
        <w:rPr>
          <w:sz w:val="22"/>
          <w:szCs w:val="22"/>
          <w:lang w:val="sr-Latn-RS"/>
        </w:rPr>
        <w:t>ečila pojava neželjenih ishoda povezanih sa hiperglikemijom. Potrebe za insulinom mogu da budu smanjene u prvom trimestru i, uopšte, povećane u toku drugog i trećeg trimestra. Neposredno poslije porođaja, potrebe za insulinom brzo se smanjuju (povećan rizik od hipoglikemije). Važna je pažljiva kontrola nivoa glukoze.</w:t>
      </w:r>
    </w:p>
    <w:p w14:paraId="3C48F5DF" w14:textId="77777777" w:rsidR="002031B3" w:rsidRPr="00936526" w:rsidRDefault="002031B3" w:rsidP="00480FB1">
      <w:pPr>
        <w:tabs>
          <w:tab w:val="left" w:pos="540"/>
          <w:tab w:val="left" w:pos="569"/>
        </w:tabs>
        <w:rPr>
          <w:sz w:val="22"/>
          <w:szCs w:val="22"/>
          <w:u w:val="single"/>
          <w:lang w:val="sr-Latn-RS"/>
        </w:rPr>
      </w:pPr>
    </w:p>
    <w:p w14:paraId="560D2E3F" w14:textId="77777777" w:rsidR="0072020E" w:rsidRPr="00936526" w:rsidRDefault="007A3ECB" w:rsidP="00480FB1">
      <w:pPr>
        <w:tabs>
          <w:tab w:val="left" w:pos="540"/>
          <w:tab w:val="left" w:pos="569"/>
        </w:tabs>
        <w:rPr>
          <w:b/>
          <w:bCs/>
          <w:sz w:val="22"/>
          <w:szCs w:val="22"/>
          <w:lang w:val="sr-Latn-RS"/>
        </w:rPr>
      </w:pPr>
      <w:r w:rsidRPr="00936526">
        <w:rPr>
          <w:sz w:val="22"/>
          <w:szCs w:val="22"/>
          <w:u w:val="single"/>
          <w:lang w:val="sr-Latn-RS"/>
        </w:rPr>
        <w:t xml:space="preserve">Dojenje </w:t>
      </w:r>
    </w:p>
    <w:p w14:paraId="24257224" w14:textId="13C8BC17" w:rsidR="0075236C" w:rsidRPr="00936526" w:rsidRDefault="0075236C" w:rsidP="0075236C">
      <w:pPr>
        <w:tabs>
          <w:tab w:val="left" w:pos="284"/>
        </w:tabs>
        <w:spacing w:before="120"/>
        <w:jc w:val="both"/>
        <w:rPr>
          <w:sz w:val="22"/>
          <w:szCs w:val="22"/>
          <w:lang w:val="sr-Latn-RS"/>
        </w:rPr>
      </w:pPr>
      <w:r w:rsidRPr="00936526">
        <w:rPr>
          <w:sz w:val="22"/>
          <w:szCs w:val="22"/>
          <w:lang w:val="sr-Latn-RS"/>
        </w:rPr>
        <w:t xml:space="preserve">Nije poznato da li se insulin glargin izlučuje </w:t>
      </w:r>
      <w:r w:rsidR="00720342" w:rsidRPr="00936526">
        <w:rPr>
          <w:sz w:val="22"/>
          <w:szCs w:val="22"/>
          <w:lang w:val="sr-Latn-RS"/>
        </w:rPr>
        <w:t xml:space="preserve">u </w:t>
      </w:r>
      <w:r w:rsidRPr="00936526">
        <w:rPr>
          <w:sz w:val="22"/>
          <w:szCs w:val="22"/>
          <w:lang w:val="sr-Latn-RS"/>
        </w:rPr>
        <w:t>humano mlijeko. Ne očekuju se nikakvi metabolički efekti oralno un</w:t>
      </w:r>
      <w:r w:rsidR="00720342" w:rsidRPr="00936526">
        <w:rPr>
          <w:sz w:val="22"/>
          <w:szCs w:val="22"/>
          <w:lang w:val="sr-Latn-RS"/>
        </w:rPr>
        <w:t>ij</w:t>
      </w:r>
      <w:r w:rsidRPr="00936526">
        <w:rPr>
          <w:sz w:val="22"/>
          <w:szCs w:val="22"/>
          <w:lang w:val="sr-Latn-RS"/>
        </w:rPr>
        <w:t>etog insulin glargina kod novorođenčadi/beba koje doje s obzirom da se insulin glargin kao peptid razlaže na aminokiseline u humanom gastrointestinalnom traktu.</w:t>
      </w:r>
    </w:p>
    <w:p w14:paraId="52B4169B" w14:textId="43A54B1F" w:rsidR="00227BDB" w:rsidRPr="00936526" w:rsidRDefault="0075236C" w:rsidP="0075236C">
      <w:pPr>
        <w:tabs>
          <w:tab w:val="left" w:pos="284"/>
        </w:tabs>
        <w:spacing w:after="120"/>
        <w:jc w:val="both"/>
        <w:rPr>
          <w:sz w:val="22"/>
          <w:szCs w:val="22"/>
          <w:lang w:val="sr-Latn-RS"/>
        </w:rPr>
      </w:pPr>
      <w:r w:rsidRPr="00936526">
        <w:rPr>
          <w:sz w:val="22"/>
          <w:szCs w:val="22"/>
          <w:lang w:val="sr-Latn-RS"/>
        </w:rPr>
        <w:t>Kod žena koje doje može biti neophodno prilagođavanje doze insulina i dijete.</w:t>
      </w:r>
    </w:p>
    <w:p w14:paraId="1EF9EAFC" w14:textId="77777777" w:rsidR="00573BEA" w:rsidRPr="00936526" w:rsidRDefault="00573BEA" w:rsidP="00573BEA">
      <w:pPr>
        <w:tabs>
          <w:tab w:val="left" w:pos="284"/>
        </w:tabs>
        <w:spacing w:after="120"/>
        <w:jc w:val="both"/>
        <w:rPr>
          <w:sz w:val="22"/>
          <w:szCs w:val="22"/>
          <w:u w:val="single"/>
          <w:lang w:val="sr-Latn-RS"/>
        </w:rPr>
      </w:pPr>
      <w:r w:rsidRPr="00936526">
        <w:rPr>
          <w:sz w:val="22"/>
          <w:szCs w:val="22"/>
          <w:u w:val="single"/>
          <w:lang w:val="sr-Latn-RS"/>
        </w:rPr>
        <w:t>Plodnost</w:t>
      </w:r>
    </w:p>
    <w:p w14:paraId="74B88A07" w14:textId="77777777" w:rsidR="00573BEA" w:rsidRPr="00936526" w:rsidRDefault="00573BEA" w:rsidP="00573BEA">
      <w:pPr>
        <w:tabs>
          <w:tab w:val="left" w:pos="284"/>
        </w:tabs>
        <w:spacing w:after="120"/>
        <w:jc w:val="both"/>
        <w:rPr>
          <w:sz w:val="22"/>
          <w:szCs w:val="22"/>
          <w:lang w:val="sr-Latn-RS"/>
        </w:rPr>
      </w:pPr>
      <w:r w:rsidRPr="00936526">
        <w:rPr>
          <w:sz w:val="22"/>
          <w:szCs w:val="22"/>
          <w:lang w:val="sr-Latn-RS"/>
        </w:rPr>
        <w:t>Ispitivanja na životinjama ne ukazuju na postojanje direktnog štetnog dejstva na plodnost.</w:t>
      </w:r>
    </w:p>
    <w:p w14:paraId="61D40B7A" w14:textId="16E47342" w:rsidR="0072020E" w:rsidRPr="00936526" w:rsidRDefault="0072020E" w:rsidP="00121CF3">
      <w:pPr>
        <w:tabs>
          <w:tab w:val="left" w:pos="540"/>
          <w:tab w:val="left" w:pos="569"/>
        </w:tabs>
        <w:spacing w:line="360" w:lineRule="auto"/>
        <w:ind w:left="540" w:hanging="540"/>
        <w:rPr>
          <w:b/>
          <w:bCs/>
          <w:sz w:val="22"/>
          <w:szCs w:val="22"/>
          <w:lang w:val="sr-Latn-RS"/>
        </w:rPr>
      </w:pPr>
      <w:r w:rsidRPr="00936526">
        <w:rPr>
          <w:b/>
          <w:bCs/>
          <w:sz w:val="22"/>
          <w:szCs w:val="22"/>
          <w:lang w:val="sr-Latn-RS"/>
        </w:rPr>
        <w:t xml:space="preserve">4.7. Uticaj na </w:t>
      </w:r>
      <w:r w:rsidR="002031B3" w:rsidRPr="00936526">
        <w:rPr>
          <w:b/>
          <w:bCs/>
          <w:sz w:val="22"/>
          <w:szCs w:val="22"/>
          <w:lang w:val="sr-Latn-RS"/>
        </w:rPr>
        <w:t xml:space="preserve">sposobnost </w:t>
      </w:r>
      <w:r w:rsidR="00F34554" w:rsidRPr="00936526">
        <w:rPr>
          <w:b/>
          <w:bCs/>
          <w:sz w:val="22"/>
          <w:szCs w:val="22"/>
          <w:lang w:val="sr-Latn-RS"/>
        </w:rPr>
        <w:t>upravljanja vozili</w:t>
      </w:r>
      <w:r w:rsidRPr="00936526">
        <w:rPr>
          <w:b/>
          <w:bCs/>
          <w:sz w:val="22"/>
          <w:szCs w:val="22"/>
          <w:lang w:val="sr-Latn-RS"/>
        </w:rPr>
        <w:t>m</w:t>
      </w:r>
      <w:r w:rsidR="00F34554" w:rsidRPr="00936526">
        <w:rPr>
          <w:b/>
          <w:bCs/>
          <w:sz w:val="22"/>
          <w:szCs w:val="22"/>
          <w:lang w:val="sr-Latn-RS"/>
        </w:rPr>
        <w:t>a</w:t>
      </w:r>
      <w:r w:rsidRPr="00936526">
        <w:rPr>
          <w:b/>
          <w:bCs/>
          <w:sz w:val="22"/>
          <w:szCs w:val="22"/>
          <w:lang w:val="sr-Latn-RS"/>
        </w:rPr>
        <w:t xml:space="preserve"> i </w:t>
      </w:r>
      <w:r w:rsidR="000D3449" w:rsidRPr="00936526">
        <w:rPr>
          <w:b/>
          <w:bCs/>
          <w:sz w:val="22"/>
          <w:szCs w:val="22"/>
          <w:lang w:val="sr-Latn-RS"/>
        </w:rPr>
        <w:t xml:space="preserve">rukovanje </w:t>
      </w:r>
      <w:r w:rsidRPr="00936526">
        <w:rPr>
          <w:b/>
          <w:bCs/>
          <w:sz w:val="22"/>
          <w:szCs w:val="22"/>
          <w:lang w:val="sr-Latn-RS"/>
        </w:rPr>
        <w:t>mašinama</w:t>
      </w:r>
    </w:p>
    <w:p w14:paraId="7620D2BA" w14:textId="3D610A09" w:rsidR="0075236C" w:rsidRPr="00936526" w:rsidRDefault="0075236C">
      <w:pPr>
        <w:tabs>
          <w:tab w:val="left" w:pos="284"/>
        </w:tabs>
        <w:spacing w:before="120"/>
        <w:jc w:val="both"/>
        <w:rPr>
          <w:sz w:val="22"/>
          <w:szCs w:val="22"/>
          <w:lang w:val="sr-Latn-RS"/>
        </w:rPr>
      </w:pPr>
      <w:r w:rsidRPr="00936526">
        <w:rPr>
          <w:sz w:val="22"/>
          <w:szCs w:val="22"/>
          <w:lang w:val="sr-Latn-RS"/>
        </w:rPr>
        <w:t>Sposobnost pacijenta da se koncentriše i pravovremeno reaguje može biti poremećena usl</w:t>
      </w:r>
      <w:r w:rsidR="00720342" w:rsidRPr="00936526">
        <w:rPr>
          <w:sz w:val="22"/>
          <w:szCs w:val="22"/>
          <w:lang w:val="sr-Latn-RS"/>
        </w:rPr>
        <w:t>j</w:t>
      </w:r>
      <w:r w:rsidRPr="00936526">
        <w:rPr>
          <w:sz w:val="22"/>
          <w:szCs w:val="22"/>
          <w:lang w:val="sr-Latn-RS"/>
        </w:rPr>
        <w:t>ed hipoglikemije ili hiperglikemije ili, na primjer, usl</w:t>
      </w:r>
      <w:r w:rsidR="00720342" w:rsidRPr="00936526">
        <w:rPr>
          <w:sz w:val="22"/>
          <w:szCs w:val="22"/>
          <w:lang w:val="sr-Latn-RS"/>
        </w:rPr>
        <w:t>j</w:t>
      </w:r>
      <w:r w:rsidRPr="00936526">
        <w:rPr>
          <w:sz w:val="22"/>
          <w:szCs w:val="22"/>
          <w:lang w:val="sr-Latn-RS"/>
        </w:rPr>
        <w:t xml:space="preserve">ed poremećaja vida. To može da predstavlja rizik u situacijama kada su te sposobnosti posebno važne (npr. </w:t>
      </w:r>
      <w:r w:rsidR="00720342" w:rsidRPr="00936526">
        <w:rPr>
          <w:sz w:val="22"/>
          <w:szCs w:val="22"/>
          <w:lang w:val="sr-Latn-RS"/>
        </w:rPr>
        <w:t>kod upravljanja vozilom ili rukovanja mašinama</w:t>
      </w:r>
      <w:r w:rsidRPr="00936526">
        <w:rPr>
          <w:sz w:val="22"/>
          <w:szCs w:val="22"/>
          <w:lang w:val="sr-Latn-RS"/>
        </w:rPr>
        <w:t>).</w:t>
      </w:r>
    </w:p>
    <w:p w14:paraId="64410E46" w14:textId="40B4218A" w:rsidR="0075236C" w:rsidRPr="00936526" w:rsidRDefault="0075236C" w:rsidP="00121CF3">
      <w:pPr>
        <w:tabs>
          <w:tab w:val="left" w:pos="540"/>
          <w:tab w:val="left" w:pos="569"/>
        </w:tabs>
        <w:jc w:val="both"/>
        <w:rPr>
          <w:sz w:val="22"/>
          <w:szCs w:val="22"/>
          <w:lang w:val="sr-Latn-RS"/>
        </w:rPr>
      </w:pPr>
      <w:r w:rsidRPr="00936526">
        <w:rPr>
          <w:sz w:val="22"/>
          <w:szCs w:val="22"/>
          <w:lang w:val="sr-Latn-RS"/>
        </w:rPr>
        <w:t>Pacijentima treba savjetovati da preduzmu sve mjere u izb</w:t>
      </w:r>
      <w:r w:rsidR="00720342" w:rsidRPr="00936526">
        <w:rPr>
          <w:sz w:val="22"/>
          <w:szCs w:val="22"/>
          <w:lang w:val="sr-Latn-RS"/>
        </w:rPr>
        <w:t>j</w:t>
      </w:r>
      <w:r w:rsidRPr="00936526">
        <w:rPr>
          <w:sz w:val="22"/>
          <w:szCs w:val="22"/>
          <w:lang w:val="sr-Latn-RS"/>
        </w:rPr>
        <w:t xml:space="preserve">egavanju stanja hipoglikemije za vrijeme upravljanja motornim vozilom. To je posebno važno za one kod kojih su umanjeni ili odsutni upozoravajući simptomi hipoglikemije ili kod onih koji pate od čestih epizoda hipoglikemije. Zato je u tim slučajevima </w:t>
      </w:r>
      <w:r w:rsidR="006E0BF1" w:rsidRPr="00936526">
        <w:rPr>
          <w:sz w:val="22"/>
          <w:szCs w:val="22"/>
          <w:lang w:val="sr-Latn-RS"/>
        </w:rPr>
        <w:t xml:space="preserve">potrebno </w:t>
      </w:r>
      <w:r w:rsidRPr="00936526">
        <w:rPr>
          <w:sz w:val="22"/>
          <w:szCs w:val="22"/>
          <w:lang w:val="sr-Latn-RS"/>
        </w:rPr>
        <w:t xml:space="preserve">razmotriti da li je uopšte opravdano </w:t>
      </w:r>
      <w:r w:rsidR="00720342" w:rsidRPr="00936526">
        <w:rPr>
          <w:sz w:val="22"/>
          <w:szCs w:val="22"/>
          <w:lang w:val="sr-Latn-RS"/>
        </w:rPr>
        <w:t>upravljati vozilima</w:t>
      </w:r>
      <w:r w:rsidRPr="00936526">
        <w:rPr>
          <w:sz w:val="22"/>
          <w:szCs w:val="22"/>
          <w:lang w:val="sr-Latn-RS"/>
        </w:rPr>
        <w:t xml:space="preserve"> ili </w:t>
      </w:r>
      <w:r w:rsidR="00720342" w:rsidRPr="00936526">
        <w:rPr>
          <w:sz w:val="22"/>
          <w:szCs w:val="22"/>
          <w:lang w:val="sr-Latn-RS"/>
        </w:rPr>
        <w:t>rukovati</w:t>
      </w:r>
      <w:r w:rsidRPr="00936526">
        <w:rPr>
          <w:sz w:val="22"/>
          <w:szCs w:val="22"/>
          <w:lang w:val="sr-Latn-RS"/>
        </w:rPr>
        <w:t xml:space="preserve"> mašinama.</w:t>
      </w:r>
    </w:p>
    <w:p w14:paraId="1EC938FD" w14:textId="5441B00E" w:rsidR="00121CF3" w:rsidRPr="00936526" w:rsidRDefault="00121CF3">
      <w:pPr>
        <w:rPr>
          <w:b/>
          <w:bCs/>
          <w:sz w:val="22"/>
          <w:szCs w:val="22"/>
          <w:lang w:val="sr-Latn-RS"/>
        </w:rPr>
      </w:pPr>
      <w:r w:rsidRPr="00936526">
        <w:rPr>
          <w:b/>
          <w:bCs/>
          <w:sz w:val="22"/>
          <w:szCs w:val="22"/>
          <w:lang w:val="sr-Latn-RS"/>
        </w:rPr>
        <w:br w:type="page"/>
      </w:r>
    </w:p>
    <w:p w14:paraId="289C0A71" w14:textId="59778EB6" w:rsidR="0072020E" w:rsidRPr="00936526" w:rsidRDefault="0072020E" w:rsidP="00121CF3">
      <w:pPr>
        <w:tabs>
          <w:tab w:val="left" w:pos="540"/>
          <w:tab w:val="left" w:pos="569"/>
        </w:tabs>
        <w:spacing w:line="360" w:lineRule="auto"/>
        <w:rPr>
          <w:b/>
          <w:bCs/>
          <w:sz w:val="22"/>
          <w:szCs w:val="22"/>
          <w:lang w:val="sr-Latn-RS"/>
        </w:rPr>
      </w:pPr>
      <w:r w:rsidRPr="00936526">
        <w:rPr>
          <w:b/>
          <w:bCs/>
          <w:sz w:val="22"/>
          <w:szCs w:val="22"/>
          <w:lang w:val="sr-Latn-RS"/>
        </w:rPr>
        <w:lastRenderedPageBreak/>
        <w:t>4.8. Neželjena dejstva</w:t>
      </w:r>
    </w:p>
    <w:p w14:paraId="37D9AD1D" w14:textId="181A2A82" w:rsidR="00722EA8" w:rsidRPr="00936526" w:rsidRDefault="00722EA8" w:rsidP="00722EA8">
      <w:pPr>
        <w:tabs>
          <w:tab w:val="left" w:pos="284"/>
        </w:tabs>
        <w:spacing w:before="120"/>
        <w:jc w:val="both"/>
        <w:rPr>
          <w:sz w:val="22"/>
          <w:szCs w:val="22"/>
          <w:u w:val="single"/>
          <w:lang w:val="sr-Latn-RS"/>
        </w:rPr>
      </w:pPr>
      <w:r w:rsidRPr="00936526">
        <w:rPr>
          <w:sz w:val="22"/>
          <w:szCs w:val="22"/>
          <w:u w:val="single"/>
          <w:lang w:val="sr-Latn-RS"/>
        </w:rPr>
        <w:t>Sažetak bezbjednosnog profila</w:t>
      </w:r>
    </w:p>
    <w:p w14:paraId="50B015FD" w14:textId="6BFCA673" w:rsidR="0075236C" w:rsidRPr="00936526" w:rsidRDefault="0075236C" w:rsidP="0075236C">
      <w:pPr>
        <w:tabs>
          <w:tab w:val="left" w:pos="284"/>
        </w:tabs>
        <w:spacing w:before="120"/>
        <w:jc w:val="both"/>
        <w:rPr>
          <w:sz w:val="22"/>
          <w:szCs w:val="22"/>
          <w:lang w:val="sr-Latn-RS"/>
        </w:rPr>
      </w:pPr>
      <w:r w:rsidRPr="00936526">
        <w:rPr>
          <w:sz w:val="22"/>
          <w:szCs w:val="22"/>
          <w:lang w:val="sr-Latn-RS"/>
        </w:rPr>
        <w:t>Hipoglikemija</w:t>
      </w:r>
      <w:r w:rsidR="00722EA8" w:rsidRPr="00936526">
        <w:rPr>
          <w:sz w:val="22"/>
          <w:szCs w:val="22"/>
          <w:lang w:val="sr-Latn-RS"/>
        </w:rPr>
        <w:t xml:space="preserve"> (veoma česta)</w:t>
      </w:r>
      <w:r w:rsidRPr="00936526">
        <w:rPr>
          <w:sz w:val="22"/>
          <w:szCs w:val="22"/>
          <w:lang w:val="sr-Latn-RS"/>
        </w:rPr>
        <w:t>, po pravilu najčešće neželjeno dejstvo terapije insulinom, može da se javi ako je doza insulina previsoka u odnosu na potrebe za insulinom</w:t>
      </w:r>
      <w:r w:rsidR="00722EA8" w:rsidRPr="00936526">
        <w:rPr>
          <w:sz w:val="22"/>
          <w:szCs w:val="22"/>
          <w:lang w:val="sr-Latn-RS"/>
        </w:rPr>
        <w:t xml:space="preserve"> (vidjeti dio 4.4)</w:t>
      </w:r>
      <w:r w:rsidRPr="00936526">
        <w:rPr>
          <w:sz w:val="22"/>
          <w:szCs w:val="22"/>
          <w:lang w:val="sr-Latn-RS"/>
        </w:rPr>
        <w:t>.</w:t>
      </w:r>
    </w:p>
    <w:p w14:paraId="6CD2BD4E" w14:textId="77777777" w:rsidR="00722EA8" w:rsidRPr="00936526" w:rsidRDefault="00722EA8" w:rsidP="00722EA8">
      <w:pPr>
        <w:tabs>
          <w:tab w:val="left" w:pos="284"/>
        </w:tabs>
        <w:spacing w:before="120"/>
        <w:jc w:val="both"/>
        <w:rPr>
          <w:sz w:val="22"/>
          <w:szCs w:val="22"/>
          <w:u w:val="single"/>
          <w:lang w:val="sr-Latn-RS"/>
        </w:rPr>
      </w:pPr>
      <w:r w:rsidRPr="00936526">
        <w:rPr>
          <w:sz w:val="22"/>
          <w:szCs w:val="22"/>
          <w:u w:val="single"/>
          <w:lang w:val="sr-Latn-RS"/>
        </w:rPr>
        <w:t>Tabelarni prikaz neželjenih dejstava</w:t>
      </w:r>
    </w:p>
    <w:p w14:paraId="0E487CA8" w14:textId="3867495E" w:rsidR="0075236C" w:rsidRPr="00936526" w:rsidRDefault="0075236C" w:rsidP="0075236C">
      <w:pPr>
        <w:tabs>
          <w:tab w:val="left" w:pos="284"/>
        </w:tabs>
        <w:spacing w:before="120"/>
        <w:jc w:val="both"/>
        <w:rPr>
          <w:sz w:val="22"/>
          <w:szCs w:val="22"/>
          <w:lang w:val="sr-Latn-RS"/>
        </w:rPr>
      </w:pPr>
      <w:r w:rsidRPr="00936526">
        <w:rPr>
          <w:sz w:val="22"/>
          <w:szCs w:val="22"/>
          <w:lang w:val="sr-Latn-RS"/>
        </w:rPr>
        <w:t>Sl</w:t>
      </w:r>
      <w:r w:rsidR="00D3105D" w:rsidRPr="00936526">
        <w:rPr>
          <w:sz w:val="22"/>
          <w:szCs w:val="22"/>
          <w:lang w:val="sr-Latn-RS"/>
        </w:rPr>
        <w:t>j</w:t>
      </w:r>
      <w:r w:rsidRPr="00936526">
        <w:rPr>
          <w:sz w:val="22"/>
          <w:szCs w:val="22"/>
          <w:lang w:val="sr-Latn-RS"/>
        </w:rPr>
        <w:t>edeće neželjene reakcije vezane za terapiju insulinom, registrovane tokom kliničkih ispitivanja, predstavljene su po klasama organskih sistema i po opadajućoj učestalosti (veoma često: &gt;1/10; često: &gt;1/100, &lt;1/10; povremeno: &gt;1/1000, &lt;1/100; rijetko: &gt;1/10 000, &lt;1/1000; veoma rijetko: &lt;1/10000</w:t>
      </w:r>
      <w:r w:rsidR="00722EA8" w:rsidRPr="00936526">
        <w:rPr>
          <w:sz w:val="22"/>
          <w:szCs w:val="22"/>
          <w:lang w:val="sr-Latn-RS"/>
        </w:rPr>
        <w:t>; nepoznato: ne može se procijeniti na osnovu dostupnih podataka</w:t>
      </w:r>
      <w:r w:rsidRPr="00936526">
        <w:rPr>
          <w:sz w:val="22"/>
          <w:szCs w:val="22"/>
          <w:lang w:val="sr-Latn-RS"/>
        </w:rPr>
        <w:t>).</w:t>
      </w:r>
    </w:p>
    <w:p w14:paraId="0DE2E22C" w14:textId="4B1992A5" w:rsidR="0075236C" w:rsidRPr="00936526" w:rsidRDefault="0075236C" w:rsidP="0075236C">
      <w:pPr>
        <w:tabs>
          <w:tab w:val="left" w:pos="284"/>
        </w:tabs>
        <w:spacing w:before="120" w:after="120"/>
        <w:jc w:val="both"/>
        <w:rPr>
          <w:sz w:val="22"/>
          <w:szCs w:val="22"/>
          <w:lang w:val="sr-Latn-RS"/>
        </w:rPr>
      </w:pPr>
      <w:r w:rsidRPr="00936526">
        <w:rPr>
          <w:sz w:val="22"/>
          <w:szCs w:val="22"/>
          <w:lang w:val="sr-Latn-RS"/>
        </w:rPr>
        <w:t>U okviru svake grupe učestalosti, neželjena dejstva su prikazana po opadajućem redosl</w:t>
      </w:r>
      <w:r w:rsidR="00D3105D" w:rsidRPr="00936526">
        <w:rPr>
          <w:sz w:val="22"/>
          <w:szCs w:val="22"/>
          <w:lang w:val="sr-Latn-RS"/>
        </w:rPr>
        <w:t>j</w:t>
      </w:r>
      <w:r w:rsidRPr="00936526">
        <w:rPr>
          <w:sz w:val="22"/>
          <w:szCs w:val="22"/>
          <w:lang w:val="sr-Latn-RS"/>
        </w:rPr>
        <w:t>edu ozbiljnosti.</w:t>
      </w:r>
    </w:p>
    <w:p w14:paraId="041A753B" w14:textId="77777777" w:rsidR="00796D00" w:rsidRPr="00936526" w:rsidRDefault="00796D00" w:rsidP="0075236C">
      <w:pPr>
        <w:tabs>
          <w:tab w:val="left" w:pos="284"/>
        </w:tabs>
        <w:spacing w:before="120" w:after="120"/>
        <w:jc w:val="both"/>
        <w:rPr>
          <w:sz w:val="22"/>
          <w:szCs w:val="22"/>
          <w:lang w:val="sr-Latn-RS"/>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560"/>
        <w:gridCol w:w="1559"/>
        <w:gridCol w:w="1417"/>
        <w:gridCol w:w="1418"/>
        <w:gridCol w:w="1417"/>
        <w:gridCol w:w="1276"/>
      </w:tblGrid>
      <w:tr w:rsidR="0075236C" w:rsidRPr="00936526" w14:paraId="78EC377F" w14:textId="77777777" w:rsidTr="00121CF3">
        <w:tc>
          <w:tcPr>
            <w:tcW w:w="1247" w:type="dxa"/>
            <w:shd w:val="clear" w:color="auto" w:fill="auto"/>
          </w:tcPr>
          <w:p w14:paraId="0DDB49D7" w14:textId="77777777" w:rsidR="0075236C" w:rsidRPr="00936526" w:rsidRDefault="0075236C" w:rsidP="0075236C">
            <w:pPr>
              <w:tabs>
                <w:tab w:val="left" w:pos="284"/>
              </w:tabs>
              <w:spacing w:before="80" w:after="80"/>
              <w:rPr>
                <w:b/>
                <w:bCs/>
                <w:sz w:val="22"/>
                <w:szCs w:val="22"/>
                <w:lang w:val="sr-Latn-RS"/>
              </w:rPr>
            </w:pPr>
            <w:r w:rsidRPr="00936526">
              <w:rPr>
                <w:b/>
                <w:bCs/>
                <w:sz w:val="22"/>
                <w:szCs w:val="22"/>
                <w:lang w:val="sr-Latn-RS"/>
              </w:rPr>
              <w:t>MedDRA</w:t>
            </w:r>
          </w:p>
          <w:p w14:paraId="30AC77ED" w14:textId="77777777" w:rsidR="0075236C" w:rsidRPr="00936526" w:rsidRDefault="0075236C" w:rsidP="0075236C">
            <w:pPr>
              <w:tabs>
                <w:tab w:val="left" w:pos="284"/>
              </w:tabs>
              <w:spacing w:before="80" w:after="80"/>
              <w:rPr>
                <w:b/>
                <w:bCs/>
                <w:sz w:val="22"/>
                <w:szCs w:val="22"/>
                <w:lang w:val="sr-Latn-RS"/>
              </w:rPr>
            </w:pPr>
            <w:r w:rsidRPr="00936526">
              <w:rPr>
                <w:b/>
                <w:bCs/>
                <w:sz w:val="22"/>
                <w:szCs w:val="22"/>
                <w:lang w:val="sr-Latn-RS"/>
              </w:rPr>
              <w:t>Klase sistema organa</w:t>
            </w:r>
          </w:p>
        </w:tc>
        <w:tc>
          <w:tcPr>
            <w:tcW w:w="1560" w:type="dxa"/>
            <w:shd w:val="clear" w:color="auto" w:fill="auto"/>
          </w:tcPr>
          <w:p w14:paraId="63818920" w14:textId="77777777" w:rsidR="0075236C" w:rsidRPr="00936526" w:rsidRDefault="0075236C" w:rsidP="0075236C">
            <w:pPr>
              <w:tabs>
                <w:tab w:val="left" w:pos="284"/>
              </w:tabs>
              <w:spacing w:before="80" w:after="80"/>
              <w:rPr>
                <w:b/>
                <w:bCs/>
                <w:sz w:val="22"/>
                <w:szCs w:val="22"/>
                <w:lang w:val="sr-Latn-RS"/>
              </w:rPr>
            </w:pPr>
            <w:r w:rsidRPr="00936526">
              <w:rPr>
                <w:b/>
                <w:bCs/>
                <w:sz w:val="22"/>
                <w:szCs w:val="22"/>
                <w:lang w:val="sr-Latn-RS"/>
              </w:rPr>
              <w:t>Veoma često</w:t>
            </w:r>
          </w:p>
        </w:tc>
        <w:tc>
          <w:tcPr>
            <w:tcW w:w="1559" w:type="dxa"/>
            <w:shd w:val="clear" w:color="auto" w:fill="auto"/>
          </w:tcPr>
          <w:p w14:paraId="7B767C25" w14:textId="77777777" w:rsidR="0075236C" w:rsidRPr="00936526" w:rsidRDefault="0075236C" w:rsidP="0075236C">
            <w:pPr>
              <w:tabs>
                <w:tab w:val="left" w:pos="284"/>
              </w:tabs>
              <w:spacing w:before="80" w:after="80"/>
              <w:rPr>
                <w:b/>
                <w:bCs/>
                <w:sz w:val="22"/>
                <w:szCs w:val="22"/>
                <w:lang w:val="sr-Latn-RS"/>
              </w:rPr>
            </w:pPr>
            <w:r w:rsidRPr="00936526">
              <w:rPr>
                <w:b/>
                <w:bCs/>
                <w:sz w:val="22"/>
                <w:szCs w:val="22"/>
                <w:lang w:val="sr-Latn-RS"/>
              </w:rPr>
              <w:t>Često</w:t>
            </w:r>
          </w:p>
        </w:tc>
        <w:tc>
          <w:tcPr>
            <w:tcW w:w="1417" w:type="dxa"/>
            <w:shd w:val="clear" w:color="auto" w:fill="auto"/>
          </w:tcPr>
          <w:p w14:paraId="0B858A63" w14:textId="77777777" w:rsidR="0075236C" w:rsidRPr="00936526" w:rsidRDefault="0075236C" w:rsidP="0075236C">
            <w:pPr>
              <w:tabs>
                <w:tab w:val="left" w:pos="284"/>
              </w:tabs>
              <w:spacing w:before="80" w:after="80"/>
              <w:rPr>
                <w:b/>
                <w:bCs/>
                <w:sz w:val="22"/>
                <w:szCs w:val="22"/>
                <w:lang w:val="sr-Latn-RS"/>
              </w:rPr>
            </w:pPr>
            <w:r w:rsidRPr="00936526">
              <w:rPr>
                <w:b/>
                <w:bCs/>
                <w:sz w:val="22"/>
                <w:szCs w:val="22"/>
                <w:lang w:val="sr-Latn-RS"/>
              </w:rPr>
              <w:t>Povremeno</w:t>
            </w:r>
          </w:p>
        </w:tc>
        <w:tc>
          <w:tcPr>
            <w:tcW w:w="1418" w:type="dxa"/>
            <w:shd w:val="clear" w:color="auto" w:fill="auto"/>
          </w:tcPr>
          <w:p w14:paraId="1D1A9DA8" w14:textId="77777777" w:rsidR="0075236C" w:rsidRPr="00936526" w:rsidRDefault="0075236C" w:rsidP="0075236C">
            <w:pPr>
              <w:tabs>
                <w:tab w:val="left" w:pos="284"/>
              </w:tabs>
              <w:spacing w:before="80" w:after="80"/>
              <w:rPr>
                <w:b/>
                <w:bCs/>
                <w:sz w:val="22"/>
                <w:szCs w:val="22"/>
                <w:lang w:val="sr-Latn-RS"/>
              </w:rPr>
            </w:pPr>
            <w:r w:rsidRPr="00936526">
              <w:rPr>
                <w:b/>
                <w:bCs/>
                <w:sz w:val="22"/>
                <w:szCs w:val="22"/>
                <w:lang w:val="sr-Latn-RS"/>
              </w:rPr>
              <w:t>Rijetko</w:t>
            </w:r>
          </w:p>
        </w:tc>
        <w:tc>
          <w:tcPr>
            <w:tcW w:w="1417" w:type="dxa"/>
            <w:shd w:val="clear" w:color="auto" w:fill="auto"/>
          </w:tcPr>
          <w:p w14:paraId="211EF785" w14:textId="77777777" w:rsidR="0075236C" w:rsidRPr="00936526" w:rsidRDefault="0075236C" w:rsidP="0075236C">
            <w:pPr>
              <w:tabs>
                <w:tab w:val="left" w:pos="284"/>
              </w:tabs>
              <w:spacing w:before="120" w:after="120"/>
              <w:jc w:val="both"/>
              <w:rPr>
                <w:b/>
                <w:sz w:val="22"/>
                <w:szCs w:val="22"/>
                <w:lang w:val="sr-Latn-RS"/>
              </w:rPr>
            </w:pPr>
            <w:r w:rsidRPr="00936526">
              <w:rPr>
                <w:b/>
                <w:sz w:val="22"/>
                <w:szCs w:val="22"/>
                <w:lang w:val="sr-Latn-RS"/>
              </w:rPr>
              <w:t>Veoma rijetko</w:t>
            </w:r>
          </w:p>
        </w:tc>
        <w:tc>
          <w:tcPr>
            <w:tcW w:w="1276" w:type="dxa"/>
          </w:tcPr>
          <w:p w14:paraId="3C0A79B7" w14:textId="77777777" w:rsidR="0075236C" w:rsidRPr="00936526" w:rsidRDefault="0075236C" w:rsidP="0075236C">
            <w:pPr>
              <w:tabs>
                <w:tab w:val="left" w:pos="284"/>
              </w:tabs>
              <w:spacing w:before="120" w:after="120"/>
              <w:jc w:val="both"/>
              <w:rPr>
                <w:b/>
                <w:sz w:val="22"/>
                <w:szCs w:val="22"/>
                <w:lang w:val="sr-Latn-RS"/>
              </w:rPr>
            </w:pPr>
            <w:r w:rsidRPr="00936526">
              <w:rPr>
                <w:b/>
                <w:sz w:val="22"/>
                <w:szCs w:val="22"/>
                <w:lang w:val="sr-Latn-RS"/>
              </w:rPr>
              <w:t>Nepoznato</w:t>
            </w:r>
          </w:p>
        </w:tc>
      </w:tr>
      <w:tr w:rsidR="0075236C" w:rsidRPr="00936526" w14:paraId="7ABE3B75" w14:textId="77777777" w:rsidTr="00121CF3">
        <w:tc>
          <w:tcPr>
            <w:tcW w:w="1247" w:type="dxa"/>
            <w:shd w:val="clear" w:color="auto" w:fill="auto"/>
          </w:tcPr>
          <w:p w14:paraId="1919F10F" w14:textId="0C70F400" w:rsidR="0075236C" w:rsidRPr="00936526" w:rsidRDefault="0075236C" w:rsidP="0075236C">
            <w:pPr>
              <w:tabs>
                <w:tab w:val="left" w:pos="284"/>
              </w:tabs>
              <w:spacing w:before="120" w:after="120"/>
              <w:jc w:val="both"/>
              <w:rPr>
                <w:sz w:val="22"/>
                <w:szCs w:val="22"/>
                <w:lang w:val="sr-Latn-RS"/>
              </w:rPr>
            </w:pPr>
            <w:r w:rsidRPr="00936526">
              <w:rPr>
                <w:sz w:val="22"/>
                <w:szCs w:val="22"/>
                <w:lang w:val="sr-Latn-RS"/>
              </w:rPr>
              <w:t>Poremećaji imun</w:t>
            </w:r>
            <w:r w:rsidR="00D3105D" w:rsidRPr="00936526">
              <w:rPr>
                <w:sz w:val="22"/>
                <w:szCs w:val="22"/>
                <w:lang w:val="sr-Latn-RS"/>
              </w:rPr>
              <w:t>sk</w:t>
            </w:r>
            <w:r w:rsidRPr="00936526">
              <w:rPr>
                <w:sz w:val="22"/>
                <w:szCs w:val="22"/>
                <w:lang w:val="sr-Latn-RS"/>
              </w:rPr>
              <w:t>og sistema</w:t>
            </w:r>
          </w:p>
        </w:tc>
        <w:tc>
          <w:tcPr>
            <w:tcW w:w="1560" w:type="dxa"/>
            <w:shd w:val="clear" w:color="auto" w:fill="auto"/>
          </w:tcPr>
          <w:p w14:paraId="134191E9" w14:textId="77777777" w:rsidR="0075236C" w:rsidRPr="00936526" w:rsidRDefault="0075236C" w:rsidP="0075236C">
            <w:pPr>
              <w:tabs>
                <w:tab w:val="left" w:pos="284"/>
              </w:tabs>
              <w:spacing w:before="120" w:after="120"/>
              <w:jc w:val="both"/>
              <w:rPr>
                <w:sz w:val="22"/>
                <w:szCs w:val="22"/>
                <w:lang w:val="sr-Latn-RS"/>
              </w:rPr>
            </w:pPr>
          </w:p>
        </w:tc>
        <w:tc>
          <w:tcPr>
            <w:tcW w:w="1559" w:type="dxa"/>
            <w:shd w:val="clear" w:color="auto" w:fill="auto"/>
          </w:tcPr>
          <w:p w14:paraId="558759BB" w14:textId="77777777" w:rsidR="0075236C" w:rsidRPr="00936526" w:rsidRDefault="0075236C" w:rsidP="0075236C">
            <w:pPr>
              <w:tabs>
                <w:tab w:val="left" w:pos="284"/>
              </w:tabs>
              <w:spacing w:before="120" w:after="120"/>
              <w:jc w:val="both"/>
              <w:rPr>
                <w:sz w:val="22"/>
                <w:szCs w:val="22"/>
                <w:lang w:val="sr-Latn-RS"/>
              </w:rPr>
            </w:pPr>
          </w:p>
        </w:tc>
        <w:tc>
          <w:tcPr>
            <w:tcW w:w="1417" w:type="dxa"/>
            <w:shd w:val="clear" w:color="auto" w:fill="auto"/>
          </w:tcPr>
          <w:p w14:paraId="448A3CB7" w14:textId="77777777" w:rsidR="0075236C" w:rsidRPr="00936526" w:rsidRDefault="0075236C" w:rsidP="0075236C">
            <w:pPr>
              <w:tabs>
                <w:tab w:val="left" w:pos="284"/>
              </w:tabs>
              <w:spacing w:before="120" w:after="120"/>
              <w:jc w:val="both"/>
              <w:rPr>
                <w:sz w:val="22"/>
                <w:szCs w:val="22"/>
                <w:lang w:val="sr-Latn-RS"/>
              </w:rPr>
            </w:pPr>
          </w:p>
        </w:tc>
        <w:tc>
          <w:tcPr>
            <w:tcW w:w="1418" w:type="dxa"/>
            <w:shd w:val="clear" w:color="auto" w:fill="auto"/>
          </w:tcPr>
          <w:p w14:paraId="064813E6" w14:textId="77777777" w:rsidR="0075236C" w:rsidRPr="00936526" w:rsidRDefault="0075236C" w:rsidP="0075236C">
            <w:pPr>
              <w:tabs>
                <w:tab w:val="left" w:pos="284"/>
              </w:tabs>
              <w:spacing w:before="120" w:after="120"/>
              <w:jc w:val="both"/>
              <w:rPr>
                <w:sz w:val="22"/>
                <w:szCs w:val="22"/>
                <w:lang w:val="sr-Latn-RS"/>
              </w:rPr>
            </w:pPr>
            <w:r w:rsidRPr="00936526">
              <w:rPr>
                <w:sz w:val="22"/>
                <w:szCs w:val="22"/>
                <w:lang w:val="sr-Latn-RS"/>
              </w:rPr>
              <w:t>Alergijske reakcije</w:t>
            </w:r>
          </w:p>
        </w:tc>
        <w:tc>
          <w:tcPr>
            <w:tcW w:w="1417" w:type="dxa"/>
            <w:shd w:val="clear" w:color="auto" w:fill="auto"/>
          </w:tcPr>
          <w:p w14:paraId="163002BF" w14:textId="77777777" w:rsidR="0075236C" w:rsidRPr="00936526" w:rsidRDefault="0075236C" w:rsidP="0075236C">
            <w:pPr>
              <w:tabs>
                <w:tab w:val="left" w:pos="284"/>
              </w:tabs>
              <w:spacing w:before="120" w:after="120"/>
              <w:jc w:val="both"/>
              <w:rPr>
                <w:sz w:val="22"/>
                <w:szCs w:val="22"/>
                <w:lang w:val="sr-Latn-RS"/>
              </w:rPr>
            </w:pPr>
          </w:p>
        </w:tc>
        <w:tc>
          <w:tcPr>
            <w:tcW w:w="1276" w:type="dxa"/>
          </w:tcPr>
          <w:p w14:paraId="4AE628F6" w14:textId="77777777" w:rsidR="0075236C" w:rsidRPr="00936526" w:rsidRDefault="0075236C" w:rsidP="0075236C">
            <w:pPr>
              <w:tabs>
                <w:tab w:val="left" w:pos="284"/>
              </w:tabs>
              <w:spacing w:before="120" w:after="120"/>
              <w:jc w:val="both"/>
              <w:rPr>
                <w:sz w:val="22"/>
                <w:szCs w:val="22"/>
                <w:lang w:val="sr-Latn-RS"/>
              </w:rPr>
            </w:pPr>
          </w:p>
        </w:tc>
      </w:tr>
      <w:tr w:rsidR="0075236C" w:rsidRPr="00936526" w14:paraId="0FB39DC6" w14:textId="77777777" w:rsidTr="00121CF3">
        <w:tc>
          <w:tcPr>
            <w:tcW w:w="1247" w:type="dxa"/>
            <w:shd w:val="clear" w:color="auto" w:fill="auto"/>
          </w:tcPr>
          <w:p w14:paraId="6EFBEC64" w14:textId="77777777" w:rsidR="0075236C" w:rsidRPr="00936526" w:rsidRDefault="0075236C" w:rsidP="0075236C">
            <w:pPr>
              <w:tabs>
                <w:tab w:val="left" w:pos="284"/>
              </w:tabs>
              <w:spacing w:before="120" w:after="120"/>
              <w:jc w:val="both"/>
              <w:rPr>
                <w:sz w:val="22"/>
                <w:szCs w:val="22"/>
                <w:lang w:val="sr-Latn-RS"/>
              </w:rPr>
            </w:pPr>
            <w:r w:rsidRPr="00936526">
              <w:rPr>
                <w:sz w:val="22"/>
                <w:szCs w:val="22"/>
                <w:lang w:val="sr-Latn-RS"/>
              </w:rPr>
              <w:t>Poremećaji metabolizma i ishrane</w:t>
            </w:r>
          </w:p>
        </w:tc>
        <w:tc>
          <w:tcPr>
            <w:tcW w:w="1560" w:type="dxa"/>
            <w:shd w:val="clear" w:color="auto" w:fill="auto"/>
          </w:tcPr>
          <w:p w14:paraId="51A89FF4" w14:textId="77777777" w:rsidR="0075236C" w:rsidRPr="00936526" w:rsidRDefault="0075236C" w:rsidP="0075236C">
            <w:pPr>
              <w:tabs>
                <w:tab w:val="left" w:pos="284"/>
              </w:tabs>
              <w:spacing w:before="120" w:after="120"/>
              <w:jc w:val="both"/>
              <w:rPr>
                <w:sz w:val="22"/>
                <w:szCs w:val="22"/>
                <w:lang w:val="sr-Latn-RS"/>
              </w:rPr>
            </w:pPr>
            <w:r w:rsidRPr="00936526">
              <w:rPr>
                <w:sz w:val="22"/>
                <w:szCs w:val="22"/>
                <w:lang w:val="sr-Latn-RS"/>
              </w:rPr>
              <w:t>Hipoglikemija</w:t>
            </w:r>
          </w:p>
        </w:tc>
        <w:tc>
          <w:tcPr>
            <w:tcW w:w="1559" w:type="dxa"/>
            <w:shd w:val="clear" w:color="auto" w:fill="auto"/>
          </w:tcPr>
          <w:p w14:paraId="4D0D3592" w14:textId="77777777" w:rsidR="0075236C" w:rsidRPr="00936526" w:rsidRDefault="0075236C" w:rsidP="0075236C">
            <w:pPr>
              <w:tabs>
                <w:tab w:val="left" w:pos="284"/>
              </w:tabs>
              <w:spacing w:before="120" w:after="120"/>
              <w:jc w:val="both"/>
              <w:rPr>
                <w:sz w:val="22"/>
                <w:szCs w:val="22"/>
                <w:lang w:val="sr-Latn-RS"/>
              </w:rPr>
            </w:pPr>
          </w:p>
        </w:tc>
        <w:tc>
          <w:tcPr>
            <w:tcW w:w="1417" w:type="dxa"/>
            <w:shd w:val="clear" w:color="auto" w:fill="auto"/>
          </w:tcPr>
          <w:p w14:paraId="0ECD0B64" w14:textId="77777777" w:rsidR="0075236C" w:rsidRPr="00936526" w:rsidRDefault="0075236C" w:rsidP="0075236C">
            <w:pPr>
              <w:tabs>
                <w:tab w:val="left" w:pos="284"/>
              </w:tabs>
              <w:spacing w:before="120" w:after="120"/>
              <w:jc w:val="both"/>
              <w:rPr>
                <w:sz w:val="22"/>
                <w:szCs w:val="22"/>
                <w:lang w:val="sr-Latn-RS"/>
              </w:rPr>
            </w:pPr>
          </w:p>
        </w:tc>
        <w:tc>
          <w:tcPr>
            <w:tcW w:w="1418" w:type="dxa"/>
            <w:shd w:val="clear" w:color="auto" w:fill="auto"/>
          </w:tcPr>
          <w:p w14:paraId="6B3ABDA3" w14:textId="77777777" w:rsidR="0075236C" w:rsidRPr="00936526" w:rsidRDefault="0075236C" w:rsidP="0075236C">
            <w:pPr>
              <w:tabs>
                <w:tab w:val="left" w:pos="284"/>
              </w:tabs>
              <w:spacing w:before="120" w:after="120"/>
              <w:jc w:val="both"/>
              <w:rPr>
                <w:sz w:val="22"/>
                <w:szCs w:val="22"/>
                <w:lang w:val="sr-Latn-RS"/>
              </w:rPr>
            </w:pPr>
          </w:p>
        </w:tc>
        <w:tc>
          <w:tcPr>
            <w:tcW w:w="1417" w:type="dxa"/>
            <w:shd w:val="clear" w:color="auto" w:fill="auto"/>
          </w:tcPr>
          <w:p w14:paraId="478A0CE7" w14:textId="77777777" w:rsidR="0075236C" w:rsidRPr="00936526" w:rsidRDefault="0075236C" w:rsidP="0075236C">
            <w:pPr>
              <w:tabs>
                <w:tab w:val="left" w:pos="284"/>
              </w:tabs>
              <w:spacing w:before="120" w:after="120"/>
              <w:jc w:val="both"/>
              <w:rPr>
                <w:sz w:val="22"/>
                <w:szCs w:val="22"/>
                <w:lang w:val="sr-Latn-RS"/>
              </w:rPr>
            </w:pPr>
          </w:p>
        </w:tc>
        <w:tc>
          <w:tcPr>
            <w:tcW w:w="1276" w:type="dxa"/>
          </w:tcPr>
          <w:p w14:paraId="161DC8F8" w14:textId="77777777" w:rsidR="0075236C" w:rsidRPr="00936526" w:rsidRDefault="0075236C" w:rsidP="0075236C">
            <w:pPr>
              <w:tabs>
                <w:tab w:val="left" w:pos="284"/>
              </w:tabs>
              <w:spacing w:before="120" w:after="120"/>
              <w:jc w:val="both"/>
              <w:rPr>
                <w:sz w:val="22"/>
                <w:szCs w:val="22"/>
                <w:lang w:val="sr-Latn-RS"/>
              </w:rPr>
            </w:pPr>
          </w:p>
        </w:tc>
      </w:tr>
      <w:tr w:rsidR="0075236C" w:rsidRPr="00936526" w14:paraId="283B4618" w14:textId="77777777" w:rsidTr="00121CF3">
        <w:tc>
          <w:tcPr>
            <w:tcW w:w="1247" w:type="dxa"/>
            <w:shd w:val="clear" w:color="auto" w:fill="auto"/>
          </w:tcPr>
          <w:p w14:paraId="78B879EF" w14:textId="77777777" w:rsidR="0075236C" w:rsidRPr="00936526" w:rsidRDefault="0075236C" w:rsidP="0075236C">
            <w:pPr>
              <w:tabs>
                <w:tab w:val="left" w:pos="284"/>
              </w:tabs>
              <w:spacing w:before="120" w:after="120"/>
              <w:jc w:val="both"/>
              <w:rPr>
                <w:sz w:val="22"/>
                <w:szCs w:val="22"/>
                <w:lang w:val="sr-Latn-RS"/>
              </w:rPr>
            </w:pPr>
            <w:r w:rsidRPr="00936526">
              <w:rPr>
                <w:sz w:val="22"/>
                <w:szCs w:val="22"/>
                <w:lang w:val="sr-Latn-RS"/>
              </w:rPr>
              <w:t>Poremećaji nervnog sistema</w:t>
            </w:r>
          </w:p>
        </w:tc>
        <w:tc>
          <w:tcPr>
            <w:tcW w:w="1560" w:type="dxa"/>
            <w:shd w:val="clear" w:color="auto" w:fill="auto"/>
          </w:tcPr>
          <w:p w14:paraId="582AD131" w14:textId="77777777" w:rsidR="0075236C" w:rsidRPr="00936526" w:rsidRDefault="0075236C" w:rsidP="0075236C">
            <w:pPr>
              <w:tabs>
                <w:tab w:val="left" w:pos="284"/>
              </w:tabs>
              <w:spacing w:before="120" w:after="120"/>
              <w:jc w:val="both"/>
              <w:rPr>
                <w:sz w:val="22"/>
                <w:szCs w:val="22"/>
                <w:lang w:val="sr-Latn-RS"/>
              </w:rPr>
            </w:pPr>
          </w:p>
        </w:tc>
        <w:tc>
          <w:tcPr>
            <w:tcW w:w="1559" w:type="dxa"/>
            <w:shd w:val="clear" w:color="auto" w:fill="auto"/>
          </w:tcPr>
          <w:p w14:paraId="7DA818F1" w14:textId="77777777" w:rsidR="0075236C" w:rsidRPr="00936526" w:rsidRDefault="0075236C" w:rsidP="0075236C">
            <w:pPr>
              <w:tabs>
                <w:tab w:val="left" w:pos="284"/>
              </w:tabs>
              <w:spacing w:before="120" w:after="120"/>
              <w:jc w:val="both"/>
              <w:rPr>
                <w:sz w:val="22"/>
                <w:szCs w:val="22"/>
                <w:lang w:val="sr-Latn-RS"/>
              </w:rPr>
            </w:pPr>
          </w:p>
        </w:tc>
        <w:tc>
          <w:tcPr>
            <w:tcW w:w="1417" w:type="dxa"/>
            <w:shd w:val="clear" w:color="auto" w:fill="auto"/>
          </w:tcPr>
          <w:p w14:paraId="34D1D514" w14:textId="77777777" w:rsidR="0075236C" w:rsidRPr="00936526" w:rsidRDefault="0075236C" w:rsidP="0075236C">
            <w:pPr>
              <w:tabs>
                <w:tab w:val="left" w:pos="284"/>
              </w:tabs>
              <w:spacing w:before="120" w:after="120"/>
              <w:jc w:val="both"/>
              <w:rPr>
                <w:sz w:val="22"/>
                <w:szCs w:val="22"/>
                <w:lang w:val="sr-Latn-RS"/>
              </w:rPr>
            </w:pPr>
          </w:p>
        </w:tc>
        <w:tc>
          <w:tcPr>
            <w:tcW w:w="1418" w:type="dxa"/>
            <w:shd w:val="clear" w:color="auto" w:fill="auto"/>
          </w:tcPr>
          <w:p w14:paraId="70E84019" w14:textId="77777777" w:rsidR="0075236C" w:rsidRPr="00936526" w:rsidRDefault="0075236C" w:rsidP="0075236C">
            <w:pPr>
              <w:tabs>
                <w:tab w:val="left" w:pos="284"/>
              </w:tabs>
              <w:spacing w:before="120" w:after="120"/>
              <w:jc w:val="both"/>
              <w:rPr>
                <w:sz w:val="22"/>
                <w:szCs w:val="22"/>
                <w:lang w:val="sr-Latn-RS"/>
              </w:rPr>
            </w:pPr>
          </w:p>
        </w:tc>
        <w:tc>
          <w:tcPr>
            <w:tcW w:w="1417" w:type="dxa"/>
            <w:shd w:val="clear" w:color="auto" w:fill="auto"/>
          </w:tcPr>
          <w:p w14:paraId="18EFE523" w14:textId="77777777" w:rsidR="0075236C" w:rsidRPr="00936526" w:rsidRDefault="0075236C" w:rsidP="0075236C">
            <w:pPr>
              <w:tabs>
                <w:tab w:val="left" w:pos="284"/>
              </w:tabs>
              <w:spacing w:before="120" w:after="120"/>
              <w:jc w:val="both"/>
              <w:rPr>
                <w:sz w:val="22"/>
                <w:szCs w:val="22"/>
                <w:lang w:val="sr-Latn-RS"/>
              </w:rPr>
            </w:pPr>
            <w:r w:rsidRPr="00936526">
              <w:rPr>
                <w:sz w:val="22"/>
                <w:szCs w:val="22"/>
                <w:lang w:val="sr-Latn-RS"/>
              </w:rPr>
              <w:t>Disgeuzija</w:t>
            </w:r>
          </w:p>
        </w:tc>
        <w:tc>
          <w:tcPr>
            <w:tcW w:w="1276" w:type="dxa"/>
          </w:tcPr>
          <w:p w14:paraId="4636327A" w14:textId="77777777" w:rsidR="0075236C" w:rsidRPr="00936526" w:rsidRDefault="0075236C" w:rsidP="0075236C">
            <w:pPr>
              <w:tabs>
                <w:tab w:val="left" w:pos="284"/>
              </w:tabs>
              <w:spacing w:before="120" w:after="120"/>
              <w:jc w:val="both"/>
              <w:rPr>
                <w:sz w:val="22"/>
                <w:szCs w:val="22"/>
                <w:lang w:val="sr-Latn-RS"/>
              </w:rPr>
            </w:pPr>
          </w:p>
        </w:tc>
      </w:tr>
      <w:tr w:rsidR="0075236C" w:rsidRPr="00936526" w14:paraId="6BEEE272" w14:textId="77777777" w:rsidTr="00121CF3">
        <w:tc>
          <w:tcPr>
            <w:tcW w:w="1247" w:type="dxa"/>
            <w:shd w:val="clear" w:color="auto" w:fill="auto"/>
          </w:tcPr>
          <w:p w14:paraId="04FCBD0C" w14:textId="77777777" w:rsidR="0075236C" w:rsidRPr="00936526" w:rsidRDefault="0075236C" w:rsidP="0075236C">
            <w:pPr>
              <w:tabs>
                <w:tab w:val="left" w:pos="284"/>
              </w:tabs>
              <w:spacing w:before="120" w:after="120"/>
              <w:jc w:val="both"/>
              <w:rPr>
                <w:sz w:val="22"/>
                <w:szCs w:val="22"/>
                <w:lang w:val="sr-Latn-RS"/>
              </w:rPr>
            </w:pPr>
            <w:r w:rsidRPr="00936526">
              <w:rPr>
                <w:sz w:val="22"/>
                <w:szCs w:val="22"/>
                <w:lang w:val="sr-Latn-RS"/>
              </w:rPr>
              <w:t>Poremećaji oka</w:t>
            </w:r>
          </w:p>
        </w:tc>
        <w:tc>
          <w:tcPr>
            <w:tcW w:w="1560" w:type="dxa"/>
            <w:shd w:val="clear" w:color="auto" w:fill="auto"/>
          </w:tcPr>
          <w:p w14:paraId="6EED1CEB" w14:textId="77777777" w:rsidR="0075236C" w:rsidRPr="00936526" w:rsidRDefault="0075236C" w:rsidP="0075236C">
            <w:pPr>
              <w:tabs>
                <w:tab w:val="left" w:pos="284"/>
              </w:tabs>
              <w:spacing w:before="120" w:after="120"/>
              <w:jc w:val="both"/>
              <w:rPr>
                <w:sz w:val="22"/>
                <w:szCs w:val="22"/>
                <w:lang w:val="sr-Latn-RS"/>
              </w:rPr>
            </w:pPr>
          </w:p>
        </w:tc>
        <w:tc>
          <w:tcPr>
            <w:tcW w:w="1559" w:type="dxa"/>
            <w:shd w:val="clear" w:color="auto" w:fill="auto"/>
          </w:tcPr>
          <w:p w14:paraId="197B5FFB" w14:textId="77777777" w:rsidR="0075236C" w:rsidRPr="00936526" w:rsidRDefault="0075236C" w:rsidP="0075236C">
            <w:pPr>
              <w:tabs>
                <w:tab w:val="left" w:pos="284"/>
              </w:tabs>
              <w:spacing w:before="120" w:after="120"/>
              <w:jc w:val="both"/>
              <w:rPr>
                <w:sz w:val="22"/>
                <w:szCs w:val="22"/>
                <w:lang w:val="sr-Latn-RS"/>
              </w:rPr>
            </w:pPr>
          </w:p>
        </w:tc>
        <w:tc>
          <w:tcPr>
            <w:tcW w:w="1417" w:type="dxa"/>
            <w:shd w:val="clear" w:color="auto" w:fill="auto"/>
          </w:tcPr>
          <w:p w14:paraId="2D1DD65C" w14:textId="77777777" w:rsidR="0075236C" w:rsidRPr="00936526" w:rsidRDefault="0075236C" w:rsidP="0075236C">
            <w:pPr>
              <w:tabs>
                <w:tab w:val="left" w:pos="284"/>
              </w:tabs>
              <w:spacing w:before="120" w:after="120"/>
              <w:jc w:val="both"/>
              <w:rPr>
                <w:sz w:val="22"/>
                <w:szCs w:val="22"/>
                <w:lang w:val="sr-Latn-RS"/>
              </w:rPr>
            </w:pPr>
          </w:p>
        </w:tc>
        <w:tc>
          <w:tcPr>
            <w:tcW w:w="1418" w:type="dxa"/>
            <w:shd w:val="clear" w:color="auto" w:fill="auto"/>
          </w:tcPr>
          <w:p w14:paraId="6CB54769" w14:textId="77777777" w:rsidR="0075236C" w:rsidRPr="00936526" w:rsidRDefault="0075236C" w:rsidP="0075236C">
            <w:pPr>
              <w:tabs>
                <w:tab w:val="left" w:pos="284"/>
              </w:tabs>
              <w:spacing w:before="120" w:after="120"/>
              <w:jc w:val="both"/>
              <w:rPr>
                <w:sz w:val="22"/>
                <w:szCs w:val="22"/>
                <w:lang w:val="sr-Latn-RS"/>
              </w:rPr>
            </w:pPr>
            <w:r w:rsidRPr="00936526">
              <w:rPr>
                <w:sz w:val="22"/>
                <w:szCs w:val="22"/>
                <w:lang w:val="sr-Latn-RS"/>
              </w:rPr>
              <w:t>Oštećenje vida</w:t>
            </w:r>
          </w:p>
          <w:p w14:paraId="018165A2" w14:textId="77777777" w:rsidR="0075236C" w:rsidRPr="00936526" w:rsidRDefault="0075236C" w:rsidP="0075236C">
            <w:pPr>
              <w:tabs>
                <w:tab w:val="left" w:pos="284"/>
              </w:tabs>
              <w:spacing w:before="120" w:after="120"/>
              <w:jc w:val="both"/>
              <w:rPr>
                <w:sz w:val="22"/>
                <w:szCs w:val="22"/>
                <w:lang w:val="sr-Latn-RS"/>
              </w:rPr>
            </w:pPr>
            <w:r w:rsidRPr="00936526">
              <w:rPr>
                <w:sz w:val="22"/>
                <w:szCs w:val="22"/>
                <w:lang w:val="sr-Latn-RS"/>
              </w:rPr>
              <w:t>Retinopatija</w:t>
            </w:r>
          </w:p>
        </w:tc>
        <w:tc>
          <w:tcPr>
            <w:tcW w:w="1417" w:type="dxa"/>
            <w:shd w:val="clear" w:color="auto" w:fill="auto"/>
          </w:tcPr>
          <w:p w14:paraId="5C24AD46" w14:textId="77777777" w:rsidR="0075236C" w:rsidRPr="00936526" w:rsidRDefault="0075236C" w:rsidP="0075236C">
            <w:pPr>
              <w:tabs>
                <w:tab w:val="left" w:pos="284"/>
              </w:tabs>
              <w:spacing w:before="120" w:after="120"/>
              <w:jc w:val="both"/>
              <w:rPr>
                <w:sz w:val="22"/>
                <w:szCs w:val="22"/>
                <w:lang w:val="sr-Latn-RS"/>
              </w:rPr>
            </w:pPr>
          </w:p>
        </w:tc>
        <w:tc>
          <w:tcPr>
            <w:tcW w:w="1276" w:type="dxa"/>
          </w:tcPr>
          <w:p w14:paraId="061843D4" w14:textId="77777777" w:rsidR="0075236C" w:rsidRPr="00936526" w:rsidRDefault="0075236C" w:rsidP="0075236C">
            <w:pPr>
              <w:tabs>
                <w:tab w:val="left" w:pos="284"/>
              </w:tabs>
              <w:spacing w:before="120" w:after="120"/>
              <w:jc w:val="both"/>
              <w:rPr>
                <w:sz w:val="22"/>
                <w:szCs w:val="22"/>
                <w:lang w:val="sr-Latn-RS"/>
              </w:rPr>
            </w:pPr>
          </w:p>
        </w:tc>
      </w:tr>
      <w:tr w:rsidR="0075236C" w:rsidRPr="00936526" w14:paraId="41FF6DAC" w14:textId="77777777" w:rsidTr="00121CF3">
        <w:tc>
          <w:tcPr>
            <w:tcW w:w="1247" w:type="dxa"/>
            <w:shd w:val="clear" w:color="auto" w:fill="auto"/>
          </w:tcPr>
          <w:p w14:paraId="467225BA" w14:textId="5AAAC551" w:rsidR="0075236C" w:rsidRPr="00936526" w:rsidRDefault="0075236C" w:rsidP="00121CF3">
            <w:pPr>
              <w:tabs>
                <w:tab w:val="left" w:pos="284"/>
              </w:tabs>
              <w:spacing w:before="120" w:after="120"/>
              <w:rPr>
                <w:sz w:val="22"/>
                <w:szCs w:val="22"/>
                <w:lang w:val="sr-Latn-RS"/>
              </w:rPr>
            </w:pPr>
            <w:r w:rsidRPr="00936526">
              <w:rPr>
                <w:sz w:val="22"/>
                <w:szCs w:val="22"/>
                <w:lang w:val="sr-Latn-RS"/>
              </w:rPr>
              <w:t>Poremećaji kože</w:t>
            </w:r>
            <w:r w:rsidR="00D3105D" w:rsidRPr="00936526">
              <w:rPr>
                <w:sz w:val="22"/>
                <w:szCs w:val="22"/>
                <w:lang w:val="sr-Latn-RS"/>
              </w:rPr>
              <w:t xml:space="preserve"> </w:t>
            </w:r>
            <w:r w:rsidRPr="00936526">
              <w:rPr>
                <w:sz w:val="22"/>
                <w:szCs w:val="22"/>
                <w:lang w:val="sr-Latn-RS"/>
              </w:rPr>
              <w:t>i potkožnog tkiva</w:t>
            </w:r>
          </w:p>
        </w:tc>
        <w:tc>
          <w:tcPr>
            <w:tcW w:w="1560" w:type="dxa"/>
            <w:shd w:val="clear" w:color="auto" w:fill="auto"/>
          </w:tcPr>
          <w:p w14:paraId="241E2338" w14:textId="77777777" w:rsidR="0075236C" w:rsidRPr="00936526" w:rsidRDefault="0075236C" w:rsidP="0075236C">
            <w:pPr>
              <w:tabs>
                <w:tab w:val="left" w:pos="284"/>
              </w:tabs>
              <w:spacing w:before="120" w:after="120"/>
              <w:jc w:val="both"/>
              <w:rPr>
                <w:sz w:val="22"/>
                <w:szCs w:val="22"/>
                <w:lang w:val="sr-Latn-RS"/>
              </w:rPr>
            </w:pPr>
          </w:p>
        </w:tc>
        <w:tc>
          <w:tcPr>
            <w:tcW w:w="1559" w:type="dxa"/>
            <w:shd w:val="clear" w:color="auto" w:fill="auto"/>
          </w:tcPr>
          <w:p w14:paraId="3339DC3C" w14:textId="77777777" w:rsidR="0075236C" w:rsidRPr="00936526" w:rsidRDefault="0075236C" w:rsidP="0075236C">
            <w:pPr>
              <w:tabs>
                <w:tab w:val="left" w:pos="284"/>
              </w:tabs>
              <w:spacing w:before="120" w:after="120"/>
              <w:jc w:val="both"/>
              <w:rPr>
                <w:sz w:val="22"/>
                <w:szCs w:val="22"/>
                <w:lang w:val="sr-Latn-RS"/>
              </w:rPr>
            </w:pPr>
            <w:r w:rsidRPr="00936526">
              <w:rPr>
                <w:sz w:val="22"/>
                <w:szCs w:val="22"/>
                <w:lang w:val="sr-Latn-RS"/>
              </w:rPr>
              <w:t>Lipohipertrofija</w:t>
            </w:r>
          </w:p>
        </w:tc>
        <w:tc>
          <w:tcPr>
            <w:tcW w:w="1417" w:type="dxa"/>
            <w:shd w:val="clear" w:color="auto" w:fill="auto"/>
          </w:tcPr>
          <w:p w14:paraId="4DC2A8D0" w14:textId="77777777" w:rsidR="0075236C" w:rsidRPr="00936526" w:rsidRDefault="0075236C" w:rsidP="0075236C">
            <w:pPr>
              <w:tabs>
                <w:tab w:val="left" w:pos="284"/>
              </w:tabs>
              <w:spacing w:before="120" w:after="120"/>
              <w:jc w:val="both"/>
              <w:rPr>
                <w:sz w:val="22"/>
                <w:szCs w:val="22"/>
                <w:lang w:val="sr-Latn-RS"/>
              </w:rPr>
            </w:pPr>
            <w:r w:rsidRPr="00936526">
              <w:rPr>
                <w:sz w:val="22"/>
                <w:szCs w:val="22"/>
                <w:lang w:val="sr-Latn-RS"/>
              </w:rPr>
              <w:t>Lipoatrofija</w:t>
            </w:r>
          </w:p>
        </w:tc>
        <w:tc>
          <w:tcPr>
            <w:tcW w:w="1418" w:type="dxa"/>
            <w:shd w:val="clear" w:color="auto" w:fill="auto"/>
          </w:tcPr>
          <w:p w14:paraId="3FD30430" w14:textId="77777777" w:rsidR="0075236C" w:rsidRPr="00936526" w:rsidRDefault="0075236C" w:rsidP="0075236C">
            <w:pPr>
              <w:tabs>
                <w:tab w:val="left" w:pos="284"/>
              </w:tabs>
              <w:spacing w:before="120" w:after="120"/>
              <w:jc w:val="both"/>
              <w:rPr>
                <w:sz w:val="22"/>
                <w:szCs w:val="22"/>
                <w:lang w:val="sr-Latn-RS"/>
              </w:rPr>
            </w:pPr>
          </w:p>
        </w:tc>
        <w:tc>
          <w:tcPr>
            <w:tcW w:w="1417" w:type="dxa"/>
            <w:shd w:val="clear" w:color="auto" w:fill="auto"/>
          </w:tcPr>
          <w:p w14:paraId="1D546A00" w14:textId="77777777" w:rsidR="0075236C" w:rsidRPr="00936526" w:rsidRDefault="0075236C" w:rsidP="0075236C">
            <w:pPr>
              <w:tabs>
                <w:tab w:val="left" w:pos="284"/>
              </w:tabs>
              <w:spacing w:before="120" w:after="120"/>
              <w:jc w:val="both"/>
              <w:rPr>
                <w:sz w:val="22"/>
                <w:szCs w:val="22"/>
                <w:lang w:val="sr-Latn-RS"/>
              </w:rPr>
            </w:pPr>
          </w:p>
        </w:tc>
        <w:tc>
          <w:tcPr>
            <w:tcW w:w="1276" w:type="dxa"/>
          </w:tcPr>
          <w:p w14:paraId="4A733D31" w14:textId="64608F29" w:rsidR="0075236C" w:rsidRPr="00936526" w:rsidRDefault="00077BD9" w:rsidP="0075236C">
            <w:pPr>
              <w:tabs>
                <w:tab w:val="left" w:pos="284"/>
              </w:tabs>
              <w:spacing w:before="120" w:after="120"/>
              <w:jc w:val="both"/>
              <w:rPr>
                <w:sz w:val="22"/>
                <w:szCs w:val="22"/>
                <w:lang w:val="sr-Latn-RS"/>
              </w:rPr>
            </w:pPr>
            <w:r w:rsidRPr="00936526">
              <w:rPr>
                <w:sz w:val="22"/>
                <w:szCs w:val="22"/>
                <w:lang w:val="sr-Latn-RS"/>
              </w:rPr>
              <w:t>K</w:t>
            </w:r>
            <w:r w:rsidR="0075236C" w:rsidRPr="00936526">
              <w:rPr>
                <w:sz w:val="22"/>
                <w:szCs w:val="22"/>
                <w:lang w:val="sr-Latn-RS"/>
              </w:rPr>
              <w:t>utana amiloidoza</w:t>
            </w:r>
          </w:p>
        </w:tc>
      </w:tr>
      <w:tr w:rsidR="0075236C" w:rsidRPr="00936526" w14:paraId="3E544C07" w14:textId="77777777" w:rsidTr="00121CF3">
        <w:tc>
          <w:tcPr>
            <w:tcW w:w="1247" w:type="dxa"/>
            <w:shd w:val="clear" w:color="auto" w:fill="auto"/>
          </w:tcPr>
          <w:p w14:paraId="7F1F3666" w14:textId="77777777" w:rsidR="0075236C" w:rsidRPr="00936526" w:rsidRDefault="0075236C" w:rsidP="00121CF3">
            <w:pPr>
              <w:tabs>
                <w:tab w:val="left" w:pos="284"/>
              </w:tabs>
              <w:spacing w:before="120" w:after="120"/>
              <w:rPr>
                <w:sz w:val="22"/>
                <w:szCs w:val="22"/>
                <w:lang w:val="sr-Latn-RS"/>
              </w:rPr>
            </w:pPr>
            <w:r w:rsidRPr="00936526">
              <w:rPr>
                <w:sz w:val="22"/>
                <w:szCs w:val="22"/>
                <w:lang w:val="sr-Latn-RS"/>
              </w:rPr>
              <w:t>Poremećaji mišićno-skeletnog sistema i vezivnog tkiva</w:t>
            </w:r>
          </w:p>
        </w:tc>
        <w:tc>
          <w:tcPr>
            <w:tcW w:w="1560" w:type="dxa"/>
            <w:shd w:val="clear" w:color="auto" w:fill="auto"/>
          </w:tcPr>
          <w:p w14:paraId="6B76DBDE" w14:textId="77777777" w:rsidR="0075236C" w:rsidRPr="00936526" w:rsidRDefault="0075236C" w:rsidP="0075236C">
            <w:pPr>
              <w:tabs>
                <w:tab w:val="left" w:pos="284"/>
              </w:tabs>
              <w:spacing w:before="120" w:after="120"/>
              <w:jc w:val="both"/>
              <w:rPr>
                <w:sz w:val="22"/>
                <w:szCs w:val="22"/>
                <w:lang w:val="sr-Latn-RS"/>
              </w:rPr>
            </w:pPr>
          </w:p>
        </w:tc>
        <w:tc>
          <w:tcPr>
            <w:tcW w:w="1559" w:type="dxa"/>
            <w:shd w:val="clear" w:color="auto" w:fill="auto"/>
          </w:tcPr>
          <w:p w14:paraId="49DDB461" w14:textId="77777777" w:rsidR="0075236C" w:rsidRPr="00936526" w:rsidRDefault="0075236C" w:rsidP="0075236C">
            <w:pPr>
              <w:tabs>
                <w:tab w:val="left" w:pos="284"/>
              </w:tabs>
              <w:spacing w:before="120" w:after="120"/>
              <w:jc w:val="both"/>
              <w:rPr>
                <w:sz w:val="22"/>
                <w:szCs w:val="22"/>
                <w:lang w:val="sr-Latn-RS"/>
              </w:rPr>
            </w:pPr>
          </w:p>
        </w:tc>
        <w:tc>
          <w:tcPr>
            <w:tcW w:w="1417" w:type="dxa"/>
            <w:shd w:val="clear" w:color="auto" w:fill="auto"/>
          </w:tcPr>
          <w:p w14:paraId="595DDA42" w14:textId="77777777" w:rsidR="0075236C" w:rsidRPr="00936526" w:rsidRDefault="0075236C" w:rsidP="0075236C">
            <w:pPr>
              <w:tabs>
                <w:tab w:val="left" w:pos="284"/>
              </w:tabs>
              <w:spacing w:before="120" w:after="120"/>
              <w:jc w:val="both"/>
              <w:rPr>
                <w:sz w:val="22"/>
                <w:szCs w:val="22"/>
                <w:lang w:val="sr-Latn-RS"/>
              </w:rPr>
            </w:pPr>
          </w:p>
        </w:tc>
        <w:tc>
          <w:tcPr>
            <w:tcW w:w="1418" w:type="dxa"/>
            <w:shd w:val="clear" w:color="auto" w:fill="auto"/>
          </w:tcPr>
          <w:p w14:paraId="008AFAD6" w14:textId="77777777" w:rsidR="0075236C" w:rsidRPr="00936526" w:rsidRDefault="0075236C" w:rsidP="0075236C">
            <w:pPr>
              <w:tabs>
                <w:tab w:val="left" w:pos="284"/>
              </w:tabs>
              <w:spacing w:before="120" w:after="120"/>
              <w:jc w:val="both"/>
              <w:rPr>
                <w:sz w:val="22"/>
                <w:szCs w:val="22"/>
                <w:lang w:val="sr-Latn-RS"/>
              </w:rPr>
            </w:pPr>
          </w:p>
        </w:tc>
        <w:tc>
          <w:tcPr>
            <w:tcW w:w="1417" w:type="dxa"/>
            <w:shd w:val="clear" w:color="auto" w:fill="auto"/>
          </w:tcPr>
          <w:p w14:paraId="6EC58396" w14:textId="77777777" w:rsidR="0075236C" w:rsidRPr="00936526" w:rsidRDefault="0075236C" w:rsidP="0075236C">
            <w:pPr>
              <w:tabs>
                <w:tab w:val="left" w:pos="284"/>
              </w:tabs>
              <w:spacing w:before="120" w:after="120"/>
              <w:jc w:val="both"/>
              <w:rPr>
                <w:sz w:val="22"/>
                <w:szCs w:val="22"/>
                <w:lang w:val="sr-Latn-RS"/>
              </w:rPr>
            </w:pPr>
            <w:r w:rsidRPr="00936526">
              <w:rPr>
                <w:sz w:val="22"/>
                <w:szCs w:val="22"/>
                <w:lang w:val="sr-Latn-RS"/>
              </w:rPr>
              <w:t>Mialgija</w:t>
            </w:r>
          </w:p>
        </w:tc>
        <w:tc>
          <w:tcPr>
            <w:tcW w:w="1276" w:type="dxa"/>
          </w:tcPr>
          <w:p w14:paraId="2A55F2E7" w14:textId="77777777" w:rsidR="0075236C" w:rsidRPr="00936526" w:rsidRDefault="0075236C" w:rsidP="0075236C">
            <w:pPr>
              <w:tabs>
                <w:tab w:val="left" w:pos="284"/>
              </w:tabs>
              <w:spacing w:before="120" w:after="120"/>
              <w:jc w:val="both"/>
              <w:rPr>
                <w:sz w:val="22"/>
                <w:szCs w:val="22"/>
                <w:lang w:val="sr-Latn-RS"/>
              </w:rPr>
            </w:pPr>
          </w:p>
        </w:tc>
      </w:tr>
      <w:tr w:rsidR="0075236C" w:rsidRPr="00936526" w14:paraId="34CD9E10" w14:textId="77777777" w:rsidTr="00121CF3">
        <w:tc>
          <w:tcPr>
            <w:tcW w:w="1247" w:type="dxa"/>
            <w:shd w:val="clear" w:color="auto" w:fill="auto"/>
          </w:tcPr>
          <w:p w14:paraId="42F586A7" w14:textId="676116D2" w:rsidR="0075236C" w:rsidRPr="00936526" w:rsidRDefault="0075236C" w:rsidP="00121CF3">
            <w:pPr>
              <w:tabs>
                <w:tab w:val="left" w:pos="284"/>
              </w:tabs>
              <w:spacing w:before="120" w:after="120"/>
              <w:rPr>
                <w:sz w:val="22"/>
                <w:szCs w:val="22"/>
                <w:lang w:val="sr-Latn-RS"/>
              </w:rPr>
            </w:pPr>
            <w:r w:rsidRPr="00936526">
              <w:rPr>
                <w:bCs/>
                <w:sz w:val="22"/>
                <w:szCs w:val="22"/>
                <w:lang w:val="sr-Latn-RS"/>
              </w:rPr>
              <w:t xml:space="preserve">Opšti poremećaji i </w:t>
            </w:r>
            <w:r w:rsidR="00D3105D" w:rsidRPr="00936526">
              <w:rPr>
                <w:bCs/>
                <w:sz w:val="22"/>
                <w:szCs w:val="22"/>
                <w:lang w:val="sr-Latn-RS"/>
              </w:rPr>
              <w:t xml:space="preserve">reakcije </w:t>
            </w:r>
            <w:r w:rsidRPr="00936526">
              <w:rPr>
                <w:bCs/>
                <w:sz w:val="22"/>
                <w:szCs w:val="22"/>
                <w:lang w:val="sr-Latn-RS"/>
              </w:rPr>
              <w:t>na mjestu primjene lijeka</w:t>
            </w:r>
          </w:p>
        </w:tc>
        <w:tc>
          <w:tcPr>
            <w:tcW w:w="1560" w:type="dxa"/>
            <w:shd w:val="clear" w:color="auto" w:fill="auto"/>
          </w:tcPr>
          <w:p w14:paraId="603B93E6" w14:textId="77777777" w:rsidR="0075236C" w:rsidRPr="00936526" w:rsidRDefault="0075236C" w:rsidP="0075236C">
            <w:pPr>
              <w:tabs>
                <w:tab w:val="left" w:pos="284"/>
              </w:tabs>
              <w:spacing w:before="120" w:after="120"/>
              <w:jc w:val="both"/>
              <w:rPr>
                <w:sz w:val="22"/>
                <w:szCs w:val="22"/>
                <w:lang w:val="sr-Latn-RS"/>
              </w:rPr>
            </w:pPr>
          </w:p>
        </w:tc>
        <w:tc>
          <w:tcPr>
            <w:tcW w:w="1559" w:type="dxa"/>
            <w:shd w:val="clear" w:color="auto" w:fill="auto"/>
          </w:tcPr>
          <w:p w14:paraId="68A5D996" w14:textId="77777777" w:rsidR="0075236C" w:rsidRPr="00936526" w:rsidRDefault="0075236C" w:rsidP="00121CF3">
            <w:pPr>
              <w:tabs>
                <w:tab w:val="left" w:pos="284"/>
              </w:tabs>
              <w:spacing w:before="120" w:after="120"/>
              <w:rPr>
                <w:sz w:val="22"/>
                <w:szCs w:val="22"/>
                <w:lang w:val="sr-Latn-RS"/>
              </w:rPr>
            </w:pPr>
            <w:r w:rsidRPr="00936526">
              <w:rPr>
                <w:sz w:val="22"/>
                <w:szCs w:val="22"/>
                <w:lang w:val="sr-Latn-RS"/>
              </w:rPr>
              <w:t>Reakcije na mjestu primjene injekcije</w:t>
            </w:r>
          </w:p>
        </w:tc>
        <w:tc>
          <w:tcPr>
            <w:tcW w:w="1417" w:type="dxa"/>
            <w:shd w:val="clear" w:color="auto" w:fill="auto"/>
          </w:tcPr>
          <w:p w14:paraId="3D993313" w14:textId="77777777" w:rsidR="0075236C" w:rsidRPr="00936526" w:rsidRDefault="0075236C" w:rsidP="0075236C">
            <w:pPr>
              <w:tabs>
                <w:tab w:val="left" w:pos="284"/>
              </w:tabs>
              <w:spacing w:before="120" w:after="120"/>
              <w:jc w:val="both"/>
              <w:rPr>
                <w:sz w:val="22"/>
                <w:szCs w:val="22"/>
                <w:lang w:val="sr-Latn-RS"/>
              </w:rPr>
            </w:pPr>
          </w:p>
        </w:tc>
        <w:tc>
          <w:tcPr>
            <w:tcW w:w="1418" w:type="dxa"/>
            <w:shd w:val="clear" w:color="auto" w:fill="auto"/>
          </w:tcPr>
          <w:p w14:paraId="394922BD" w14:textId="77777777" w:rsidR="0075236C" w:rsidRPr="00936526" w:rsidRDefault="0075236C" w:rsidP="0075236C">
            <w:pPr>
              <w:tabs>
                <w:tab w:val="left" w:pos="284"/>
              </w:tabs>
              <w:spacing w:before="120" w:after="120"/>
              <w:jc w:val="both"/>
              <w:rPr>
                <w:sz w:val="22"/>
                <w:szCs w:val="22"/>
                <w:lang w:val="sr-Latn-RS"/>
              </w:rPr>
            </w:pPr>
            <w:r w:rsidRPr="00936526">
              <w:rPr>
                <w:sz w:val="22"/>
                <w:szCs w:val="22"/>
                <w:lang w:val="sr-Latn-RS"/>
              </w:rPr>
              <w:t>Edem</w:t>
            </w:r>
          </w:p>
        </w:tc>
        <w:tc>
          <w:tcPr>
            <w:tcW w:w="1417" w:type="dxa"/>
            <w:shd w:val="clear" w:color="auto" w:fill="auto"/>
          </w:tcPr>
          <w:p w14:paraId="45C68766" w14:textId="77777777" w:rsidR="0075236C" w:rsidRPr="00936526" w:rsidRDefault="0075236C" w:rsidP="0075236C">
            <w:pPr>
              <w:tabs>
                <w:tab w:val="left" w:pos="284"/>
              </w:tabs>
              <w:spacing w:before="120" w:after="120"/>
              <w:jc w:val="both"/>
              <w:rPr>
                <w:sz w:val="22"/>
                <w:szCs w:val="22"/>
                <w:lang w:val="sr-Latn-RS"/>
              </w:rPr>
            </w:pPr>
          </w:p>
        </w:tc>
        <w:tc>
          <w:tcPr>
            <w:tcW w:w="1276" w:type="dxa"/>
          </w:tcPr>
          <w:p w14:paraId="6C452C9E" w14:textId="77777777" w:rsidR="0075236C" w:rsidRPr="00936526" w:rsidRDefault="0075236C" w:rsidP="0075236C">
            <w:pPr>
              <w:tabs>
                <w:tab w:val="left" w:pos="284"/>
              </w:tabs>
              <w:spacing w:before="120" w:after="120"/>
              <w:jc w:val="both"/>
              <w:rPr>
                <w:sz w:val="22"/>
                <w:szCs w:val="22"/>
                <w:lang w:val="sr-Latn-RS"/>
              </w:rPr>
            </w:pPr>
          </w:p>
        </w:tc>
      </w:tr>
    </w:tbl>
    <w:p w14:paraId="33B7CEE2" w14:textId="77777777" w:rsidR="00922BAB" w:rsidRPr="00936526" w:rsidRDefault="00922BAB" w:rsidP="00121CF3">
      <w:pPr>
        <w:tabs>
          <w:tab w:val="left" w:pos="284"/>
        </w:tabs>
        <w:spacing w:before="120" w:line="360" w:lineRule="auto"/>
        <w:jc w:val="both"/>
        <w:rPr>
          <w:sz w:val="22"/>
          <w:szCs w:val="22"/>
          <w:u w:val="single"/>
          <w:lang w:val="sr-Latn-RS"/>
        </w:rPr>
      </w:pPr>
      <w:r w:rsidRPr="00936526">
        <w:rPr>
          <w:sz w:val="22"/>
          <w:szCs w:val="22"/>
          <w:u w:val="single"/>
          <w:lang w:val="sr-Latn-RS"/>
        </w:rPr>
        <w:lastRenderedPageBreak/>
        <w:t>Opis odabranih neželjenih dejstava</w:t>
      </w:r>
    </w:p>
    <w:p w14:paraId="6ADA763F" w14:textId="1CD85EC1" w:rsidR="0075236C" w:rsidRPr="00936526" w:rsidRDefault="0075236C" w:rsidP="0075236C">
      <w:pPr>
        <w:tabs>
          <w:tab w:val="left" w:pos="284"/>
        </w:tabs>
        <w:spacing w:before="120"/>
        <w:jc w:val="both"/>
        <w:rPr>
          <w:i/>
          <w:sz w:val="22"/>
          <w:szCs w:val="22"/>
          <w:lang w:val="sr-Latn-RS"/>
        </w:rPr>
      </w:pPr>
      <w:r w:rsidRPr="00936526">
        <w:rPr>
          <w:i/>
          <w:sz w:val="22"/>
          <w:szCs w:val="22"/>
          <w:lang w:val="sr-Latn-RS"/>
        </w:rPr>
        <w:t>Poremećaji metabolizma i ishrane</w:t>
      </w:r>
    </w:p>
    <w:p w14:paraId="59F74E1D" w14:textId="77777777" w:rsidR="0075236C" w:rsidRPr="00936526" w:rsidRDefault="0075236C" w:rsidP="0075236C">
      <w:pPr>
        <w:tabs>
          <w:tab w:val="left" w:pos="284"/>
        </w:tabs>
        <w:spacing w:before="120"/>
        <w:jc w:val="both"/>
        <w:rPr>
          <w:sz w:val="22"/>
          <w:szCs w:val="22"/>
          <w:lang w:val="sr-Latn-RS"/>
        </w:rPr>
      </w:pPr>
      <w:r w:rsidRPr="00936526">
        <w:rPr>
          <w:sz w:val="22"/>
          <w:szCs w:val="22"/>
          <w:lang w:val="sr-Latn-RS"/>
        </w:rPr>
        <w:t>Teški napadi hipoglikemije, naročito ako se ponavljaju, mogu da dovedu do neuroloških oštećenja. Produžene ili teške epizode hipoglikemije mogu da ugroze život.</w:t>
      </w:r>
    </w:p>
    <w:p w14:paraId="7F7C98DB" w14:textId="4BD47887" w:rsidR="0075236C" w:rsidRPr="00936526" w:rsidRDefault="0075236C" w:rsidP="0075236C">
      <w:pPr>
        <w:tabs>
          <w:tab w:val="left" w:pos="284"/>
        </w:tabs>
        <w:spacing w:before="120"/>
        <w:jc w:val="both"/>
        <w:rPr>
          <w:sz w:val="22"/>
          <w:szCs w:val="22"/>
          <w:lang w:val="sr-Latn-RS"/>
        </w:rPr>
      </w:pPr>
      <w:r w:rsidRPr="00936526">
        <w:rPr>
          <w:sz w:val="22"/>
          <w:szCs w:val="22"/>
          <w:lang w:val="sr-Latn-RS"/>
        </w:rPr>
        <w:t>Kod mnogih pacijenata, znaci adrenergičke kontraregulacije prethode znacima i simptomima neuroglikopenije. Po pravilu, što je veći i brži pad nivoa glukoze u krvi, to je izraženiji fenomen kontraregulacije i njegovi simptomi</w:t>
      </w:r>
      <w:r w:rsidR="00077BD9" w:rsidRPr="00936526">
        <w:rPr>
          <w:sz w:val="22"/>
          <w:szCs w:val="22"/>
          <w:lang w:val="sr-Latn-RS"/>
        </w:rPr>
        <w:t xml:space="preserve"> (vidjeti dio 4.4)</w:t>
      </w:r>
      <w:r w:rsidRPr="00936526">
        <w:rPr>
          <w:sz w:val="22"/>
          <w:szCs w:val="22"/>
          <w:lang w:val="sr-Latn-RS"/>
        </w:rPr>
        <w:t>.</w:t>
      </w:r>
    </w:p>
    <w:p w14:paraId="6A010018" w14:textId="13711164" w:rsidR="0075236C" w:rsidRPr="00936526" w:rsidRDefault="0075236C" w:rsidP="0075236C">
      <w:pPr>
        <w:tabs>
          <w:tab w:val="left" w:pos="284"/>
        </w:tabs>
        <w:spacing w:before="120"/>
        <w:jc w:val="both"/>
        <w:rPr>
          <w:i/>
          <w:sz w:val="22"/>
          <w:szCs w:val="22"/>
          <w:lang w:val="sr-Latn-RS"/>
        </w:rPr>
      </w:pPr>
      <w:r w:rsidRPr="00936526">
        <w:rPr>
          <w:i/>
          <w:sz w:val="22"/>
          <w:szCs w:val="22"/>
          <w:lang w:val="sr-Latn-RS"/>
        </w:rPr>
        <w:t>Poremećaji imun</w:t>
      </w:r>
      <w:r w:rsidR="00D3105D" w:rsidRPr="00936526">
        <w:rPr>
          <w:i/>
          <w:sz w:val="22"/>
          <w:szCs w:val="22"/>
          <w:lang w:val="sr-Latn-RS"/>
        </w:rPr>
        <w:t>sk</w:t>
      </w:r>
      <w:r w:rsidRPr="00936526">
        <w:rPr>
          <w:i/>
          <w:sz w:val="22"/>
          <w:szCs w:val="22"/>
          <w:lang w:val="sr-Latn-RS"/>
        </w:rPr>
        <w:t>og sistema</w:t>
      </w:r>
    </w:p>
    <w:p w14:paraId="436D8058" w14:textId="77777777" w:rsidR="0075236C" w:rsidRPr="00936526" w:rsidRDefault="0075236C" w:rsidP="0075236C">
      <w:pPr>
        <w:tabs>
          <w:tab w:val="left" w:pos="284"/>
        </w:tabs>
        <w:spacing w:before="120"/>
        <w:jc w:val="both"/>
        <w:rPr>
          <w:sz w:val="22"/>
          <w:szCs w:val="22"/>
          <w:lang w:val="sr-Latn-RS"/>
        </w:rPr>
      </w:pPr>
      <w:r w:rsidRPr="00936526">
        <w:rPr>
          <w:sz w:val="22"/>
          <w:szCs w:val="22"/>
          <w:lang w:val="sr-Latn-RS"/>
        </w:rPr>
        <w:t>Trenutne alergijske reakcije na insulin se rijetko javljaju. Ovakve reakcije na insulin (uključujući i insulin glargin) ili neku od pomoćnih supstanci mogu, na primjer, biti praćene generalizovanim kožnim reakcijama, angioedemom, bronhospazmom, hipotenzijom i šokom, a mogu da budu opasne po život.</w:t>
      </w:r>
    </w:p>
    <w:p w14:paraId="1AA42E09" w14:textId="77777777" w:rsidR="0075236C" w:rsidRPr="00936526" w:rsidRDefault="0075236C" w:rsidP="0075236C">
      <w:pPr>
        <w:tabs>
          <w:tab w:val="left" w:pos="284"/>
        </w:tabs>
        <w:spacing w:before="120"/>
        <w:jc w:val="both"/>
        <w:rPr>
          <w:i/>
          <w:sz w:val="22"/>
          <w:szCs w:val="22"/>
          <w:lang w:val="sr-Latn-RS"/>
        </w:rPr>
      </w:pPr>
      <w:r w:rsidRPr="00936526">
        <w:rPr>
          <w:i/>
          <w:sz w:val="22"/>
          <w:szCs w:val="22"/>
          <w:lang w:val="sr-Latn-RS"/>
        </w:rPr>
        <w:t>Poremećaji oka</w:t>
      </w:r>
    </w:p>
    <w:p w14:paraId="2786D5B4" w14:textId="2409C1D1" w:rsidR="0075236C" w:rsidRPr="00936526" w:rsidRDefault="0075236C" w:rsidP="0075236C">
      <w:pPr>
        <w:tabs>
          <w:tab w:val="left" w:pos="284"/>
        </w:tabs>
        <w:spacing w:before="120"/>
        <w:jc w:val="both"/>
        <w:rPr>
          <w:sz w:val="22"/>
          <w:szCs w:val="22"/>
          <w:lang w:val="sr-Latn-RS"/>
        </w:rPr>
      </w:pPr>
      <w:r w:rsidRPr="00936526">
        <w:rPr>
          <w:sz w:val="22"/>
          <w:szCs w:val="22"/>
          <w:lang w:val="sr-Latn-RS"/>
        </w:rPr>
        <w:t>Izrazite promjene u kontroli glikemije mogu da izazovu privremeni poremećaj vida, kao posl</w:t>
      </w:r>
      <w:r w:rsidR="00195C4A" w:rsidRPr="00936526">
        <w:rPr>
          <w:sz w:val="22"/>
          <w:szCs w:val="22"/>
          <w:lang w:val="sr-Latn-RS"/>
        </w:rPr>
        <w:t>j</w:t>
      </w:r>
      <w:r w:rsidRPr="00936526">
        <w:rPr>
          <w:sz w:val="22"/>
          <w:szCs w:val="22"/>
          <w:lang w:val="sr-Latn-RS"/>
        </w:rPr>
        <w:t>edicu privremene promjene otečenosti (turgiditeta) i refrakcionog indeksa sočiva.</w:t>
      </w:r>
    </w:p>
    <w:p w14:paraId="7AC12A56" w14:textId="1A133CAD" w:rsidR="0075236C" w:rsidRPr="00936526" w:rsidRDefault="0075236C" w:rsidP="0075236C">
      <w:pPr>
        <w:tabs>
          <w:tab w:val="left" w:pos="284"/>
        </w:tabs>
        <w:spacing w:before="120"/>
        <w:jc w:val="both"/>
        <w:rPr>
          <w:sz w:val="22"/>
          <w:szCs w:val="22"/>
          <w:lang w:val="sr-Latn-RS"/>
        </w:rPr>
      </w:pPr>
      <w:r w:rsidRPr="00936526">
        <w:rPr>
          <w:sz w:val="22"/>
          <w:szCs w:val="22"/>
          <w:lang w:val="sr-Latn-RS"/>
        </w:rPr>
        <w:t xml:space="preserve">Dugotrajno poboljšanje kontrole glikemije smanjuje rizik od progresije </w:t>
      </w:r>
      <w:r w:rsidR="00195C4A" w:rsidRPr="00936526">
        <w:rPr>
          <w:sz w:val="22"/>
          <w:szCs w:val="22"/>
          <w:lang w:val="sr-Latn-RS"/>
        </w:rPr>
        <w:t xml:space="preserve">dijabetesne </w:t>
      </w:r>
      <w:r w:rsidRPr="00936526">
        <w:rPr>
          <w:sz w:val="22"/>
          <w:szCs w:val="22"/>
          <w:lang w:val="sr-Latn-RS"/>
        </w:rPr>
        <w:t xml:space="preserve">retinopatije. Međutim, intenziviranje insulinske terapije sa naglim poboljšanjem kontrole glikemije može da prati privremeno pogoršanje </w:t>
      </w:r>
      <w:r w:rsidR="00195C4A" w:rsidRPr="00936526">
        <w:rPr>
          <w:sz w:val="22"/>
          <w:szCs w:val="22"/>
          <w:lang w:val="sr-Latn-RS"/>
        </w:rPr>
        <w:t xml:space="preserve">dijabetesne </w:t>
      </w:r>
      <w:r w:rsidRPr="00936526">
        <w:rPr>
          <w:sz w:val="22"/>
          <w:szCs w:val="22"/>
          <w:lang w:val="sr-Latn-RS"/>
        </w:rPr>
        <w:t>retinopatije. Kod bolesnika sa proliferativnom retinopatijom, a naročito ako ista nije liječena fotokoagulacijom, epizode teške hipoglikemije mogu da dovedu do prolazne amauroze.</w:t>
      </w:r>
    </w:p>
    <w:p w14:paraId="5F821E2D" w14:textId="77777777" w:rsidR="0075236C" w:rsidRPr="00936526" w:rsidRDefault="0075236C" w:rsidP="0075236C">
      <w:pPr>
        <w:tabs>
          <w:tab w:val="left" w:pos="284"/>
        </w:tabs>
        <w:spacing w:before="120"/>
        <w:jc w:val="both"/>
        <w:rPr>
          <w:i/>
          <w:sz w:val="22"/>
          <w:szCs w:val="22"/>
          <w:lang w:val="sr-Latn-RS"/>
        </w:rPr>
      </w:pPr>
      <w:r w:rsidRPr="00936526">
        <w:rPr>
          <w:i/>
          <w:sz w:val="22"/>
          <w:szCs w:val="22"/>
          <w:lang w:val="sr-Latn-RS"/>
        </w:rPr>
        <w:t>Poremećaji kože i potkožnih tkiva</w:t>
      </w:r>
    </w:p>
    <w:p w14:paraId="1DCC84C8" w14:textId="23C343C6" w:rsidR="0075236C" w:rsidRPr="00936526" w:rsidRDefault="0075236C" w:rsidP="0075236C">
      <w:pPr>
        <w:tabs>
          <w:tab w:val="left" w:pos="284"/>
        </w:tabs>
        <w:spacing w:before="120"/>
        <w:jc w:val="both"/>
        <w:rPr>
          <w:sz w:val="22"/>
          <w:szCs w:val="22"/>
          <w:lang w:val="sr-Latn-RS"/>
        </w:rPr>
      </w:pPr>
      <w:r w:rsidRPr="00936526">
        <w:rPr>
          <w:sz w:val="22"/>
          <w:szCs w:val="22"/>
          <w:lang w:val="sr-Latn-RS"/>
        </w:rPr>
        <w:t>Kao i kod svake terapije insulinom, lipodistrofija i kutana amiloidoza mogu da se pojave na m</w:t>
      </w:r>
      <w:r w:rsidR="00195C4A" w:rsidRPr="00936526">
        <w:rPr>
          <w:sz w:val="22"/>
          <w:szCs w:val="22"/>
          <w:lang w:val="sr-Latn-RS"/>
        </w:rPr>
        <w:t>j</w:t>
      </w:r>
      <w:r w:rsidRPr="00936526">
        <w:rPr>
          <w:sz w:val="22"/>
          <w:szCs w:val="22"/>
          <w:lang w:val="sr-Latn-RS"/>
        </w:rPr>
        <w:t xml:space="preserve">estu </w:t>
      </w:r>
      <w:r w:rsidR="00195C4A" w:rsidRPr="00936526">
        <w:rPr>
          <w:sz w:val="22"/>
          <w:szCs w:val="22"/>
          <w:lang w:val="sr-Latn-RS"/>
        </w:rPr>
        <w:t xml:space="preserve">injektovanja </w:t>
      </w:r>
      <w:r w:rsidRPr="00936526">
        <w:rPr>
          <w:sz w:val="22"/>
          <w:szCs w:val="22"/>
          <w:lang w:val="sr-Latn-RS"/>
        </w:rPr>
        <w:t xml:space="preserve">i na taj način da uspore lokalnu resorpciju insulina. Stalna promjena mjesta </w:t>
      </w:r>
      <w:r w:rsidR="00195C4A" w:rsidRPr="00936526">
        <w:rPr>
          <w:sz w:val="22"/>
          <w:szCs w:val="22"/>
          <w:lang w:val="sr-Latn-RS"/>
        </w:rPr>
        <w:t xml:space="preserve">injektovanja </w:t>
      </w:r>
      <w:r w:rsidRPr="00936526">
        <w:rPr>
          <w:sz w:val="22"/>
          <w:szCs w:val="22"/>
          <w:lang w:val="sr-Latn-RS"/>
        </w:rPr>
        <w:t>u okviru date injekcione površine može da smanji ili spr</w:t>
      </w:r>
      <w:r w:rsidR="00195C4A" w:rsidRPr="00936526">
        <w:rPr>
          <w:sz w:val="22"/>
          <w:szCs w:val="22"/>
          <w:lang w:val="sr-Latn-RS"/>
        </w:rPr>
        <w:t>ij</w:t>
      </w:r>
      <w:r w:rsidRPr="00936526">
        <w:rPr>
          <w:sz w:val="22"/>
          <w:szCs w:val="22"/>
          <w:lang w:val="sr-Latn-RS"/>
        </w:rPr>
        <w:t>eči navedene reakcije (vidjeti dio 4.4).</w:t>
      </w:r>
    </w:p>
    <w:p w14:paraId="4A0EBDBA" w14:textId="150BDA13" w:rsidR="0075236C" w:rsidRPr="00936526" w:rsidRDefault="0075236C" w:rsidP="0075236C">
      <w:pPr>
        <w:tabs>
          <w:tab w:val="left" w:pos="284"/>
        </w:tabs>
        <w:spacing w:before="120"/>
        <w:jc w:val="both"/>
        <w:rPr>
          <w:i/>
          <w:sz w:val="22"/>
          <w:szCs w:val="22"/>
          <w:lang w:val="sr-Latn-RS"/>
        </w:rPr>
      </w:pPr>
      <w:r w:rsidRPr="00936526">
        <w:rPr>
          <w:i/>
          <w:sz w:val="22"/>
          <w:szCs w:val="22"/>
          <w:lang w:val="sr-Latn-RS"/>
        </w:rPr>
        <w:t xml:space="preserve">Opšti poremećaji i </w:t>
      </w:r>
      <w:r w:rsidR="00714F97" w:rsidRPr="00936526">
        <w:rPr>
          <w:i/>
          <w:sz w:val="22"/>
          <w:szCs w:val="22"/>
          <w:lang w:val="sr-Latn-RS"/>
        </w:rPr>
        <w:t>reakcije</w:t>
      </w:r>
      <w:r w:rsidRPr="00936526">
        <w:rPr>
          <w:i/>
          <w:sz w:val="22"/>
          <w:szCs w:val="22"/>
          <w:lang w:val="sr-Latn-RS"/>
        </w:rPr>
        <w:t>na mjestu primjene</w:t>
      </w:r>
    </w:p>
    <w:p w14:paraId="329176F1" w14:textId="0A23C28C" w:rsidR="0075236C" w:rsidRPr="00936526" w:rsidRDefault="0075236C" w:rsidP="0075236C">
      <w:pPr>
        <w:tabs>
          <w:tab w:val="left" w:pos="284"/>
        </w:tabs>
        <w:spacing w:before="120"/>
        <w:jc w:val="both"/>
        <w:rPr>
          <w:sz w:val="22"/>
          <w:szCs w:val="22"/>
          <w:lang w:val="sr-Latn-RS"/>
        </w:rPr>
      </w:pPr>
      <w:r w:rsidRPr="00936526">
        <w:rPr>
          <w:sz w:val="22"/>
          <w:szCs w:val="22"/>
          <w:lang w:val="sr-Latn-RS"/>
        </w:rPr>
        <w:t>Ove rekacije obuhvataju crvenilo, bol, svrab, osip, otok ili inflamaciju. Većina manjih reakcija na insulin na mjestu ubrizgavanja obično nestaje u roku od nekoliko dana do nekoliko ned</w:t>
      </w:r>
      <w:r w:rsidR="00195C4A" w:rsidRPr="00936526">
        <w:rPr>
          <w:sz w:val="22"/>
          <w:szCs w:val="22"/>
          <w:lang w:val="sr-Latn-RS"/>
        </w:rPr>
        <w:t>j</w:t>
      </w:r>
      <w:r w:rsidRPr="00936526">
        <w:rPr>
          <w:sz w:val="22"/>
          <w:szCs w:val="22"/>
          <w:lang w:val="sr-Latn-RS"/>
        </w:rPr>
        <w:t>elja.</w:t>
      </w:r>
    </w:p>
    <w:p w14:paraId="118CC462" w14:textId="77777777" w:rsidR="0075236C" w:rsidRPr="00936526" w:rsidRDefault="0075236C" w:rsidP="0075236C">
      <w:pPr>
        <w:tabs>
          <w:tab w:val="left" w:pos="284"/>
        </w:tabs>
        <w:spacing w:before="120"/>
        <w:jc w:val="both"/>
        <w:rPr>
          <w:sz w:val="22"/>
          <w:szCs w:val="22"/>
          <w:lang w:val="sr-Latn-RS"/>
        </w:rPr>
      </w:pPr>
      <w:r w:rsidRPr="00936526">
        <w:rPr>
          <w:sz w:val="22"/>
          <w:szCs w:val="22"/>
          <w:lang w:val="sr-Latn-RS"/>
        </w:rPr>
        <w:t>Insulin može, mada rijetko, da izazove retenciju natrijuma i edem, pogotovo u slučajevima kad je intenziviranje insulinske terapije dovelo do popravljanja prethodno nedovoljne metaboličke kontrole.</w:t>
      </w:r>
    </w:p>
    <w:p w14:paraId="6056AC5B" w14:textId="77777777" w:rsidR="0075236C" w:rsidRPr="00936526" w:rsidRDefault="0075236C" w:rsidP="00121CF3">
      <w:pPr>
        <w:tabs>
          <w:tab w:val="left" w:pos="284"/>
        </w:tabs>
        <w:spacing w:before="120" w:line="360" w:lineRule="auto"/>
        <w:jc w:val="both"/>
        <w:rPr>
          <w:sz w:val="22"/>
          <w:szCs w:val="22"/>
          <w:u w:val="single"/>
          <w:lang w:val="sr-Latn-RS"/>
        </w:rPr>
      </w:pPr>
      <w:r w:rsidRPr="00936526">
        <w:rPr>
          <w:sz w:val="22"/>
          <w:szCs w:val="22"/>
          <w:u w:val="single"/>
          <w:lang w:val="sr-Latn-RS"/>
        </w:rPr>
        <w:t>Pedijatrijska populacija</w:t>
      </w:r>
    </w:p>
    <w:p w14:paraId="781F0735" w14:textId="77777777" w:rsidR="0075236C" w:rsidRPr="00936526" w:rsidRDefault="0075236C" w:rsidP="0075236C">
      <w:pPr>
        <w:tabs>
          <w:tab w:val="left" w:pos="284"/>
        </w:tabs>
        <w:spacing w:before="120"/>
        <w:jc w:val="both"/>
        <w:rPr>
          <w:sz w:val="22"/>
          <w:szCs w:val="22"/>
          <w:lang w:val="sr-Latn-RS"/>
        </w:rPr>
      </w:pPr>
      <w:r w:rsidRPr="00936526">
        <w:rPr>
          <w:sz w:val="22"/>
          <w:szCs w:val="22"/>
          <w:lang w:val="sr-Latn-RS"/>
        </w:rPr>
        <w:t>Profil sigurnosti kod djece i adolescenata ( ≤ 18 godina), po pravilu se ne razlikuje od profila sigurnosti kod odraslih pacijenata.</w:t>
      </w:r>
    </w:p>
    <w:p w14:paraId="59646886" w14:textId="19589C40" w:rsidR="0075236C" w:rsidRPr="00936526" w:rsidRDefault="0075236C" w:rsidP="0075236C">
      <w:pPr>
        <w:tabs>
          <w:tab w:val="left" w:pos="284"/>
        </w:tabs>
        <w:jc w:val="both"/>
        <w:rPr>
          <w:sz w:val="22"/>
          <w:szCs w:val="22"/>
          <w:lang w:val="sr-Latn-RS"/>
        </w:rPr>
      </w:pPr>
      <w:r w:rsidRPr="00936526">
        <w:rPr>
          <w:sz w:val="22"/>
          <w:szCs w:val="22"/>
          <w:lang w:val="sr-Latn-RS"/>
        </w:rPr>
        <w:t>Kod djece i adolescenata ( ≤ 18 godina), prema podacima postmarketinškog praćenja, relativno češće su prijavljivane reakcije na m</w:t>
      </w:r>
      <w:r w:rsidR="00195C4A" w:rsidRPr="00936526">
        <w:rPr>
          <w:sz w:val="22"/>
          <w:szCs w:val="22"/>
          <w:lang w:val="sr-Latn-RS"/>
        </w:rPr>
        <w:t>j</w:t>
      </w:r>
      <w:r w:rsidRPr="00936526">
        <w:rPr>
          <w:sz w:val="22"/>
          <w:szCs w:val="22"/>
          <w:lang w:val="sr-Latn-RS"/>
        </w:rPr>
        <w:t xml:space="preserve">estu </w:t>
      </w:r>
      <w:r w:rsidR="00195C4A" w:rsidRPr="00936526">
        <w:rPr>
          <w:sz w:val="22"/>
          <w:szCs w:val="22"/>
          <w:lang w:val="sr-Latn-RS"/>
        </w:rPr>
        <w:t xml:space="preserve">injektovanja </w:t>
      </w:r>
      <w:r w:rsidRPr="00936526">
        <w:rPr>
          <w:sz w:val="22"/>
          <w:szCs w:val="22"/>
          <w:lang w:val="sr-Latn-RS"/>
        </w:rPr>
        <w:t>(</w:t>
      </w:r>
      <w:r w:rsidR="00195C4A" w:rsidRPr="00936526">
        <w:rPr>
          <w:sz w:val="22"/>
          <w:szCs w:val="22"/>
          <w:lang w:val="sr-Latn-RS"/>
        </w:rPr>
        <w:t xml:space="preserve">npr. </w:t>
      </w:r>
      <w:r w:rsidR="00714F97" w:rsidRPr="00936526">
        <w:rPr>
          <w:sz w:val="22"/>
          <w:szCs w:val="22"/>
          <w:lang w:val="sr-Latn-RS"/>
        </w:rPr>
        <w:t>b</w:t>
      </w:r>
      <w:r w:rsidR="00195C4A" w:rsidRPr="00936526">
        <w:rPr>
          <w:sz w:val="22"/>
          <w:szCs w:val="22"/>
          <w:lang w:val="sr-Latn-RS"/>
        </w:rPr>
        <w:t>ol</w:t>
      </w:r>
      <w:r w:rsidR="00714F97" w:rsidRPr="00936526">
        <w:rPr>
          <w:sz w:val="22"/>
          <w:szCs w:val="22"/>
          <w:lang w:val="sr-Latn-RS"/>
        </w:rPr>
        <w:t xml:space="preserve"> na mjestu injektovanja, druge reakcije na mjestu injektovanja</w:t>
      </w:r>
      <w:r w:rsidRPr="00936526">
        <w:rPr>
          <w:sz w:val="22"/>
          <w:szCs w:val="22"/>
          <w:lang w:val="sr-Latn-RS"/>
        </w:rPr>
        <w:t xml:space="preserve">) i kožne reakcije (osip kože, </w:t>
      </w:r>
      <w:r w:rsidR="00195C4A" w:rsidRPr="00936526">
        <w:rPr>
          <w:sz w:val="22"/>
          <w:szCs w:val="22"/>
          <w:lang w:val="sr-Latn-RS"/>
        </w:rPr>
        <w:t>urtikarija</w:t>
      </w:r>
      <w:r w:rsidRPr="00936526">
        <w:rPr>
          <w:sz w:val="22"/>
          <w:szCs w:val="22"/>
          <w:lang w:val="sr-Latn-RS"/>
        </w:rPr>
        <w:t>) nego kod odraslih pacijenata.</w:t>
      </w:r>
    </w:p>
    <w:p w14:paraId="7C0AC8A6" w14:textId="77777777" w:rsidR="0075236C" w:rsidRPr="00936526" w:rsidRDefault="0075236C" w:rsidP="0075236C">
      <w:pPr>
        <w:tabs>
          <w:tab w:val="left" w:pos="284"/>
          <w:tab w:val="left" w:pos="720"/>
        </w:tabs>
        <w:jc w:val="both"/>
        <w:rPr>
          <w:sz w:val="22"/>
          <w:szCs w:val="22"/>
          <w:lang w:val="sr-Latn-RS"/>
        </w:rPr>
      </w:pPr>
      <w:r w:rsidRPr="00936526">
        <w:rPr>
          <w:sz w:val="22"/>
          <w:szCs w:val="22"/>
          <w:lang w:val="sr-Latn-RS"/>
        </w:rPr>
        <w:t>Nema podataka iz kliničkih ispitivanja o sigurnosti primjene lijeka kod djece mlađe od 2 godine.</w:t>
      </w:r>
    </w:p>
    <w:p w14:paraId="44C07EB1" w14:textId="77777777" w:rsidR="0075236C" w:rsidRPr="00936526" w:rsidRDefault="0075236C" w:rsidP="0075236C">
      <w:pPr>
        <w:tabs>
          <w:tab w:val="left" w:pos="284"/>
          <w:tab w:val="left" w:pos="720"/>
        </w:tabs>
        <w:jc w:val="both"/>
        <w:rPr>
          <w:rFonts w:eastAsia="MS Mincho"/>
          <w:b/>
          <w:bCs/>
          <w:sz w:val="22"/>
          <w:szCs w:val="22"/>
          <w:lang w:val="sr-Latn-RS"/>
        </w:rPr>
      </w:pPr>
    </w:p>
    <w:p w14:paraId="6B9989E1" w14:textId="77777777" w:rsidR="005A23D2" w:rsidRPr="00936526" w:rsidRDefault="005A23D2" w:rsidP="00A46C9A">
      <w:pPr>
        <w:spacing w:after="200" w:line="276" w:lineRule="auto"/>
        <w:rPr>
          <w:rFonts w:eastAsia="Calibri"/>
          <w:sz w:val="22"/>
          <w:szCs w:val="22"/>
          <w:u w:val="single"/>
          <w:lang w:val="sr-Latn-RS"/>
        </w:rPr>
      </w:pPr>
      <w:r w:rsidRPr="00936526">
        <w:rPr>
          <w:rFonts w:eastAsia="Calibri"/>
          <w:sz w:val="22"/>
          <w:szCs w:val="22"/>
          <w:u w:val="single"/>
          <w:lang w:val="sr-Latn-RS"/>
        </w:rPr>
        <w:t>Prijavljivanje sumnji na neželjena dejstva</w:t>
      </w:r>
    </w:p>
    <w:p w14:paraId="7C4B6782" w14:textId="77777777" w:rsidR="005A23D2" w:rsidRPr="00936526" w:rsidRDefault="005A23D2" w:rsidP="00A46C9A">
      <w:pPr>
        <w:spacing w:after="200"/>
        <w:jc w:val="both"/>
        <w:rPr>
          <w:rFonts w:eastAsia="Calibri"/>
          <w:sz w:val="22"/>
          <w:szCs w:val="22"/>
          <w:lang w:val="sr-Latn-RS"/>
        </w:rPr>
      </w:pPr>
      <w:r w:rsidRPr="00936526">
        <w:rPr>
          <w:rFonts w:eastAsia="Calibri"/>
          <w:sz w:val="22"/>
          <w:szCs w:val="22"/>
          <w:lang w:val="sr-Latn-RS"/>
        </w:rPr>
        <w:t>Prijavljivanje neželjenih dejstava nakon dobijanja dozvole je od velikog značaja jer obezbjeđuje kont</w:t>
      </w:r>
      <w:r w:rsidR="00EA5765" w:rsidRPr="00936526">
        <w:rPr>
          <w:rFonts w:eastAsia="Calibri"/>
          <w:sz w:val="22"/>
          <w:szCs w:val="22"/>
          <w:lang w:val="sr-Latn-RS"/>
        </w:rPr>
        <w:t>inuirano praćenje odnosa korist</w:t>
      </w:r>
      <w:r w:rsidRPr="00936526">
        <w:rPr>
          <w:rFonts w:eastAsia="Calibri"/>
          <w:sz w:val="22"/>
          <w:szCs w:val="22"/>
          <w:lang w:val="sr-Latn-RS"/>
        </w:rPr>
        <w:t>/rizik primjene lijeka. Zdravstveni radnici treba da prijave svaku sumnju na neželjeno</w:t>
      </w:r>
      <w:r w:rsidR="009B062A" w:rsidRPr="00936526">
        <w:rPr>
          <w:rFonts w:eastAsia="Calibri"/>
          <w:sz w:val="22"/>
          <w:szCs w:val="22"/>
          <w:lang w:val="sr-Latn-RS"/>
        </w:rPr>
        <w:t xml:space="preserve"> </w:t>
      </w:r>
      <w:r w:rsidRPr="00936526">
        <w:rPr>
          <w:rFonts w:eastAsia="Calibri"/>
          <w:sz w:val="22"/>
          <w:szCs w:val="22"/>
          <w:lang w:val="sr-Latn-RS"/>
        </w:rPr>
        <w:t xml:space="preserve">dejstvo ovog lijeka </w:t>
      </w:r>
      <w:r w:rsidR="004E70AD" w:rsidRPr="00936526">
        <w:rPr>
          <w:rFonts w:eastAsia="Calibri"/>
          <w:sz w:val="22"/>
          <w:szCs w:val="22"/>
          <w:lang w:val="sr-Latn-RS"/>
        </w:rPr>
        <w:t>Institutu</w:t>
      </w:r>
      <w:r w:rsidRPr="00936526">
        <w:rPr>
          <w:rFonts w:eastAsia="Calibri"/>
          <w:sz w:val="22"/>
          <w:szCs w:val="22"/>
          <w:lang w:val="sr-Latn-RS"/>
        </w:rPr>
        <w:t xml:space="preserve"> za ljekove i medicinska sredstva</w:t>
      </w:r>
      <w:r w:rsidR="004E70AD" w:rsidRPr="00936526">
        <w:rPr>
          <w:rFonts w:eastAsia="Calibri"/>
          <w:sz w:val="22"/>
          <w:szCs w:val="22"/>
          <w:lang w:val="sr-Latn-RS"/>
        </w:rPr>
        <w:t xml:space="preserve"> </w:t>
      </w:r>
      <w:r w:rsidRPr="00936526">
        <w:rPr>
          <w:rFonts w:eastAsia="Calibri"/>
          <w:sz w:val="22"/>
          <w:szCs w:val="22"/>
          <w:lang w:val="sr-Latn-RS"/>
        </w:rPr>
        <w:t>(</w:t>
      </w:r>
      <w:r w:rsidR="004E70AD" w:rsidRPr="00936526">
        <w:rPr>
          <w:rFonts w:eastAsia="Calibri"/>
          <w:sz w:val="22"/>
          <w:szCs w:val="22"/>
          <w:lang w:val="sr-Latn-RS"/>
        </w:rPr>
        <w:t>CInMED</w:t>
      </w:r>
      <w:r w:rsidRPr="00936526">
        <w:rPr>
          <w:rFonts w:eastAsia="Calibri"/>
          <w:sz w:val="22"/>
          <w:szCs w:val="22"/>
          <w:lang w:val="sr-Latn-RS"/>
        </w:rPr>
        <w:t>):</w:t>
      </w:r>
    </w:p>
    <w:p w14:paraId="73CEE048" w14:textId="77777777" w:rsidR="005A23D2" w:rsidRPr="00936526" w:rsidRDefault="004E70AD" w:rsidP="00A46C9A">
      <w:pPr>
        <w:pStyle w:val="NoSpacing"/>
        <w:jc w:val="both"/>
        <w:rPr>
          <w:rFonts w:eastAsia="Calibri"/>
          <w:sz w:val="22"/>
          <w:szCs w:val="22"/>
          <w:lang w:val="sr-Latn-RS"/>
        </w:rPr>
      </w:pPr>
      <w:r w:rsidRPr="00936526">
        <w:rPr>
          <w:rFonts w:eastAsia="Calibri"/>
          <w:sz w:val="22"/>
          <w:szCs w:val="22"/>
          <w:lang w:val="sr-Latn-RS"/>
        </w:rPr>
        <w:t xml:space="preserve">Institut </w:t>
      </w:r>
      <w:r w:rsidR="005A23D2" w:rsidRPr="00936526">
        <w:rPr>
          <w:rFonts w:eastAsia="Calibri"/>
          <w:sz w:val="22"/>
          <w:szCs w:val="22"/>
          <w:lang w:val="sr-Latn-RS"/>
        </w:rPr>
        <w:t xml:space="preserve">za ljekove i medicinska sredstva </w:t>
      </w:r>
    </w:p>
    <w:p w14:paraId="627F2650" w14:textId="77777777" w:rsidR="005A23D2" w:rsidRPr="00936526" w:rsidRDefault="005A23D2" w:rsidP="00A46C9A">
      <w:pPr>
        <w:pStyle w:val="NoSpacing"/>
        <w:jc w:val="both"/>
        <w:rPr>
          <w:rFonts w:eastAsia="Calibri"/>
          <w:sz w:val="22"/>
          <w:szCs w:val="22"/>
          <w:lang w:val="sr-Latn-RS"/>
        </w:rPr>
      </w:pPr>
      <w:r w:rsidRPr="00936526">
        <w:rPr>
          <w:rFonts w:eastAsia="Calibri"/>
          <w:sz w:val="22"/>
          <w:szCs w:val="22"/>
          <w:lang w:val="sr-Latn-RS"/>
        </w:rPr>
        <w:t>Odjeljenje za farmakovigilancu</w:t>
      </w:r>
    </w:p>
    <w:p w14:paraId="42EDA427" w14:textId="77777777" w:rsidR="00EA5765" w:rsidRPr="00936526" w:rsidRDefault="005A23D2" w:rsidP="00A46C9A">
      <w:pPr>
        <w:pStyle w:val="NoSpacing"/>
        <w:jc w:val="both"/>
        <w:rPr>
          <w:rFonts w:eastAsia="Calibri"/>
          <w:sz w:val="22"/>
          <w:szCs w:val="22"/>
          <w:lang w:val="sr-Latn-RS"/>
        </w:rPr>
      </w:pPr>
      <w:r w:rsidRPr="00936526">
        <w:rPr>
          <w:rFonts w:eastAsia="Calibri"/>
          <w:sz w:val="22"/>
          <w:szCs w:val="22"/>
          <w:lang w:val="sr-Latn-RS"/>
        </w:rPr>
        <w:t>Bulevar Ivana Crnojevića 64a, 81000 Podgorica</w:t>
      </w:r>
    </w:p>
    <w:p w14:paraId="31BF44E2" w14:textId="77777777" w:rsidR="00EA5765" w:rsidRPr="00936526" w:rsidRDefault="00EA5765" w:rsidP="00A46C9A">
      <w:pPr>
        <w:pStyle w:val="NoSpacing"/>
        <w:rPr>
          <w:rFonts w:eastAsia="Calibri"/>
          <w:sz w:val="22"/>
          <w:szCs w:val="22"/>
          <w:lang w:val="sr-Latn-RS"/>
        </w:rPr>
      </w:pPr>
    </w:p>
    <w:p w14:paraId="11C26E57" w14:textId="77777777" w:rsidR="005A23D2" w:rsidRPr="00936526" w:rsidRDefault="005A23D2" w:rsidP="00A46C9A">
      <w:pPr>
        <w:pStyle w:val="NoSpacing"/>
        <w:jc w:val="both"/>
        <w:rPr>
          <w:rFonts w:eastAsia="Calibri"/>
          <w:sz w:val="22"/>
          <w:szCs w:val="22"/>
          <w:lang w:val="sr-Latn-RS"/>
        </w:rPr>
      </w:pPr>
      <w:r w:rsidRPr="00936526">
        <w:rPr>
          <w:rFonts w:eastAsia="Calibri"/>
          <w:sz w:val="22"/>
          <w:szCs w:val="22"/>
          <w:lang w:val="sr-Latn-RS"/>
        </w:rPr>
        <w:t>tel: +382 (0) 20 310 280</w:t>
      </w:r>
    </w:p>
    <w:p w14:paraId="6B0FCA15" w14:textId="77777777" w:rsidR="00EA5765" w:rsidRPr="00936526" w:rsidRDefault="005A23D2" w:rsidP="00A46C9A">
      <w:pPr>
        <w:pStyle w:val="NoSpacing"/>
        <w:jc w:val="both"/>
        <w:rPr>
          <w:rFonts w:eastAsia="Calibri"/>
          <w:sz w:val="22"/>
          <w:szCs w:val="22"/>
          <w:lang w:val="sr-Latn-RS"/>
        </w:rPr>
      </w:pPr>
      <w:r w:rsidRPr="00936526">
        <w:rPr>
          <w:rFonts w:eastAsia="Calibri"/>
          <w:sz w:val="22"/>
          <w:szCs w:val="22"/>
          <w:lang w:val="sr-Latn-RS"/>
        </w:rPr>
        <w:t>fax:</w:t>
      </w:r>
      <w:r w:rsidR="00EA5765" w:rsidRPr="00936526">
        <w:rPr>
          <w:rFonts w:eastAsia="Calibri"/>
          <w:sz w:val="22"/>
          <w:szCs w:val="22"/>
          <w:lang w:val="sr-Latn-RS"/>
        </w:rPr>
        <w:t xml:space="preserve"> </w:t>
      </w:r>
      <w:r w:rsidRPr="00936526">
        <w:rPr>
          <w:rFonts w:eastAsia="Calibri"/>
          <w:sz w:val="22"/>
          <w:szCs w:val="22"/>
          <w:lang w:val="sr-Latn-RS"/>
        </w:rPr>
        <w:t>+382 (0) 20 310 581</w:t>
      </w:r>
    </w:p>
    <w:p w14:paraId="57C87699" w14:textId="77777777" w:rsidR="005A23D2" w:rsidRPr="00936526" w:rsidRDefault="00704757" w:rsidP="00A46C9A">
      <w:pPr>
        <w:pStyle w:val="NoSpacing"/>
        <w:jc w:val="both"/>
        <w:rPr>
          <w:rFonts w:eastAsia="Calibri"/>
          <w:sz w:val="22"/>
          <w:szCs w:val="22"/>
          <w:lang w:val="sr-Latn-RS"/>
        </w:rPr>
      </w:pPr>
      <w:hyperlink r:id="rId11" w:history="1">
        <w:r w:rsidR="004E70AD" w:rsidRPr="00936526">
          <w:rPr>
            <w:rStyle w:val="Hyperlink"/>
            <w:rFonts w:eastAsia="Calibri"/>
            <w:sz w:val="22"/>
            <w:szCs w:val="22"/>
            <w:lang w:val="sr-Latn-RS"/>
          </w:rPr>
          <w:t>www.cinmed.me</w:t>
        </w:r>
      </w:hyperlink>
    </w:p>
    <w:p w14:paraId="407AA5DF" w14:textId="77777777" w:rsidR="00EA5765" w:rsidRPr="00936526" w:rsidRDefault="00704757" w:rsidP="00A46C9A">
      <w:pPr>
        <w:pStyle w:val="NoSpacing"/>
        <w:jc w:val="both"/>
        <w:rPr>
          <w:rFonts w:eastAsia="Calibri"/>
          <w:color w:val="0000FF"/>
          <w:sz w:val="22"/>
          <w:szCs w:val="22"/>
          <w:u w:val="single"/>
          <w:lang w:val="sr-Latn-RS"/>
        </w:rPr>
      </w:pPr>
      <w:hyperlink r:id="rId12" w:history="1">
        <w:r w:rsidR="004E70AD" w:rsidRPr="00936526">
          <w:rPr>
            <w:rStyle w:val="Hyperlink"/>
            <w:rFonts w:eastAsia="Calibri"/>
            <w:sz w:val="22"/>
            <w:szCs w:val="22"/>
            <w:lang w:val="sr-Latn-RS"/>
          </w:rPr>
          <w:t>nezeljenadejstva@cinmed.me</w:t>
        </w:r>
      </w:hyperlink>
    </w:p>
    <w:p w14:paraId="3C3A3121" w14:textId="6B5AFBFE" w:rsidR="005A23D2" w:rsidRPr="00936526" w:rsidRDefault="005A23D2" w:rsidP="00A46C9A">
      <w:pPr>
        <w:pStyle w:val="NoSpacing"/>
        <w:jc w:val="both"/>
        <w:rPr>
          <w:rFonts w:eastAsia="Calibri"/>
          <w:sz w:val="22"/>
          <w:szCs w:val="22"/>
          <w:lang w:val="sr-Latn-RS"/>
        </w:rPr>
      </w:pPr>
      <w:r w:rsidRPr="00936526">
        <w:rPr>
          <w:rFonts w:eastAsia="Calibri"/>
          <w:sz w:val="22"/>
          <w:szCs w:val="22"/>
          <w:lang w:val="sr-Latn-RS"/>
        </w:rPr>
        <w:t>putem IS zdravstvene zaštite</w:t>
      </w:r>
    </w:p>
    <w:p w14:paraId="553E8DEF" w14:textId="413D3DCC" w:rsidR="009F070A" w:rsidRPr="00936526" w:rsidRDefault="009F070A" w:rsidP="00A46C9A">
      <w:pPr>
        <w:pStyle w:val="NoSpacing"/>
        <w:jc w:val="both"/>
        <w:rPr>
          <w:rFonts w:eastAsia="Calibri"/>
          <w:sz w:val="22"/>
          <w:szCs w:val="22"/>
          <w:lang w:val="sr-Latn-RS"/>
        </w:rPr>
      </w:pPr>
      <w:r w:rsidRPr="00936526">
        <w:rPr>
          <w:rFonts w:eastAsia="Calibri"/>
          <w:sz w:val="22"/>
          <w:szCs w:val="22"/>
          <w:lang w:val="sr-Latn-RS"/>
        </w:rPr>
        <w:t>QR kod za online prijavu sumnje na neželjeno dejstvo lijeka:</w:t>
      </w:r>
    </w:p>
    <w:p w14:paraId="25232EA9" w14:textId="30816D2A" w:rsidR="009F070A" w:rsidRPr="00936526" w:rsidRDefault="009F070A" w:rsidP="00A46C9A">
      <w:pPr>
        <w:pStyle w:val="NoSpacing"/>
        <w:jc w:val="both"/>
        <w:rPr>
          <w:rFonts w:eastAsia="Calibri"/>
          <w:sz w:val="22"/>
          <w:szCs w:val="22"/>
          <w:lang w:val="sr-Latn-RS"/>
        </w:rPr>
      </w:pPr>
      <w:r w:rsidRPr="00936526">
        <w:rPr>
          <w:rFonts w:eastAsia="Calibri"/>
          <w:noProof/>
          <w:sz w:val="22"/>
          <w:szCs w:val="22"/>
        </w:rPr>
        <w:drawing>
          <wp:inline distT="0" distB="0" distL="0" distR="0" wp14:anchorId="03DCFB34" wp14:editId="7E9EE343">
            <wp:extent cx="969645" cy="9696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p w14:paraId="1F7BA604" w14:textId="77777777" w:rsidR="00836B35" w:rsidRPr="00936526" w:rsidRDefault="00836B35" w:rsidP="00480FB1">
      <w:pPr>
        <w:tabs>
          <w:tab w:val="left" w:pos="540"/>
          <w:tab w:val="left" w:pos="569"/>
        </w:tabs>
        <w:rPr>
          <w:b/>
          <w:bCs/>
          <w:sz w:val="22"/>
          <w:szCs w:val="22"/>
          <w:lang w:val="sr-Latn-RS"/>
        </w:rPr>
      </w:pPr>
    </w:p>
    <w:p w14:paraId="659CB7ED" w14:textId="2DF82BBA" w:rsidR="00CD6F02" w:rsidRPr="00936526" w:rsidRDefault="0072020E" w:rsidP="00121CF3">
      <w:pPr>
        <w:tabs>
          <w:tab w:val="left" w:pos="540"/>
          <w:tab w:val="left" w:pos="569"/>
        </w:tabs>
        <w:spacing w:line="360" w:lineRule="auto"/>
        <w:rPr>
          <w:b/>
          <w:bCs/>
          <w:sz w:val="22"/>
          <w:szCs w:val="22"/>
          <w:lang w:val="sr-Latn-RS"/>
        </w:rPr>
      </w:pPr>
      <w:r w:rsidRPr="00936526">
        <w:rPr>
          <w:b/>
          <w:bCs/>
          <w:sz w:val="22"/>
          <w:szCs w:val="22"/>
          <w:lang w:val="sr-Latn-RS"/>
        </w:rPr>
        <w:t>4.9. Predoziranje</w:t>
      </w:r>
      <w:r w:rsidR="002846DB" w:rsidRPr="00936526">
        <w:rPr>
          <w:b/>
          <w:bCs/>
          <w:sz w:val="22"/>
          <w:szCs w:val="22"/>
          <w:lang w:val="sr-Latn-RS"/>
        </w:rPr>
        <w:t xml:space="preserve"> </w:t>
      </w:r>
    </w:p>
    <w:p w14:paraId="792B2B00" w14:textId="77777777" w:rsidR="0075236C" w:rsidRPr="00936526" w:rsidRDefault="0075236C" w:rsidP="00121CF3">
      <w:pPr>
        <w:tabs>
          <w:tab w:val="left" w:pos="284"/>
        </w:tabs>
        <w:spacing w:before="120" w:line="276" w:lineRule="auto"/>
        <w:jc w:val="both"/>
        <w:rPr>
          <w:sz w:val="22"/>
          <w:szCs w:val="22"/>
          <w:u w:val="single"/>
          <w:lang w:val="sr-Latn-RS"/>
        </w:rPr>
      </w:pPr>
      <w:r w:rsidRPr="00936526">
        <w:rPr>
          <w:sz w:val="22"/>
          <w:szCs w:val="22"/>
          <w:u w:val="single"/>
          <w:lang w:val="sr-Latn-RS"/>
        </w:rPr>
        <w:t>Simptomi</w:t>
      </w:r>
    </w:p>
    <w:p w14:paraId="081D9FE1" w14:textId="24B24B00" w:rsidR="0075236C" w:rsidRPr="00936526" w:rsidRDefault="0075236C" w:rsidP="0075236C">
      <w:pPr>
        <w:tabs>
          <w:tab w:val="left" w:pos="284"/>
        </w:tabs>
        <w:spacing w:before="120"/>
        <w:jc w:val="both"/>
        <w:rPr>
          <w:sz w:val="22"/>
          <w:szCs w:val="22"/>
          <w:lang w:val="sr-Latn-RS"/>
        </w:rPr>
      </w:pPr>
      <w:r w:rsidRPr="00936526">
        <w:rPr>
          <w:sz w:val="22"/>
          <w:szCs w:val="22"/>
          <w:lang w:val="sr-Latn-RS"/>
        </w:rPr>
        <w:t xml:space="preserve">Predoziranje </w:t>
      </w:r>
      <w:r w:rsidR="00195C4A" w:rsidRPr="00936526">
        <w:rPr>
          <w:sz w:val="22"/>
          <w:szCs w:val="22"/>
          <w:lang w:val="sr-Latn-RS"/>
        </w:rPr>
        <w:t xml:space="preserve">insulinom </w:t>
      </w:r>
      <w:r w:rsidRPr="00936526">
        <w:rPr>
          <w:sz w:val="22"/>
          <w:szCs w:val="22"/>
          <w:lang w:val="sr-Latn-RS"/>
        </w:rPr>
        <w:t>može da dovede do teške, i ponekad dugotrajne hipoglikemije, koja može biti i opasna po život.</w:t>
      </w:r>
    </w:p>
    <w:p w14:paraId="738B3E65" w14:textId="77777777" w:rsidR="0075236C" w:rsidRPr="00936526" w:rsidRDefault="0075236C" w:rsidP="00121CF3">
      <w:pPr>
        <w:tabs>
          <w:tab w:val="left" w:pos="284"/>
        </w:tabs>
        <w:spacing w:before="120" w:line="276" w:lineRule="auto"/>
        <w:jc w:val="both"/>
        <w:rPr>
          <w:sz w:val="22"/>
          <w:szCs w:val="22"/>
          <w:u w:val="single"/>
          <w:lang w:val="sr-Latn-RS"/>
        </w:rPr>
      </w:pPr>
      <w:r w:rsidRPr="00936526">
        <w:rPr>
          <w:sz w:val="22"/>
          <w:szCs w:val="22"/>
          <w:u w:val="single"/>
          <w:lang w:val="sr-Latn-RS"/>
        </w:rPr>
        <w:t>Terapija</w:t>
      </w:r>
    </w:p>
    <w:p w14:paraId="3FE5A9B8" w14:textId="65748C0F" w:rsidR="0075236C" w:rsidRPr="00936526" w:rsidRDefault="0075236C" w:rsidP="005C7FE3">
      <w:pPr>
        <w:tabs>
          <w:tab w:val="left" w:pos="284"/>
        </w:tabs>
        <w:spacing w:before="120"/>
        <w:jc w:val="both"/>
        <w:rPr>
          <w:sz w:val="22"/>
          <w:szCs w:val="22"/>
          <w:lang w:val="sr-Latn-RS"/>
        </w:rPr>
      </w:pPr>
      <w:r w:rsidRPr="00936526">
        <w:rPr>
          <w:sz w:val="22"/>
          <w:szCs w:val="22"/>
          <w:lang w:val="sr-Latn-RS"/>
        </w:rPr>
        <w:t>Blage epizode hipoglikemije mogu se obično l</w:t>
      </w:r>
      <w:r w:rsidR="00195C4A" w:rsidRPr="00936526">
        <w:rPr>
          <w:sz w:val="22"/>
          <w:szCs w:val="22"/>
          <w:lang w:val="sr-Latn-RS"/>
        </w:rPr>
        <w:t>ij</w:t>
      </w:r>
      <w:r w:rsidRPr="00936526">
        <w:rPr>
          <w:sz w:val="22"/>
          <w:szCs w:val="22"/>
          <w:lang w:val="sr-Latn-RS"/>
        </w:rPr>
        <w:t>ečiti oralnim uzimanjem ugljenih hidrata. Istovremeno, može biti neophodno i prilagođavanje doze lijeka, rasporeda i vrste obroka ili fizičke aktivnosti.</w:t>
      </w:r>
    </w:p>
    <w:p w14:paraId="4848DC15" w14:textId="68ACC997" w:rsidR="00CD6F02" w:rsidRPr="00936526" w:rsidRDefault="0075236C" w:rsidP="00121CF3">
      <w:pPr>
        <w:tabs>
          <w:tab w:val="left" w:pos="540"/>
          <w:tab w:val="left" w:pos="569"/>
        </w:tabs>
        <w:jc w:val="both"/>
        <w:rPr>
          <w:b/>
          <w:bCs/>
          <w:sz w:val="22"/>
          <w:szCs w:val="22"/>
          <w:lang w:val="sr-Latn-RS"/>
        </w:rPr>
      </w:pPr>
      <w:r w:rsidRPr="00936526">
        <w:rPr>
          <w:sz w:val="22"/>
          <w:szCs w:val="22"/>
          <w:lang w:val="sr-Latn-RS"/>
        </w:rPr>
        <w:t>Teže epizode sa komom, grčevima ili neurološkim poremećajima mogu se liječiti intramuskularnom/subkutanom primjenom glukagona ili intravenskom primjenom koncentrovanog rastvora glukoze. Produžena upotreba ugljenih hidrata i praćenje pacijenta mogu biti neophodni, jer se poslije očiglednog kliničkog oporavka, epizode hipoglikemije mogu ponovo pojaviti.</w:t>
      </w:r>
    </w:p>
    <w:p w14:paraId="2E2FFB6E" w14:textId="6940431C" w:rsidR="00227BDB" w:rsidRPr="00936526" w:rsidRDefault="00227BDB" w:rsidP="00480FB1">
      <w:pPr>
        <w:tabs>
          <w:tab w:val="left" w:pos="540"/>
          <w:tab w:val="left" w:pos="569"/>
        </w:tabs>
        <w:rPr>
          <w:b/>
          <w:bCs/>
          <w:sz w:val="22"/>
          <w:szCs w:val="22"/>
          <w:lang w:val="sr-Latn-RS"/>
        </w:rPr>
      </w:pPr>
    </w:p>
    <w:p w14:paraId="615B7D4F" w14:textId="77777777" w:rsidR="00121CF3" w:rsidRPr="00936526" w:rsidRDefault="00121CF3" w:rsidP="00480FB1">
      <w:pPr>
        <w:tabs>
          <w:tab w:val="left" w:pos="540"/>
          <w:tab w:val="left" w:pos="569"/>
        </w:tabs>
        <w:rPr>
          <w:b/>
          <w:bCs/>
          <w:sz w:val="22"/>
          <w:szCs w:val="22"/>
          <w:lang w:val="sr-Latn-RS"/>
        </w:rPr>
      </w:pPr>
    </w:p>
    <w:p w14:paraId="01CD70B9" w14:textId="66F3FCF7" w:rsidR="0072020E" w:rsidRPr="00936526" w:rsidRDefault="0072020E" w:rsidP="00480FB1">
      <w:pPr>
        <w:tabs>
          <w:tab w:val="left" w:pos="540"/>
          <w:tab w:val="left" w:pos="569"/>
        </w:tabs>
        <w:rPr>
          <w:b/>
          <w:bCs/>
          <w:sz w:val="22"/>
          <w:szCs w:val="22"/>
          <w:lang w:val="sr-Latn-RS"/>
        </w:rPr>
      </w:pPr>
      <w:r w:rsidRPr="00936526">
        <w:rPr>
          <w:b/>
          <w:bCs/>
          <w:sz w:val="22"/>
          <w:szCs w:val="22"/>
          <w:lang w:val="sr-Latn-RS"/>
        </w:rPr>
        <w:t>5. FARMAKOLOŠK</w:t>
      </w:r>
      <w:r w:rsidR="000D425A" w:rsidRPr="00936526">
        <w:rPr>
          <w:b/>
          <w:bCs/>
          <w:sz w:val="22"/>
          <w:szCs w:val="22"/>
          <w:lang w:val="sr-Latn-RS"/>
        </w:rPr>
        <w:t>I</w:t>
      </w:r>
      <w:r w:rsidRPr="00936526">
        <w:rPr>
          <w:b/>
          <w:bCs/>
          <w:sz w:val="22"/>
          <w:szCs w:val="22"/>
          <w:lang w:val="sr-Latn-RS"/>
        </w:rPr>
        <w:t xml:space="preserve"> PODACI</w:t>
      </w:r>
    </w:p>
    <w:p w14:paraId="416A20CE" w14:textId="77777777" w:rsidR="0072020E" w:rsidRPr="00936526" w:rsidRDefault="0072020E" w:rsidP="00480FB1">
      <w:pPr>
        <w:tabs>
          <w:tab w:val="left" w:pos="540"/>
          <w:tab w:val="left" w:pos="569"/>
        </w:tabs>
        <w:rPr>
          <w:b/>
          <w:bCs/>
          <w:sz w:val="22"/>
          <w:szCs w:val="22"/>
          <w:lang w:val="sr-Latn-RS"/>
        </w:rPr>
      </w:pPr>
    </w:p>
    <w:p w14:paraId="1F795023" w14:textId="393C71E3" w:rsidR="0072020E" w:rsidRPr="00936526" w:rsidRDefault="0072020E" w:rsidP="00480FB1">
      <w:pPr>
        <w:tabs>
          <w:tab w:val="left" w:pos="540"/>
          <w:tab w:val="left" w:pos="569"/>
        </w:tabs>
        <w:rPr>
          <w:b/>
          <w:bCs/>
          <w:sz w:val="22"/>
          <w:szCs w:val="22"/>
          <w:lang w:val="sr-Latn-RS"/>
        </w:rPr>
      </w:pPr>
      <w:r w:rsidRPr="00936526">
        <w:rPr>
          <w:b/>
          <w:bCs/>
          <w:sz w:val="22"/>
          <w:szCs w:val="22"/>
          <w:lang w:val="sr-Latn-RS"/>
        </w:rPr>
        <w:t>5.1. Farmakodinamski podaci</w:t>
      </w:r>
      <w:r w:rsidR="003A7059" w:rsidRPr="00936526">
        <w:rPr>
          <w:b/>
          <w:bCs/>
          <w:sz w:val="22"/>
          <w:szCs w:val="22"/>
          <w:lang w:val="sr-Latn-RS"/>
        </w:rPr>
        <w:t xml:space="preserve"> </w:t>
      </w:r>
    </w:p>
    <w:p w14:paraId="0C041C45" w14:textId="77777777" w:rsidR="00F45F77" w:rsidRPr="00936526" w:rsidRDefault="00F45F77" w:rsidP="00480FB1">
      <w:pPr>
        <w:tabs>
          <w:tab w:val="left" w:pos="540"/>
          <w:tab w:val="left" w:pos="569"/>
        </w:tabs>
        <w:rPr>
          <w:b/>
          <w:bCs/>
          <w:sz w:val="22"/>
          <w:szCs w:val="22"/>
          <w:lang w:val="sr-Latn-RS"/>
        </w:rPr>
      </w:pPr>
    </w:p>
    <w:p w14:paraId="14BD3678" w14:textId="5DC52179" w:rsidR="0072020E" w:rsidRPr="00936526" w:rsidRDefault="0072020E" w:rsidP="00480FB1">
      <w:pPr>
        <w:tabs>
          <w:tab w:val="left" w:pos="540"/>
          <w:tab w:val="left" w:pos="569"/>
        </w:tabs>
        <w:rPr>
          <w:bCs/>
          <w:sz w:val="22"/>
          <w:szCs w:val="22"/>
          <w:lang w:val="sr-Latn-RS"/>
        </w:rPr>
      </w:pPr>
      <w:r w:rsidRPr="00936526">
        <w:rPr>
          <w:bCs/>
          <w:sz w:val="22"/>
          <w:szCs w:val="22"/>
          <w:lang w:val="sr-Latn-RS"/>
        </w:rPr>
        <w:t>Farmakoterapijska grupa:</w:t>
      </w:r>
      <w:r w:rsidR="0075236C" w:rsidRPr="00936526">
        <w:rPr>
          <w:sz w:val="22"/>
          <w:szCs w:val="22"/>
          <w:lang w:val="sr-Latn-RS"/>
        </w:rPr>
        <w:t xml:space="preserve"> </w:t>
      </w:r>
      <w:r w:rsidR="00195C4A" w:rsidRPr="00936526">
        <w:rPr>
          <w:sz w:val="22"/>
          <w:szCs w:val="22"/>
          <w:lang w:val="sr-Latn-RS"/>
        </w:rPr>
        <w:t>Ljekovi koji se upotrebljavaju u liječenju dijabetesa (antidijabetici)</w:t>
      </w:r>
      <w:r w:rsidR="00226865" w:rsidRPr="00936526">
        <w:rPr>
          <w:sz w:val="22"/>
          <w:szCs w:val="22"/>
          <w:lang w:val="sr-Latn-RS"/>
        </w:rPr>
        <w:t xml:space="preserve">. </w:t>
      </w:r>
      <w:r w:rsidR="0075236C" w:rsidRPr="00936526">
        <w:rPr>
          <w:sz w:val="22"/>
          <w:szCs w:val="22"/>
          <w:lang w:val="sr-Latn-RS"/>
        </w:rPr>
        <w:t>Insulini i analozi, parenteralni, dugog dejstva</w:t>
      </w:r>
      <w:r w:rsidR="00226865" w:rsidRPr="00936526">
        <w:rPr>
          <w:sz w:val="22"/>
          <w:szCs w:val="22"/>
          <w:lang w:val="sr-Latn-RS"/>
        </w:rPr>
        <w:t>.</w:t>
      </w:r>
    </w:p>
    <w:p w14:paraId="39DF644C" w14:textId="77777777" w:rsidR="0072020E" w:rsidRPr="00936526" w:rsidRDefault="0072020E" w:rsidP="00480FB1">
      <w:pPr>
        <w:tabs>
          <w:tab w:val="left" w:pos="540"/>
          <w:tab w:val="left" w:pos="569"/>
        </w:tabs>
        <w:rPr>
          <w:bCs/>
          <w:sz w:val="22"/>
          <w:szCs w:val="22"/>
          <w:lang w:val="sr-Latn-RS"/>
        </w:rPr>
      </w:pPr>
    </w:p>
    <w:p w14:paraId="4A17951F" w14:textId="71966550" w:rsidR="0072020E" w:rsidRPr="00936526" w:rsidRDefault="0072020E" w:rsidP="00480FB1">
      <w:pPr>
        <w:tabs>
          <w:tab w:val="left" w:pos="540"/>
          <w:tab w:val="left" w:pos="569"/>
        </w:tabs>
        <w:rPr>
          <w:bCs/>
          <w:sz w:val="22"/>
          <w:szCs w:val="22"/>
          <w:lang w:val="sr-Latn-RS"/>
        </w:rPr>
      </w:pPr>
      <w:r w:rsidRPr="00936526">
        <w:rPr>
          <w:bCs/>
          <w:sz w:val="22"/>
          <w:szCs w:val="22"/>
          <w:lang w:val="sr-Latn-RS"/>
        </w:rPr>
        <w:t>ATC kod:</w:t>
      </w:r>
      <w:r w:rsidR="00195C4A" w:rsidRPr="00936526">
        <w:rPr>
          <w:bCs/>
          <w:sz w:val="22"/>
          <w:szCs w:val="22"/>
          <w:lang w:val="sr-Latn-RS"/>
        </w:rPr>
        <w:t xml:space="preserve"> </w:t>
      </w:r>
      <w:r w:rsidR="0075236C" w:rsidRPr="00936526">
        <w:rPr>
          <w:bCs/>
          <w:sz w:val="22"/>
          <w:szCs w:val="22"/>
          <w:lang w:val="sr-Latn-RS"/>
        </w:rPr>
        <w:t>A10AE04</w:t>
      </w:r>
    </w:p>
    <w:p w14:paraId="31B9A98C" w14:textId="77777777" w:rsidR="00922BAB" w:rsidRPr="00936526" w:rsidRDefault="00922BAB" w:rsidP="00480FB1">
      <w:pPr>
        <w:tabs>
          <w:tab w:val="left" w:pos="540"/>
          <w:tab w:val="left" w:pos="569"/>
        </w:tabs>
        <w:rPr>
          <w:bCs/>
          <w:sz w:val="22"/>
          <w:szCs w:val="22"/>
          <w:lang w:val="sr-Latn-RS"/>
        </w:rPr>
      </w:pPr>
    </w:p>
    <w:p w14:paraId="6A4D8169" w14:textId="6D184798" w:rsidR="00226865" w:rsidRPr="00936526" w:rsidRDefault="00226865" w:rsidP="00480FB1">
      <w:pPr>
        <w:tabs>
          <w:tab w:val="left" w:pos="540"/>
          <w:tab w:val="left" w:pos="569"/>
        </w:tabs>
        <w:rPr>
          <w:bCs/>
          <w:sz w:val="22"/>
          <w:szCs w:val="22"/>
          <w:u w:val="single"/>
          <w:lang w:val="sr-Latn-RS"/>
        </w:rPr>
      </w:pPr>
      <w:r w:rsidRPr="00936526">
        <w:rPr>
          <w:bCs/>
          <w:sz w:val="22"/>
          <w:szCs w:val="22"/>
          <w:u w:val="single"/>
          <w:lang w:val="sr-Latn-RS"/>
        </w:rPr>
        <w:t>Mehanizam dejstva</w:t>
      </w:r>
    </w:p>
    <w:p w14:paraId="37C4FED1" w14:textId="5EE9E95B" w:rsidR="0075236C" w:rsidRPr="00936526" w:rsidRDefault="0075236C" w:rsidP="0075236C">
      <w:pPr>
        <w:tabs>
          <w:tab w:val="left" w:pos="284"/>
        </w:tabs>
        <w:spacing w:before="120"/>
        <w:jc w:val="both"/>
        <w:rPr>
          <w:sz w:val="22"/>
          <w:szCs w:val="22"/>
          <w:lang w:val="sr-Latn-RS"/>
        </w:rPr>
      </w:pPr>
      <w:r w:rsidRPr="00936526">
        <w:rPr>
          <w:sz w:val="22"/>
          <w:szCs w:val="22"/>
          <w:lang w:val="sr-Latn-RS"/>
        </w:rPr>
        <w:t>Insulin glargin je analog humanog insulina razvijen tako da ima slabu rastvorljivost pri neutralnom pH. Potpuno je rastvorljiv pri kiselom pH Lantus rastvora za injekciju (pH=4). Posl</w:t>
      </w:r>
      <w:r w:rsidR="00226865" w:rsidRPr="00936526">
        <w:rPr>
          <w:sz w:val="22"/>
          <w:szCs w:val="22"/>
          <w:lang w:val="sr-Latn-RS"/>
        </w:rPr>
        <w:t>ij</w:t>
      </w:r>
      <w:r w:rsidRPr="00936526">
        <w:rPr>
          <w:sz w:val="22"/>
          <w:szCs w:val="22"/>
          <w:lang w:val="sr-Latn-RS"/>
        </w:rPr>
        <w:t xml:space="preserve">e </w:t>
      </w:r>
      <w:r w:rsidR="00226865" w:rsidRPr="00936526">
        <w:rPr>
          <w:sz w:val="22"/>
          <w:szCs w:val="22"/>
          <w:lang w:val="sr-Latn-RS"/>
        </w:rPr>
        <w:t xml:space="preserve">injektovanja </w:t>
      </w:r>
      <w:r w:rsidRPr="00936526">
        <w:rPr>
          <w:sz w:val="22"/>
          <w:szCs w:val="22"/>
          <w:lang w:val="sr-Latn-RS"/>
        </w:rPr>
        <w:t>u subkutano tkivo, kiseli rastvor se neutrališe, što dovodi do stvaranja mikroprecipitata iz kojih se male količine insulin glargina kontinuirano oslobađaju, obezb</w:t>
      </w:r>
      <w:r w:rsidR="00226865" w:rsidRPr="00936526">
        <w:rPr>
          <w:sz w:val="22"/>
          <w:szCs w:val="22"/>
          <w:lang w:val="sr-Latn-RS"/>
        </w:rPr>
        <w:t>j</w:t>
      </w:r>
      <w:r w:rsidRPr="00936526">
        <w:rPr>
          <w:sz w:val="22"/>
          <w:szCs w:val="22"/>
          <w:lang w:val="sr-Latn-RS"/>
        </w:rPr>
        <w:t>eđujući ravnomjeran predvidljiv profil koncentracija/vrijeme, bez pikova i sa dugotrajnim djelovanjem.</w:t>
      </w:r>
    </w:p>
    <w:p w14:paraId="1B705FA2" w14:textId="4EAA245F" w:rsidR="0075236C" w:rsidRPr="00936526" w:rsidRDefault="0075236C" w:rsidP="0075236C">
      <w:pPr>
        <w:tabs>
          <w:tab w:val="left" w:pos="284"/>
        </w:tabs>
        <w:spacing w:before="120"/>
        <w:jc w:val="both"/>
        <w:rPr>
          <w:sz w:val="22"/>
          <w:szCs w:val="22"/>
          <w:lang w:val="sr-Latn-RS"/>
        </w:rPr>
      </w:pPr>
      <w:r w:rsidRPr="00936526">
        <w:rPr>
          <w:sz w:val="22"/>
          <w:szCs w:val="22"/>
          <w:lang w:val="sr-Latn-RS"/>
        </w:rPr>
        <w:t xml:space="preserve">Insulin glargin se metaboliše do dva aktivna metabolita, M1 i M2 (vidjeti </w:t>
      </w:r>
      <w:r w:rsidR="00226865" w:rsidRPr="00936526">
        <w:rPr>
          <w:sz w:val="22"/>
          <w:szCs w:val="22"/>
          <w:lang w:val="sr-Latn-RS"/>
        </w:rPr>
        <w:t xml:space="preserve">dio </w:t>
      </w:r>
      <w:r w:rsidRPr="00936526">
        <w:rPr>
          <w:sz w:val="22"/>
          <w:szCs w:val="22"/>
          <w:lang w:val="sr-Latn-RS"/>
        </w:rPr>
        <w:t xml:space="preserve">5.2). </w:t>
      </w:r>
    </w:p>
    <w:p w14:paraId="41119D2C" w14:textId="77777777" w:rsidR="0075236C" w:rsidRPr="00936526" w:rsidRDefault="0075236C" w:rsidP="0075236C">
      <w:pPr>
        <w:tabs>
          <w:tab w:val="left" w:pos="284"/>
        </w:tabs>
        <w:spacing w:before="120"/>
        <w:jc w:val="both"/>
        <w:rPr>
          <w:sz w:val="22"/>
          <w:szCs w:val="22"/>
          <w:lang w:val="sr-Latn-RS"/>
        </w:rPr>
      </w:pPr>
      <w:r w:rsidRPr="00936526">
        <w:rPr>
          <w:sz w:val="22"/>
          <w:szCs w:val="22"/>
          <w:lang w:val="sr-Latn-RS"/>
        </w:rPr>
        <w:t xml:space="preserve">Vezivanje za insulinski receptor: </w:t>
      </w:r>
      <w:r w:rsidRPr="00936526">
        <w:rPr>
          <w:i/>
          <w:sz w:val="22"/>
          <w:szCs w:val="22"/>
          <w:lang w:val="sr-Latn-RS"/>
        </w:rPr>
        <w:t>In vitro</w:t>
      </w:r>
      <w:r w:rsidRPr="00936526">
        <w:rPr>
          <w:sz w:val="22"/>
          <w:szCs w:val="22"/>
          <w:lang w:val="sr-Latn-RS"/>
        </w:rPr>
        <w:t xml:space="preserve"> studije pokazale su da je afinitet insulin glargina i njegovih metabolita M1 i M2 za humane insulinske receptore sličan afinitetu humanog insulina.</w:t>
      </w:r>
    </w:p>
    <w:p w14:paraId="5BC77A39" w14:textId="77777777" w:rsidR="0075236C" w:rsidRPr="00936526" w:rsidRDefault="0075236C" w:rsidP="0075236C">
      <w:pPr>
        <w:tabs>
          <w:tab w:val="left" w:pos="284"/>
        </w:tabs>
        <w:spacing w:before="120"/>
        <w:jc w:val="both"/>
        <w:rPr>
          <w:sz w:val="22"/>
          <w:szCs w:val="22"/>
          <w:lang w:val="sr-Latn-RS"/>
        </w:rPr>
      </w:pPr>
      <w:r w:rsidRPr="00936526">
        <w:rPr>
          <w:sz w:val="22"/>
          <w:szCs w:val="22"/>
          <w:lang w:val="sr-Latn-RS"/>
        </w:rPr>
        <w:t>Vezivanje za IGF-1 receptore: Afinitet insulin glargina za humane IGF-1 receptore približno je 5 do 8 puta veći od afiniteta humanog insulina (ali približno 70 do 80 puta manji nego afinitet IGF-1), dok se M1 i M2 za IGF-1 receptore vezuju afinitetom koji je neznatno manji u odnosu na afinitet vezivanja humanog insulina.</w:t>
      </w:r>
    </w:p>
    <w:p w14:paraId="0EA8C35D" w14:textId="704221F5" w:rsidR="0075236C" w:rsidRPr="00936526" w:rsidRDefault="0075236C" w:rsidP="0075236C">
      <w:pPr>
        <w:tabs>
          <w:tab w:val="left" w:pos="284"/>
        </w:tabs>
        <w:spacing w:before="120"/>
        <w:jc w:val="both"/>
        <w:rPr>
          <w:sz w:val="22"/>
          <w:szCs w:val="22"/>
          <w:lang w:val="sr-Latn-RS"/>
        </w:rPr>
      </w:pPr>
      <w:r w:rsidRPr="00936526">
        <w:rPr>
          <w:sz w:val="22"/>
          <w:szCs w:val="22"/>
          <w:lang w:val="sr-Latn-RS"/>
        </w:rPr>
        <w:t xml:space="preserve">Ukupna terapijska koncentracija insulina (insulin glargina i njegovih metabolita) kod pacijenata koji boluju od dijabetesa tipa </w:t>
      </w:r>
      <w:r w:rsidR="00226865" w:rsidRPr="00936526">
        <w:rPr>
          <w:sz w:val="22"/>
          <w:szCs w:val="22"/>
          <w:lang w:val="sr-Latn-RS"/>
        </w:rPr>
        <w:t xml:space="preserve">1 </w:t>
      </w:r>
      <w:r w:rsidRPr="00936526">
        <w:rPr>
          <w:sz w:val="22"/>
          <w:szCs w:val="22"/>
          <w:lang w:val="sr-Latn-RS"/>
        </w:rPr>
        <w:t>bila je značajno niža od koncentracije potrebne za zauzimanje polovine od maksimalno dostupnih vezivnih mesta IGF-1 receptora i za posljedičnu aktivaciju mitogeno-proliferativnog puta preko IGF-1 receptora. Fiziološka koncentracija endogenog IGF-1 može aktivirati mitogeno-proliferativni put, međutim, terapijske konc</w:t>
      </w:r>
      <w:r w:rsidR="00226865" w:rsidRPr="00936526">
        <w:rPr>
          <w:sz w:val="22"/>
          <w:szCs w:val="22"/>
          <w:lang w:val="sr-Latn-RS"/>
        </w:rPr>
        <w:t>e</w:t>
      </w:r>
      <w:r w:rsidRPr="00936526">
        <w:rPr>
          <w:sz w:val="22"/>
          <w:szCs w:val="22"/>
          <w:lang w:val="sr-Latn-RS"/>
        </w:rPr>
        <w:t>ntracije u insulinskoj terapiji, uključujući i terapiju lijekom Lantus, značajno su niže od farmakoloških koncentracija koje su potrebne za aktivaciju IGF-1 puta.</w:t>
      </w:r>
      <w:r w:rsidR="00226865" w:rsidRPr="00936526">
        <w:rPr>
          <w:sz w:val="22"/>
          <w:szCs w:val="22"/>
          <w:lang w:val="sr-Latn-RS"/>
        </w:rPr>
        <w:t xml:space="preserve"> </w:t>
      </w:r>
      <w:r w:rsidRPr="00936526">
        <w:rPr>
          <w:sz w:val="22"/>
          <w:szCs w:val="22"/>
          <w:lang w:val="sr-Latn-RS"/>
        </w:rPr>
        <w:t xml:space="preserve">Primarna aktivnost insulina, uključujući i insulin glargin, je regulacija metabolizma glukoze. </w:t>
      </w:r>
      <w:r w:rsidRPr="00936526">
        <w:rPr>
          <w:sz w:val="22"/>
          <w:szCs w:val="22"/>
          <w:lang w:val="sr-Latn-RS"/>
        </w:rPr>
        <w:lastRenderedPageBreak/>
        <w:t xml:space="preserve">Insulin i njegovi analozi smanjuju nivo glukoze u krvi stimulacijom preuzimanja glukoze na periferiji, posebno od strane skeletnih mišića i masnog tkiva, kao i inhibicijom produkcije glukoze od strane jetre. Insulin inhibira lipolizu u adipocitima, inhibira proteolizu i pojačava sintezu proteina. </w:t>
      </w:r>
    </w:p>
    <w:p w14:paraId="7B5B746A" w14:textId="77777777" w:rsidR="0075236C" w:rsidRPr="00936526" w:rsidRDefault="0075236C" w:rsidP="0075236C">
      <w:pPr>
        <w:tabs>
          <w:tab w:val="left" w:pos="284"/>
        </w:tabs>
        <w:spacing w:before="120"/>
        <w:jc w:val="both"/>
        <w:rPr>
          <w:sz w:val="22"/>
          <w:szCs w:val="22"/>
          <w:lang w:val="sr-Latn-RS"/>
        </w:rPr>
      </w:pPr>
      <w:r w:rsidRPr="00936526">
        <w:rPr>
          <w:sz w:val="22"/>
          <w:szCs w:val="22"/>
          <w:lang w:val="sr-Latn-RS"/>
        </w:rPr>
        <w:t xml:space="preserve">U kliničko-farmakološkim studijama, intravenska primjena insulin glargina i humanog insulina dovodila je do ekvipotentnih efekata kada su oni primjenjivani u istim dozama. Kao i kod svih ostalih insulina, na vremenski tok dejstva insulin glargina mogu da utiču fizička aktivnost i različiti drugi faktori. </w:t>
      </w:r>
    </w:p>
    <w:p w14:paraId="7E8DF818" w14:textId="43D1B2C7" w:rsidR="0075236C" w:rsidRPr="00936526" w:rsidRDefault="00226865" w:rsidP="0075236C">
      <w:pPr>
        <w:tabs>
          <w:tab w:val="left" w:pos="284"/>
        </w:tabs>
        <w:spacing w:before="120"/>
        <w:jc w:val="both"/>
        <w:rPr>
          <w:sz w:val="22"/>
          <w:szCs w:val="22"/>
          <w:lang w:val="sr-Latn-RS"/>
        </w:rPr>
      </w:pPr>
      <w:r w:rsidRPr="00936526">
        <w:rPr>
          <w:sz w:val="22"/>
          <w:szCs w:val="22"/>
          <w:lang w:val="sr-Latn-RS"/>
        </w:rPr>
        <w:t xml:space="preserve">U euglikemijskim </w:t>
      </w:r>
      <w:r w:rsidR="0075236C" w:rsidRPr="00936526">
        <w:rPr>
          <w:sz w:val="22"/>
          <w:szCs w:val="22"/>
          <w:lang w:val="sr-Latn-RS"/>
        </w:rPr>
        <w:t>"clamp" studija</w:t>
      </w:r>
      <w:r w:rsidRPr="00936526">
        <w:rPr>
          <w:sz w:val="22"/>
          <w:szCs w:val="22"/>
          <w:lang w:val="sr-Latn-RS"/>
        </w:rPr>
        <w:t>ma</w:t>
      </w:r>
      <w:r w:rsidR="0075236C" w:rsidRPr="00936526">
        <w:rPr>
          <w:sz w:val="22"/>
          <w:szCs w:val="22"/>
          <w:lang w:val="sr-Latn-RS"/>
        </w:rPr>
        <w:t xml:space="preserve">, kod zdravih dobrovoljaca ili pacijenata sa </w:t>
      </w:r>
      <w:r w:rsidRPr="00936526">
        <w:rPr>
          <w:sz w:val="22"/>
          <w:szCs w:val="22"/>
          <w:lang w:val="sr-Latn-RS"/>
        </w:rPr>
        <w:t>dijabetesom tipa 1</w:t>
      </w:r>
      <w:r w:rsidR="0075236C" w:rsidRPr="00936526">
        <w:rPr>
          <w:sz w:val="22"/>
          <w:szCs w:val="22"/>
          <w:lang w:val="sr-Latn-RS"/>
        </w:rPr>
        <w:t>, brzina nastupa dejstva subkutano primjenjenog insulin glargina bila je sporija od humanog NPH insulina, njegov profil dejstva bio je ravnom</w:t>
      </w:r>
      <w:r w:rsidRPr="00936526">
        <w:rPr>
          <w:sz w:val="22"/>
          <w:szCs w:val="22"/>
          <w:lang w:val="sr-Latn-RS"/>
        </w:rPr>
        <w:t>j</w:t>
      </w:r>
      <w:r w:rsidR="0075236C" w:rsidRPr="00936526">
        <w:rPr>
          <w:sz w:val="22"/>
          <w:szCs w:val="22"/>
          <w:lang w:val="sr-Latn-RS"/>
        </w:rPr>
        <w:t>eran i bez pika, a vrijeme njegovog dejstva produženo.</w:t>
      </w:r>
    </w:p>
    <w:p w14:paraId="14B92771" w14:textId="77777777" w:rsidR="00226865" w:rsidRPr="00936526" w:rsidRDefault="00226865" w:rsidP="0075236C">
      <w:pPr>
        <w:tabs>
          <w:tab w:val="left" w:pos="284"/>
        </w:tabs>
        <w:spacing w:before="120"/>
        <w:jc w:val="both"/>
        <w:rPr>
          <w:sz w:val="22"/>
          <w:szCs w:val="22"/>
          <w:lang w:val="sr-Latn-RS"/>
        </w:rPr>
      </w:pPr>
    </w:p>
    <w:p w14:paraId="2773BF02" w14:textId="70559A8B" w:rsidR="0075236C" w:rsidRPr="00936526" w:rsidRDefault="0075236C" w:rsidP="0075236C">
      <w:pPr>
        <w:tabs>
          <w:tab w:val="left" w:pos="284"/>
        </w:tabs>
        <w:jc w:val="both"/>
        <w:rPr>
          <w:sz w:val="22"/>
          <w:szCs w:val="22"/>
          <w:lang w:val="sr-Latn-RS"/>
        </w:rPr>
      </w:pPr>
      <w:r w:rsidRPr="00936526">
        <w:rPr>
          <w:sz w:val="22"/>
          <w:szCs w:val="22"/>
          <w:lang w:val="sr-Latn-RS"/>
        </w:rPr>
        <w:t>Sl</w:t>
      </w:r>
      <w:r w:rsidR="00226865" w:rsidRPr="00936526">
        <w:rPr>
          <w:sz w:val="22"/>
          <w:szCs w:val="22"/>
          <w:lang w:val="sr-Latn-RS"/>
        </w:rPr>
        <w:t>j</w:t>
      </w:r>
      <w:r w:rsidRPr="00936526">
        <w:rPr>
          <w:sz w:val="22"/>
          <w:szCs w:val="22"/>
          <w:lang w:val="sr-Latn-RS"/>
        </w:rPr>
        <w:t>edeći grafikon prikazuje rezultate ispitivanja na pacijentima:</w:t>
      </w:r>
    </w:p>
    <w:p w14:paraId="1E73872C" w14:textId="47C47546" w:rsidR="0075236C" w:rsidRPr="00936526" w:rsidRDefault="0075236C" w:rsidP="0075236C">
      <w:pPr>
        <w:tabs>
          <w:tab w:val="left" w:pos="284"/>
        </w:tabs>
        <w:spacing w:before="120"/>
        <w:jc w:val="center"/>
        <w:rPr>
          <w:sz w:val="22"/>
          <w:szCs w:val="22"/>
          <w:lang w:val="sr-Latn-RS"/>
        </w:rPr>
      </w:pPr>
      <w:r w:rsidRPr="00936526">
        <w:rPr>
          <w:noProof/>
          <w:sz w:val="22"/>
          <w:szCs w:val="22"/>
        </w:rPr>
        <w:drawing>
          <wp:inline distT="0" distB="0" distL="0" distR="0" wp14:anchorId="3D17091A" wp14:editId="717C4733">
            <wp:extent cx="3840480" cy="263715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0480" cy="2637155"/>
                    </a:xfrm>
                    <a:prstGeom prst="rect">
                      <a:avLst/>
                    </a:prstGeom>
                    <a:noFill/>
                    <a:ln>
                      <a:noFill/>
                    </a:ln>
                  </pic:spPr>
                </pic:pic>
              </a:graphicData>
            </a:graphic>
          </wp:inline>
        </w:drawing>
      </w:r>
    </w:p>
    <w:p w14:paraId="5115557C" w14:textId="77777777" w:rsidR="0075236C" w:rsidRPr="00936526" w:rsidRDefault="0075236C" w:rsidP="0075236C">
      <w:pPr>
        <w:tabs>
          <w:tab w:val="left" w:pos="284"/>
        </w:tabs>
        <w:spacing w:before="120"/>
        <w:jc w:val="both"/>
        <w:rPr>
          <w:sz w:val="22"/>
          <w:szCs w:val="22"/>
          <w:lang w:val="sr-Latn-RS"/>
        </w:rPr>
      </w:pPr>
      <w:r w:rsidRPr="00936526">
        <w:rPr>
          <w:sz w:val="22"/>
          <w:szCs w:val="22"/>
          <w:lang w:val="sr-Latn-RS"/>
        </w:rPr>
        <w:t>*određeno kao količina glukoze infundirane tako da se održava stalni nivo u plazmi (vrijednosti za jednosatne intervale)</w:t>
      </w:r>
    </w:p>
    <w:p w14:paraId="3A7D6039" w14:textId="5EC45CF3" w:rsidR="0075236C" w:rsidRPr="00936526" w:rsidRDefault="0075236C" w:rsidP="005C7FE3">
      <w:pPr>
        <w:tabs>
          <w:tab w:val="left" w:pos="284"/>
        </w:tabs>
        <w:spacing w:before="120"/>
        <w:jc w:val="both"/>
        <w:rPr>
          <w:sz w:val="22"/>
          <w:szCs w:val="22"/>
          <w:lang w:val="sr-Latn-RS"/>
        </w:rPr>
      </w:pPr>
      <w:r w:rsidRPr="00936526">
        <w:rPr>
          <w:sz w:val="22"/>
          <w:szCs w:val="22"/>
          <w:lang w:val="sr-Latn-RS"/>
        </w:rPr>
        <w:t xml:space="preserve">Produženo dejstvo insulin glargina je u direktnoj vezi sa smanjenom brzinom </w:t>
      </w:r>
      <w:r w:rsidR="00226865" w:rsidRPr="00936526">
        <w:rPr>
          <w:sz w:val="22"/>
          <w:szCs w:val="22"/>
          <w:lang w:val="sr-Latn-RS"/>
        </w:rPr>
        <w:t>resorpcije</w:t>
      </w:r>
      <w:r w:rsidRPr="00936526">
        <w:rPr>
          <w:sz w:val="22"/>
          <w:szCs w:val="22"/>
          <w:lang w:val="sr-Latn-RS"/>
        </w:rPr>
        <w:t xml:space="preserve"> i podržava koncept primjene lijeka jednom dnevno. Vremenski tok dejstva insulina i insulinskih analoga, kao što je npr. insulin glargin, može značajno da varira kod različitih osoba, ili pak kod jedne iste osobe.</w:t>
      </w:r>
    </w:p>
    <w:p w14:paraId="76E12CF1" w14:textId="51F8EB9E" w:rsidR="0075236C" w:rsidRPr="00936526" w:rsidRDefault="00226865">
      <w:pPr>
        <w:tabs>
          <w:tab w:val="left" w:pos="284"/>
        </w:tabs>
        <w:spacing w:before="120"/>
        <w:jc w:val="both"/>
        <w:rPr>
          <w:sz w:val="22"/>
          <w:szCs w:val="22"/>
          <w:lang w:val="sr-Latn-RS"/>
        </w:rPr>
      </w:pPr>
      <w:r w:rsidRPr="00936526">
        <w:rPr>
          <w:sz w:val="22"/>
          <w:szCs w:val="22"/>
          <w:lang w:val="sr-Latn-RS"/>
        </w:rPr>
        <w:t>U kliničkoj studij</w:t>
      </w:r>
      <w:r w:rsidR="00B81F1A" w:rsidRPr="00936526">
        <w:rPr>
          <w:sz w:val="22"/>
          <w:szCs w:val="22"/>
          <w:lang w:val="sr-Latn-RS"/>
        </w:rPr>
        <w:t>i</w:t>
      </w:r>
      <w:r w:rsidR="0075236C" w:rsidRPr="00936526">
        <w:rPr>
          <w:sz w:val="22"/>
          <w:szCs w:val="22"/>
          <w:lang w:val="sr-Latn-RS"/>
        </w:rPr>
        <w:t>, simptomi hipoglikemije ili kontraregulatorni odgovor hormona bili su slični posl</w:t>
      </w:r>
      <w:r w:rsidRPr="00936526">
        <w:rPr>
          <w:sz w:val="22"/>
          <w:szCs w:val="22"/>
          <w:lang w:val="sr-Latn-RS"/>
        </w:rPr>
        <w:t>ij</w:t>
      </w:r>
      <w:r w:rsidR="0075236C" w:rsidRPr="00936526">
        <w:rPr>
          <w:sz w:val="22"/>
          <w:szCs w:val="22"/>
          <w:lang w:val="sr-Latn-RS"/>
        </w:rPr>
        <w:t>e intravenske prim</w:t>
      </w:r>
      <w:r w:rsidRPr="00936526">
        <w:rPr>
          <w:sz w:val="22"/>
          <w:szCs w:val="22"/>
          <w:lang w:val="sr-Latn-RS"/>
        </w:rPr>
        <w:t>j</w:t>
      </w:r>
      <w:r w:rsidR="0075236C" w:rsidRPr="00936526">
        <w:rPr>
          <w:sz w:val="22"/>
          <w:szCs w:val="22"/>
          <w:lang w:val="sr-Latn-RS"/>
        </w:rPr>
        <w:t>ene insulin glargina i humanog insulina, i to kako kod zdravih dobrovoljaca, tako i kod pacijenata sa dijabetesom tipa 1.</w:t>
      </w:r>
    </w:p>
    <w:p w14:paraId="16217E27" w14:textId="5573FCB7" w:rsidR="0094612D" w:rsidRPr="00936526" w:rsidRDefault="0094612D">
      <w:pPr>
        <w:tabs>
          <w:tab w:val="left" w:pos="284"/>
        </w:tabs>
        <w:spacing w:before="120"/>
        <w:jc w:val="both"/>
        <w:rPr>
          <w:sz w:val="22"/>
          <w:szCs w:val="22"/>
          <w:lang w:val="sr-Latn-RS"/>
        </w:rPr>
      </w:pPr>
      <w:r w:rsidRPr="00936526">
        <w:rPr>
          <w:sz w:val="22"/>
          <w:szCs w:val="22"/>
          <w:lang w:val="sr-Latn-RS"/>
        </w:rPr>
        <w:t>U kliničkim studijama su zab</w:t>
      </w:r>
      <w:r w:rsidR="00121CF3" w:rsidRPr="00936526">
        <w:rPr>
          <w:sz w:val="22"/>
          <w:szCs w:val="22"/>
          <w:lang w:val="sr-Latn-RS"/>
        </w:rPr>
        <w:t>i</w:t>
      </w:r>
      <w:r w:rsidRPr="00936526">
        <w:rPr>
          <w:sz w:val="22"/>
          <w:szCs w:val="22"/>
          <w:lang w:val="sr-Latn-RS"/>
        </w:rPr>
        <w:t>l</w:t>
      </w:r>
      <w:r w:rsidR="00121CF3" w:rsidRPr="00936526">
        <w:rPr>
          <w:sz w:val="22"/>
          <w:szCs w:val="22"/>
          <w:lang w:val="sr-Latn-RS"/>
        </w:rPr>
        <w:t>j</w:t>
      </w:r>
      <w:r w:rsidRPr="00936526">
        <w:rPr>
          <w:sz w:val="22"/>
          <w:szCs w:val="22"/>
          <w:lang w:val="sr-Latn-RS"/>
        </w:rPr>
        <w:t>ežena antitijela koja reaguju sa humanim insulinom i insulin glarginom sa istom učestalošću u ob</w:t>
      </w:r>
      <w:r w:rsidR="00121CF3" w:rsidRPr="00936526">
        <w:rPr>
          <w:sz w:val="22"/>
          <w:szCs w:val="22"/>
          <w:lang w:val="sr-Latn-RS"/>
        </w:rPr>
        <w:t>ij</w:t>
      </w:r>
      <w:r w:rsidRPr="00936526">
        <w:rPr>
          <w:sz w:val="22"/>
          <w:szCs w:val="22"/>
          <w:lang w:val="sr-Latn-RS"/>
        </w:rPr>
        <w:t>e grupe pacijenata i u grupi sa NPH-insulinom i u grupi sa insulin glarginom.</w:t>
      </w:r>
    </w:p>
    <w:p w14:paraId="37860945" w14:textId="68323432" w:rsidR="0075236C" w:rsidRPr="00936526" w:rsidRDefault="0075236C" w:rsidP="00121CF3">
      <w:pPr>
        <w:tabs>
          <w:tab w:val="left" w:pos="284"/>
        </w:tabs>
        <w:spacing w:before="120"/>
        <w:jc w:val="both"/>
        <w:rPr>
          <w:sz w:val="22"/>
          <w:szCs w:val="22"/>
          <w:lang w:val="sr-Latn-RS"/>
        </w:rPr>
      </w:pPr>
      <w:r w:rsidRPr="00936526">
        <w:rPr>
          <w:sz w:val="22"/>
          <w:szCs w:val="22"/>
          <w:lang w:val="sr-Latn-RS"/>
        </w:rPr>
        <w:t xml:space="preserve">Efekti lijeka Lantus (primjenjenog jednom dnevno) na </w:t>
      </w:r>
      <w:r w:rsidR="00B81F1A" w:rsidRPr="00936526">
        <w:rPr>
          <w:sz w:val="22"/>
          <w:szCs w:val="22"/>
          <w:lang w:val="sr-Latn-RS"/>
        </w:rPr>
        <w:t xml:space="preserve">dijabetesnu </w:t>
      </w:r>
      <w:r w:rsidRPr="00936526">
        <w:rPr>
          <w:sz w:val="22"/>
          <w:szCs w:val="22"/>
          <w:lang w:val="sr-Latn-RS"/>
        </w:rPr>
        <w:t>retinopatiju proc</w:t>
      </w:r>
      <w:r w:rsidR="00B81F1A" w:rsidRPr="00936526">
        <w:rPr>
          <w:sz w:val="22"/>
          <w:szCs w:val="22"/>
          <w:lang w:val="sr-Latn-RS"/>
        </w:rPr>
        <w:t>j</w:t>
      </w:r>
      <w:r w:rsidRPr="00936526">
        <w:rPr>
          <w:sz w:val="22"/>
          <w:szCs w:val="22"/>
          <w:lang w:val="sr-Latn-RS"/>
        </w:rPr>
        <w:t>enjivani su u otvorenoj petogodišnjoj NPH-kontrolisanoj studiji. U studiji je učestvovalo 1024 pacijenta sa dijabetesom tip</w:t>
      </w:r>
      <w:r w:rsidR="00B81F1A" w:rsidRPr="00936526">
        <w:rPr>
          <w:sz w:val="22"/>
          <w:szCs w:val="22"/>
          <w:lang w:val="sr-Latn-RS"/>
        </w:rPr>
        <w:t>a</w:t>
      </w:r>
      <w:r w:rsidRPr="00936526">
        <w:rPr>
          <w:sz w:val="22"/>
          <w:szCs w:val="22"/>
          <w:lang w:val="sr-Latn-RS"/>
        </w:rPr>
        <w:t xml:space="preserve"> 2, a progresija retinopatije za 3 ili više koraka po ETDRS skali (</w:t>
      </w:r>
      <w:r w:rsidR="005B03CA" w:rsidRPr="00936526">
        <w:rPr>
          <w:i/>
          <w:iCs/>
          <w:sz w:val="22"/>
          <w:szCs w:val="22"/>
          <w:lang w:val="sr-Latn-RS"/>
        </w:rPr>
        <w:t xml:space="preserve">engl. </w:t>
      </w:r>
      <w:r w:rsidRPr="00936526">
        <w:rPr>
          <w:i/>
          <w:iCs/>
          <w:sz w:val="22"/>
          <w:szCs w:val="22"/>
          <w:lang w:val="sr-Latn-RS"/>
        </w:rPr>
        <w:t>Early Treatment Diabetic Retinopathy Study</w:t>
      </w:r>
      <w:r w:rsidRPr="00936526">
        <w:rPr>
          <w:sz w:val="22"/>
          <w:szCs w:val="22"/>
          <w:lang w:val="sr-Latn-RS"/>
        </w:rPr>
        <w:t xml:space="preserve">) praćena je </w:t>
      </w:r>
      <w:r w:rsidR="00B81F1A" w:rsidRPr="00936526">
        <w:rPr>
          <w:sz w:val="22"/>
          <w:szCs w:val="22"/>
          <w:lang w:val="sr-Latn-RS"/>
        </w:rPr>
        <w:t xml:space="preserve">na osnovu fotografijije </w:t>
      </w:r>
      <w:r w:rsidRPr="00936526">
        <w:rPr>
          <w:sz w:val="22"/>
          <w:szCs w:val="22"/>
          <w:lang w:val="sr-Latn-RS"/>
        </w:rPr>
        <w:t xml:space="preserve">fundusa. Nije bilo značajnih razlika u progresiji </w:t>
      </w:r>
      <w:r w:rsidR="00B81F1A" w:rsidRPr="00936526">
        <w:rPr>
          <w:sz w:val="22"/>
          <w:szCs w:val="22"/>
          <w:lang w:val="sr-Latn-RS"/>
        </w:rPr>
        <w:t xml:space="preserve">dijabetesne </w:t>
      </w:r>
      <w:r w:rsidRPr="00936526">
        <w:rPr>
          <w:sz w:val="22"/>
          <w:szCs w:val="22"/>
          <w:lang w:val="sr-Latn-RS"/>
        </w:rPr>
        <w:t>retinopatije pri primjeni lijeka Lantus u odnosu na NPH insulin.</w:t>
      </w:r>
    </w:p>
    <w:p w14:paraId="2C1E6F50" w14:textId="72BCFE43" w:rsidR="0075236C" w:rsidRPr="00936526" w:rsidRDefault="00987990" w:rsidP="005C7FE3">
      <w:pPr>
        <w:tabs>
          <w:tab w:val="left" w:pos="284"/>
        </w:tabs>
        <w:spacing w:before="120"/>
        <w:jc w:val="both"/>
        <w:rPr>
          <w:rFonts w:eastAsia="MS Mincho"/>
          <w:sz w:val="22"/>
          <w:szCs w:val="22"/>
          <w:lang w:val="sr-Latn-RS" w:eastAsia="ja-JP"/>
        </w:rPr>
      </w:pPr>
      <w:r w:rsidRPr="00936526">
        <w:rPr>
          <w:rFonts w:eastAsia="MS Mincho"/>
          <w:sz w:val="22"/>
          <w:szCs w:val="22"/>
          <w:lang w:val="sr-Latn-RS" w:eastAsia="ja-JP"/>
        </w:rPr>
        <w:t xml:space="preserve">Studija </w:t>
      </w:r>
      <w:r w:rsidR="0075236C" w:rsidRPr="00936526">
        <w:rPr>
          <w:rFonts w:eastAsia="MS Mincho"/>
          <w:sz w:val="22"/>
          <w:szCs w:val="22"/>
          <w:lang w:val="sr-Latn-RS" w:eastAsia="ja-JP"/>
        </w:rPr>
        <w:t>ORIGIN (</w:t>
      </w:r>
      <w:r w:rsidR="005B03CA" w:rsidRPr="00936526">
        <w:rPr>
          <w:rFonts w:eastAsia="MS Mincho"/>
          <w:i/>
          <w:iCs/>
          <w:sz w:val="22"/>
          <w:szCs w:val="22"/>
          <w:lang w:val="sr-Latn-RS" w:eastAsia="ja-JP"/>
        </w:rPr>
        <w:t xml:space="preserve">engl. </w:t>
      </w:r>
      <w:r w:rsidR="0075236C" w:rsidRPr="00936526">
        <w:rPr>
          <w:rFonts w:eastAsia="MS Mincho"/>
          <w:i/>
          <w:iCs/>
          <w:sz w:val="22"/>
          <w:szCs w:val="22"/>
          <w:lang w:val="sr-Latn-RS" w:eastAsia="ja-JP"/>
        </w:rPr>
        <w:t>Outcome Reduction with Initial Glargine INtervention</w:t>
      </w:r>
      <w:r w:rsidR="0075236C" w:rsidRPr="00936526">
        <w:rPr>
          <w:rFonts w:eastAsia="MS Mincho"/>
          <w:sz w:val="22"/>
          <w:szCs w:val="22"/>
          <w:lang w:val="sr-Latn-RS" w:eastAsia="ja-JP"/>
        </w:rPr>
        <w:t xml:space="preserve">) je multicentrična, randomizovana, sa dizajnom faktora 2x2 sprovedena </w:t>
      </w:r>
      <w:r w:rsidR="005B03CA" w:rsidRPr="00936526">
        <w:rPr>
          <w:rFonts w:eastAsia="MS Mincho"/>
          <w:sz w:val="22"/>
          <w:szCs w:val="22"/>
          <w:lang w:val="sr-Latn-RS" w:eastAsia="ja-JP"/>
        </w:rPr>
        <w:t>kod</w:t>
      </w:r>
      <w:r w:rsidR="0075236C" w:rsidRPr="00936526">
        <w:rPr>
          <w:rFonts w:eastAsia="MS Mincho"/>
          <w:sz w:val="22"/>
          <w:szCs w:val="22"/>
          <w:lang w:val="sr-Latn-RS" w:eastAsia="ja-JP"/>
        </w:rPr>
        <w:t xml:space="preserve"> 12537 učesnika sa visokim kardiovaskularnim (KV) rizikom i poremećenim nivoom glukoze našte (</w:t>
      </w:r>
      <w:r w:rsidR="005B03CA" w:rsidRPr="00936526">
        <w:rPr>
          <w:rFonts w:eastAsia="MS Mincho"/>
          <w:sz w:val="22"/>
          <w:szCs w:val="22"/>
          <w:lang w:val="sr-Latn-RS" w:eastAsia="ja-JP"/>
        </w:rPr>
        <w:t xml:space="preserve">eng. </w:t>
      </w:r>
      <w:r w:rsidR="0075236C" w:rsidRPr="00936526">
        <w:rPr>
          <w:rFonts w:eastAsia="MS Mincho"/>
          <w:sz w:val="22"/>
          <w:szCs w:val="22"/>
          <w:lang w:val="sr-Latn-RS" w:eastAsia="ja-JP"/>
        </w:rPr>
        <w:t>Impaired Fasting Glucose – IFG) ili poremećenom tolerancijom na glukozu (</w:t>
      </w:r>
      <w:r w:rsidR="005B03CA" w:rsidRPr="00936526">
        <w:rPr>
          <w:rFonts w:eastAsia="MS Mincho"/>
          <w:sz w:val="22"/>
          <w:szCs w:val="22"/>
          <w:lang w:val="sr-Latn-RS" w:eastAsia="ja-JP"/>
        </w:rPr>
        <w:t xml:space="preserve">eng. </w:t>
      </w:r>
      <w:r w:rsidR="0075236C" w:rsidRPr="00936526">
        <w:rPr>
          <w:rFonts w:eastAsia="MS Mincho"/>
          <w:sz w:val="22"/>
          <w:szCs w:val="22"/>
          <w:lang w:val="sr-Latn-RS" w:eastAsia="ja-JP"/>
        </w:rPr>
        <w:t>Impaired Glucose Tolerance – IGT) (12% učesnika) ili sa dijabetes melitusom tipa 2 l</w:t>
      </w:r>
      <w:r w:rsidR="00B81F1A" w:rsidRPr="00936526">
        <w:rPr>
          <w:rFonts w:eastAsia="MS Mincho"/>
          <w:sz w:val="22"/>
          <w:szCs w:val="22"/>
          <w:lang w:val="sr-Latn-RS" w:eastAsia="ja-JP"/>
        </w:rPr>
        <w:t>i</w:t>
      </w:r>
      <w:r w:rsidR="0075236C" w:rsidRPr="00936526">
        <w:rPr>
          <w:rFonts w:eastAsia="MS Mincho"/>
          <w:sz w:val="22"/>
          <w:szCs w:val="22"/>
          <w:lang w:val="sr-Latn-RS" w:eastAsia="ja-JP"/>
        </w:rPr>
        <w:t xml:space="preserve">ječenim sa ≤1 </w:t>
      </w:r>
      <w:r w:rsidR="00B81F1A" w:rsidRPr="00936526">
        <w:rPr>
          <w:rFonts w:eastAsia="MS Mincho"/>
          <w:sz w:val="22"/>
          <w:szCs w:val="22"/>
          <w:lang w:val="sr-Latn-RS" w:eastAsia="ja-JP"/>
        </w:rPr>
        <w:t>oralnim antidijabetikom</w:t>
      </w:r>
      <w:r w:rsidR="0075236C" w:rsidRPr="00936526">
        <w:rPr>
          <w:rFonts w:eastAsia="MS Mincho"/>
          <w:sz w:val="22"/>
          <w:szCs w:val="22"/>
          <w:lang w:val="sr-Latn-RS" w:eastAsia="ja-JP"/>
        </w:rPr>
        <w:t xml:space="preserve"> (88% učesnika). Učesnici su randomizovani (1:1) </w:t>
      </w:r>
      <w:r w:rsidR="00B81F1A" w:rsidRPr="00936526">
        <w:rPr>
          <w:rFonts w:eastAsia="MS Mincho"/>
          <w:sz w:val="22"/>
          <w:szCs w:val="22"/>
          <w:lang w:val="sr-Latn-RS" w:eastAsia="ja-JP"/>
        </w:rPr>
        <w:t xml:space="preserve">za primanje </w:t>
      </w:r>
      <w:r w:rsidR="0075236C" w:rsidRPr="00936526">
        <w:rPr>
          <w:rFonts w:eastAsia="MS Mincho"/>
          <w:sz w:val="22"/>
          <w:szCs w:val="22"/>
          <w:lang w:val="sr-Latn-RS" w:eastAsia="ja-JP"/>
        </w:rPr>
        <w:t>insulin glargin</w:t>
      </w:r>
      <w:r w:rsidR="00B81F1A" w:rsidRPr="00936526">
        <w:rPr>
          <w:rFonts w:eastAsia="MS Mincho"/>
          <w:sz w:val="22"/>
          <w:szCs w:val="22"/>
          <w:lang w:val="sr-Latn-RS" w:eastAsia="ja-JP"/>
        </w:rPr>
        <w:t>a</w:t>
      </w:r>
      <w:r w:rsidR="0075236C" w:rsidRPr="00936526">
        <w:rPr>
          <w:rFonts w:eastAsia="MS Mincho"/>
          <w:sz w:val="22"/>
          <w:szCs w:val="22"/>
          <w:lang w:val="sr-Latn-RS" w:eastAsia="ja-JP"/>
        </w:rPr>
        <w:t xml:space="preserve"> (n=6264), titriran do vrijednosti FPG ≤ 95 mg/dL (5,3 mM), odnosno standardnu njegu (n=6273).</w:t>
      </w:r>
    </w:p>
    <w:p w14:paraId="26A12256" w14:textId="4FF47F40" w:rsidR="0075236C" w:rsidRPr="00936526" w:rsidRDefault="0075236C" w:rsidP="0075236C">
      <w:pPr>
        <w:jc w:val="both"/>
        <w:rPr>
          <w:rFonts w:eastAsia="MS Mincho"/>
          <w:sz w:val="22"/>
          <w:szCs w:val="22"/>
          <w:lang w:val="sr-Latn-RS" w:eastAsia="ja-JP"/>
        </w:rPr>
      </w:pPr>
      <w:r w:rsidRPr="00936526">
        <w:rPr>
          <w:rFonts w:eastAsia="MS Mincho"/>
          <w:sz w:val="22"/>
          <w:szCs w:val="22"/>
          <w:lang w:val="sr-Latn-RS" w:eastAsia="ja-JP"/>
        </w:rPr>
        <w:t>Prvi ko-primarni ishod efikasnosti bilo je vrijeme do prve pojave  smrti</w:t>
      </w:r>
      <w:r w:rsidR="005B03CA" w:rsidRPr="00936526">
        <w:rPr>
          <w:rFonts w:eastAsia="Calibri"/>
          <w:bCs/>
          <w:color w:val="000000"/>
          <w:sz w:val="22"/>
          <w:szCs w:val="22"/>
          <w:lang w:val="sr-Latn-RS"/>
        </w:rPr>
        <w:t xml:space="preserve"> </w:t>
      </w:r>
      <w:r w:rsidR="005B03CA" w:rsidRPr="00936526">
        <w:rPr>
          <w:rFonts w:eastAsia="MS Mincho"/>
          <w:bCs/>
          <w:sz w:val="22"/>
          <w:szCs w:val="22"/>
          <w:lang w:val="sr-Latn-RS" w:eastAsia="ja-JP"/>
        </w:rPr>
        <w:t>zbog kardiovaskularnog uzroka (KV), infarkta miokarda (IM) bez smrtnog ishoda ili moždanog udara bez smrtnog ishoda (MI)</w:t>
      </w:r>
      <w:r w:rsidRPr="00936526">
        <w:rPr>
          <w:rFonts w:eastAsia="MS Mincho"/>
          <w:sz w:val="22"/>
          <w:szCs w:val="22"/>
          <w:lang w:val="sr-Latn-RS" w:eastAsia="ja-JP"/>
        </w:rPr>
        <w:t xml:space="preserve">, a sekundarni ko-primarni ishod efikasnosti bilo je vrijeme do prve pojave bilo kog od ko-primarnih </w:t>
      </w:r>
      <w:r w:rsidRPr="00936526">
        <w:rPr>
          <w:rFonts w:eastAsia="MS Mincho"/>
          <w:sz w:val="22"/>
          <w:szCs w:val="22"/>
          <w:lang w:val="sr-Latn-RS" w:eastAsia="ja-JP"/>
        </w:rPr>
        <w:lastRenderedPageBreak/>
        <w:t xml:space="preserve">događaja ili do procedura revaskularizacije (koronarne, karotidne ili periferne) ili do hospitalizacije </w:t>
      </w:r>
      <w:r w:rsidR="00B81F1A" w:rsidRPr="00936526">
        <w:rPr>
          <w:rFonts w:eastAsia="MS Mincho"/>
          <w:sz w:val="22"/>
          <w:szCs w:val="22"/>
          <w:lang w:val="sr-Latn-RS" w:eastAsia="ja-JP"/>
        </w:rPr>
        <w:t>zbog</w:t>
      </w:r>
      <w:r w:rsidRPr="00936526">
        <w:rPr>
          <w:rFonts w:eastAsia="MS Mincho"/>
          <w:sz w:val="22"/>
          <w:szCs w:val="22"/>
          <w:lang w:val="sr-Latn-RS" w:eastAsia="ja-JP"/>
        </w:rPr>
        <w:t xml:space="preserve"> srčane insuficijencije.</w:t>
      </w:r>
    </w:p>
    <w:p w14:paraId="0EAF01A8" w14:textId="77777777" w:rsidR="0075236C" w:rsidRPr="00936526" w:rsidRDefault="0075236C" w:rsidP="0075236C">
      <w:pPr>
        <w:spacing w:before="120"/>
        <w:jc w:val="both"/>
        <w:rPr>
          <w:rFonts w:eastAsia="MS Mincho"/>
          <w:sz w:val="22"/>
          <w:szCs w:val="22"/>
          <w:lang w:val="sr-Latn-RS" w:eastAsia="ja-JP"/>
        </w:rPr>
      </w:pPr>
      <w:r w:rsidRPr="00936526">
        <w:rPr>
          <w:rFonts w:eastAsia="MS Mincho"/>
          <w:sz w:val="22"/>
          <w:szCs w:val="22"/>
          <w:lang w:val="sr-Latn-RS" w:eastAsia="ja-JP"/>
        </w:rPr>
        <w:t>Sekundarni ishodi su uključivali mortalitet bilo kog uzroka i kompozitni mikrovaskularni ishod.</w:t>
      </w:r>
    </w:p>
    <w:p w14:paraId="6ADF3749" w14:textId="720C91B4" w:rsidR="0075236C" w:rsidRPr="00936526" w:rsidRDefault="00DD41BE" w:rsidP="0075236C">
      <w:pPr>
        <w:autoSpaceDE w:val="0"/>
        <w:autoSpaceDN w:val="0"/>
        <w:adjustRightInd w:val="0"/>
        <w:spacing w:before="120"/>
        <w:jc w:val="both"/>
        <w:rPr>
          <w:rFonts w:eastAsia="MS Mincho"/>
          <w:sz w:val="22"/>
          <w:szCs w:val="22"/>
          <w:lang w:val="sr-Latn-RS" w:eastAsia="hr-BA"/>
        </w:rPr>
      </w:pPr>
      <w:r w:rsidRPr="00936526">
        <w:rPr>
          <w:rFonts w:eastAsia="MS Mincho"/>
          <w:sz w:val="22"/>
          <w:szCs w:val="22"/>
          <w:lang w:val="sr-Latn-RS" w:eastAsia="ja-JP"/>
        </w:rPr>
        <w:t>Kod pacijenata sa insulin glarginom se nije prom</w:t>
      </w:r>
      <w:r w:rsidR="00E577EE" w:rsidRPr="00936526">
        <w:rPr>
          <w:rFonts w:eastAsia="MS Mincho"/>
          <w:sz w:val="22"/>
          <w:szCs w:val="22"/>
          <w:lang w:val="sr-Latn-RS" w:eastAsia="ja-JP"/>
        </w:rPr>
        <w:t>i</w:t>
      </w:r>
      <w:r w:rsidRPr="00936526">
        <w:rPr>
          <w:rFonts w:eastAsia="MS Mincho"/>
          <w:sz w:val="22"/>
          <w:szCs w:val="22"/>
          <w:lang w:val="sr-Latn-RS" w:eastAsia="ja-JP"/>
        </w:rPr>
        <w:t>jenio relativan rizik za</w:t>
      </w:r>
      <w:r w:rsidR="0075236C" w:rsidRPr="00936526">
        <w:rPr>
          <w:rFonts w:eastAsia="MS Mincho"/>
          <w:sz w:val="22"/>
          <w:szCs w:val="22"/>
          <w:lang w:val="sr-Latn-RS" w:eastAsia="ja-JP"/>
        </w:rPr>
        <w:t xml:space="preserve"> KV bolest i KV </w:t>
      </w:r>
      <w:r w:rsidRPr="00936526">
        <w:rPr>
          <w:rFonts w:eastAsia="MS Mincho"/>
          <w:sz w:val="22"/>
          <w:szCs w:val="22"/>
          <w:lang w:val="sr-Latn-RS" w:eastAsia="ja-JP"/>
        </w:rPr>
        <w:t xml:space="preserve">smrtnost </w:t>
      </w:r>
      <w:r w:rsidR="0075236C" w:rsidRPr="00936526">
        <w:rPr>
          <w:rFonts w:eastAsia="MS Mincho"/>
          <w:sz w:val="22"/>
          <w:szCs w:val="22"/>
          <w:lang w:val="sr-Latn-RS" w:eastAsia="ja-JP"/>
        </w:rPr>
        <w:t xml:space="preserve">u poređenju </w:t>
      </w:r>
      <w:r w:rsidRPr="00936526">
        <w:rPr>
          <w:rFonts w:eastAsia="MS Mincho"/>
          <w:sz w:val="22"/>
          <w:szCs w:val="22"/>
          <w:lang w:val="sr-Latn-RS" w:eastAsia="ja-JP"/>
        </w:rPr>
        <w:t>sa pacijentima sa standardnom njegom</w:t>
      </w:r>
      <w:r w:rsidR="0075236C" w:rsidRPr="00936526">
        <w:rPr>
          <w:rFonts w:eastAsia="MS Mincho"/>
          <w:sz w:val="22"/>
          <w:szCs w:val="22"/>
          <w:lang w:val="sr-Latn-RS" w:eastAsia="ja-JP"/>
        </w:rPr>
        <w:t xml:space="preserve">. Nije bilo razlike između </w:t>
      </w:r>
      <w:r w:rsidRPr="00936526">
        <w:rPr>
          <w:rFonts w:eastAsia="MS Mincho"/>
          <w:sz w:val="22"/>
          <w:szCs w:val="22"/>
          <w:lang w:val="sr-Latn-RS" w:eastAsia="ja-JP"/>
        </w:rPr>
        <w:t xml:space="preserve">grupe sa </w:t>
      </w:r>
      <w:r w:rsidR="0075236C" w:rsidRPr="00936526">
        <w:rPr>
          <w:rFonts w:eastAsia="MS Mincho"/>
          <w:sz w:val="22"/>
          <w:szCs w:val="22"/>
          <w:lang w:val="sr-Latn-RS" w:eastAsia="ja-JP"/>
        </w:rPr>
        <w:t>insulin glargin</w:t>
      </w:r>
      <w:r w:rsidRPr="00936526">
        <w:rPr>
          <w:rFonts w:eastAsia="MS Mincho"/>
          <w:sz w:val="22"/>
          <w:szCs w:val="22"/>
          <w:lang w:val="sr-Latn-RS" w:eastAsia="ja-JP"/>
        </w:rPr>
        <w:t>om</w:t>
      </w:r>
      <w:r w:rsidR="0075236C" w:rsidRPr="00936526">
        <w:rPr>
          <w:rFonts w:eastAsia="MS Mincho"/>
          <w:sz w:val="22"/>
          <w:szCs w:val="22"/>
          <w:lang w:val="sr-Latn-RS" w:eastAsia="ja-JP"/>
        </w:rPr>
        <w:t xml:space="preserve"> i </w:t>
      </w:r>
      <w:r w:rsidRPr="00936526">
        <w:rPr>
          <w:rFonts w:eastAsia="MS Mincho"/>
          <w:sz w:val="22"/>
          <w:szCs w:val="22"/>
          <w:lang w:val="sr-Latn-RS" w:eastAsia="ja-JP"/>
        </w:rPr>
        <w:t xml:space="preserve">grupe sa </w:t>
      </w:r>
      <w:r w:rsidR="0075236C" w:rsidRPr="00936526">
        <w:rPr>
          <w:rFonts w:eastAsia="MS Mincho"/>
          <w:sz w:val="22"/>
          <w:szCs w:val="22"/>
          <w:lang w:val="sr-Latn-RS" w:eastAsia="ja-JP"/>
        </w:rPr>
        <w:t>standardn</w:t>
      </w:r>
      <w:r w:rsidRPr="00936526">
        <w:rPr>
          <w:rFonts w:eastAsia="MS Mincho"/>
          <w:sz w:val="22"/>
          <w:szCs w:val="22"/>
          <w:lang w:val="sr-Latn-RS" w:eastAsia="ja-JP"/>
        </w:rPr>
        <w:t>om</w:t>
      </w:r>
      <w:r w:rsidR="0075236C" w:rsidRPr="00936526">
        <w:rPr>
          <w:rFonts w:eastAsia="MS Mincho"/>
          <w:sz w:val="22"/>
          <w:szCs w:val="22"/>
          <w:lang w:val="sr-Latn-RS" w:eastAsia="ja-JP"/>
        </w:rPr>
        <w:t xml:space="preserve"> njeg</w:t>
      </w:r>
      <w:r w:rsidRPr="00936526">
        <w:rPr>
          <w:rFonts w:eastAsia="MS Mincho"/>
          <w:sz w:val="22"/>
          <w:szCs w:val="22"/>
          <w:lang w:val="sr-Latn-RS" w:eastAsia="ja-JP"/>
        </w:rPr>
        <w:t>om</w:t>
      </w:r>
      <w:r w:rsidR="0075236C" w:rsidRPr="00936526">
        <w:rPr>
          <w:rFonts w:eastAsia="MS Mincho"/>
          <w:sz w:val="22"/>
          <w:szCs w:val="22"/>
          <w:lang w:val="sr-Latn-RS" w:eastAsia="ja-JP"/>
        </w:rPr>
        <w:t xml:space="preserve"> </w:t>
      </w:r>
      <w:r w:rsidRPr="00936526">
        <w:rPr>
          <w:rFonts w:eastAsia="MS Mincho"/>
          <w:sz w:val="22"/>
          <w:szCs w:val="22"/>
          <w:lang w:val="sr-Latn-RS" w:eastAsia="ja-JP"/>
        </w:rPr>
        <w:t>po pitanju</w:t>
      </w:r>
      <w:r w:rsidR="0075236C" w:rsidRPr="00936526">
        <w:rPr>
          <w:rFonts w:eastAsia="MS Mincho"/>
          <w:sz w:val="22"/>
          <w:szCs w:val="22"/>
          <w:lang w:val="sr-Latn-RS" w:eastAsia="ja-JP"/>
        </w:rPr>
        <w:t xml:space="preserve"> ko-primarn</w:t>
      </w:r>
      <w:r w:rsidRPr="00936526">
        <w:rPr>
          <w:rFonts w:eastAsia="MS Mincho"/>
          <w:sz w:val="22"/>
          <w:szCs w:val="22"/>
          <w:lang w:val="sr-Latn-RS" w:eastAsia="ja-JP"/>
        </w:rPr>
        <w:t>ih</w:t>
      </w:r>
      <w:r w:rsidR="0075236C" w:rsidRPr="00936526">
        <w:rPr>
          <w:rFonts w:eastAsia="MS Mincho"/>
          <w:sz w:val="22"/>
          <w:szCs w:val="22"/>
          <w:lang w:val="sr-Latn-RS" w:eastAsia="ja-JP"/>
        </w:rPr>
        <w:t xml:space="preserve"> ishoda; za bilo koju komponentu </w:t>
      </w:r>
      <w:r w:rsidRPr="00936526">
        <w:rPr>
          <w:rFonts w:eastAsia="MS Mincho"/>
          <w:sz w:val="22"/>
          <w:szCs w:val="22"/>
          <w:lang w:val="sr-Latn-RS" w:eastAsia="ja-JP"/>
        </w:rPr>
        <w:t xml:space="preserve">krajnje tačke </w:t>
      </w:r>
      <w:r w:rsidR="0075236C" w:rsidRPr="00936526">
        <w:rPr>
          <w:rFonts w:eastAsia="MS Mincho"/>
          <w:sz w:val="22"/>
          <w:szCs w:val="22"/>
          <w:lang w:val="sr-Latn-RS" w:eastAsia="ja-JP"/>
        </w:rPr>
        <w:t xml:space="preserve">koja </w:t>
      </w:r>
      <w:r w:rsidRPr="00936526">
        <w:rPr>
          <w:rFonts w:eastAsia="MS Mincho"/>
          <w:sz w:val="22"/>
          <w:szCs w:val="22"/>
          <w:lang w:val="sr-Latn-RS" w:eastAsia="ja-JP"/>
        </w:rPr>
        <w:t xml:space="preserve">sadrži </w:t>
      </w:r>
      <w:r w:rsidR="0075236C" w:rsidRPr="00936526">
        <w:rPr>
          <w:rFonts w:eastAsia="MS Mincho"/>
          <w:sz w:val="22"/>
          <w:szCs w:val="22"/>
          <w:lang w:val="sr-Latn-RS" w:eastAsia="ja-JP"/>
        </w:rPr>
        <w:t xml:space="preserve">ove ishode; </w:t>
      </w:r>
      <w:r w:rsidRPr="00936526">
        <w:rPr>
          <w:rFonts w:eastAsia="MS Mincho"/>
          <w:sz w:val="22"/>
          <w:szCs w:val="22"/>
          <w:lang w:val="sr-Latn-RS" w:eastAsia="ja-JP"/>
        </w:rPr>
        <w:t>za sve uzroke smrtnosti</w:t>
      </w:r>
      <w:r w:rsidR="0075236C" w:rsidRPr="00936526">
        <w:rPr>
          <w:rFonts w:eastAsia="MS Mincho"/>
          <w:sz w:val="22"/>
          <w:szCs w:val="22"/>
          <w:lang w:val="sr-Latn-RS" w:eastAsia="ja-JP"/>
        </w:rPr>
        <w:t>; ili za kompozitni mikrovaskularni ishod.</w:t>
      </w:r>
    </w:p>
    <w:p w14:paraId="1058E0A3" w14:textId="41FE89DE" w:rsidR="0075236C" w:rsidRPr="00936526" w:rsidRDefault="0075236C" w:rsidP="0075236C">
      <w:pPr>
        <w:autoSpaceDE w:val="0"/>
        <w:autoSpaceDN w:val="0"/>
        <w:adjustRightInd w:val="0"/>
        <w:spacing w:before="120"/>
        <w:jc w:val="both"/>
        <w:rPr>
          <w:rFonts w:eastAsia="MS Mincho"/>
          <w:sz w:val="22"/>
          <w:szCs w:val="22"/>
          <w:lang w:val="sr-Latn-RS" w:eastAsia="hr-BA"/>
        </w:rPr>
      </w:pPr>
      <w:r w:rsidRPr="00936526">
        <w:rPr>
          <w:rFonts w:eastAsia="MS Mincho"/>
          <w:sz w:val="22"/>
          <w:szCs w:val="22"/>
          <w:lang w:val="sr-Latn-RS" w:eastAsia="hr-BA"/>
        </w:rPr>
        <w:t>Srednja doza insulin glargina do kraja studije bila je 0</w:t>
      </w:r>
      <w:r w:rsidR="00DD41BE" w:rsidRPr="00936526">
        <w:rPr>
          <w:rFonts w:eastAsia="MS Mincho"/>
          <w:sz w:val="22"/>
          <w:szCs w:val="22"/>
          <w:lang w:val="sr-Latn-RS" w:eastAsia="hr-BA"/>
        </w:rPr>
        <w:t>,</w:t>
      </w:r>
      <w:r w:rsidRPr="00936526">
        <w:rPr>
          <w:rFonts w:eastAsia="MS Mincho"/>
          <w:sz w:val="22"/>
          <w:szCs w:val="22"/>
          <w:lang w:val="sr-Latn-RS" w:eastAsia="hr-BA"/>
        </w:rPr>
        <w:t xml:space="preserve">42 j./kg. Na početku studije učesnici su imali srednju HbA1c vrijednost 6,4%, dok su </w:t>
      </w:r>
      <w:r w:rsidR="00DD41BE" w:rsidRPr="00936526">
        <w:rPr>
          <w:rFonts w:eastAsia="MS Mincho"/>
          <w:sz w:val="22"/>
          <w:szCs w:val="22"/>
          <w:lang w:val="sr-Latn-RS" w:eastAsia="hr-BA"/>
        </w:rPr>
        <w:t xml:space="preserve">se </w:t>
      </w:r>
      <w:r w:rsidRPr="00936526">
        <w:rPr>
          <w:rFonts w:eastAsia="MS Mincho"/>
          <w:sz w:val="22"/>
          <w:szCs w:val="22"/>
          <w:lang w:val="sr-Latn-RS" w:eastAsia="hr-BA"/>
        </w:rPr>
        <w:t xml:space="preserve">srednje vrijednosti HbA1c tokom trajanja studije </w:t>
      </w:r>
      <w:r w:rsidR="00DD41BE" w:rsidRPr="00936526">
        <w:rPr>
          <w:rFonts w:eastAsia="MS Mincho"/>
          <w:sz w:val="22"/>
          <w:szCs w:val="22"/>
          <w:lang w:val="sr-Latn-RS" w:eastAsia="hr-BA"/>
        </w:rPr>
        <w:t xml:space="preserve">kretale </w:t>
      </w:r>
      <w:r w:rsidRPr="00936526">
        <w:rPr>
          <w:rFonts w:eastAsia="MS Mincho"/>
          <w:sz w:val="22"/>
          <w:szCs w:val="22"/>
          <w:lang w:val="sr-Latn-RS" w:eastAsia="hr-BA"/>
        </w:rPr>
        <w:t>od 5</w:t>
      </w:r>
      <w:r w:rsidR="00DD41BE" w:rsidRPr="00936526">
        <w:rPr>
          <w:rFonts w:eastAsia="MS Mincho"/>
          <w:sz w:val="22"/>
          <w:szCs w:val="22"/>
          <w:lang w:val="sr-Latn-RS" w:eastAsia="hr-BA"/>
        </w:rPr>
        <w:t>,</w:t>
      </w:r>
      <w:r w:rsidRPr="00936526">
        <w:rPr>
          <w:rFonts w:eastAsia="MS Mincho"/>
          <w:sz w:val="22"/>
          <w:szCs w:val="22"/>
          <w:lang w:val="sr-Latn-RS" w:eastAsia="hr-BA"/>
        </w:rPr>
        <w:t>9 % do 6,4% u grupi koja je primala insulin glargin, odnosno od 6,2% do 6,6% u grupi koja je bila na standardnoj njezi. Stope učestalosti teške hipoglikemije (izraženo u broju pacijenata sa teškom hipoglikemijom na 100 godina izloženosti učesnika lječenju) bile su 1</w:t>
      </w:r>
      <w:r w:rsidR="00DD41BE" w:rsidRPr="00936526">
        <w:rPr>
          <w:rFonts w:eastAsia="MS Mincho"/>
          <w:sz w:val="22"/>
          <w:szCs w:val="22"/>
          <w:lang w:val="sr-Latn-RS" w:eastAsia="hr-BA"/>
        </w:rPr>
        <w:t>,</w:t>
      </w:r>
      <w:r w:rsidRPr="00936526">
        <w:rPr>
          <w:rFonts w:eastAsia="MS Mincho"/>
          <w:sz w:val="22"/>
          <w:szCs w:val="22"/>
          <w:lang w:val="sr-Latn-RS" w:eastAsia="hr-BA"/>
        </w:rPr>
        <w:t>05 za insulin glargin i 0</w:t>
      </w:r>
      <w:r w:rsidR="00DD41BE" w:rsidRPr="00936526">
        <w:rPr>
          <w:rFonts w:eastAsia="MS Mincho"/>
          <w:sz w:val="22"/>
          <w:szCs w:val="22"/>
          <w:lang w:val="sr-Latn-RS" w:eastAsia="hr-BA"/>
        </w:rPr>
        <w:t>,</w:t>
      </w:r>
      <w:r w:rsidRPr="00936526">
        <w:rPr>
          <w:rFonts w:eastAsia="MS Mincho"/>
          <w:sz w:val="22"/>
          <w:szCs w:val="22"/>
          <w:lang w:val="sr-Latn-RS" w:eastAsia="hr-BA"/>
        </w:rPr>
        <w:t>30 za grupu koja je primala standardnu njegu, a stope potvrđenih hipoglikemija koje ni</w:t>
      </w:r>
      <w:r w:rsidR="00DD41BE" w:rsidRPr="00936526">
        <w:rPr>
          <w:rFonts w:eastAsia="MS Mincho"/>
          <w:sz w:val="22"/>
          <w:szCs w:val="22"/>
          <w:lang w:val="sr-Latn-RS" w:eastAsia="hr-BA"/>
        </w:rPr>
        <w:t>je</w:t>
      </w:r>
      <w:r w:rsidRPr="00936526">
        <w:rPr>
          <w:rFonts w:eastAsia="MS Mincho"/>
          <w:sz w:val="22"/>
          <w:szCs w:val="22"/>
          <w:lang w:val="sr-Latn-RS" w:eastAsia="hr-BA"/>
        </w:rPr>
        <w:t>su ozbiljne bile su 7</w:t>
      </w:r>
      <w:r w:rsidR="00DD41BE" w:rsidRPr="00936526">
        <w:rPr>
          <w:rFonts w:eastAsia="MS Mincho"/>
          <w:sz w:val="22"/>
          <w:szCs w:val="22"/>
          <w:lang w:val="sr-Latn-RS" w:eastAsia="hr-BA"/>
        </w:rPr>
        <w:t>,</w:t>
      </w:r>
      <w:r w:rsidRPr="00936526">
        <w:rPr>
          <w:rFonts w:eastAsia="MS Mincho"/>
          <w:sz w:val="22"/>
          <w:szCs w:val="22"/>
          <w:lang w:val="sr-Latn-RS" w:eastAsia="hr-BA"/>
        </w:rPr>
        <w:t>71 za insulin glargin i 2</w:t>
      </w:r>
      <w:r w:rsidR="00DD41BE" w:rsidRPr="00936526">
        <w:rPr>
          <w:rFonts w:eastAsia="MS Mincho"/>
          <w:sz w:val="22"/>
          <w:szCs w:val="22"/>
          <w:lang w:val="sr-Latn-RS" w:eastAsia="hr-BA"/>
        </w:rPr>
        <w:t>,</w:t>
      </w:r>
      <w:r w:rsidRPr="00936526">
        <w:rPr>
          <w:rFonts w:eastAsia="MS Mincho"/>
          <w:sz w:val="22"/>
          <w:szCs w:val="22"/>
          <w:lang w:val="sr-Latn-RS" w:eastAsia="hr-BA"/>
        </w:rPr>
        <w:t>44 za grupu koja je primala standardnu njegu. Tokom trajanja ove šestogodišnje studije, kod 42% učesnika na t</w:t>
      </w:r>
      <w:r w:rsidR="00DD41BE" w:rsidRPr="00936526">
        <w:rPr>
          <w:rFonts w:eastAsia="MS Mincho"/>
          <w:sz w:val="22"/>
          <w:szCs w:val="22"/>
          <w:lang w:val="sr-Latn-RS" w:eastAsia="hr-BA"/>
        </w:rPr>
        <w:t>e</w:t>
      </w:r>
      <w:r w:rsidRPr="00936526">
        <w:rPr>
          <w:rFonts w:eastAsia="MS Mincho"/>
          <w:sz w:val="22"/>
          <w:szCs w:val="22"/>
          <w:lang w:val="sr-Latn-RS" w:eastAsia="hr-BA"/>
        </w:rPr>
        <w:t>rapiji insulin glarginom nije zabilježena ni jedna hipoglikemija.</w:t>
      </w:r>
    </w:p>
    <w:p w14:paraId="3CAE7D18" w14:textId="450872F4" w:rsidR="0075236C" w:rsidRPr="00936526" w:rsidRDefault="0075236C" w:rsidP="0075236C">
      <w:pPr>
        <w:autoSpaceDE w:val="0"/>
        <w:autoSpaceDN w:val="0"/>
        <w:adjustRightInd w:val="0"/>
        <w:spacing w:before="120"/>
        <w:jc w:val="both"/>
        <w:rPr>
          <w:rFonts w:eastAsia="MS Mincho"/>
          <w:color w:val="FF0000"/>
          <w:sz w:val="22"/>
          <w:szCs w:val="22"/>
          <w:lang w:val="sr-Latn-RS" w:eastAsia="hr-BA"/>
        </w:rPr>
      </w:pPr>
      <w:r w:rsidRPr="00936526">
        <w:rPr>
          <w:rFonts w:eastAsia="MS Mincho"/>
          <w:sz w:val="22"/>
          <w:szCs w:val="22"/>
          <w:lang w:val="sr-Latn-RS" w:eastAsia="hr-BA"/>
        </w:rPr>
        <w:t>Na posljednjoj posjeti tokom trajanja terapije, zabilježeno je srednje povećanje tjelesne mase od 1</w:t>
      </w:r>
      <w:r w:rsidR="00DD41BE" w:rsidRPr="00936526">
        <w:rPr>
          <w:rFonts w:eastAsia="MS Mincho"/>
          <w:sz w:val="22"/>
          <w:szCs w:val="22"/>
          <w:lang w:val="sr-Latn-RS" w:eastAsia="hr-BA"/>
        </w:rPr>
        <w:t>,</w:t>
      </w:r>
      <w:r w:rsidRPr="00936526">
        <w:rPr>
          <w:rFonts w:eastAsia="MS Mincho"/>
          <w:sz w:val="22"/>
          <w:szCs w:val="22"/>
          <w:lang w:val="sr-Latn-RS" w:eastAsia="hr-BA"/>
        </w:rPr>
        <w:t>4 kg u grupi na insulin glarginu i srednje smanjenje tjelesne mase od 0</w:t>
      </w:r>
      <w:r w:rsidR="00DD41BE" w:rsidRPr="00936526">
        <w:rPr>
          <w:rFonts w:eastAsia="MS Mincho"/>
          <w:sz w:val="22"/>
          <w:szCs w:val="22"/>
          <w:lang w:val="sr-Latn-RS" w:eastAsia="hr-BA"/>
        </w:rPr>
        <w:t>,</w:t>
      </w:r>
      <w:r w:rsidRPr="00936526">
        <w:rPr>
          <w:rFonts w:eastAsia="MS Mincho"/>
          <w:sz w:val="22"/>
          <w:szCs w:val="22"/>
          <w:lang w:val="sr-Latn-RS" w:eastAsia="hr-BA"/>
        </w:rPr>
        <w:t>8 kg u grupi na standardnoj njezi, u odnosu na vrijednosti zabilježene na početku studije.</w:t>
      </w:r>
    </w:p>
    <w:p w14:paraId="0D01DE2F" w14:textId="77777777" w:rsidR="0075236C" w:rsidRPr="00936526" w:rsidRDefault="0075236C" w:rsidP="00121CF3">
      <w:pPr>
        <w:tabs>
          <w:tab w:val="left" w:pos="284"/>
        </w:tabs>
        <w:spacing w:before="120" w:line="360" w:lineRule="auto"/>
        <w:rPr>
          <w:sz w:val="22"/>
          <w:szCs w:val="22"/>
          <w:u w:val="single"/>
          <w:lang w:val="sr-Latn-RS"/>
        </w:rPr>
      </w:pPr>
      <w:r w:rsidRPr="00936526">
        <w:rPr>
          <w:sz w:val="22"/>
          <w:szCs w:val="22"/>
          <w:u w:val="single"/>
          <w:lang w:val="sr-Latn-RS"/>
        </w:rPr>
        <w:t>Pedijatrijska populacija</w:t>
      </w:r>
    </w:p>
    <w:p w14:paraId="1BB56A19" w14:textId="43A62D5B" w:rsidR="0075236C" w:rsidRPr="00936526" w:rsidRDefault="0075236C" w:rsidP="00121CF3">
      <w:pPr>
        <w:tabs>
          <w:tab w:val="left" w:pos="284"/>
        </w:tabs>
        <w:spacing w:before="120"/>
        <w:jc w:val="both"/>
        <w:rPr>
          <w:sz w:val="22"/>
          <w:szCs w:val="22"/>
          <w:lang w:val="sr-Latn-RS"/>
        </w:rPr>
      </w:pPr>
      <w:r w:rsidRPr="00936526">
        <w:rPr>
          <w:sz w:val="22"/>
          <w:szCs w:val="22"/>
          <w:lang w:val="sr-Latn-RS"/>
        </w:rPr>
        <w:t>U randomizovanoj, kontrolisanoj kliničkoj studiji , pedijatrijski pacijenti (raspon godina od 6 do 15) sa dijabetesom tipa 1 (n=349) su bili 28 nedelja na bazal-bolus insulinskom režimu gd</w:t>
      </w:r>
      <w:r w:rsidR="00DD41BE" w:rsidRPr="00936526">
        <w:rPr>
          <w:sz w:val="22"/>
          <w:szCs w:val="22"/>
          <w:lang w:val="sr-Latn-RS"/>
        </w:rPr>
        <w:t>j</w:t>
      </w:r>
      <w:r w:rsidRPr="00936526">
        <w:rPr>
          <w:sz w:val="22"/>
          <w:szCs w:val="22"/>
          <w:lang w:val="sr-Latn-RS"/>
        </w:rPr>
        <w:t>e je regularni humani insulin upotrebljavan prije svakog obroka. Insulin glargin je primjenjivan jednom dnevno pred spavanje i NPH humani insulin jednom ili dva puta dnevno. U ob</w:t>
      </w:r>
      <w:r w:rsidR="00DD41BE" w:rsidRPr="00936526">
        <w:rPr>
          <w:sz w:val="22"/>
          <w:szCs w:val="22"/>
          <w:lang w:val="sr-Latn-RS"/>
        </w:rPr>
        <w:t>j</w:t>
      </w:r>
      <w:r w:rsidRPr="00936526">
        <w:rPr>
          <w:sz w:val="22"/>
          <w:szCs w:val="22"/>
          <w:lang w:val="sr-Latn-RS"/>
        </w:rPr>
        <w:t>e terapijske grupe je primjećeno slično dejstvo na glikozilirani hemoglobin i na incidencu simptomatske hipoglikemije, dok je</w:t>
      </w:r>
      <w:bookmarkStart w:id="2" w:name="OLE_LINK1"/>
      <w:bookmarkStart w:id="3" w:name="OLE_LINK2"/>
      <w:r w:rsidRPr="00936526">
        <w:rPr>
          <w:sz w:val="22"/>
          <w:szCs w:val="22"/>
          <w:lang w:val="sr-Latn-RS"/>
        </w:rPr>
        <w:t xml:space="preserve"> vrijednost glukoze našte bila više smanjena u grupi koja je primala insulin glargin nego u grupi na NPH insulinu, u odnosu na početne vrijednosti.</w:t>
      </w:r>
      <w:bookmarkEnd w:id="2"/>
      <w:bookmarkEnd w:id="3"/>
      <w:r w:rsidRPr="00936526">
        <w:rPr>
          <w:sz w:val="22"/>
          <w:szCs w:val="22"/>
          <w:lang w:val="sr-Latn-RS"/>
        </w:rPr>
        <w:t xml:space="preserve"> Takođe je bilo manje ozbiljnih hipoglikemija u grupi koja je primala insulin glargin. </w:t>
      </w:r>
      <w:r w:rsidR="008F0C70" w:rsidRPr="00936526">
        <w:rPr>
          <w:sz w:val="22"/>
          <w:szCs w:val="22"/>
          <w:lang w:val="sr-Latn-RS"/>
        </w:rPr>
        <w:t>Od pacijenata iz studije koji su</w:t>
      </w:r>
      <w:r w:rsidRPr="00936526">
        <w:rPr>
          <w:sz w:val="22"/>
          <w:szCs w:val="22"/>
          <w:lang w:val="sr-Latn-RS"/>
        </w:rPr>
        <w:t xml:space="preserve"> bili na terapiji insulin glarginom, </w:t>
      </w:r>
      <w:r w:rsidR="008F0C70" w:rsidRPr="00936526">
        <w:rPr>
          <w:sz w:val="22"/>
          <w:szCs w:val="22"/>
          <w:lang w:val="sr-Latn-RS"/>
        </w:rPr>
        <w:t xml:space="preserve">143 je </w:t>
      </w:r>
      <w:r w:rsidRPr="00936526">
        <w:rPr>
          <w:sz w:val="22"/>
          <w:szCs w:val="22"/>
          <w:lang w:val="sr-Latn-RS"/>
        </w:rPr>
        <w:t xml:space="preserve">nastavilo sa istom terapijom u nekontrolisanoj ekstenziji studije sa srednjom dužinom praćenja od 2 godine. Nije bilo novih </w:t>
      </w:r>
      <w:r w:rsidR="001D4E9D" w:rsidRPr="00936526">
        <w:rPr>
          <w:sz w:val="22"/>
          <w:szCs w:val="22"/>
          <w:lang w:val="sr-Latn-RS"/>
        </w:rPr>
        <w:t>bezbjed</w:t>
      </w:r>
      <w:r w:rsidR="001211A1" w:rsidRPr="00936526">
        <w:rPr>
          <w:sz w:val="22"/>
          <w:szCs w:val="22"/>
          <w:lang w:val="sr-Latn-RS"/>
        </w:rPr>
        <w:t xml:space="preserve">nosnih </w:t>
      </w:r>
      <w:r w:rsidRPr="00936526">
        <w:rPr>
          <w:sz w:val="22"/>
          <w:szCs w:val="22"/>
          <w:lang w:val="sr-Latn-RS"/>
        </w:rPr>
        <w:t>signala za vrijeme trajanja ove produžene terapije insulin glarginom.</w:t>
      </w:r>
    </w:p>
    <w:p w14:paraId="19B3FD54" w14:textId="651F048D" w:rsidR="0075236C" w:rsidRPr="00936526" w:rsidRDefault="0075236C" w:rsidP="00121CF3">
      <w:pPr>
        <w:tabs>
          <w:tab w:val="left" w:pos="284"/>
        </w:tabs>
        <w:spacing w:before="120" w:after="120"/>
        <w:jc w:val="both"/>
        <w:rPr>
          <w:sz w:val="22"/>
          <w:szCs w:val="22"/>
          <w:lang w:val="sr-Latn-RS"/>
        </w:rPr>
      </w:pPr>
      <w:r w:rsidRPr="00936526">
        <w:rPr>
          <w:sz w:val="22"/>
          <w:szCs w:val="22"/>
          <w:lang w:val="sr-Latn-RS"/>
        </w:rPr>
        <w:t>Takođe je sprovedena ukrštena studija</w:t>
      </w:r>
      <w:r w:rsidR="008F0C70" w:rsidRPr="00936526">
        <w:rPr>
          <w:sz w:val="22"/>
          <w:szCs w:val="22"/>
          <w:lang w:val="sr-Latn-RS"/>
        </w:rPr>
        <w:t xml:space="preserve"> (</w:t>
      </w:r>
      <w:r w:rsidR="009A322B" w:rsidRPr="00936526">
        <w:rPr>
          <w:i/>
          <w:iCs/>
          <w:sz w:val="22"/>
          <w:szCs w:val="22"/>
          <w:lang w:val="sr-Latn-RS"/>
        </w:rPr>
        <w:t>engl.</w:t>
      </w:r>
      <w:r w:rsidR="009A322B" w:rsidRPr="00936526">
        <w:rPr>
          <w:sz w:val="22"/>
          <w:szCs w:val="22"/>
          <w:lang w:val="sr-Latn-RS"/>
        </w:rPr>
        <w:t xml:space="preserve"> </w:t>
      </w:r>
      <w:r w:rsidR="008F0C70" w:rsidRPr="00936526">
        <w:rPr>
          <w:i/>
          <w:sz w:val="22"/>
          <w:szCs w:val="22"/>
          <w:lang w:val="sr-Latn-RS"/>
        </w:rPr>
        <w:t>crossover</w:t>
      </w:r>
      <w:r w:rsidR="008F0C70" w:rsidRPr="00936526">
        <w:rPr>
          <w:sz w:val="22"/>
          <w:szCs w:val="22"/>
          <w:lang w:val="sr-Latn-RS"/>
        </w:rPr>
        <w:t>)</w:t>
      </w:r>
      <w:r w:rsidRPr="00936526">
        <w:rPr>
          <w:sz w:val="22"/>
          <w:szCs w:val="22"/>
          <w:lang w:val="sr-Latn-RS"/>
        </w:rPr>
        <w:t xml:space="preserve"> kod 26 adolescenata sa dijabetesom tipa 1 starosti između 12 i 16 godina, koja je poredila insulin glargin plus insulin lispro sa NPH plus humani</w:t>
      </w:r>
      <w:r w:rsidR="008F0C70" w:rsidRPr="00936526">
        <w:rPr>
          <w:sz w:val="22"/>
          <w:szCs w:val="22"/>
          <w:lang w:val="sr-Latn-RS"/>
        </w:rPr>
        <w:t>m</w:t>
      </w:r>
      <w:r w:rsidRPr="00936526">
        <w:rPr>
          <w:sz w:val="22"/>
          <w:szCs w:val="22"/>
          <w:lang w:val="sr-Latn-RS"/>
        </w:rPr>
        <w:t xml:space="preserve"> insulin</w:t>
      </w:r>
      <w:r w:rsidR="008F0C70" w:rsidRPr="00936526">
        <w:rPr>
          <w:sz w:val="22"/>
          <w:szCs w:val="22"/>
          <w:lang w:val="sr-Latn-RS"/>
        </w:rPr>
        <w:t>om</w:t>
      </w:r>
      <w:r w:rsidRPr="00936526">
        <w:rPr>
          <w:sz w:val="22"/>
          <w:szCs w:val="22"/>
          <w:lang w:val="sr-Latn-RS"/>
        </w:rPr>
        <w:t xml:space="preserve"> (svaka terapija je prim</w:t>
      </w:r>
      <w:r w:rsidR="008F0C70" w:rsidRPr="00936526">
        <w:rPr>
          <w:sz w:val="22"/>
          <w:szCs w:val="22"/>
          <w:lang w:val="sr-Latn-RS"/>
        </w:rPr>
        <w:t>j</w:t>
      </w:r>
      <w:r w:rsidRPr="00936526">
        <w:rPr>
          <w:sz w:val="22"/>
          <w:szCs w:val="22"/>
          <w:lang w:val="sr-Latn-RS"/>
        </w:rPr>
        <w:t>enjivana 16 nedelja slučajnim redosl</w:t>
      </w:r>
      <w:r w:rsidR="008F0C70" w:rsidRPr="00936526">
        <w:rPr>
          <w:sz w:val="22"/>
          <w:szCs w:val="22"/>
          <w:lang w:val="sr-Latn-RS"/>
        </w:rPr>
        <w:t>j</w:t>
      </w:r>
      <w:r w:rsidRPr="00936526">
        <w:rPr>
          <w:sz w:val="22"/>
          <w:szCs w:val="22"/>
          <w:lang w:val="sr-Latn-RS"/>
        </w:rPr>
        <w:t xml:space="preserve">edom). Kao i u gore opisanoj pedijatrijskoj studiji, vrijednost glukoze našte bila je više smanjena u grupi koja je primala insulin glargin nego u grupi na NPH insulinu, u odnosu na početne vrijednosti. Promjene u vrijednostima HbA1c, u odnosu na početne, bile su slične među terapijskim grupama; s druge strane, vrijednosti glikemije </w:t>
      </w:r>
      <w:r w:rsidR="008F0C70" w:rsidRPr="00936526">
        <w:rPr>
          <w:sz w:val="22"/>
          <w:szCs w:val="22"/>
          <w:lang w:val="sr-Latn-RS"/>
        </w:rPr>
        <w:t xml:space="preserve">zabilježene </w:t>
      </w:r>
      <w:r w:rsidRPr="00936526">
        <w:rPr>
          <w:sz w:val="22"/>
          <w:szCs w:val="22"/>
          <w:lang w:val="sr-Latn-RS"/>
        </w:rPr>
        <w:t xml:space="preserve">tokom noći bile su značajno veće u insulin glargin/lispro grupi nego u grupi na terapiji sa NPH/regularnim insulinom, sa najnižom srednjom vrijednošću od 5,4mM vs 4,1mM. </w:t>
      </w:r>
      <w:r w:rsidR="008F0C70" w:rsidRPr="00936526">
        <w:rPr>
          <w:sz w:val="22"/>
          <w:szCs w:val="22"/>
          <w:lang w:val="sr-Latn-RS"/>
        </w:rPr>
        <w:t xml:space="preserve">Analogno </w:t>
      </w:r>
      <w:r w:rsidRPr="00936526">
        <w:rPr>
          <w:sz w:val="22"/>
          <w:szCs w:val="22"/>
          <w:lang w:val="sr-Latn-RS"/>
        </w:rPr>
        <w:t xml:space="preserve">tome, incidenca noćne hipoglikemije bila je 32% u insulin glargin/lispro grupi </w:t>
      </w:r>
      <w:r w:rsidR="008F0C70" w:rsidRPr="00936526">
        <w:rPr>
          <w:sz w:val="22"/>
          <w:szCs w:val="22"/>
          <w:lang w:val="sr-Latn-RS"/>
        </w:rPr>
        <w:t xml:space="preserve">u odnosu na </w:t>
      </w:r>
      <w:r w:rsidRPr="00936526">
        <w:rPr>
          <w:sz w:val="22"/>
          <w:szCs w:val="22"/>
          <w:lang w:val="sr-Latn-RS"/>
        </w:rPr>
        <w:t>52% u grupi na NPH/regularnom insulinu.</w:t>
      </w:r>
    </w:p>
    <w:p w14:paraId="290A347E" w14:textId="435E04AA" w:rsidR="0075236C" w:rsidRPr="00936526" w:rsidRDefault="0075236C" w:rsidP="005C7FE3">
      <w:pPr>
        <w:tabs>
          <w:tab w:val="left" w:pos="284"/>
        </w:tabs>
        <w:spacing w:before="120"/>
        <w:jc w:val="both"/>
        <w:rPr>
          <w:sz w:val="22"/>
          <w:szCs w:val="22"/>
          <w:lang w:val="sr-Latn-RS"/>
        </w:rPr>
      </w:pPr>
      <w:r w:rsidRPr="00936526">
        <w:rPr>
          <w:sz w:val="22"/>
          <w:szCs w:val="22"/>
          <w:lang w:val="sr-Latn-RS"/>
        </w:rPr>
        <w:t xml:space="preserve">Studija paralelnih grupa u trajanju od 24 nedjelje sprovedena je kod 125 djece </w:t>
      </w:r>
      <w:r w:rsidR="008F0C70" w:rsidRPr="00936526">
        <w:rPr>
          <w:sz w:val="22"/>
          <w:szCs w:val="22"/>
          <w:lang w:val="sr-Latn-RS"/>
        </w:rPr>
        <w:t xml:space="preserve">uzrasta </w:t>
      </w:r>
      <w:r w:rsidRPr="00936526">
        <w:rPr>
          <w:sz w:val="22"/>
          <w:szCs w:val="22"/>
          <w:lang w:val="sr-Latn-RS"/>
        </w:rPr>
        <w:t>2 do 6 godina sa di</w:t>
      </w:r>
      <w:r w:rsidR="008F0C70" w:rsidRPr="00936526">
        <w:rPr>
          <w:sz w:val="22"/>
          <w:szCs w:val="22"/>
          <w:lang w:val="sr-Latn-RS"/>
        </w:rPr>
        <w:t>j</w:t>
      </w:r>
      <w:r w:rsidRPr="00936526">
        <w:rPr>
          <w:sz w:val="22"/>
          <w:szCs w:val="22"/>
          <w:lang w:val="sr-Latn-RS"/>
        </w:rPr>
        <w:t>abetes mel</w:t>
      </w:r>
      <w:r w:rsidR="008F0C70" w:rsidRPr="00936526">
        <w:rPr>
          <w:sz w:val="22"/>
          <w:szCs w:val="22"/>
          <w:lang w:val="sr-Latn-RS"/>
        </w:rPr>
        <w:t xml:space="preserve">itusom </w:t>
      </w:r>
      <w:r w:rsidRPr="00936526">
        <w:rPr>
          <w:sz w:val="22"/>
          <w:szCs w:val="22"/>
          <w:lang w:val="sr-Latn-RS"/>
        </w:rPr>
        <w:t>tipa 1, poredeći insulin glargin primjenjivan jednom dnevno ujutru sa NPH insulinom kao bazalnim insulinom primjenjivanim jednom ili dva puta dnevno. Ob</w:t>
      </w:r>
      <w:r w:rsidR="008F0C70" w:rsidRPr="00936526">
        <w:rPr>
          <w:sz w:val="22"/>
          <w:szCs w:val="22"/>
          <w:lang w:val="sr-Latn-RS"/>
        </w:rPr>
        <w:t>j</w:t>
      </w:r>
      <w:r w:rsidRPr="00936526">
        <w:rPr>
          <w:sz w:val="22"/>
          <w:szCs w:val="22"/>
          <w:lang w:val="sr-Latn-RS"/>
        </w:rPr>
        <w:t>e grupe su dobijale bolus insulin prije obroka.</w:t>
      </w:r>
    </w:p>
    <w:p w14:paraId="078C895D" w14:textId="3627B9F4" w:rsidR="0075236C" w:rsidRPr="00936526" w:rsidRDefault="0075236C">
      <w:pPr>
        <w:tabs>
          <w:tab w:val="left" w:pos="284"/>
        </w:tabs>
        <w:jc w:val="both"/>
        <w:rPr>
          <w:sz w:val="22"/>
          <w:szCs w:val="22"/>
          <w:lang w:val="sr-Latn-RS"/>
        </w:rPr>
      </w:pPr>
      <w:r w:rsidRPr="00936526">
        <w:rPr>
          <w:sz w:val="22"/>
          <w:szCs w:val="22"/>
          <w:lang w:val="sr-Latn-RS"/>
        </w:rPr>
        <w:t>Primarni cilj, demonstriranje neinferiornosti insulin glargina u odnosu na NPH insulin kod svih hipoglikemija, nije ostvaren, a postojao je i trend povećanja učestalosti hipoglikemijskih događaja sa insulin glarginom (insulin glargin:</w:t>
      </w:r>
      <w:r w:rsidR="001211A1" w:rsidRPr="00936526">
        <w:rPr>
          <w:sz w:val="22"/>
          <w:szCs w:val="22"/>
          <w:lang w:val="sr-Latn-RS"/>
        </w:rPr>
        <w:t xml:space="preserve"> </w:t>
      </w:r>
      <w:r w:rsidRPr="00936526">
        <w:rPr>
          <w:sz w:val="22"/>
          <w:szCs w:val="22"/>
          <w:lang w:val="sr-Latn-RS"/>
        </w:rPr>
        <w:t>NPH stopa koefic</w:t>
      </w:r>
      <w:r w:rsidR="001211A1" w:rsidRPr="00936526">
        <w:rPr>
          <w:sz w:val="22"/>
          <w:szCs w:val="22"/>
          <w:lang w:val="sr-Latn-RS"/>
        </w:rPr>
        <w:t>i</w:t>
      </w:r>
      <w:r w:rsidRPr="00936526">
        <w:rPr>
          <w:sz w:val="22"/>
          <w:szCs w:val="22"/>
          <w:lang w:val="sr-Latn-RS"/>
        </w:rPr>
        <w:t>jenta (95% CI) = 1</w:t>
      </w:r>
      <w:r w:rsidR="001211A1" w:rsidRPr="00936526">
        <w:rPr>
          <w:sz w:val="22"/>
          <w:szCs w:val="22"/>
          <w:lang w:val="sr-Latn-RS"/>
        </w:rPr>
        <w:t>,</w:t>
      </w:r>
      <w:r w:rsidRPr="00936526">
        <w:rPr>
          <w:sz w:val="22"/>
          <w:szCs w:val="22"/>
          <w:lang w:val="sr-Latn-RS"/>
        </w:rPr>
        <w:t>18 (0.97-1</w:t>
      </w:r>
      <w:r w:rsidR="001211A1" w:rsidRPr="00936526">
        <w:rPr>
          <w:sz w:val="22"/>
          <w:szCs w:val="22"/>
          <w:lang w:val="sr-Latn-RS"/>
        </w:rPr>
        <w:t>,</w:t>
      </w:r>
      <w:r w:rsidRPr="00936526">
        <w:rPr>
          <w:sz w:val="22"/>
          <w:szCs w:val="22"/>
          <w:lang w:val="sr-Latn-RS"/>
        </w:rPr>
        <w:t>44)).</w:t>
      </w:r>
    </w:p>
    <w:p w14:paraId="05C0941E" w14:textId="46AC15D2" w:rsidR="002E37A5" w:rsidRPr="00936526" w:rsidRDefault="0075236C" w:rsidP="00121CF3">
      <w:pPr>
        <w:tabs>
          <w:tab w:val="left" w:pos="540"/>
          <w:tab w:val="left" w:pos="569"/>
        </w:tabs>
        <w:jc w:val="both"/>
        <w:rPr>
          <w:sz w:val="22"/>
          <w:szCs w:val="22"/>
          <w:lang w:val="sr-Latn-RS"/>
        </w:rPr>
      </w:pPr>
      <w:r w:rsidRPr="00936526">
        <w:rPr>
          <w:sz w:val="22"/>
          <w:szCs w:val="22"/>
          <w:lang w:val="sr-Latn-RS"/>
        </w:rPr>
        <w:t>Varijabilnosti glikoziliranog hemoglobina i glukoze bile su uporedive u ob</w:t>
      </w:r>
      <w:r w:rsidR="001211A1" w:rsidRPr="00936526">
        <w:rPr>
          <w:sz w:val="22"/>
          <w:szCs w:val="22"/>
          <w:lang w:val="sr-Latn-RS"/>
        </w:rPr>
        <w:t>j</w:t>
      </w:r>
      <w:r w:rsidRPr="00936526">
        <w:rPr>
          <w:sz w:val="22"/>
          <w:szCs w:val="22"/>
          <w:lang w:val="sr-Latn-RS"/>
        </w:rPr>
        <w:t>e terapijske grupe. U ovoj studiji nijesu detektovani novi bezbjednosni signali.</w:t>
      </w:r>
    </w:p>
    <w:p w14:paraId="0B5254E1" w14:textId="5E731E76" w:rsidR="00121CF3" w:rsidRPr="00936526" w:rsidRDefault="00121CF3">
      <w:pPr>
        <w:rPr>
          <w:b/>
          <w:bCs/>
          <w:sz w:val="22"/>
          <w:szCs w:val="22"/>
          <w:lang w:val="sr-Latn-RS"/>
        </w:rPr>
      </w:pPr>
      <w:r w:rsidRPr="00936526">
        <w:rPr>
          <w:b/>
          <w:bCs/>
          <w:sz w:val="22"/>
          <w:szCs w:val="22"/>
          <w:lang w:val="sr-Latn-RS"/>
        </w:rPr>
        <w:br w:type="page"/>
      </w:r>
    </w:p>
    <w:p w14:paraId="47FEEBCF" w14:textId="2D15834F" w:rsidR="0072020E" w:rsidRPr="00936526" w:rsidRDefault="0072020E" w:rsidP="00121CF3">
      <w:pPr>
        <w:tabs>
          <w:tab w:val="left" w:pos="540"/>
          <w:tab w:val="left" w:pos="569"/>
        </w:tabs>
        <w:spacing w:line="360" w:lineRule="auto"/>
        <w:rPr>
          <w:b/>
          <w:bCs/>
          <w:sz w:val="22"/>
          <w:szCs w:val="22"/>
          <w:lang w:val="sr-Latn-RS"/>
        </w:rPr>
      </w:pPr>
      <w:r w:rsidRPr="00936526">
        <w:rPr>
          <w:b/>
          <w:bCs/>
          <w:sz w:val="22"/>
          <w:szCs w:val="22"/>
          <w:lang w:val="sr-Latn-RS"/>
        </w:rPr>
        <w:lastRenderedPageBreak/>
        <w:t>5.2. Farmakokinetički podaci</w:t>
      </w:r>
      <w:r w:rsidR="003A7059" w:rsidRPr="00936526">
        <w:rPr>
          <w:b/>
          <w:bCs/>
          <w:sz w:val="22"/>
          <w:szCs w:val="22"/>
          <w:lang w:val="sr-Latn-RS"/>
        </w:rPr>
        <w:t xml:space="preserve"> </w:t>
      </w:r>
    </w:p>
    <w:p w14:paraId="5AA8BF6B" w14:textId="1EE60C90" w:rsidR="0075236C" w:rsidRPr="00936526" w:rsidRDefault="0075236C" w:rsidP="0075236C">
      <w:pPr>
        <w:tabs>
          <w:tab w:val="left" w:pos="284"/>
        </w:tabs>
        <w:spacing w:before="120"/>
        <w:jc w:val="both"/>
        <w:rPr>
          <w:sz w:val="22"/>
          <w:szCs w:val="22"/>
          <w:lang w:val="sr-Latn-RS"/>
        </w:rPr>
      </w:pPr>
      <w:r w:rsidRPr="00936526">
        <w:rPr>
          <w:sz w:val="22"/>
          <w:szCs w:val="22"/>
          <w:lang w:val="sr-Latn-RS"/>
        </w:rPr>
        <w:t xml:space="preserve">Kod zdravih osoba i pacijenata sa dijabetesom, koncentracije insulina u serumu ukazivale su na sporiju i dugotrajniju apsorpciju, kao i izostanak pika </w:t>
      </w:r>
      <w:r w:rsidR="001D4E9D" w:rsidRPr="00936526">
        <w:rPr>
          <w:sz w:val="22"/>
          <w:szCs w:val="22"/>
          <w:lang w:val="sr-Latn-RS"/>
        </w:rPr>
        <w:t xml:space="preserve">poslije </w:t>
      </w:r>
      <w:r w:rsidRPr="00936526">
        <w:rPr>
          <w:sz w:val="22"/>
          <w:szCs w:val="22"/>
          <w:lang w:val="sr-Latn-RS"/>
        </w:rPr>
        <w:t>subkutane injekcije insulin glargina u poređenju sa humanim NPH inuslinom. Koncentracije insulin glargina su na taj način bile konzistentne sa vremenskim profilom i farmakodinamskom aktivnošću. Naprijed navedeni grafikon pokazuje profil aktivnosti insulin glargina i NPH insulina tokom vremena.</w:t>
      </w:r>
    </w:p>
    <w:p w14:paraId="16C45A8B" w14:textId="7A7CA4C2" w:rsidR="0075236C" w:rsidRPr="00936526" w:rsidRDefault="0075236C" w:rsidP="0075236C">
      <w:pPr>
        <w:tabs>
          <w:tab w:val="left" w:pos="284"/>
        </w:tabs>
        <w:spacing w:before="120"/>
        <w:jc w:val="both"/>
        <w:rPr>
          <w:sz w:val="22"/>
          <w:szCs w:val="22"/>
          <w:lang w:val="sr-Latn-RS"/>
        </w:rPr>
      </w:pPr>
      <w:r w:rsidRPr="00936526">
        <w:rPr>
          <w:sz w:val="22"/>
          <w:szCs w:val="22"/>
          <w:lang w:val="sr-Latn-RS"/>
        </w:rPr>
        <w:t xml:space="preserve">Insulin glargin, </w:t>
      </w:r>
      <w:r w:rsidR="001D4E9D" w:rsidRPr="00936526">
        <w:rPr>
          <w:sz w:val="22"/>
          <w:szCs w:val="22"/>
          <w:lang w:val="sr-Latn-RS"/>
        </w:rPr>
        <w:t xml:space="preserve">injektovan </w:t>
      </w:r>
      <w:r w:rsidRPr="00936526">
        <w:rPr>
          <w:sz w:val="22"/>
          <w:szCs w:val="22"/>
          <w:lang w:val="sr-Latn-RS"/>
        </w:rPr>
        <w:t>jednom dnevno, dostiže nivo ravnotežnog stanja u roku od 2-4 dana posl</w:t>
      </w:r>
      <w:r w:rsidR="001D4E9D" w:rsidRPr="00936526">
        <w:rPr>
          <w:sz w:val="22"/>
          <w:szCs w:val="22"/>
          <w:lang w:val="sr-Latn-RS"/>
        </w:rPr>
        <w:t>ij</w:t>
      </w:r>
      <w:r w:rsidRPr="00936526">
        <w:rPr>
          <w:sz w:val="22"/>
          <w:szCs w:val="22"/>
          <w:lang w:val="sr-Latn-RS"/>
        </w:rPr>
        <w:t>e prve doze.</w:t>
      </w:r>
    </w:p>
    <w:p w14:paraId="05D244D7" w14:textId="77777777" w:rsidR="0075236C" w:rsidRPr="00936526" w:rsidRDefault="0075236C" w:rsidP="0075236C">
      <w:pPr>
        <w:tabs>
          <w:tab w:val="left" w:pos="284"/>
        </w:tabs>
        <w:spacing w:before="120"/>
        <w:jc w:val="both"/>
        <w:rPr>
          <w:sz w:val="22"/>
          <w:szCs w:val="22"/>
          <w:lang w:val="sr-Latn-RS"/>
        </w:rPr>
      </w:pPr>
      <w:r w:rsidRPr="00936526">
        <w:rPr>
          <w:sz w:val="22"/>
          <w:szCs w:val="22"/>
          <w:lang w:val="sr-Latn-RS"/>
        </w:rPr>
        <w:t>Kada su primjenjeni intravenski, poluvremena eliminacije insulin glargina i humanog insulina bila su komparabilna.</w:t>
      </w:r>
    </w:p>
    <w:p w14:paraId="6361B0B7" w14:textId="77777777" w:rsidR="001D4E9D" w:rsidRPr="00936526" w:rsidRDefault="0075236C" w:rsidP="0075236C">
      <w:pPr>
        <w:tabs>
          <w:tab w:val="left" w:pos="284"/>
        </w:tabs>
        <w:spacing w:before="120"/>
        <w:jc w:val="both"/>
        <w:rPr>
          <w:sz w:val="22"/>
          <w:szCs w:val="22"/>
          <w:lang w:val="sr-Latn-RS"/>
        </w:rPr>
      </w:pPr>
      <w:r w:rsidRPr="00936526">
        <w:rPr>
          <w:sz w:val="22"/>
          <w:szCs w:val="22"/>
          <w:lang w:val="sr-Latn-RS"/>
        </w:rPr>
        <w:t>Nakon subkutane injekcije lijeka Lantus kod zdravih osoba i pacijenata koji boluju od dijabetesa, insulin glargin se brzo metaboliše na karboksilnom kraju beta lanca dajući dva aktivna metabolita M1 (21A-Gly-insulin) i M2 (21A-Gly-des-30B-Thr-insulin). Glavni metabolit u plazmi je M1. Izloženost metabolitu M1 raste sa porastom primjenjene doze lijeka Lantus. Farmakokinetički i farmakodinamski nalazi ukazuju da je dejstvo subkutane injekcije lijeka Lantus primarno zasnovano na dejstvu metabolita M1. Kod većine ispitanika, prisustvo insulin glargina i metabolita M2 nije detektovano, a i u slučaju detekcije, zabilježene koncentracije bile su nezavisne od primjenjene doze lijeka Lantus.</w:t>
      </w:r>
      <w:r w:rsidR="001D4E9D" w:rsidRPr="00936526">
        <w:rPr>
          <w:sz w:val="22"/>
          <w:szCs w:val="22"/>
          <w:lang w:val="sr-Latn-RS"/>
        </w:rPr>
        <w:t xml:space="preserve"> </w:t>
      </w:r>
    </w:p>
    <w:p w14:paraId="6EA7A460" w14:textId="65234FB8" w:rsidR="0075236C" w:rsidRPr="00936526" w:rsidRDefault="0075236C" w:rsidP="0075236C">
      <w:pPr>
        <w:tabs>
          <w:tab w:val="left" w:pos="284"/>
        </w:tabs>
        <w:spacing w:before="120"/>
        <w:jc w:val="both"/>
        <w:rPr>
          <w:sz w:val="22"/>
          <w:szCs w:val="22"/>
          <w:lang w:val="sr-Latn-RS"/>
        </w:rPr>
      </w:pPr>
      <w:r w:rsidRPr="00936526">
        <w:rPr>
          <w:sz w:val="22"/>
          <w:szCs w:val="22"/>
          <w:lang w:val="sr-Latn-RS"/>
        </w:rPr>
        <w:t>U kliničkim studijama, analiza po podgrupama bazirana na podjeli po starosnoj dobi i polu nije ukazivala na bilo kakvu razliku u bezbjednosti i efikasnosti kod pacijenata l</w:t>
      </w:r>
      <w:r w:rsidR="001D4E9D" w:rsidRPr="00936526">
        <w:rPr>
          <w:sz w:val="22"/>
          <w:szCs w:val="22"/>
          <w:lang w:val="sr-Latn-RS"/>
        </w:rPr>
        <w:t>ij</w:t>
      </w:r>
      <w:r w:rsidRPr="00936526">
        <w:rPr>
          <w:sz w:val="22"/>
          <w:szCs w:val="22"/>
          <w:lang w:val="sr-Latn-RS"/>
        </w:rPr>
        <w:t>ečenih insulin glarginom u poređenju sa populacijom c</w:t>
      </w:r>
      <w:r w:rsidR="001D4E9D" w:rsidRPr="00936526">
        <w:rPr>
          <w:sz w:val="22"/>
          <w:szCs w:val="22"/>
          <w:lang w:val="sr-Latn-RS"/>
        </w:rPr>
        <w:t>j</w:t>
      </w:r>
      <w:r w:rsidRPr="00936526">
        <w:rPr>
          <w:sz w:val="22"/>
          <w:szCs w:val="22"/>
          <w:lang w:val="sr-Latn-RS"/>
        </w:rPr>
        <w:t>elokupne ispitivane grupe.</w:t>
      </w:r>
    </w:p>
    <w:p w14:paraId="3059E086" w14:textId="77777777" w:rsidR="0075236C" w:rsidRPr="00936526" w:rsidRDefault="0075236C" w:rsidP="0075236C">
      <w:pPr>
        <w:tabs>
          <w:tab w:val="left" w:pos="284"/>
        </w:tabs>
        <w:spacing w:before="120"/>
        <w:rPr>
          <w:sz w:val="22"/>
          <w:szCs w:val="22"/>
          <w:u w:val="single"/>
          <w:lang w:val="sr-Latn-RS"/>
        </w:rPr>
      </w:pPr>
      <w:r w:rsidRPr="00936526">
        <w:rPr>
          <w:sz w:val="22"/>
          <w:szCs w:val="22"/>
          <w:u w:val="single"/>
          <w:lang w:val="sr-Latn-RS"/>
        </w:rPr>
        <w:t>Pedijatrijska populacija</w:t>
      </w:r>
    </w:p>
    <w:p w14:paraId="03075305" w14:textId="62FA0B38" w:rsidR="0075236C" w:rsidRPr="00936526" w:rsidRDefault="0075236C" w:rsidP="00121CF3">
      <w:pPr>
        <w:tabs>
          <w:tab w:val="left" w:pos="540"/>
          <w:tab w:val="left" w:pos="569"/>
        </w:tabs>
        <w:jc w:val="both"/>
        <w:rPr>
          <w:sz w:val="22"/>
          <w:szCs w:val="22"/>
          <w:lang w:val="sr-Latn-RS"/>
        </w:rPr>
      </w:pPr>
      <w:r w:rsidRPr="00936526">
        <w:rPr>
          <w:sz w:val="22"/>
          <w:szCs w:val="22"/>
          <w:lang w:val="sr-Latn-RS"/>
        </w:rPr>
        <w:t xml:space="preserve">Farmakokinetika kod djece </w:t>
      </w:r>
      <w:r w:rsidR="001D4E9D" w:rsidRPr="00936526">
        <w:rPr>
          <w:sz w:val="22"/>
          <w:szCs w:val="22"/>
          <w:lang w:val="sr-Latn-RS"/>
        </w:rPr>
        <w:t xml:space="preserve">uzrasta </w:t>
      </w:r>
      <w:r w:rsidRPr="00936526">
        <w:rPr>
          <w:sz w:val="22"/>
          <w:szCs w:val="22"/>
          <w:lang w:val="sr-Latn-RS"/>
        </w:rPr>
        <w:t xml:space="preserve">od </w:t>
      </w:r>
      <w:r w:rsidR="001D4E9D" w:rsidRPr="00936526">
        <w:rPr>
          <w:sz w:val="22"/>
          <w:szCs w:val="22"/>
          <w:lang w:val="sr-Latn-RS"/>
        </w:rPr>
        <w:t xml:space="preserve">2 </w:t>
      </w:r>
      <w:r w:rsidRPr="00936526">
        <w:rPr>
          <w:sz w:val="22"/>
          <w:szCs w:val="22"/>
          <w:lang w:val="sr-Latn-RS"/>
        </w:rPr>
        <w:t>do nepunih 6 godina sa di</w:t>
      </w:r>
      <w:r w:rsidR="001D4E9D" w:rsidRPr="00936526">
        <w:rPr>
          <w:sz w:val="22"/>
          <w:szCs w:val="22"/>
          <w:lang w:val="sr-Latn-RS"/>
        </w:rPr>
        <w:t>j</w:t>
      </w:r>
      <w:r w:rsidRPr="00936526">
        <w:rPr>
          <w:sz w:val="22"/>
          <w:szCs w:val="22"/>
          <w:lang w:val="sr-Latn-RS"/>
        </w:rPr>
        <w:t>abetes mel</w:t>
      </w:r>
      <w:r w:rsidR="001D4E9D" w:rsidRPr="00936526">
        <w:rPr>
          <w:sz w:val="22"/>
          <w:szCs w:val="22"/>
          <w:lang w:val="sr-Latn-RS"/>
        </w:rPr>
        <w:t xml:space="preserve">itusom </w:t>
      </w:r>
      <w:r w:rsidRPr="00936526">
        <w:rPr>
          <w:sz w:val="22"/>
          <w:szCs w:val="22"/>
          <w:lang w:val="sr-Latn-RS"/>
        </w:rPr>
        <w:t>tipa 1 procjenjivana je u jednoj kliničkoj studiji (vidjeti dio 5.1). „Žljebni“ nivoi insulin glargina u plazmi i njegovih glavnih M1 i M2 metabolita mjereni su kod djece na t</w:t>
      </w:r>
      <w:r w:rsidR="001D4E9D" w:rsidRPr="00936526">
        <w:rPr>
          <w:sz w:val="22"/>
          <w:szCs w:val="22"/>
          <w:lang w:val="sr-Latn-RS"/>
        </w:rPr>
        <w:t>e</w:t>
      </w:r>
      <w:r w:rsidRPr="00936526">
        <w:rPr>
          <w:sz w:val="22"/>
          <w:szCs w:val="22"/>
          <w:lang w:val="sr-Latn-RS"/>
        </w:rPr>
        <w:t>rapiji insulin glarginom, otkrivajući obrasce koncentracije u plazmi slične onima kod odraslih i ne pružajući nikakav dokaz o ak</w:t>
      </w:r>
      <w:r w:rsidR="001D4E9D" w:rsidRPr="00936526">
        <w:rPr>
          <w:sz w:val="22"/>
          <w:szCs w:val="22"/>
          <w:lang w:val="sr-Latn-RS"/>
        </w:rPr>
        <w:t>u</w:t>
      </w:r>
      <w:r w:rsidRPr="00936526">
        <w:rPr>
          <w:sz w:val="22"/>
          <w:szCs w:val="22"/>
          <w:lang w:val="sr-Latn-RS"/>
        </w:rPr>
        <w:t>mulaciji insulin glargina ili njegovih metabolita tokom hronične primj</w:t>
      </w:r>
      <w:r w:rsidR="001D4E9D" w:rsidRPr="00936526">
        <w:rPr>
          <w:sz w:val="22"/>
          <w:szCs w:val="22"/>
          <w:lang w:val="sr-Latn-RS"/>
        </w:rPr>
        <w:t>e</w:t>
      </w:r>
      <w:r w:rsidRPr="00936526">
        <w:rPr>
          <w:sz w:val="22"/>
          <w:szCs w:val="22"/>
          <w:lang w:val="sr-Latn-RS"/>
        </w:rPr>
        <w:t>ne.</w:t>
      </w:r>
    </w:p>
    <w:p w14:paraId="19A944C9" w14:textId="77777777" w:rsidR="0072020E" w:rsidRPr="00936526" w:rsidRDefault="0072020E" w:rsidP="00480FB1">
      <w:pPr>
        <w:tabs>
          <w:tab w:val="left" w:pos="540"/>
          <w:tab w:val="left" w:pos="569"/>
        </w:tabs>
        <w:rPr>
          <w:bCs/>
          <w:sz w:val="22"/>
          <w:szCs w:val="22"/>
          <w:lang w:val="sr-Latn-RS"/>
        </w:rPr>
      </w:pPr>
    </w:p>
    <w:p w14:paraId="0DC08BAB" w14:textId="2D8D517D" w:rsidR="0072020E" w:rsidRPr="00936526" w:rsidRDefault="0072020E" w:rsidP="00121CF3">
      <w:pPr>
        <w:tabs>
          <w:tab w:val="left" w:pos="540"/>
          <w:tab w:val="left" w:pos="569"/>
        </w:tabs>
        <w:spacing w:line="360" w:lineRule="auto"/>
        <w:rPr>
          <w:b/>
          <w:bCs/>
          <w:sz w:val="22"/>
          <w:szCs w:val="22"/>
          <w:lang w:val="sr-Latn-RS"/>
        </w:rPr>
      </w:pPr>
      <w:r w:rsidRPr="00936526">
        <w:rPr>
          <w:b/>
          <w:bCs/>
          <w:sz w:val="22"/>
          <w:szCs w:val="22"/>
          <w:lang w:val="sr-Latn-RS"/>
        </w:rPr>
        <w:t xml:space="preserve">5.3. Pretklinički podaci o bezbjednosti </w:t>
      </w:r>
    </w:p>
    <w:p w14:paraId="3D53B16B" w14:textId="31420C78" w:rsidR="0075236C" w:rsidRPr="00936526" w:rsidRDefault="0075236C" w:rsidP="00121CF3">
      <w:pPr>
        <w:autoSpaceDE w:val="0"/>
        <w:autoSpaceDN w:val="0"/>
        <w:adjustRightInd w:val="0"/>
        <w:spacing w:before="120"/>
        <w:jc w:val="both"/>
        <w:rPr>
          <w:sz w:val="22"/>
          <w:szCs w:val="22"/>
          <w:lang w:val="sr-Latn-RS"/>
        </w:rPr>
      </w:pPr>
      <w:r w:rsidRPr="00936526">
        <w:rPr>
          <w:sz w:val="22"/>
          <w:szCs w:val="22"/>
          <w:lang w:val="sr-Latn-RS"/>
        </w:rPr>
        <w:t>Rezultati pre</w:t>
      </w:r>
      <w:r w:rsidR="001D4E9D" w:rsidRPr="00936526">
        <w:rPr>
          <w:sz w:val="22"/>
          <w:szCs w:val="22"/>
          <w:lang w:val="sr-Latn-RS"/>
        </w:rPr>
        <w:t>t</w:t>
      </w:r>
      <w:r w:rsidRPr="00936526">
        <w:rPr>
          <w:sz w:val="22"/>
          <w:szCs w:val="22"/>
          <w:lang w:val="sr-Latn-RS"/>
        </w:rPr>
        <w:t xml:space="preserve">kliničkih ispitivanja bazirani na konvencionalnim ispitivanjima farmakološke podnošljivosti, toksičnosti </w:t>
      </w:r>
      <w:r w:rsidR="001D4E9D" w:rsidRPr="00936526">
        <w:rPr>
          <w:sz w:val="22"/>
          <w:szCs w:val="22"/>
          <w:lang w:val="sr-Latn-RS"/>
        </w:rPr>
        <w:t>ponovljenih doza</w:t>
      </w:r>
      <w:r w:rsidRPr="00936526">
        <w:rPr>
          <w:sz w:val="22"/>
          <w:szCs w:val="22"/>
          <w:lang w:val="sr-Latn-RS"/>
        </w:rPr>
        <w:t>,</w:t>
      </w:r>
      <w:r w:rsidR="001D4E9D" w:rsidRPr="00936526">
        <w:rPr>
          <w:sz w:val="22"/>
          <w:szCs w:val="22"/>
          <w:lang w:val="sr-Latn-RS"/>
        </w:rPr>
        <w:t xml:space="preserve"> </w:t>
      </w:r>
      <w:r w:rsidRPr="00936526">
        <w:rPr>
          <w:sz w:val="22"/>
          <w:szCs w:val="22"/>
          <w:lang w:val="sr-Latn-RS"/>
        </w:rPr>
        <w:t>genotoksičnosti, kancerogenog potencijala i reproduktivne toksičnosti pokazuju da ne postoje posebne opasnosti za ljude</w:t>
      </w:r>
      <w:r w:rsidR="001D4E9D" w:rsidRPr="00936526">
        <w:rPr>
          <w:sz w:val="22"/>
          <w:szCs w:val="22"/>
          <w:lang w:val="sr-Latn-RS"/>
        </w:rPr>
        <w:t xml:space="preserve"> pri primjeni lijeka</w:t>
      </w:r>
      <w:r w:rsidRPr="00936526">
        <w:rPr>
          <w:sz w:val="22"/>
          <w:szCs w:val="22"/>
          <w:lang w:val="sr-Latn-RS"/>
        </w:rPr>
        <w:t>.</w:t>
      </w:r>
    </w:p>
    <w:p w14:paraId="4ECA2F09" w14:textId="77777777" w:rsidR="0075236C" w:rsidRPr="00936526" w:rsidRDefault="0075236C" w:rsidP="0075236C">
      <w:pPr>
        <w:autoSpaceDE w:val="0"/>
        <w:autoSpaceDN w:val="0"/>
        <w:adjustRightInd w:val="0"/>
        <w:rPr>
          <w:sz w:val="22"/>
          <w:szCs w:val="22"/>
          <w:lang w:val="sr-Latn-RS" w:eastAsia="sr-Latn-CS"/>
        </w:rPr>
      </w:pPr>
    </w:p>
    <w:p w14:paraId="05CBC19C" w14:textId="77777777" w:rsidR="0059475B" w:rsidRPr="00936526" w:rsidRDefault="0059475B" w:rsidP="00480FB1">
      <w:pPr>
        <w:tabs>
          <w:tab w:val="left" w:pos="540"/>
          <w:tab w:val="left" w:pos="569"/>
        </w:tabs>
        <w:rPr>
          <w:b/>
          <w:bCs/>
          <w:sz w:val="22"/>
          <w:szCs w:val="22"/>
          <w:lang w:val="sr-Latn-RS"/>
        </w:rPr>
      </w:pPr>
    </w:p>
    <w:p w14:paraId="3641B213" w14:textId="7D8173AD" w:rsidR="0072020E" w:rsidRPr="00936526" w:rsidRDefault="0072020E" w:rsidP="00480FB1">
      <w:pPr>
        <w:tabs>
          <w:tab w:val="left" w:pos="540"/>
          <w:tab w:val="left" w:pos="569"/>
        </w:tabs>
        <w:rPr>
          <w:b/>
          <w:bCs/>
          <w:sz w:val="22"/>
          <w:szCs w:val="22"/>
          <w:lang w:val="sr-Latn-RS"/>
        </w:rPr>
      </w:pPr>
      <w:r w:rsidRPr="00936526">
        <w:rPr>
          <w:b/>
          <w:bCs/>
          <w:sz w:val="22"/>
          <w:szCs w:val="22"/>
          <w:lang w:val="sr-Latn-RS"/>
        </w:rPr>
        <w:t xml:space="preserve">6. </w:t>
      </w:r>
      <w:r w:rsidR="00480FB1" w:rsidRPr="00936526">
        <w:rPr>
          <w:b/>
          <w:bCs/>
          <w:sz w:val="22"/>
          <w:szCs w:val="22"/>
          <w:lang w:val="sr-Latn-RS"/>
        </w:rPr>
        <w:tab/>
      </w:r>
      <w:r w:rsidRPr="00936526">
        <w:rPr>
          <w:b/>
          <w:bCs/>
          <w:sz w:val="22"/>
          <w:szCs w:val="22"/>
          <w:lang w:val="sr-Latn-RS"/>
        </w:rPr>
        <w:t>FARMACEUTSKI PODACI</w:t>
      </w:r>
    </w:p>
    <w:p w14:paraId="115941D8" w14:textId="77777777" w:rsidR="00836B35" w:rsidRPr="00936526" w:rsidRDefault="00836B35" w:rsidP="00480FB1">
      <w:pPr>
        <w:tabs>
          <w:tab w:val="left" w:pos="540"/>
          <w:tab w:val="left" w:pos="569"/>
        </w:tabs>
        <w:rPr>
          <w:bCs/>
          <w:sz w:val="22"/>
          <w:szCs w:val="22"/>
          <w:lang w:val="sr-Latn-RS"/>
        </w:rPr>
      </w:pPr>
    </w:p>
    <w:p w14:paraId="283FC520" w14:textId="77777777" w:rsidR="0072020E" w:rsidRPr="00936526" w:rsidRDefault="0072020E" w:rsidP="00480FB1">
      <w:pPr>
        <w:tabs>
          <w:tab w:val="left" w:pos="540"/>
          <w:tab w:val="left" w:pos="569"/>
        </w:tabs>
        <w:rPr>
          <w:b/>
          <w:bCs/>
          <w:sz w:val="22"/>
          <w:szCs w:val="22"/>
          <w:lang w:val="sr-Latn-RS"/>
        </w:rPr>
      </w:pPr>
      <w:r w:rsidRPr="00936526">
        <w:rPr>
          <w:b/>
          <w:bCs/>
          <w:sz w:val="22"/>
          <w:szCs w:val="22"/>
          <w:lang w:val="sr-Latn-RS"/>
        </w:rPr>
        <w:t xml:space="preserve">6.1. </w:t>
      </w:r>
      <w:r w:rsidR="00480FB1" w:rsidRPr="00936526">
        <w:rPr>
          <w:b/>
          <w:bCs/>
          <w:sz w:val="22"/>
          <w:szCs w:val="22"/>
          <w:lang w:val="sr-Latn-RS"/>
        </w:rPr>
        <w:tab/>
      </w:r>
      <w:r w:rsidRPr="00936526">
        <w:rPr>
          <w:b/>
          <w:bCs/>
          <w:sz w:val="22"/>
          <w:szCs w:val="22"/>
          <w:lang w:val="sr-Latn-RS"/>
        </w:rPr>
        <w:t>Lista pomoćnih supstanci</w:t>
      </w:r>
      <w:r w:rsidR="002E0135" w:rsidRPr="00936526">
        <w:rPr>
          <w:b/>
          <w:bCs/>
          <w:sz w:val="22"/>
          <w:szCs w:val="22"/>
          <w:lang w:val="sr-Latn-RS"/>
        </w:rPr>
        <w:t xml:space="preserve"> (ekscipijenasa)</w:t>
      </w:r>
    </w:p>
    <w:p w14:paraId="7DF41FCF" w14:textId="4DE52811" w:rsidR="0075236C" w:rsidRPr="00936526" w:rsidRDefault="00AA659C" w:rsidP="0075236C">
      <w:pPr>
        <w:tabs>
          <w:tab w:val="left" w:pos="284"/>
        </w:tabs>
        <w:spacing w:before="120"/>
        <w:jc w:val="both"/>
        <w:rPr>
          <w:sz w:val="22"/>
          <w:szCs w:val="22"/>
          <w:lang w:val="sr-Latn-RS"/>
        </w:rPr>
      </w:pPr>
      <w:r w:rsidRPr="00936526">
        <w:rPr>
          <w:sz w:val="22"/>
          <w:szCs w:val="22"/>
          <w:lang w:val="sr-Latn-RS"/>
        </w:rPr>
        <w:t>C</w:t>
      </w:r>
      <w:r w:rsidR="0075236C" w:rsidRPr="00936526">
        <w:rPr>
          <w:sz w:val="22"/>
          <w:szCs w:val="22"/>
          <w:lang w:val="sr-Latn-RS"/>
        </w:rPr>
        <w:t>ink</w:t>
      </w:r>
      <w:r w:rsidRPr="00936526">
        <w:rPr>
          <w:sz w:val="22"/>
          <w:szCs w:val="22"/>
          <w:lang w:val="sr-Latn-RS"/>
        </w:rPr>
        <w:t xml:space="preserve"> </w:t>
      </w:r>
      <w:r w:rsidR="0075236C" w:rsidRPr="00936526">
        <w:rPr>
          <w:sz w:val="22"/>
          <w:szCs w:val="22"/>
          <w:lang w:val="sr-Latn-RS"/>
        </w:rPr>
        <w:t>hlorid</w:t>
      </w:r>
    </w:p>
    <w:p w14:paraId="19754A6D" w14:textId="41D2F5A4" w:rsidR="0075236C" w:rsidRPr="00936526" w:rsidRDefault="00AD00EE" w:rsidP="0075236C">
      <w:pPr>
        <w:tabs>
          <w:tab w:val="left" w:pos="284"/>
        </w:tabs>
        <w:jc w:val="both"/>
        <w:rPr>
          <w:sz w:val="22"/>
          <w:szCs w:val="22"/>
          <w:lang w:val="sr-Latn-RS"/>
        </w:rPr>
      </w:pPr>
      <w:r w:rsidRPr="00936526">
        <w:rPr>
          <w:sz w:val="22"/>
          <w:szCs w:val="22"/>
          <w:lang w:val="sr-Latn-RS"/>
        </w:rPr>
        <w:t>meta</w:t>
      </w:r>
      <w:r w:rsidR="0075236C" w:rsidRPr="00936526">
        <w:rPr>
          <w:sz w:val="22"/>
          <w:szCs w:val="22"/>
          <w:lang w:val="sr-Latn-RS"/>
        </w:rPr>
        <w:t>krezol</w:t>
      </w:r>
    </w:p>
    <w:p w14:paraId="43B505BF" w14:textId="77777777" w:rsidR="0075236C" w:rsidRPr="00936526" w:rsidRDefault="0075236C" w:rsidP="0075236C">
      <w:pPr>
        <w:tabs>
          <w:tab w:val="left" w:pos="284"/>
        </w:tabs>
        <w:jc w:val="both"/>
        <w:rPr>
          <w:sz w:val="22"/>
          <w:szCs w:val="22"/>
          <w:lang w:val="sr-Latn-RS"/>
        </w:rPr>
      </w:pPr>
      <w:r w:rsidRPr="00936526">
        <w:rPr>
          <w:sz w:val="22"/>
          <w:szCs w:val="22"/>
          <w:lang w:val="sr-Latn-RS"/>
        </w:rPr>
        <w:t>glicerol</w:t>
      </w:r>
    </w:p>
    <w:p w14:paraId="12AA5B8A" w14:textId="77777777" w:rsidR="0075236C" w:rsidRPr="00936526" w:rsidRDefault="0075236C" w:rsidP="0075236C">
      <w:pPr>
        <w:tabs>
          <w:tab w:val="left" w:pos="284"/>
        </w:tabs>
        <w:jc w:val="both"/>
        <w:rPr>
          <w:sz w:val="22"/>
          <w:szCs w:val="22"/>
          <w:lang w:val="sr-Latn-RS"/>
        </w:rPr>
      </w:pPr>
      <w:r w:rsidRPr="00936526">
        <w:rPr>
          <w:sz w:val="22"/>
          <w:szCs w:val="22"/>
          <w:lang w:val="sr-Latn-RS"/>
        </w:rPr>
        <w:t>hlorovodonična kiselina</w:t>
      </w:r>
    </w:p>
    <w:p w14:paraId="2C8666DF" w14:textId="6B3EF129" w:rsidR="0075236C" w:rsidRPr="00936526" w:rsidRDefault="0075236C" w:rsidP="0075236C">
      <w:pPr>
        <w:tabs>
          <w:tab w:val="left" w:pos="284"/>
        </w:tabs>
        <w:jc w:val="both"/>
        <w:rPr>
          <w:sz w:val="22"/>
          <w:szCs w:val="22"/>
          <w:lang w:val="sr-Latn-RS"/>
        </w:rPr>
      </w:pPr>
      <w:r w:rsidRPr="00936526">
        <w:rPr>
          <w:sz w:val="22"/>
          <w:szCs w:val="22"/>
          <w:lang w:val="sr-Latn-RS"/>
        </w:rPr>
        <w:t>natrijum</w:t>
      </w:r>
      <w:r w:rsidR="00AA659C" w:rsidRPr="00936526">
        <w:rPr>
          <w:sz w:val="22"/>
          <w:szCs w:val="22"/>
          <w:lang w:val="sr-Latn-RS"/>
        </w:rPr>
        <w:t xml:space="preserve"> </w:t>
      </w:r>
      <w:r w:rsidRPr="00936526">
        <w:rPr>
          <w:sz w:val="22"/>
          <w:szCs w:val="22"/>
          <w:lang w:val="sr-Latn-RS"/>
        </w:rPr>
        <w:t>hidroksid</w:t>
      </w:r>
    </w:p>
    <w:p w14:paraId="3B253328" w14:textId="77777777" w:rsidR="0075236C" w:rsidRPr="00936526" w:rsidRDefault="0075236C" w:rsidP="0075236C">
      <w:pPr>
        <w:tabs>
          <w:tab w:val="left" w:pos="284"/>
        </w:tabs>
        <w:jc w:val="both"/>
        <w:rPr>
          <w:sz w:val="22"/>
          <w:szCs w:val="22"/>
          <w:lang w:val="sr-Latn-RS"/>
        </w:rPr>
      </w:pPr>
      <w:r w:rsidRPr="00936526">
        <w:rPr>
          <w:sz w:val="22"/>
          <w:szCs w:val="22"/>
          <w:lang w:val="sr-Latn-RS"/>
        </w:rPr>
        <w:t>voda za injekcije.</w:t>
      </w:r>
    </w:p>
    <w:p w14:paraId="317A254F" w14:textId="77777777" w:rsidR="0072020E" w:rsidRPr="00936526" w:rsidRDefault="0072020E" w:rsidP="00480FB1">
      <w:pPr>
        <w:tabs>
          <w:tab w:val="left" w:pos="540"/>
          <w:tab w:val="left" w:pos="569"/>
        </w:tabs>
        <w:rPr>
          <w:bCs/>
          <w:sz w:val="22"/>
          <w:szCs w:val="22"/>
          <w:lang w:val="sr-Latn-RS"/>
        </w:rPr>
      </w:pPr>
    </w:p>
    <w:p w14:paraId="35F60285" w14:textId="77777777" w:rsidR="0072020E" w:rsidRPr="00936526" w:rsidRDefault="0072020E" w:rsidP="00480FB1">
      <w:pPr>
        <w:tabs>
          <w:tab w:val="left" w:pos="540"/>
          <w:tab w:val="left" w:pos="569"/>
        </w:tabs>
        <w:rPr>
          <w:b/>
          <w:bCs/>
          <w:sz w:val="22"/>
          <w:szCs w:val="22"/>
          <w:lang w:val="sr-Latn-RS"/>
        </w:rPr>
      </w:pPr>
      <w:r w:rsidRPr="00936526">
        <w:rPr>
          <w:b/>
          <w:bCs/>
          <w:sz w:val="22"/>
          <w:szCs w:val="22"/>
          <w:lang w:val="sr-Latn-RS"/>
        </w:rPr>
        <w:t xml:space="preserve">6.2. </w:t>
      </w:r>
      <w:r w:rsidR="00480FB1" w:rsidRPr="00936526">
        <w:rPr>
          <w:b/>
          <w:bCs/>
          <w:sz w:val="22"/>
          <w:szCs w:val="22"/>
          <w:lang w:val="sr-Latn-RS"/>
        </w:rPr>
        <w:tab/>
      </w:r>
      <w:r w:rsidRPr="00936526">
        <w:rPr>
          <w:b/>
          <w:bCs/>
          <w:sz w:val="22"/>
          <w:szCs w:val="22"/>
          <w:lang w:val="sr-Latn-RS"/>
        </w:rPr>
        <w:t>Inkompatibilnost</w:t>
      </w:r>
      <w:r w:rsidR="002846DB" w:rsidRPr="00936526">
        <w:rPr>
          <w:b/>
          <w:bCs/>
          <w:sz w:val="22"/>
          <w:szCs w:val="22"/>
          <w:lang w:val="sr-Latn-RS"/>
        </w:rPr>
        <w:t>i</w:t>
      </w:r>
    </w:p>
    <w:p w14:paraId="39CB7259" w14:textId="3AD1374D" w:rsidR="0072020E" w:rsidRPr="00936526" w:rsidRDefault="0075236C" w:rsidP="0075236C">
      <w:pPr>
        <w:tabs>
          <w:tab w:val="left" w:pos="540"/>
          <w:tab w:val="left" w:pos="569"/>
        </w:tabs>
        <w:spacing w:before="120"/>
        <w:rPr>
          <w:rFonts w:eastAsia="MS Mincho"/>
          <w:sz w:val="22"/>
          <w:szCs w:val="22"/>
          <w:lang w:val="sr-Latn-RS"/>
        </w:rPr>
      </w:pPr>
      <w:r w:rsidRPr="00936526">
        <w:rPr>
          <w:rFonts w:eastAsia="MS Mincho"/>
          <w:sz w:val="22"/>
          <w:szCs w:val="22"/>
          <w:lang w:val="sr-Latn-RS"/>
        </w:rPr>
        <w:t>Ovaj lijek se ne smije miješati sa bilo kojim drugim proizvodom.</w:t>
      </w:r>
    </w:p>
    <w:p w14:paraId="1839873B" w14:textId="77777777" w:rsidR="0075236C" w:rsidRPr="00936526" w:rsidRDefault="0075236C" w:rsidP="0075236C">
      <w:pPr>
        <w:tabs>
          <w:tab w:val="left" w:pos="540"/>
          <w:tab w:val="left" w:pos="569"/>
        </w:tabs>
        <w:rPr>
          <w:bCs/>
          <w:sz w:val="22"/>
          <w:szCs w:val="22"/>
          <w:lang w:val="sr-Latn-RS"/>
        </w:rPr>
      </w:pPr>
    </w:p>
    <w:p w14:paraId="4CEE857E" w14:textId="77777777" w:rsidR="0072020E" w:rsidRPr="00936526" w:rsidRDefault="0072020E" w:rsidP="00480FB1">
      <w:pPr>
        <w:tabs>
          <w:tab w:val="left" w:pos="540"/>
          <w:tab w:val="left" w:pos="569"/>
        </w:tabs>
        <w:rPr>
          <w:b/>
          <w:bCs/>
          <w:sz w:val="22"/>
          <w:szCs w:val="22"/>
          <w:lang w:val="sr-Latn-RS"/>
        </w:rPr>
      </w:pPr>
      <w:r w:rsidRPr="00936526">
        <w:rPr>
          <w:b/>
          <w:bCs/>
          <w:sz w:val="22"/>
          <w:szCs w:val="22"/>
          <w:lang w:val="sr-Latn-RS"/>
        </w:rPr>
        <w:t>6.3.</w:t>
      </w:r>
      <w:r w:rsidR="00C05DF8" w:rsidRPr="00936526">
        <w:rPr>
          <w:b/>
          <w:bCs/>
          <w:sz w:val="22"/>
          <w:szCs w:val="22"/>
          <w:lang w:val="sr-Latn-RS"/>
        </w:rPr>
        <w:t xml:space="preserve"> </w:t>
      </w:r>
      <w:r w:rsidR="00480FB1" w:rsidRPr="00936526">
        <w:rPr>
          <w:b/>
          <w:bCs/>
          <w:sz w:val="22"/>
          <w:szCs w:val="22"/>
          <w:lang w:val="sr-Latn-RS"/>
        </w:rPr>
        <w:tab/>
      </w:r>
      <w:r w:rsidRPr="00936526">
        <w:rPr>
          <w:b/>
          <w:bCs/>
          <w:sz w:val="22"/>
          <w:szCs w:val="22"/>
          <w:lang w:val="sr-Latn-RS"/>
        </w:rPr>
        <w:t>Rok upotrebe</w:t>
      </w:r>
    </w:p>
    <w:p w14:paraId="6CD83A09" w14:textId="77777777" w:rsidR="001F4169" w:rsidRPr="00936526" w:rsidRDefault="001F4169" w:rsidP="001F4169">
      <w:pPr>
        <w:tabs>
          <w:tab w:val="left" w:pos="284"/>
        </w:tabs>
        <w:spacing w:before="120"/>
        <w:jc w:val="both"/>
        <w:rPr>
          <w:sz w:val="22"/>
          <w:szCs w:val="22"/>
          <w:lang w:val="sr-Latn-RS"/>
        </w:rPr>
      </w:pPr>
      <w:r w:rsidRPr="00936526">
        <w:rPr>
          <w:sz w:val="22"/>
          <w:szCs w:val="22"/>
          <w:lang w:val="sr-Latn-RS"/>
        </w:rPr>
        <w:t>3 godine</w:t>
      </w:r>
    </w:p>
    <w:p w14:paraId="7C2A6954" w14:textId="77777777" w:rsidR="0067677B" w:rsidRPr="00936526" w:rsidRDefault="0067677B" w:rsidP="001F4169">
      <w:pPr>
        <w:tabs>
          <w:tab w:val="left" w:pos="284"/>
        </w:tabs>
        <w:spacing w:before="120"/>
        <w:jc w:val="both"/>
        <w:rPr>
          <w:sz w:val="22"/>
          <w:szCs w:val="22"/>
          <w:u w:val="single"/>
          <w:lang w:val="sr-Latn-RS"/>
        </w:rPr>
      </w:pPr>
    </w:p>
    <w:p w14:paraId="05C3F04F" w14:textId="77777777" w:rsidR="0067677B" w:rsidRPr="00936526" w:rsidRDefault="0067677B" w:rsidP="001F4169">
      <w:pPr>
        <w:tabs>
          <w:tab w:val="left" w:pos="284"/>
        </w:tabs>
        <w:spacing w:before="120"/>
        <w:jc w:val="both"/>
        <w:rPr>
          <w:sz w:val="22"/>
          <w:szCs w:val="22"/>
          <w:u w:val="single"/>
          <w:lang w:val="sr-Latn-RS"/>
        </w:rPr>
      </w:pPr>
    </w:p>
    <w:p w14:paraId="3E376D7F" w14:textId="6889B3CF" w:rsidR="001F4169" w:rsidRPr="00936526" w:rsidRDefault="001F4169" w:rsidP="00B0113F">
      <w:pPr>
        <w:tabs>
          <w:tab w:val="left" w:pos="284"/>
        </w:tabs>
        <w:spacing w:before="120"/>
        <w:jc w:val="both"/>
        <w:rPr>
          <w:sz w:val="22"/>
          <w:szCs w:val="22"/>
          <w:lang w:val="sr-Latn-RS"/>
        </w:rPr>
      </w:pPr>
      <w:r w:rsidRPr="00936526">
        <w:rPr>
          <w:sz w:val="22"/>
          <w:szCs w:val="22"/>
          <w:u w:val="single"/>
          <w:lang w:val="sr-Latn-RS"/>
        </w:rPr>
        <w:lastRenderedPageBreak/>
        <w:t>Rok upotrebe pena nakon prvog korišćenja</w:t>
      </w:r>
      <w:r w:rsidRPr="00936526">
        <w:rPr>
          <w:sz w:val="22"/>
          <w:szCs w:val="22"/>
          <w:lang w:val="sr-Latn-RS"/>
        </w:rPr>
        <w:t xml:space="preserve">: </w:t>
      </w:r>
    </w:p>
    <w:p w14:paraId="6F706F49" w14:textId="68B69BB1" w:rsidR="001F4169" w:rsidRPr="00936526" w:rsidRDefault="001F4169" w:rsidP="00B0113F">
      <w:pPr>
        <w:tabs>
          <w:tab w:val="left" w:pos="540"/>
          <w:tab w:val="left" w:pos="569"/>
        </w:tabs>
        <w:jc w:val="both"/>
        <w:rPr>
          <w:sz w:val="22"/>
          <w:szCs w:val="22"/>
          <w:lang w:val="sr-Latn-RS"/>
        </w:rPr>
      </w:pPr>
      <w:r w:rsidRPr="00936526">
        <w:rPr>
          <w:sz w:val="22"/>
          <w:szCs w:val="22"/>
          <w:lang w:val="sr-Latn-RS"/>
        </w:rPr>
        <w:t xml:space="preserve">4 nedelje, na temperaturi ispod </w:t>
      </w:r>
      <w:r w:rsidR="00197764" w:rsidRPr="00936526">
        <w:rPr>
          <w:sz w:val="22"/>
          <w:szCs w:val="22"/>
          <w:lang w:val="sr-Latn-RS"/>
        </w:rPr>
        <w:t>30</w:t>
      </w:r>
      <w:r w:rsidRPr="00936526">
        <w:rPr>
          <w:sz w:val="22"/>
          <w:szCs w:val="22"/>
          <w:vertAlign w:val="superscript"/>
          <w:lang w:val="sr-Latn-RS"/>
        </w:rPr>
        <w:t>°</w:t>
      </w:r>
      <w:r w:rsidRPr="00936526">
        <w:rPr>
          <w:sz w:val="22"/>
          <w:szCs w:val="22"/>
          <w:lang w:val="sr-Latn-RS"/>
        </w:rPr>
        <w:t>C, zaštićen od direktnih izvora toplote i svjetlosti. Pen u upotrebi ne smije se čuvati u frižideru. Nakon svake upotrebe, poklopac pena vratiti na pen u cilju zaštite od svjetlosti.</w:t>
      </w:r>
    </w:p>
    <w:p w14:paraId="7583FF59" w14:textId="77777777" w:rsidR="0072020E" w:rsidRPr="00936526" w:rsidRDefault="0072020E" w:rsidP="00B0113F">
      <w:pPr>
        <w:tabs>
          <w:tab w:val="left" w:pos="540"/>
          <w:tab w:val="left" w:pos="569"/>
        </w:tabs>
        <w:jc w:val="both"/>
        <w:rPr>
          <w:bCs/>
          <w:sz w:val="22"/>
          <w:szCs w:val="22"/>
          <w:lang w:val="sr-Latn-RS"/>
        </w:rPr>
      </w:pPr>
    </w:p>
    <w:p w14:paraId="63E7EB99" w14:textId="77777777" w:rsidR="0072020E" w:rsidRPr="00936526" w:rsidRDefault="0072020E" w:rsidP="00B0113F">
      <w:pPr>
        <w:tabs>
          <w:tab w:val="left" w:pos="540"/>
          <w:tab w:val="left" w:pos="569"/>
        </w:tabs>
        <w:jc w:val="both"/>
        <w:rPr>
          <w:b/>
          <w:bCs/>
          <w:sz w:val="22"/>
          <w:szCs w:val="22"/>
          <w:lang w:val="sr-Latn-RS"/>
        </w:rPr>
      </w:pPr>
      <w:r w:rsidRPr="00936526">
        <w:rPr>
          <w:b/>
          <w:bCs/>
          <w:sz w:val="22"/>
          <w:szCs w:val="22"/>
          <w:lang w:val="sr-Latn-RS"/>
        </w:rPr>
        <w:t xml:space="preserve">6.4. </w:t>
      </w:r>
      <w:r w:rsidR="00480FB1" w:rsidRPr="00936526">
        <w:rPr>
          <w:b/>
          <w:bCs/>
          <w:sz w:val="22"/>
          <w:szCs w:val="22"/>
          <w:lang w:val="sr-Latn-RS"/>
        </w:rPr>
        <w:tab/>
      </w:r>
      <w:r w:rsidRPr="00936526">
        <w:rPr>
          <w:b/>
          <w:bCs/>
          <w:sz w:val="22"/>
          <w:szCs w:val="22"/>
          <w:lang w:val="sr-Latn-RS"/>
        </w:rPr>
        <w:t>Posebne mjere upozorenja pri čuvanju</w:t>
      </w:r>
      <w:r w:rsidR="00F8570A" w:rsidRPr="00936526">
        <w:rPr>
          <w:b/>
          <w:bCs/>
          <w:sz w:val="22"/>
          <w:szCs w:val="22"/>
          <w:lang w:val="sr-Latn-RS"/>
        </w:rPr>
        <w:t xml:space="preserve"> lijeka</w:t>
      </w:r>
    </w:p>
    <w:p w14:paraId="08BE96C3" w14:textId="77777777" w:rsidR="001F4169" w:rsidRPr="00936526" w:rsidRDefault="001F4169" w:rsidP="00B0113F">
      <w:pPr>
        <w:tabs>
          <w:tab w:val="left" w:pos="284"/>
        </w:tabs>
        <w:spacing w:before="120"/>
        <w:jc w:val="both"/>
        <w:rPr>
          <w:sz w:val="22"/>
          <w:szCs w:val="22"/>
          <w:u w:val="single"/>
          <w:lang w:val="sr-Latn-RS"/>
        </w:rPr>
      </w:pPr>
      <w:r w:rsidRPr="00936526">
        <w:rPr>
          <w:sz w:val="22"/>
          <w:szCs w:val="22"/>
          <w:u w:val="single"/>
          <w:lang w:val="sr-Latn-RS"/>
        </w:rPr>
        <w:t>Neotvoreni penovi:</w:t>
      </w:r>
    </w:p>
    <w:p w14:paraId="12AA6380" w14:textId="77777777" w:rsidR="001F4169" w:rsidRPr="00936526" w:rsidRDefault="001F4169" w:rsidP="00B0113F">
      <w:pPr>
        <w:tabs>
          <w:tab w:val="left" w:pos="284"/>
        </w:tabs>
        <w:jc w:val="both"/>
        <w:rPr>
          <w:sz w:val="22"/>
          <w:szCs w:val="22"/>
          <w:lang w:val="sr-Latn-RS"/>
        </w:rPr>
      </w:pPr>
      <w:r w:rsidRPr="00936526">
        <w:rPr>
          <w:sz w:val="22"/>
          <w:szCs w:val="22"/>
          <w:lang w:val="sr-Latn-RS"/>
        </w:rPr>
        <w:t>Čuvati u frižideru (na 2</w:t>
      </w:r>
      <w:r w:rsidRPr="00936526">
        <w:rPr>
          <w:sz w:val="22"/>
          <w:szCs w:val="22"/>
          <w:vertAlign w:val="superscript"/>
          <w:lang w:val="sr-Latn-RS"/>
        </w:rPr>
        <w:t>°</w:t>
      </w:r>
      <w:r w:rsidRPr="00936526">
        <w:rPr>
          <w:sz w:val="22"/>
          <w:szCs w:val="22"/>
          <w:lang w:val="sr-Latn-RS"/>
        </w:rPr>
        <w:t>C-8</w:t>
      </w:r>
      <w:r w:rsidRPr="00936526">
        <w:rPr>
          <w:sz w:val="22"/>
          <w:szCs w:val="22"/>
          <w:vertAlign w:val="superscript"/>
          <w:lang w:val="sr-Latn-RS"/>
        </w:rPr>
        <w:t>°</w:t>
      </w:r>
      <w:r w:rsidRPr="00936526">
        <w:rPr>
          <w:sz w:val="22"/>
          <w:szCs w:val="22"/>
          <w:lang w:val="sr-Latn-RS"/>
        </w:rPr>
        <w:t>Cº).</w:t>
      </w:r>
    </w:p>
    <w:p w14:paraId="2DB7E2DE" w14:textId="77777777" w:rsidR="001F4169" w:rsidRPr="00936526" w:rsidRDefault="001F4169" w:rsidP="00B0113F">
      <w:pPr>
        <w:tabs>
          <w:tab w:val="left" w:pos="284"/>
        </w:tabs>
        <w:jc w:val="both"/>
        <w:rPr>
          <w:sz w:val="22"/>
          <w:szCs w:val="22"/>
          <w:lang w:val="sr-Latn-RS"/>
        </w:rPr>
      </w:pPr>
      <w:r w:rsidRPr="00936526">
        <w:rPr>
          <w:sz w:val="22"/>
          <w:szCs w:val="22"/>
          <w:lang w:val="sr-Latn-RS"/>
        </w:rPr>
        <w:t>Ne zamrzavati. Paziti da pakovanje lijeka ne dodiruje direktno pregradu za zamrzavanje, kao ni druge zamrznute predmete.</w:t>
      </w:r>
    </w:p>
    <w:p w14:paraId="02872F6D" w14:textId="407FC16C" w:rsidR="001F4169" w:rsidRPr="00936526" w:rsidRDefault="001F4169" w:rsidP="00B0113F">
      <w:pPr>
        <w:tabs>
          <w:tab w:val="left" w:pos="284"/>
        </w:tabs>
        <w:jc w:val="both"/>
        <w:rPr>
          <w:sz w:val="22"/>
          <w:szCs w:val="22"/>
          <w:lang w:val="sr-Latn-RS"/>
        </w:rPr>
      </w:pPr>
      <w:r w:rsidRPr="00936526">
        <w:rPr>
          <w:sz w:val="22"/>
          <w:szCs w:val="22"/>
          <w:lang w:val="sr-Latn-RS"/>
        </w:rPr>
        <w:t xml:space="preserve">Čuvati u </w:t>
      </w:r>
      <w:r w:rsidR="001D1A68" w:rsidRPr="00936526">
        <w:rPr>
          <w:sz w:val="22"/>
          <w:szCs w:val="22"/>
          <w:lang w:val="sr-Latn-RS"/>
        </w:rPr>
        <w:t>originalnom pakovanju</w:t>
      </w:r>
      <w:r w:rsidRPr="00936526">
        <w:rPr>
          <w:sz w:val="22"/>
          <w:szCs w:val="22"/>
          <w:lang w:val="sr-Latn-RS"/>
        </w:rPr>
        <w:t>, zaštićeno od svjetla.</w:t>
      </w:r>
    </w:p>
    <w:p w14:paraId="173314BC" w14:textId="420D9B30" w:rsidR="001F4169" w:rsidRPr="00936526" w:rsidRDefault="001F4169" w:rsidP="00B0113F">
      <w:pPr>
        <w:tabs>
          <w:tab w:val="left" w:pos="284"/>
        </w:tabs>
        <w:spacing w:before="120"/>
        <w:jc w:val="both"/>
        <w:rPr>
          <w:sz w:val="22"/>
          <w:szCs w:val="22"/>
          <w:u w:val="single"/>
          <w:lang w:val="sr-Latn-RS"/>
        </w:rPr>
      </w:pPr>
      <w:r w:rsidRPr="00936526">
        <w:rPr>
          <w:sz w:val="22"/>
          <w:szCs w:val="22"/>
          <w:u w:val="single"/>
          <w:lang w:val="sr-Latn-RS"/>
        </w:rPr>
        <w:t xml:space="preserve">Uslovi čuvanja pena u upotrebi: </w:t>
      </w:r>
    </w:p>
    <w:p w14:paraId="1DAF2341" w14:textId="77777777" w:rsidR="001F4169" w:rsidRPr="00936526" w:rsidRDefault="001F4169" w:rsidP="00B0113F">
      <w:pPr>
        <w:tabs>
          <w:tab w:val="left" w:pos="284"/>
        </w:tabs>
        <w:jc w:val="both"/>
        <w:rPr>
          <w:sz w:val="22"/>
          <w:szCs w:val="22"/>
          <w:lang w:val="sr-Latn-RS"/>
        </w:rPr>
      </w:pPr>
      <w:r w:rsidRPr="00936526">
        <w:rPr>
          <w:sz w:val="22"/>
          <w:szCs w:val="22"/>
          <w:lang w:val="sr-Latn-RS"/>
        </w:rPr>
        <w:t>Upozorenja u vezi sa čuvanjem su navedena u dijelu 6.3.</w:t>
      </w:r>
    </w:p>
    <w:p w14:paraId="62E82C82" w14:textId="77777777" w:rsidR="001F4169" w:rsidRPr="00936526" w:rsidRDefault="001F4169" w:rsidP="00B0113F">
      <w:pPr>
        <w:tabs>
          <w:tab w:val="left" w:pos="540"/>
          <w:tab w:val="left" w:pos="569"/>
        </w:tabs>
        <w:jc w:val="both"/>
        <w:rPr>
          <w:bCs/>
          <w:sz w:val="22"/>
          <w:szCs w:val="22"/>
          <w:lang w:val="sr-Latn-RS"/>
        </w:rPr>
      </w:pPr>
    </w:p>
    <w:p w14:paraId="45428EA6" w14:textId="77777777" w:rsidR="0072020E" w:rsidRPr="00936526" w:rsidRDefault="0072020E" w:rsidP="00B0113F">
      <w:pPr>
        <w:tabs>
          <w:tab w:val="left" w:pos="540"/>
          <w:tab w:val="left" w:pos="569"/>
        </w:tabs>
        <w:jc w:val="both"/>
        <w:rPr>
          <w:b/>
          <w:bCs/>
          <w:sz w:val="22"/>
          <w:szCs w:val="22"/>
          <w:lang w:val="sr-Latn-RS"/>
        </w:rPr>
      </w:pPr>
      <w:r w:rsidRPr="00936526">
        <w:rPr>
          <w:b/>
          <w:bCs/>
          <w:sz w:val="22"/>
          <w:szCs w:val="22"/>
          <w:lang w:val="sr-Latn-RS"/>
        </w:rPr>
        <w:t xml:space="preserve">6.5. </w:t>
      </w:r>
      <w:r w:rsidR="00480FB1" w:rsidRPr="00936526">
        <w:rPr>
          <w:b/>
          <w:bCs/>
          <w:sz w:val="22"/>
          <w:szCs w:val="22"/>
          <w:lang w:val="sr-Latn-RS"/>
        </w:rPr>
        <w:tab/>
      </w:r>
      <w:r w:rsidR="002846DB" w:rsidRPr="00936526">
        <w:rPr>
          <w:b/>
          <w:bCs/>
          <w:sz w:val="22"/>
          <w:szCs w:val="22"/>
          <w:lang w:val="sr-Latn-RS"/>
        </w:rPr>
        <w:t xml:space="preserve">Vrsta i sadržaj </w:t>
      </w:r>
      <w:r w:rsidR="00F8570A" w:rsidRPr="00936526">
        <w:rPr>
          <w:b/>
          <w:bCs/>
          <w:sz w:val="22"/>
          <w:szCs w:val="22"/>
          <w:lang w:val="sr-Latn-RS"/>
        </w:rPr>
        <w:t>pakovanja</w:t>
      </w:r>
      <w:r w:rsidR="00C06864" w:rsidRPr="00936526">
        <w:rPr>
          <w:b/>
          <w:bCs/>
          <w:sz w:val="22"/>
          <w:szCs w:val="22"/>
          <w:lang w:val="sr-Latn-RS"/>
        </w:rPr>
        <w:t xml:space="preserve"> </w:t>
      </w:r>
    </w:p>
    <w:p w14:paraId="034E284A" w14:textId="30958B56" w:rsidR="001D1A68" w:rsidRPr="00936526" w:rsidRDefault="001D1A68" w:rsidP="00B0113F">
      <w:pPr>
        <w:tabs>
          <w:tab w:val="left" w:pos="284"/>
        </w:tabs>
        <w:spacing w:before="120"/>
        <w:jc w:val="both"/>
        <w:rPr>
          <w:sz w:val="22"/>
          <w:szCs w:val="22"/>
          <w:lang w:val="sr-Latn-RS"/>
        </w:rPr>
      </w:pPr>
      <w:r w:rsidRPr="00936526">
        <w:rPr>
          <w:sz w:val="22"/>
          <w:szCs w:val="22"/>
          <w:lang w:val="sr-Latn-RS"/>
        </w:rPr>
        <w:t>Unutrašnje pakovanje lijeka je bezbojni, stakleni (tip I) uložak sa potisnim klipom od brombutil gume i aluminijumskom kapicom sa insertovanim gumenim čepom od izopren gume (spoljašnja strana) i brombutil gume (u kontaktu sa proizvodom) sa 3 ml rastvora za injekciju.</w:t>
      </w:r>
    </w:p>
    <w:p w14:paraId="686C495D" w14:textId="3926F336" w:rsidR="001D1A68" w:rsidRPr="00936526" w:rsidRDefault="001D1A68" w:rsidP="00B0113F">
      <w:pPr>
        <w:tabs>
          <w:tab w:val="left" w:pos="284"/>
        </w:tabs>
        <w:spacing w:before="120"/>
        <w:jc w:val="both"/>
        <w:rPr>
          <w:sz w:val="22"/>
          <w:szCs w:val="22"/>
          <w:lang w:val="sr-Latn-RS"/>
        </w:rPr>
      </w:pPr>
      <w:r w:rsidRPr="00936526">
        <w:rPr>
          <w:sz w:val="22"/>
          <w:szCs w:val="22"/>
          <w:lang w:val="sr-Latn-RS"/>
        </w:rPr>
        <w:t>Uložak je ugrađen u injekcioni pen za jednokratnu upotrebu. Igle nijesu sastavni dio pakovanja.</w:t>
      </w:r>
    </w:p>
    <w:p w14:paraId="7AB32B97" w14:textId="77777777" w:rsidR="0094773B" w:rsidRPr="00936526" w:rsidRDefault="0094773B" w:rsidP="00B0113F">
      <w:pPr>
        <w:tabs>
          <w:tab w:val="left" w:pos="540"/>
          <w:tab w:val="left" w:pos="569"/>
        </w:tabs>
        <w:jc w:val="both"/>
        <w:rPr>
          <w:sz w:val="22"/>
          <w:szCs w:val="22"/>
          <w:lang w:val="sr-Latn-RS"/>
        </w:rPr>
      </w:pPr>
    </w:p>
    <w:p w14:paraId="25674774" w14:textId="75AFF767" w:rsidR="0072020E" w:rsidRPr="00936526" w:rsidRDefault="001D1A68" w:rsidP="00B0113F">
      <w:pPr>
        <w:tabs>
          <w:tab w:val="left" w:pos="540"/>
          <w:tab w:val="left" w:pos="569"/>
        </w:tabs>
        <w:jc w:val="both"/>
        <w:rPr>
          <w:sz w:val="22"/>
          <w:szCs w:val="22"/>
          <w:lang w:val="sr-Latn-RS"/>
        </w:rPr>
      </w:pPr>
      <w:r w:rsidRPr="00936526">
        <w:rPr>
          <w:sz w:val="22"/>
          <w:szCs w:val="22"/>
          <w:lang w:val="sr-Latn-RS"/>
        </w:rPr>
        <w:t>Spoljašnje pakovanje lijeka je složiva kartonska kutija u kojoj se nalazi 5 napunjenih injekcionih penova i Uputstvo za lijek.</w:t>
      </w:r>
    </w:p>
    <w:p w14:paraId="24BD43F2" w14:textId="77777777" w:rsidR="001F4169" w:rsidRPr="00936526" w:rsidRDefault="001F4169" w:rsidP="001F4169">
      <w:pPr>
        <w:tabs>
          <w:tab w:val="left" w:pos="540"/>
          <w:tab w:val="left" w:pos="569"/>
        </w:tabs>
        <w:rPr>
          <w:bCs/>
          <w:sz w:val="22"/>
          <w:szCs w:val="22"/>
          <w:lang w:val="sr-Latn-RS"/>
        </w:rPr>
      </w:pPr>
    </w:p>
    <w:p w14:paraId="062CFC1E" w14:textId="68E2F374" w:rsidR="002846DB" w:rsidRPr="00936526" w:rsidRDefault="0072020E" w:rsidP="00480FB1">
      <w:pPr>
        <w:tabs>
          <w:tab w:val="left" w:pos="540"/>
          <w:tab w:val="left" w:pos="569"/>
        </w:tabs>
        <w:rPr>
          <w:b/>
          <w:bCs/>
          <w:sz w:val="22"/>
          <w:szCs w:val="22"/>
          <w:lang w:val="sr-Latn-RS"/>
        </w:rPr>
      </w:pPr>
      <w:r w:rsidRPr="00936526">
        <w:rPr>
          <w:b/>
          <w:bCs/>
          <w:sz w:val="22"/>
          <w:szCs w:val="22"/>
          <w:lang w:val="sr-Latn-RS"/>
        </w:rPr>
        <w:t xml:space="preserve">6.6. </w:t>
      </w:r>
      <w:r w:rsidRPr="00936526">
        <w:rPr>
          <w:b/>
          <w:bCs/>
          <w:color w:val="000000"/>
          <w:sz w:val="22"/>
          <w:szCs w:val="22"/>
          <w:lang w:val="sr-Latn-RS"/>
        </w:rPr>
        <w:t>Posebne mjere opreza pri odlaganju materijala koji treba odbaciti nakon primjene lijeka</w:t>
      </w:r>
      <w:r w:rsidRPr="00936526">
        <w:rPr>
          <w:b/>
          <w:bCs/>
          <w:sz w:val="22"/>
          <w:szCs w:val="22"/>
          <w:lang w:val="sr-Latn-RS"/>
        </w:rPr>
        <w:t xml:space="preserve"> </w:t>
      </w:r>
      <w:r w:rsidR="00310F03" w:rsidRPr="00936526">
        <w:rPr>
          <w:b/>
          <w:bCs/>
          <w:sz w:val="22"/>
          <w:szCs w:val="22"/>
          <w:lang w:val="sr-Latn-RS"/>
        </w:rPr>
        <w:t>(i druga uputs</w:t>
      </w:r>
      <w:r w:rsidR="004109FA" w:rsidRPr="00936526">
        <w:rPr>
          <w:b/>
          <w:bCs/>
          <w:sz w:val="22"/>
          <w:szCs w:val="22"/>
          <w:lang w:val="sr-Latn-RS"/>
        </w:rPr>
        <w:t>t</w:t>
      </w:r>
      <w:r w:rsidR="00310F03" w:rsidRPr="00936526">
        <w:rPr>
          <w:b/>
          <w:bCs/>
          <w:sz w:val="22"/>
          <w:szCs w:val="22"/>
          <w:lang w:val="sr-Latn-RS"/>
        </w:rPr>
        <w:t xml:space="preserve">va za rukovanje lijekom) </w:t>
      </w:r>
    </w:p>
    <w:p w14:paraId="2AD260C9" w14:textId="77777777" w:rsidR="0094773B" w:rsidRPr="00936526" w:rsidRDefault="0094773B" w:rsidP="001F4169">
      <w:pPr>
        <w:tabs>
          <w:tab w:val="center" w:pos="4536"/>
          <w:tab w:val="right" w:pos="9072"/>
        </w:tabs>
        <w:rPr>
          <w:sz w:val="22"/>
          <w:szCs w:val="22"/>
          <w:lang w:val="sr-Latn-RS"/>
        </w:rPr>
      </w:pPr>
    </w:p>
    <w:p w14:paraId="3FDBC586" w14:textId="3263697B" w:rsidR="001F4169" w:rsidRPr="00936526" w:rsidRDefault="001F4169" w:rsidP="00B0113F">
      <w:pPr>
        <w:tabs>
          <w:tab w:val="center" w:pos="4536"/>
          <w:tab w:val="right" w:pos="9072"/>
        </w:tabs>
        <w:jc w:val="both"/>
        <w:rPr>
          <w:sz w:val="22"/>
          <w:szCs w:val="22"/>
          <w:lang w:val="sr-Latn-RS"/>
        </w:rPr>
      </w:pPr>
      <w:r w:rsidRPr="00936526">
        <w:rPr>
          <w:sz w:val="22"/>
          <w:szCs w:val="22"/>
          <w:lang w:val="sr-Latn-RS"/>
        </w:rPr>
        <w:t xml:space="preserve">Provjerite </w:t>
      </w:r>
      <w:r w:rsidR="00D53B6C" w:rsidRPr="00936526">
        <w:rPr>
          <w:sz w:val="22"/>
          <w:szCs w:val="22"/>
          <w:lang w:val="sr-Latn-RS"/>
        </w:rPr>
        <w:t>lijek Lantus</w:t>
      </w:r>
      <w:r w:rsidRPr="00936526">
        <w:rPr>
          <w:sz w:val="22"/>
          <w:szCs w:val="22"/>
          <w:lang w:val="sr-Latn-RS"/>
        </w:rPr>
        <w:t xml:space="preserve"> prije upotrebe. Smije se upotrebljavati samo ako je rastvor bistar, bezbojan, ako ne sadrži vidljive čestice i ako ima konzinstenciju sličnu vodi. Pošto je Lantus rastvor, ne zaht</w:t>
      </w:r>
      <w:r w:rsidR="00197764" w:rsidRPr="00936526">
        <w:rPr>
          <w:sz w:val="22"/>
          <w:szCs w:val="22"/>
          <w:lang w:val="sr-Latn-RS"/>
        </w:rPr>
        <w:t>ij</w:t>
      </w:r>
      <w:r w:rsidRPr="00936526">
        <w:rPr>
          <w:sz w:val="22"/>
          <w:szCs w:val="22"/>
          <w:lang w:val="sr-Latn-RS"/>
        </w:rPr>
        <w:t>eva resuspenziju prije upotrebe.</w:t>
      </w:r>
    </w:p>
    <w:p w14:paraId="6D357327" w14:textId="1426D1C1" w:rsidR="001F4169" w:rsidRPr="00936526" w:rsidRDefault="001D1A68" w:rsidP="00B0113F">
      <w:pPr>
        <w:tabs>
          <w:tab w:val="center" w:pos="4536"/>
          <w:tab w:val="right" w:pos="9072"/>
        </w:tabs>
        <w:jc w:val="both"/>
        <w:rPr>
          <w:sz w:val="22"/>
          <w:szCs w:val="22"/>
          <w:lang w:val="sr-Latn-RS"/>
        </w:rPr>
      </w:pPr>
      <w:r w:rsidRPr="00936526">
        <w:rPr>
          <w:sz w:val="22"/>
          <w:szCs w:val="22"/>
          <w:lang w:val="sr-Latn-RS"/>
        </w:rPr>
        <w:t xml:space="preserve">Lijek </w:t>
      </w:r>
      <w:r w:rsidR="001F4169" w:rsidRPr="00936526">
        <w:rPr>
          <w:sz w:val="22"/>
          <w:szCs w:val="22"/>
          <w:lang w:val="sr-Latn-RS"/>
        </w:rPr>
        <w:t>Lantus se ne smije mješati sa drugim insulinima niti razblaživati. Miješanje i razblaživanje može dovesti do promjene njegovog profila vrijeme/dejstvo, a miješanje može izazvati precipitaciju.</w:t>
      </w:r>
    </w:p>
    <w:p w14:paraId="4BFD7C78" w14:textId="77777777" w:rsidR="001D1A68" w:rsidRPr="00936526" w:rsidRDefault="001D1A68" w:rsidP="00B0113F">
      <w:pPr>
        <w:tabs>
          <w:tab w:val="center" w:pos="4536"/>
          <w:tab w:val="right" w:pos="9072"/>
        </w:tabs>
        <w:spacing w:before="120"/>
        <w:jc w:val="both"/>
        <w:rPr>
          <w:sz w:val="22"/>
          <w:szCs w:val="22"/>
          <w:lang w:val="sr-Latn-RS"/>
        </w:rPr>
      </w:pPr>
      <w:r w:rsidRPr="00936526">
        <w:rPr>
          <w:sz w:val="22"/>
          <w:szCs w:val="22"/>
          <w:lang w:val="sr-Latn-RS"/>
        </w:rPr>
        <w:t>Oznake na insulinu se moraju provjeriti prije svake injekcije da bi se izbjegla slučajna zamjena dva lijeka kod korišćenja insulin glargina i ostalih insulina (vidjeti dio 4.4.).</w:t>
      </w:r>
    </w:p>
    <w:p w14:paraId="7BC6C83E" w14:textId="6E07008F" w:rsidR="001D1A68" w:rsidRPr="00936526" w:rsidRDefault="001D1A68" w:rsidP="00B0113F">
      <w:pPr>
        <w:tabs>
          <w:tab w:val="center" w:pos="4536"/>
          <w:tab w:val="right" w:pos="9072"/>
        </w:tabs>
        <w:spacing w:before="120"/>
        <w:jc w:val="both"/>
        <w:rPr>
          <w:sz w:val="22"/>
          <w:szCs w:val="22"/>
          <w:lang w:val="sr-Latn-RS"/>
        </w:rPr>
      </w:pPr>
      <w:r w:rsidRPr="00936526">
        <w:rPr>
          <w:sz w:val="22"/>
          <w:szCs w:val="22"/>
          <w:lang w:val="sr-Latn-RS"/>
        </w:rPr>
        <w:t>Lijek Lantus SoloStar, 100 j./ml, rastvor za injekciju u napunjenom injekcionom penu je prikladan isključivo za subkutanu upotrebu.</w:t>
      </w:r>
    </w:p>
    <w:p w14:paraId="7678C850" w14:textId="1DDD5405" w:rsidR="001D1A68" w:rsidRPr="00936526" w:rsidRDefault="001D1A68" w:rsidP="00B0113F">
      <w:pPr>
        <w:tabs>
          <w:tab w:val="center" w:pos="4536"/>
          <w:tab w:val="right" w:pos="9072"/>
        </w:tabs>
        <w:spacing w:before="120"/>
        <w:jc w:val="both"/>
        <w:rPr>
          <w:sz w:val="22"/>
          <w:szCs w:val="22"/>
          <w:lang w:val="sr-Latn-RS"/>
        </w:rPr>
      </w:pPr>
      <w:r w:rsidRPr="00936526">
        <w:rPr>
          <w:sz w:val="22"/>
          <w:szCs w:val="22"/>
          <w:lang w:val="sr-Latn-RS"/>
        </w:rPr>
        <w:t>Prije prve upotrebe, pen se mora držati na sobnoj temperaturi tokom 1-2 sata.</w:t>
      </w:r>
    </w:p>
    <w:p w14:paraId="368F9854" w14:textId="3EF4C234" w:rsidR="001F4169" w:rsidRPr="00936526" w:rsidRDefault="001F4169" w:rsidP="00B0113F">
      <w:pPr>
        <w:tabs>
          <w:tab w:val="center" w:pos="4536"/>
          <w:tab w:val="right" w:pos="9072"/>
        </w:tabs>
        <w:spacing w:before="120"/>
        <w:jc w:val="both"/>
        <w:rPr>
          <w:sz w:val="22"/>
          <w:szCs w:val="22"/>
          <w:lang w:val="sr-Latn-RS"/>
        </w:rPr>
      </w:pPr>
      <w:r w:rsidRPr="00936526">
        <w:rPr>
          <w:sz w:val="22"/>
          <w:szCs w:val="22"/>
          <w:lang w:val="sr-Latn-RS"/>
        </w:rPr>
        <w:t>Prazni penovi se nikada ne sm</w:t>
      </w:r>
      <w:r w:rsidR="00197764" w:rsidRPr="00936526">
        <w:rPr>
          <w:sz w:val="22"/>
          <w:szCs w:val="22"/>
          <w:lang w:val="sr-Latn-RS"/>
        </w:rPr>
        <w:t>i</w:t>
      </w:r>
      <w:r w:rsidRPr="00936526">
        <w:rPr>
          <w:sz w:val="22"/>
          <w:szCs w:val="22"/>
          <w:lang w:val="sr-Latn-RS"/>
        </w:rPr>
        <w:t>ju ponovo upotrebljavati i moraju se odbacivati u skladu sa propisima.</w:t>
      </w:r>
    </w:p>
    <w:p w14:paraId="3DD39D6A" w14:textId="7FD9A364" w:rsidR="001F4169" w:rsidRPr="00936526" w:rsidRDefault="001F4169" w:rsidP="00B0113F">
      <w:pPr>
        <w:tabs>
          <w:tab w:val="center" w:pos="4536"/>
          <w:tab w:val="right" w:pos="9072"/>
        </w:tabs>
        <w:spacing w:before="120"/>
        <w:jc w:val="both"/>
        <w:rPr>
          <w:sz w:val="22"/>
          <w:szCs w:val="22"/>
          <w:lang w:val="sr-Latn-RS"/>
        </w:rPr>
      </w:pPr>
      <w:r w:rsidRPr="00936526">
        <w:rPr>
          <w:sz w:val="22"/>
          <w:szCs w:val="22"/>
          <w:lang w:val="sr-Latn-RS"/>
        </w:rPr>
        <w:t>U cilju izb</w:t>
      </w:r>
      <w:r w:rsidR="00197764" w:rsidRPr="00936526">
        <w:rPr>
          <w:sz w:val="22"/>
          <w:szCs w:val="22"/>
          <w:lang w:val="sr-Latn-RS"/>
        </w:rPr>
        <w:t>j</w:t>
      </w:r>
      <w:r w:rsidRPr="00936526">
        <w:rPr>
          <w:sz w:val="22"/>
          <w:szCs w:val="22"/>
          <w:lang w:val="sr-Latn-RS"/>
        </w:rPr>
        <w:t>egavanja kontaminacije svake vrste, pen sm</w:t>
      </w:r>
      <w:r w:rsidR="00197764" w:rsidRPr="00936526">
        <w:rPr>
          <w:sz w:val="22"/>
          <w:szCs w:val="22"/>
          <w:lang w:val="sr-Latn-RS"/>
        </w:rPr>
        <w:t>ij</w:t>
      </w:r>
      <w:r w:rsidRPr="00936526">
        <w:rPr>
          <w:sz w:val="22"/>
          <w:szCs w:val="22"/>
          <w:lang w:val="sr-Latn-RS"/>
        </w:rPr>
        <w:t>e da koristi samo jedan pacijent.</w:t>
      </w:r>
    </w:p>
    <w:p w14:paraId="6E45810D" w14:textId="501552FD" w:rsidR="001D1A68" w:rsidRPr="00936526" w:rsidRDefault="001D1A68" w:rsidP="00B0113F">
      <w:pPr>
        <w:tabs>
          <w:tab w:val="center" w:pos="4536"/>
          <w:tab w:val="right" w:pos="9072"/>
        </w:tabs>
        <w:spacing w:before="120"/>
        <w:jc w:val="both"/>
        <w:rPr>
          <w:sz w:val="22"/>
          <w:szCs w:val="22"/>
          <w:lang w:val="sr-Latn-RS"/>
        </w:rPr>
      </w:pPr>
      <w:r w:rsidRPr="00936526">
        <w:rPr>
          <w:sz w:val="22"/>
          <w:szCs w:val="22"/>
          <w:lang w:val="sr-Latn-RS"/>
        </w:rPr>
        <w:t>Prije korišćenja SoloStar pena mora se pažljivo pročitati Uputstvo za upotrebu, koje je sastavni dio Uputstva za lijek.</w:t>
      </w:r>
    </w:p>
    <w:p w14:paraId="358D25F6" w14:textId="77777777" w:rsidR="0094773B" w:rsidRPr="00936526" w:rsidRDefault="0094773B" w:rsidP="00121CF3">
      <w:pPr>
        <w:tabs>
          <w:tab w:val="left" w:pos="540"/>
          <w:tab w:val="left" w:pos="569"/>
        </w:tabs>
        <w:spacing w:before="120"/>
        <w:rPr>
          <w:sz w:val="22"/>
          <w:szCs w:val="22"/>
          <w:lang w:val="sr-Latn-RS"/>
        </w:rPr>
      </w:pPr>
    </w:p>
    <w:p w14:paraId="0572C653" w14:textId="05FF7DE3" w:rsidR="00D53B6C" w:rsidRPr="00936526" w:rsidRDefault="00D53B6C" w:rsidP="00B0113F">
      <w:pPr>
        <w:tabs>
          <w:tab w:val="left" w:pos="540"/>
          <w:tab w:val="left" w:pos="569"/>
        </w:tabs>
        <w:spacing w:before="120"/>
        <w:jc w:val="both"/>
        <w:rPr>
          <w:sz w:val="22"/>
          <w:szCs w:val="22"/>
          <w:lang w:val="sr-Latn-RS"/>
        </w:rPr>
      </w:pPr>
      <w:r w:rsidRPr="00936526">
        <w:rPr>
          <w:sz w:val="22"/>
          <w:szCs w:val="22"/>
          <w:lang w:val="sr-Latn-RS"/>
        </w:rPr>
        <w:t>Neupotrebljeni lijek se uništava u skladu sa važećim propisima.</w:t>
      </w:r>
    </w:p>
    <w:p w14:paraId="157FBA97" w14:textId="77777777" w:rsidR="0067677B" w:rsidRPr="00936526" w:rsidRDefault="0067677B" w:rsidP="001F4169">
      <w:pPr>
        <w:tabs>
          <w:tab w:val="left" w:pos="284"/>
        </w:tabs>
        <w:spacing w:before="120"/>
        <w:jc w:val="both"/>
        <w:rPr>
          <w:sz w:val="22"/>
          <w:szCs w:val="22"/>
          <w:lang w:val="sr-Latn-RS"/>
        </w:rPr>
      </w:pPr>
    </w:p>
    <w:p w14:paraId="492A091A" w14:textId="77777777" w:rsidR="00F8570A" w:rsidRPr="00936526" w:rsidRDefault="0072020E" w:rsidP="00480FB1">
      <w:pPr>
        <w:tabs>
          <w:tab w:val="left" w:pos="540"/>
          <w:tab w:val="left" w:pos="569"/>
        </w:tabs>
        <w:rPr>
          <w:b/>
          <w:bCs/>
          <w:sz w:val="22"/>
          <w:szCs w:val="22"/>
          <w:lang w:val="sr-Latn-RS"/>
        </w:rPr>
      </w:pPr>
      <w:r w:rsidRPr="00936526">
        <w:rPr>
          <w:b/>
          <w:bCs/>
          <w:sz w:val="22"/>
          <w:szCs w:val="22"/>
          <w:lang w:val="sr-Latn-RS"/>
        </w:rPr>
        <w:t xml:space="preserve">7. </w:t>
      </w:r>
      <w:r w:rsidR="00480FB1" w:rsidRPr="00936526">
        <w:rPr>
          <w:b/>
          <w:bCs/>
          <w:sz w:val="22"/>
          <w:szCs w:val="22"/>
          <w:lang w:val="sr-Latn-RS"/>
        </w:rPr>
        <w:tab/>
      </w:r>
      <w:r w:rsidRPr="00936526">
        <w:rPr>
          <w:b/>
          <w:bCs/>
          <w:sz w:val="22"/>
          <w:szCs w:val="22"/>
          <w:lang w:val="sr-Latn-RS"/>
        </w:rPr>
        <w:t>NOSILAC DOZVOLE</w:t>
      </w:r>
      <w:r w:rsidR="00483928" w:rsidRPr="00936526">
        <w:rPr>
          <w:b/>
          <w:bCs/>
          <w:sz w:val="22"/>
          <w:szCs w:val="22"/>
          <w:lang w:val="sr-Latn-RS"/>
        </w:rPr>
        <w:t xml:space="preserve"> </w:t>
      </w:r>
    </w:p>
    <w:p w14:paraId="461BD2A7" w14:textId="7E842C6B" w:rsidR="001F4169" w:rsidRPr="00936526" w:rsidRDefault="001F4169" w:rsidP="001F4169">
      <w:pPr>
        <w:tabs>
          <w:tab w:val="left" w:pos="540"/>
          <w:tab w:val="left" w:pos="569"/>
        </w:tabs>
        <w:spacing w:before="120"/>
        <w:rPr>
          <w:bCs/>
          <w:sz w:val="22"/>
          <w:szCs w:val="22"/>
          <w:lang w:val="sr-Latn-RS"/>
        </w:rPr>
      </w:pPr>
      <w:r w:rsidRPr="00936526">
        <w:rPr>
          <w:bCs/>
          <w:sz w:val="22"/>
          <w:szCs w:val="22"/>
          <w:lang w:val="sr-Latn-RS"/>
        </w:rPr>
        <w:t>AMICUS PHARMA D.O.O. PODGORICA</w:t>
      </w:r>
    </w:p>
    <w:p w14:paraId="346D1A66" w14:textId="7CE3821E" w:rsidR="001F4169" w:rsidRPr="00936526" w:rsidRDefault="001F4169" w:rsidP="001F4169">
      <w:pPr>
        <w:tabs>
          <w:tab w:val="left" w:pos="540"/>
          <w:tab w:val="left" w:pos="569"/>
        </w:tabs>
        <w:rPr>
          <w:bCs/>
          <w:sz w:val="22"/>
          <w:szCs w:val="22"/>
          <w:lang w:val="sr-Latn-RS"/>
        </w:rPr>
      </w:pPr>
      <w:r w:rsidRPr="00936526">
        <w:rPr>
          <w:bCs/>
          <w:sz w:val="22"/>
          <w:szCs w:val="22"/>
          <w:lang w:val="sr-Latn-RS"/>
        </w:rPr>
        <w:t>Bulevar Džordža Vašingtona 51, 81 000 Podgorica</w:t>
      </w:r>
      <w:r w:rsidR="00F640C6" w:rsidRPr="00936526">
        <w:rPr>
          <w:bCs/>
          <w:sz w:val="22"/>
          <w:szCs w:val="22"/>
          <w:lang w:val="sr-Latn-RS"/>
        </w:rPr>
        <w:t>, Crna Gora</w:t>
      </w:r>
    </w:p>
    <w:p w14:paraId="0373DAC7" w14:textId="77777777" w:rsidR="0067677B" w:rsidRPr="00936526" w:rsidRDefault="0067677B" w:rsidP="00480FB1">
      <w:pPr>
        <w:tabs>
          <w:tab w:val="left" w:pos="540"/>
          <w:tab w:val="left" w:pos="569"/>
        </w:tabs>
        <w:rPr>
          <w:bCs/>
          <w:sz w:val="22"/>
          <w:szCs w:val="22"/>
          <w:lang w:val="sr-Latn-RS"/>
        </w:rPr>
      </w:pPr>
    </w:p>
    <w:p w14:paraId="6D73DF9B" w14:textId="387FF998" w:rsidR="0094773B" w:rsidRPr="00936526" w:rsidRDefault="0094773B" w:rsidP="00480FB1">
      <w:pPr>
        <w:tabs>
          <w:tab w:val="left" w:pos="540"/>
          <w:tab w:val="left" w:pos="569"/>
        </w:tabs>
        <w:rPr>
          <w:b/>
          <w:bCs/>
          <w:sz w:val="22"/>
          <w:szCs w:val="22"/>
          <w:lang w:val="sr-Latn-RS"/>
        </w:rPr>
      </w:pPr>
    </w:p>
    <w:p w14:paraId="20970C3F" w14:textId="7D9345B2" w:rsidR="0067677B" w:rsidRPr="00936526" w:rsidRDefault="0067677B" w:rsidP="00480FB1">
      <w:pPr>
        <w:tabs>
          <w:tab w:val="left" w:pos="540"/>
          <w:tab w:val="left" w:pos="569"/>
        </w:tabs>
        <w:rPr>
          <w:b/>
          <w:bCs/>
          <w:sz w:val="22"/>
          <w:szCs w:val="22"/>
          <w:lang w:val="sr-Latn-RS"/>
        </w:rPr>
      </w:pPr>
    </w:p>
    <w:p w14:paraId="15E5AA17" w14:textId="77777777" w:rsidR="0067677B" w:rsidRPr="00936526" w:rsidRDefault="0067677B" w:rsidP="00480FB1">
      <w:pPr>
        <w:tabs>
          <w:tab w:val="left" w:pos="540"/>
          <w:tab w:val="left" w:pos="569"/>
        </w:tabs>
        <w:rPr>
          <w:b/>
          <w:bCs/>
          <w:sz w:val="22"/>
          <w:szCs w:val="22"/>
          <w:lang w:val="sr-Latn-RS"/>
        </w:rPr>
      </w:pPr>
    </w:p>
    <w:p w14:paraId="498AD070" w14:textId="46D47A3D" w:rsidR="0072020E" w:rsidRPr="00936526" w:rsidRDefault="0072020E" w:rsidP="00480FB1">
      <w:pPr>
        <w:tabs>
          <w:tab w:val="left" w:pos="540"/>
          <w:tab w:val="left" w:pos="569"/>
        </w:tabs>
        <w:rPr>
          <w:b/>
          <w:bCs/>
          <w:sz w:val="22"/>
          <w:szCs w:val="22"/>
          <w:lang w:val="sr-Latn-RS"/>
        </w:rPr>
      </w:pPr>
      <w:r w:rsidRPr="00936526">
        <w:rPr>
          <w:b/>
          <w:bCs/>
          <w:sz w:val="22"/>
          <w:szCs w:val="22"/>
          <w:lang w:val="sr-Latn-RS"/>
        </w:rPr>
        <w:lastRenderedPageBreak/>
        <w:t xml:space="preserve">8. </w:t>
      </w:r>
      <w:r w:rsidR="00480FB1" w:rsidRPr="00936526">
        <w:rPr>
          <w:b/>
          <w:bCs/>
          <w:sz w:val="22"/>
          <w:szCs w:val="22"/>
          <w:lang w:val="sr-Latn-RS"/>
        </w:rPr>
        <w:tab/>
      </w:r>
      <w:r w:rsidRPr="00936526">
        <w:rPr>
          <w:b/>
          <w:bCs/>
          <w:sz w:val="22"/>
          <w:szCs w:val="22"/>
          <w:lang w:val="sr-Latn-RS"/>
        </w:rPr>
        <w:t>BROJ DOZVOLE</w:t>
      </w:r>
      <w:r w:rsidR="008A6D43" w:rsidRPr="00936526">
        <w:rPr>
          <w:b/>
          <w:bCs/>
          <w:sz w:val="22"/>
          <w:szCs w:val="22"/>
          <w:lang w:val="sr-Latn-RS"/>
        </w:rPr>
        <w:t xml:space="preserve"> ZA STAVLJANJE LIJEKA U PROMET</w:t>
      </w:r>
    </w:p>
    <w:p w14:paraId="60624CB3" w14:textId="292AA051" w:rsidR="0067677B" w:rsidRPr="00936526" w:rsidRDefault="0067677B" w:rsidP="00480FB1">
      <w:pPr>
        <w:tabs>
          <w:tab w:val="left" w:pos="540"/>
          <w:tab w:val="left" w:pos="569"/>
        </w:tabs>
        <w:rPr>
          <w:b/>
          <w:bCs/>
          <w:sz w:val="22"/>
          <w:szCs w:val="22"/>
          <w:lang w:val="sr-Latn-RS"/>
        </w:rPr>
      </w:pPr>
    </w:p>
    <w:p w14:paraId="6354FE2B" w14:textId="2A0BEF92" w:rsidR="0067677B" w:rsidRPr="00936526" w:rsidRDefault="00082DA0" w:rsidP="00480FB1">
      <w:pPr>
        <w:tabs>
          <w:tab w:val="left" w:pos="540"/>
          <w:tab w:val="left" w:pos="569"/>
        </w:tabs>
        <w:rPr>
          <w:bCs/>
          <w:sz w:val="22"/>
          <w:szCs w:val="22"/>
          <w:lang w:val="sr-Latn-RS"/>
        </w:rPr>
      </w:pPr>
      <w:r w:rsidRPr="00936526">
        <w:rPr>
          <w:bCs/>
          <w:sz w:val="22"/>
          <w:szCs w:val="22"/>
          <w:lang w:val="sr-Latn-RS"/>
        </w:rPr>
        <w:t>2030/24/1338 – 8470</w:t>
      </w:r>
    </w:p>
    <w:p w14:paraId="18757386" w14:textId="77777777" w:rsidR="00082DA0" w:rsidRPr="00936526" w:rsidRDefault="00082DA0" w:rsidP="00480FB1">
      <w:pPr>
        <w:tabs>
          <w:tab w:val="left" w:pos="540"/>
          <w:tab w:val="left" w:pos="569"/>
        </w:tabs>
        <w:rPr>
          <w:bCs/>
          <w:sz w:val="22"/>
          <w:szCs w:val="22"/>
          <w:lang w:val="sr-Latn-RS"/>
        </w:rPr>
      </w:pPr>
    </w:p>
    <w:p w14:paraId="422B317C" w14:textId="77777777" w:rsidR="00F45F77" w:rsidRPr="00936526" w:rsidRDefault="00F45F77" w:rsidP="00480FB1">
      <w:pPr>
        <w:tabs>
          <w:tab w:val="left" w:pos="540"/>
          <w:tab w:val="left" w:pos="569"/>
        </w:tabs>
        <w:rPr>
          <w:bCs/>
          <w:sz w:val="22"/>
          <w:szCs w:val="22"/>
          <w:lang w:val="sr-Latn-RS"/>
        </w:rPr>
      </w:pPr>
    </w:p>
    <w:p w14:paraId="0E164495" w14:textId="3967C0CA" w:rsidR="0072020E" w:rsidRPr="00936526" w:rsidRDefault="0072020E" w:rsidP="00480FB1">
      <w:pPr>
        <w:tabs>
          <w:tab w:val="left" w:pos="540"/>
          <w:tab w:val="left" w:pos="569"/>
        </w:tabs>
        <w:rPr>
          <w:b/>
          <w:bCs/>
          <w:sz w:val="22"/>
          <w:szCs w:val="22"/>
          <w:lang w:val="sr-Latn-RS"/>
        </w:rPr>
      </w:pPr>
      <w:r w:rsidRPr="00936526">
        <w:rPr>
          <w:b/>
          <w:bCs/>
          <w:sz w:val="22"/>
          <w:szCs w:val="22"/>
          <w:lang w:val="sr-Latn-RS"/>
        </w:rPr>
        <w:t xml:space="preserve">9. </w:t>
      </w:r>
      <w:r w:rsidR="00480FB1" w:rsidRPr="00936526">
        <w:rPr>
          <w:b/>
          <w:bCs/>
          <w:sz w:val="22"/>
          <w:szCs w:val="22"/>
          <w:lang w:val="sr-Latn-RS"/>
        </w:rPr>
        <w:tab/>
      </w:r>
      <w:r w:rsidRPr="00936526">
        <w:rPr>
          <w:b/>
          <w:bCs/>
          <w:sz w:val="22"/>
          <w:szCs w:val="22"/>
          <w:lang w:val="sr-Latn-RS"/>
        </w:rPr>
        <w:t xml:space="preserve">DATUM </w:t>
      </w:r>
      <w:r w:rsidR="00C05DF8" w:rsidRPr="00936526">
        <w:rPr>
          <w:b/>
          <w:bCs/>
          <w:sz w:val="22"/>
          <w:szCs w:val="22"/>
          <w:lang w:val="sr-Latn-RS"/>
        </w:rPr>
        <w:t xml:space="preserve">PRVE </w:t>
      </w:r>
      <w:r w:rsidR="008A6D43" w:rsidRPr="00936526">
        <w:rPr>
          <w:b/>
          <w:bCs/>
          <w:sz w:val="22"/>
          <w:szCs w:val="22"/>
          <w:lang w:val="sr-Latn-RS"/>
        </w:rPr>
        <w:t>DOZVOLE</w:t>
      </w:r>
      <w:r w:rsidR="00C05DF8" w:rsidRPr="00936526">
        <w:rPr>
          <w:b/>
          <w:bCs/>
          <w:sz w:val="22"/>
          <w:szCs w:val="22"/>
          <w:lang w:val="sr-Latn-RS"/>
        </w:rPr>
        <w:t>/OBNOVE DOZVOLE</w:t>
      </w:r>
      <w:r w:rsidR="008A6D43" w:rsidRPr="00936526">
        <w:rPr>
          <w:b/>
          <w:bCs/>
          <w:sz w:val="22"/>
          <w:szCs w:val="22"/>
          <w:lang w:val="sr-Latn-RS"/>
        </w:rPr>
        <w:t xml:space="preserve"> ZA STAVLJANJE LIJEKA U PROMET</w:t>
      </w:r>
    </w:p>
    <w:p w14:paraId="5C5BC718" w14:textId="2E7FC0A8" w:rsidR="0067677B" w:rsidRPr="00936526" w:rsidRDefault="0067677B" w:rsidP="00480FB1">
      <w:pPr>
        <w:tabs>
          <w:tab w:val="left" w:pos="540"/>
          <w:tab w:val="left" w:pos="569"/>
        </w:tabs>
        <w:rPr>
          <w:b/>
          <w:bCs/>
          <w:sz w:val="22"/>
          <w:szCs w:val="22"/>
          <w:lang w:val="sr-Latn-RS"/>
        </w:rPr>
      </w:pPr>
    </w:p>
    <w:p w14:paraId="241D4E66" w14:textId="105CB6C1" w:rsidR="00F640C6" w:rsidRPr="00936526" w:rsidRDefault="00F640C6" w:rsidP="00F640C6">
      <w:pPr>
        <w:jc w:val="both"/>
        <w:rPr>
          <w:sz w:val="22"/>
          <w:szCs w:val="22"/>
          <w:lang w:val="sr-Latn-RS"/>
        </w:rPr>
      </w:pPr>
      <w:r w:rsidRPr="00936526">
        <w:rPr>
          <w:color w:val="000000"/>
          <w:spacing w:val="5"/>
          <w:sz w:val="22"/>
          <w:szCs w:val="22"/>
          <w:lang w:val="sr-Latn-RS"/>
        </w:rPr>
        <w:t xml:space="preserve">Datum prve dozvole: </w:t>
      </w:r>
      <w:r w:rsidR="00082DA0" w:rsidRPr="00936526">
        <w:rPr>
          <w:color w:val="000000"/>
          <w:spacing w:val="5"/>
          <w:sz w:val="22"/>
          <w:szCs w:val="22"/>
          <w:lang w:val="sr-Latn-RS"/>
        </w:rPr>
        <w:t>17.10.2011. godine</w:t>
      </w:r>
    </w:p>
    <w:p w14:paraId="13556557" w14:textId="07EDD825" w:rsidR="00F640C6" w:rsidRPr="00936526" w:rsidRDefault="00F640C6" w:rsidP="00F640C6">
      <w:pPr>
        <w:tabs>
          <w:tab w:val="left" w:pos="540"/>
          <w:tab w:val="left" w:pos="569"/>
        </w:tabs>
        <w:jc w:val="both"/>
        <w:rPr>
          <w:bCs/>
          <w:sz w:val="22"/>
          <w:szCs w:val="22"/>
          <w:lang w:val="sr-Latn-RS"/>
        </w:rPr>
      </w:pPr>
      <w:r w:rsidRPr="00936526">
        <w:rPr>
          <w:bCs/>
          <w:sz w:val="22"/>
          <w:szCs w:val="22"/>
          <w:lang w:val="sr-Latn-RS"/>
        </w:rPr>
        <w:t xml:space="preserve">Datum poslednje obnove dozvole: </w:t>
      </w:r>
      <w:r w:rsidR="00082DA0" w:rsidRPr="00936526">
        <w:rPr>
          <w:bCs/>
          <w:sz w:val="22"/>
          <w:szCs w:val="22"/>
          <w:lang w:val="sr-Latn-RS"/>
        </w:rPr>
        <w:t>08.03.2024. godine</w:t>
      </w:r>
    </w:p>
    <w:p w14:paraId="760ECAB0" w14:textId="77777777" w:rsidR="00F640C6" w:rsidRPr="00936526" w:rsidRDefault="00F640C6" w:rsidP="00480FB1">
      <w:pPr>
        <w:tabs>
          <w:tab w:val="left" w:pos="540"/>
          <w:tab w:val="left" w:pos="569"/>
        </w:tabs>
        <w:rPr>
          <w:b/>
          <w:bCs/>
          <w:sz w:val="22"/>
          <w:szCs w:val="22"/>
          <w:lang w:val="sr-Latn-RS"/>
        </w:rPr>
      </w:pPr>
    </w:p>
    <w:p w14:paraId="64C5246B" w14:textId="6400C504" w:rsidR="00836B35" w:rsidRPr="00936526" w:rsidRDefault="00836B35" w:rsidP="00480FB1">
      <w:pPr>
        <w:tabs>
          <w:tab w:val="left" w:pos="540"/>
          <w:tab w:val="left" w:pos="569"/>
        </w:tabs>
        <w:rPr>
          <w:bCs/>
          <w:sz w:val="22"/>
          <w:szCs w:val="22"/>
          <w:lang w:val="sr-Latn-RS"/>
        </w:rPr>
      </w:pPr>
    </w:p>
    <w:p w14:paraId="7A13168D" w14:textId="77777777" w:rsidR="003F6A59" w:rsidRPr="00936526" w:rsidRDefault="0072020E" w:rsidP="00C05DF8">
      <w:pPr>
        <w:tabs>
          <w:tab w:val="left" w:pos="540"/>
          <w:tab w:val="left" w:pos="569"/>
        </w:tabs>
        <w:ind w:left="540" w:hanging="540"/>
        <w:rPr>
          <w:bCs/>
          <w:sz w:val="22"/>
          <w:szCs w:val="22"/>
          <w:lang w:val="sr-Latn-RS"/>
        </w:rPr>
      </w:pPr>
      <w:r w:rsidRPr="00936526">
        <w:rPr>
          <w:b/>
          <w:bCs/>
          <w:sz w:val="22"/>
          <w:szCs w:val="22"/>
          <w:lang w:val="sr-Latn-RS"/>
        </w:rPr>
        <w:t xml:space="preserve">10. </w:t>
      </w:r>
      <w:r w:rsidR="00480FB1" w:rsidRPr="00936526">
        <w:rPr>
          <w:b/>
          <w:bCs/>
          <w:sz w:val="22"/>
          <w:szCs w:val="22"/>
          <w:lang w:val="sr-Latn-RS"/>
        </w:rPr>
        <w:tab/>
      </w:r>
      <w:r w:rsidR="002846DB" w:rsidRPr="00936526">
        <w:rPr>
          <w:b/>
          <w:bCs/>
          <w:sz w:val="22"/>
          <w:szCs w:val="22"/>
          <w:lang w:val="sr-Latn-RS"/>
        </w:rPr>
        <w:t>D</w:t>
      </w:r>
      <w:r w:rsidR="00EC2532" w:rsidRPr="00936526">
        <w:rPr>
          <w:b/>
          <w:bCs/>
          <w:sz w:val="22"/>
          <w:szCs w:val="22"/>
          <w:lang w:val="sr-Latn-RS"/>
        </w:rPr>
        <w:t xml:space="preserve">ATUM REVIZIJE TEKSTA </w:t>
      </w:r>
    </w:p>
    <w:p w14:paraId="31D6995E" w14:textId="50BD8987" w:rsidR="00082DA0" w:rsidRPr="00936526" w:rsidRDefault="00082DA0" w:rsidP="001F4169">
      <w:pPr>
        <w:tabs>
          <w:tab w:val="left" w:pos="540"/>
          <w:tab w:val="left" w:pos="569"/>
        </w:tabs>
        <w:spacing w:before="120"/>
        <w:rPr>
          <w:bCs/>
          <w:sz w:val="22"/>
          <w:szCs w:val="22"/>
          <w:lang w:val="sr-Latn-RS"/>
        </w:rPr>
      </w:pPr>
      <w:r w:rsidRPr="00936526">
        <w:rPr>
          <w:bCs/>
          <w:sz w:val="22"/>
          <w:szCs w:val="22"/>
          <w:lang w:val="sr-Latn-RS"/>
        </w:rPr>
        <w:t>Mart, 2024. godine</w:t>
      </w:r>
    </w:p>
    <w:sectPr w:rsidR="00082DA0" w:rsidRPr="00936526" w:rsidSect="006B5404">
      <w:footerReference w:type="default" r:id="rId15"/>
      <w:pgSz w:w="11909" w:h="16834"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031BB2D" w16cex:dateUtc="2024-02-23T14:57:00Z"/>
  <w16cex:commentExtensible w16cex:durableId="2CA9DF4C" w16cex:dateUtc="2024-02-23T15:05:00Z"/>
  <w16cex:commentExtensible w16cex:durableId="277D47BC" w16cex:dateUtc="2024-02-23T15:14:00Z"/>
  <w16cex:commentExtensible w16cex:durableId="68B5E050" w16cex:dateUtc="2024-02-23T15:23:00Z"/>
  <w16cex:commentExtensible w16cex:durableId="1AADD8D1" w16cex:dateUtc="2024-02-23T15:23:00Z"/>
  <w16cex:commentExtensible w16cex:durableId="61AB4BE6" w16cex:dateUtc="2024-03-04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AAFFB6" w16cid:durableId="2031BB2D"/>
  <w16cid:commentId w16cid:paraId="6FC8EB9A" w16cid:durableId="2CA9DF4C"/>
  <w16cid:commentId w16cid:paraId="6B8A173B" w16cid:durableId="277D47BC"/>
  <w16cid:commentId w16cid:paraId="7170989D" w16cid:durableId="68B5E050"/>
  <w16cid:commentId w16cid:paraId="37D37988" w16cid:durableId="1AADD8D1"/>
  <w16cid:commentId w16cid:paraId="2C5B2CF5" w16cid:durableId="61AB4B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C9B0E" w14:textId="77777777" w:rsidR="00704757" w:rsidRDefault="00704757">
      <w:r>
        <w:separator/>
      </w:r>
    </w:p>
  </w:endnote>
  <w:endnote w:type="continuationSeparator" w:id="0">
    <w:p w14:paraId="1A324AC5" w14:textId="77777777" w:rsidR="00704757" w:rsidRDefault="0070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BE206" w14:textId="54970F9C" w:rsidR="001211A1" w:rsidRPr="00B23F69" w:rsidRDefault="001211A1"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0113F">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0113F">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2CD18" w14:textId="77777777" w:rsidR="00704757" w:rsidRDefault="00704757">
      <w:r>
        <w:separator/>
      </w:r>
    </w:p>
  </w:footnote>
  <w:footnote w:type="continuationSeparator" w:id="0">
    <w:p w14:paraId="6B517D57" w14:textId="77777777" w:rsidR="00704757" w:rsidRDefault="00704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5pt;height:14.25pt;visibility:visible" o:bullet="t">
        <v:imagedata r:id="rId1" o:title="BT_1000x858px"/>
      </v:shape>
    </w:pict>
  </w:numPicBullet>
  <w:abstractNum w:abstractNumId="0" w15:restartNumberingAfterBreak="0">
    <w:nsid w:val="00000402"/>
    <w:multiLevelType w:val="multilevel"/>
    <w:tmpl w:val="FFFFFFFF"/>
    <w:lvl w:ilvl="0">
      <w:numFmt w:val="bullet"/>
      <w:lvlText w:val=""/>
      <w:lvlJc w:val="left"/>
      <w:pPr>
        <w:ind w:left="834" w:hanging="361"/>
      </w:pPr>
      <w:rPr>
        <w:rFonts w:ascii="Symbol" w:hAnsi="Symbol" w:cs="Symbol"/>
        <w:b w:val="0"/>
        <w:bCs w:val="0"/>
        <w:i w:val="0"/>
        <w:iCs w:val="0"/>
        <w:w w:val="100"/>
        <w:sz w:val="22"/>
        <w:szCs w:val="22"/>
      </w:rPr>
    </w:lvl>
    <w:lvl w:ilvl="1">
      <w:numFmt w:val="bullet"/>
      <w:lvlText w:val="•"/>
      <w:lvlJc w:val="left"/>
      <w:pPr>
        <w:ind w:left="1742" w:hanging="361"/>
      </w:pPr>
    </w:lvl>
    <w:lvl w:ilvl="2">
      <w:numFmt w:val="bullet"/>
      <w:lvlText w:val="•"/>
      <w:lvlJc w:val="left"/>
      <w:pPr>
        <w:ind w:left="2645" w:hanging="361"/>
      </w:pPr>
    </w:lvl>
    <w:lvl w:ilvl="3">
      <w:numFmt w:val="bullet"/>
      <w:lvlText w:val="•"/>
      <w:lvlJc w:val="left"/>
      <w:pPr>
        <w:ind w:left="3548" w:hanging="361"/>
      </w:pPr>
    </w:lvl>
    <w:lvl w:ilvl="4">
      <w:numFmt w:val="bullet"/>
      <w:lvlText w:val="•"/>
      <w:lvlJc w:val="left"/>
      <w:pPr>
        <w:ind w:left="4451" w:hanging="361"/>
      </w:pPr>
    </w:lvl>
    <w:lvl w:ilvl="5">
      <w:numFmt w:val="bullet"/>
      <w:lvlText w:val="•"/>
      <w:lvlJc w:val="left"/>
      <w:pPr>
        <w:ind w:left="5354" w:hanging="361"/>
      </w:pPr>
    </w:lvl>
    <w:lvl w:ilvl="6">
      <w:numFmt w:val="bullet"/>
      <w:lvlText w:val="•"/>
      <w:lvlJc w:val="left"/>
      <w:pPr>
        <w:ind w:left="6257" w:hanging="361"/>
      </w:pPr>
    </w:lvl>
    <w:lvl w:ilvl="7">
      <w:numFmt w:val="bullet"/>
      <w:lvlText w:val="•"/>
      <w:lvlJc w:val="left"/>
      <w:pPr>
        <w:ind w:left="7160" w:hanging="361"/>
      </w:pPr>
    </w:lvl>
    <w:lvl w:ilvl="8">
      <w:numFmt w:val="bullet"/>
      <w:lvlText w:val="•"/>
      <w:lvlJc w:val="left"/>
      <w:pPr>
        <w:ind w:left="8063" w:hanging="361"/>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A451FAD"/>
    <w:multiLevelType w:val="hybridMultilevel"/>
    <w:tmpl w:val="BA387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DD5DAB"/>
    <w:multiLevelType w:val="hybridMultilevel"/>
    <w:tmpl w:val="202EF718"/>
    <w:lvl w:ilvl="0" w:tplc="6B7874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
  </w:num>
  <w:num w:numId="4">
    <w:abstractNumId w:val="11"/>
  </w:num>
  <w:num w:numId="5">
    <w:abstractNumId w:val="5"/>
  </w:num>
  <w:num w:numId="6">
    <w:abstractNumId w:val="2"/>
  </w:num>
  <w:num w:numId="7">
    <w:abstractNumId w:val="10"/>
  </w:num>
  <w:num w:numId="8">
    <w:abstractNumId w:val="4"/>
  </w:num>
  <w:num w:numId="9">
    <w:abstractNumId w:val="7"/>
  </w:num>
  <w:num w:numId="10">
    <w:abstractNumId w:val="13"/>
  </w:num>
  <w:num w:numId="11">
    <w:abstractNumId w:val="6"/>
  </w:num>
  <w:num w:numId="12">
    <w:abstractNumId w:val="9"/>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fr-FR"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1E0D"/>
    <w:rsid w:val="00033DDF"/>
    <w:rsid w:val="00036FA0"/>
    <w:rsid w:val="0003793F"/>
    <w:rsid w:val="00057E35"/>
    <w:rsid w:val="00076726"/>
    <w:rsid w:val="00077BD9"/>
    <w:rsid w:val="00080303"/>
    <w:rsid w:val="00082DA0"/>
    <w:rsid w:val="000A3F58"/>
    <w:rsid w:val="000D2343"/>
    <w:rsid w:val="000D3449"/>
    <w:rsid w:val="000D425A"/>
    <w:rsid w:val="000D60CC"/>
    <w:rsid w:val="000E2084"/>
    <w:rsid w:val="000E6F55"/>
    <w:rsid w:val="000F77FA"/>
    <w:rsid w:val="00107BF7"/>
    <w:rsid w:val="001211A1"/>
    <w:rsid w:val="00121CF3"/>
    <w:rsid w:val="00126F53"/>
    <w:rsid w:val="0014766D"/>
    <w:rsid w:val="001536CC"/>
    <w:rsid w:val="00195C4A"/>
    <w:rsid w:val="00197764"/>
    <w:rsid w:val="001A3FBA"/>
    <w:rsid w:val="001A5518"/>
    <w:rsid w:val="001B1C6A"/>
    <w:rsid w:val="001C1263"/>
    <w:rsid w:val="001C1417"/>
    <w:rsid w:val="001D1A68"/>
    <w:rsid w:val="001D4E9D"/>
    <w:rsid w:val="001E390B"/>
    <w:rsid w:val="001F4169"/>
    <w:rsid w:val="001F42FB"/>
    <w:rsid w:val="001F719A"/>
    <w:rsid w:val="002031B3"/>
    <w:rsid w:val="002051F2"/>
    <w:rsid w:val="00215931"/>
    <w:rsid w:val="00220AC3"/>
    <w:rsid w:val="00224C91"/>
    <w:rsid w:val="00226865"/>
    <w:rsid w:val="00227BDB"/>
    <w:rsid w:val="00234CB1"/>
    <w:rsid w:val="002352F8"/>
    <w:rsid w:val="002510A5"/>
    <w:rsid w:val="00254A0A"/>
    <w:rsid w:val="00266046"/>
    <w:rsid w:val="002846DB"/>
    <w:rsid w:val="00284CCD"/>
    <w:rsid w:val="002C6637"/>
    <w:rsid w:val="002E0135"/>
    <w:rsid w:val="002E37A5"/>
    <w:rsid w:val="002F19CA"/>
    <w:rsid w:val="002F4679"/>
    <w:rsid w:val="00310F03"/>
    <w:rsid w:val="00313615"/>
    <w:rsid w:val="00316F43"/>
    <w:rsid w:val="003247D2"/>
    <w:rsid w:val="003445C1"/>
    <w:rsid w:val="00355B61"/>
    <w:rsid w:val="00362686"/>
    <w:rsid w:val="00371510"/>
    <w:rsid w:val="00396DFD"/>
    <w:rsid w:val="003A7059"/>
    <w:rsid w:val="003B7A36"/>
    <w:rsid w:val="003C17AB"/>
    <w:rsid w:val="003C7823"/>
    <w:rsid w:val="003E1DCC"/>
    <w:rsid w:val="003F11A1"/>
    <w:rsid w:val="003F6A59"/>
    <w:rsid w:val="004051C1"/>
    <w:rsid w:val="004065C8"/>
    <w:rsid w:val="004109FA"/>
    <w:rsid w:val="00411B4B"/>
    <w:rsid w:val="00415BEE"/>
    <w:rsid w:val="00422C19"/>
    <w:rsid w:val="00427F85"/>
    <w:rsid w:val="00436F42"/>
    <w:rsid w:val="004378B4"/>
    <w:rsid w:val="004448C4"/>
    <w:rsid w:val="00451314"/>
    <w:rsid w:val="00452E9D"/>
    <w:rsid w:val="004534C7"/>
    <w:rsid w:val="004671AA"/>
    <w:rsid w:val="00480FB1"/>
    <w:rsid w:val="00483928"/>
    <w:rsid w:val="004A3078"/>
    <w:rsid w:val="004C331F"/>
    <w:rsid w:val="004D6103"/>
    <w:rsid w:val="004E3BCE"/>
    <w:rsid w:val="004E70AD"/>
    <w:rsid w:val="004F0E97"/>
    <w:rsid w:val="00501DD1"/>
    <w:rsid w:val="00515C21"/>
    <w:rsid w:val="00530BD7"/>
    <w:rsid w:val="00545CD2"/>
    <w:rsid w:val="005476F3"/>
    <w:rsid w:val="00564EE3"/>
    <w:rsid w:val="00572527"/>
    <w:rsid w:val="00573BEA"/>
    <w:rsid w:val="00573E40"/>
    <w:rsid w:val="00576348"/>
    <w:rsid w:val="00591D1B"/>
    <w:rsid w:val="0059475B"/>
    <w:rsid w:val="005A0B2E"/>
    <w:rsid w:val="005A23D2"/>
    <w:rsid w:val="005A36CB"/>
    <w:rsid w:val="005B03CA"/>
    <w:rsid w:val="005B49B8"/>
    <w:rsid w:val="005C0741"/>
    <w:rsid w:val="005C5EF4"/>
    <w:rsid w:val="005C7FE3"/>
    <w:rsid w:val="005E2E0B"/>
    <w:rsid w:val="005E7A7D"/>
    <w:rsid w:val="00602457"/>
    <w:rsid w:val="00644FC3"/>
    <w:rsid w:val="00646BD1"/>
    <w:rsid w:val="006561C2"/>
    <w:rsid w:val="00671CB3"/>
    <w:rsid w:val="00674BAF"/>
    <w:rsid w:val="0067677B"/>
    <w:rsid w:val="00682200"/>
    <w:rsid w:val="0068706D"/>
    <w:rsid w:val="00692BF6"/>
    <w:rsid w:val="006A1497"/>
    <w:rsid w:val="006B0BD1"/>
    <w:rsid w:val="006B5404"/>
    <w:rsid w:val="006D20A5"/>
    <w:rsid w:val="006D37BF"/>
    <w:rsid w:val="006E0BF1"/>
    <w:rsid w:val="00702E22"/>
    <w:rsid w:val="00704757"/>
    <w:rsid w:val="00714F97"/>
    <w:rsid w:val="0072020E"/>
    <w:rsid w:val="00720342"/>
    <w:rsid w:val="00722EA8"/>
    <w:rsid w:val="0075236C"/>
    <w:rsid w:val="00786071"/>
    <w:rsid w:val="00796D00"/>
    <w:rsid w:val="007A3ECB"/>
    <w:rsid w:val="007D01DC"/>
    <w:rsid w:val="007D7BB3"/>
    <w:rsid w:val="007E31E9"/>
    <w:rsid w:val="007E3698"/>
    <w:rsid w:val="00824AB9"/>
    <w:rsid w:val="00836B35"/>
    <w:rsid w:val="00843BDE"/>
    <w:rsid w:val="00853B42"/>
    <w:rsid w:val="0087588C"/>
    <w:rsid w:val="0089705C"/>
    <w:rsid w:val="008A6D43"/>
    <w:rsid w:val="008B491E"/>
    <w:rsid w:val="008C1A28"/>
    <w:rsid w:val="008C2E98"/>
    <w:rsid w:val="008E040C"/>
    <w:rsid w:val="008E2668"/>
    <w:rsid w:val="008E49BD"/>
    <w:rsid w:val="008E53E9"/>
    <w:rsid w:val="008E5771"/>
    <w:rsid w:val="008F0C70"/>
    <w:rsid w:val="008F4ACF"/>
    <w:rsid w:val="00922BAB"/>
    <w:rsid w:val="00924166"/>
    <w:rsid w:val="00936526"/>
    <w:rsid w:val="00940B9B"/>
    <w:rsid w:val="00945C58"/>
    <w:rsid w:val="0094612D"/>
    <w:rsid w:val="0094773B"/>
    <w:rsid w:val="0095676E"/>
    <w:rsid w:val="00956983"/>
    <w:rsid w:val="00963CF0"/>
    <w:rsid w:val="00964BB1"/>
    <w:rsid w:val="009775D9"/>
    <w:rsid w:val="00987990"/>
    <w:rsid w:val="00997175"/>
    <w:rsid w:val="009A1847"/>
    <w:rsid w:val="009A322B"/>
    <w:rsid w:val="009B062A"/>
    <w:rsid w:val="009E7C6F"/>
    <w:rsid w:val="009F070A"/>
    <w:rsid w:val="009F1793"/>
    <w:rsid w:val="009F2D23"/>
    <w:rsid w:val="00A01D69"/>
    <w:rsid w:val="00A02335"/>
    <w:rsid w:val="00A46C9A"/>
    <w:rsid w:val="00A619F3"/>
    <w:rsid w:val="00A62A73"/>
    <w:rsid w:val="00A87FF6"/>
    <w:rsid w:val="00AA0A3B"/>
    <w:rsid w:val="00AA2763"/>
    <w:rsid w:val="00AA33B6"/>
    <w:rsid w:val="00AA659C"/>
    <w:rsid w:val="00AA7E76"/>
    <w:rsid w:val="00AB0D6B"/>
    <w:rsid w:val="00AB2C8E"/>
    <w:rsid w:val="00AB50CA"/>
    <w:rsid w:val="00AB6D64"/>
    <w:rsid w:val="00AC53CE"/>
    <w:rsid w:val="00AD00EE"/>
    <w:rsid w:val="00AD2193"/>
    <w:rsid w:val="00AE278D"/>
    <w:rsid w:val="00AF2AC7"/>
    <w:rsid w:val="00AF74CE"/>
    <w:rsid w:val="00B0113F"/>
    <w:rsid w:val="00B208DB"/>
    <w:rsid w:val="00B23F69"/>
    <w:rsid w:val="00B5763B"/>
    <w:rsid w:val="00B60619"/>
    <w:rsid w:val="00B66A70"/>
    <w:rsid w:val="00B67366"/>
    <w:rsid w:val="00B71C32"/>
    <w:rsid w:val="00B80EE1"/>
    <w:rsid w:val="00B81F1A"/>
    <w:rsid w:val="00B84135"/>
    <w:rsid w:val="00C04D34"/>
    <w:rsid w:val="00C05DF8"/>
    <w:rsid w:val="00C06864"/>
    <w:rsid w:val="00C10F54"/>
    <w:rsid w:val="00C23D8D"/>
    <w:rsid w:val="00C37AA3"/>
    <w:rsid w:val="00C37FD7"/>
    <w:rsid w:val="00C43419"/>
    <w:rsid w:val="00C44CF3"/>
    <w:rsid w:val="00C61BE0"/>
    <w:rsid w:val="00C6707E"/>
    <w:rsid w:val="00C70B0E"/>
    <w:rsid w:val="00C7512F"/>
    <w:rsid w:val="00C773CA"/>
    <w:rsid w:val="00C83785"/>
    <w:rsid w:val="00C86584"/>
    <w:rsid w:val="00C92B25"/>
    <w:rsid w:val="00C94C0D"/>
    <w:rsid w:val="00CA1FEB"/>
    <w:rsid w:val="00CD4F85"/>
    <w:rsid w:val="00CD6F02"/>
    <w:rsid w:val="00CE246D"/>
    <w:rsid w:val="00CF07A0"/>
    <w:rsid w:val="00CF3E03"/>
    <w:rsid w:val="00D0082A"/>
    <w:rsid w:val="00D21455"/>
    <w:rsid w:val="00D3105D"/>
    <w:rsid w:val="00D47634"/>
    <w:rsid w:val="00D53B6C"/>
    <w:rsid w:val="00D709B3"/>
    <w:rsid w:val="00DA2ED6"/>
    <w:rsid w:val="00DB76B8"/>
    <w:rsid w:val="00DC2EA1"/>
    <w:rsid w:val="00DD41BE"/>
    <w:rsid w:val="00DD6AAF"/>
    <w:rsid w:val="00DE3F5C"/>
    <w:rsid w:val="00DF1D20"/>
    <w:rsid w:val="00E21324"/>
    <w:rsid w:val="00E246B9"/>
    <w:rsid w:val="00E31FEA"/>
    <w:rsid w:val="00E45169"/>
    <w:rsid w:val="00E47787"/>
    <w:rsid w:val="00E51C30"/>
    <w:rsid w:val="00E577EE"/>
    <w:rsid w:val="00E64180"/>
    <w:rsid w:val="00E654B8"/>
    <w:rsid w:val="00E74AEE"/>
    <w:rsid w:val="00E868E5"/>
    <w:rsid w:val="00E9237A"/>
    <w:rsid w:val="00E939FA"/>
    <w:rsid w:val="00EA5765"/>
    <w:rsid w:val="00EC2532"/>
    <w:rsid w:val="00ED7812"/>
    <w:rsid w:val="00EF3B86"/>
    <w:rsid w:val="00F317E9"/>
    <w:rsid w:val="00F34554"/>
    <w:rsid w:val="00F45F77"/>
    <w:rsid w:val="00F5167F"/>
    <w:rsid w:val="00F52258"/>
    <w:rsid w:val="00F640C6"/>
    <w:rsid w:val="00F8570A"/>
    <w:rsid w:val="00F91C7B"/>
    <w:rsid w:val="00F9470E"/>
    <w:rsid w:val="00FF4816"/>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C234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2051F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5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BD137B61A034B8BA3B737244FB4C9" ma:contentTypeVersion="13" ma:contentTypeDescription="Create a new document." ma:contentTypeScope="" ma:versionID="8ab31a246ac060c45e7b3d2464aee406">
  <xsd:schema xmlns:xsd="http://www.w3.org/2001/XMLSchema" xmlns:xs="http://www.w3.org/2001/XMLSchema" xmlns:p="http://schemas.microsoft.com/office/2006/metadata/properties" xmlns:ns3="e63e03a1-8b82-40a8-9e46-b65d4bb73a02" xmlns:ns4="74015d56-1bf9-4185-9e87-b052c04c0e26" targetNamespace="http://schemas.microsoft.com/office/2006/metadata/properties" ma:root="true" ma:fieldsID="5be149685c5f2173f2d75db28233e362" ns3:_="" ns4:_="">
    <xsd:import namespace="e63e03a1-8b82-40a8-9e46-b65d4bb73a02"/>
    <xsd:import namespace="74015d56-1bf9-4185-9e87-b052c04c0e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e03a1-8b82-40a8-9e46-b65d4bb73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015d56-1bf9-4185-9e87-b052c04c0e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C7EBD-BDEF-4A4D-A9C4-9404FB5D7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e03a1-8b82-40a8-9e46-b65d4bb73a02"/>
    <ds:schemaRef ds:uri="74015d56-1bf9-4185-9e87-b052c04c0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EB637-A0CF-4EF0-99DB-8B8CD84C07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227994-B44A-4128-84E6-6C55254C7AAA}">
  <ds:schemaRefs>
    <ds:schemaRef ds:uri="http://schemas.microsoft.com/sharepoint/v3/contenttype/forms"/>
  </ds:schemaRefs>
</ds:datastoreItem>
</file>

<file path=customXml/itemProps4.xml><?xml version="1.0" encoding="utf-8"?>
<ds:datastoreItem xmlns:ds="http://schemas.openxmlformats.org/officeDocument/2006/customXml" ds:itemID="{92F0088D-E035-4EEE-B6AA-7B978022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5498</Words>
  <Characters>31344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36769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9</cp:revision>
  <dcterms:created xsi:type="dcterms:W3CDTF">2024-03-07T08:49:00Z</dcterms:created>
  <dcterms:modified xsi:type="dcterms:W3CDTF">2024-03-08T09:41:00Z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0x010100F7DBD137B61A034B8BA3B737244FB4C9</vt:lpwstr>
  </property>
</Properties>
</file>