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088E0" w14:textId="77777777" w:rsidR="00643CB3" w:rsidRPr="00643CB3" w:rsidRDefault="00643CB3" w:rsidP="00617397">
      <w:pPr>
        <w:spacing w:after="0" w:line="240" w:lineRule="auto"/>
        <w:jc w:val="center"/>
        <w:rPr>
          <w:rFonts w:ascii="Times New Roman" w:eastAsia="Times New Roman" w:hAnsi="Times New Roman" w:cs="Times New Roman"/>
          <w:b/>
          <w:bCs/>
          <w:iCs/>
          <w:u w:val="single"/>
          <w:lang w:val="sr-Latn-ME"/>
        </w:rPr>
      </w:pPr>
      <w:r w:rsidRPr="00643CB3">
        <w:rPr>
          <w:rFonts w:ascii="Times New Roman" w:eastAsia="Times New Roman" w:hAnsi="Times New Roman" w:cs="Times New Roman"/>
          <w:b/>
          <w:bCs/>
          <w:iCs/>
          <w:u w:val="single"/>
          <w:lang w:val="sr-Latn-ME"/>
        </w:rPr>
        <w:t>SAŽETAK KARAKTERISTIKA LIJEKA</w:t>
      </w:r>
    </w:p>
    <w:p w14:paraId="5AFFD982" w14:textId="77777777" w:rsidR="00643CB3" w:rsidRPr="00643CB3" w:rsidRDefault="00643CB3" w:rsidP="00643CB3">
      <w:pPr>
        <w:spacing w:after="0" w:line="240" w:lineRule="auto"/>
        <w:jc w:val="both"/>
        <w:rPr>
          <w:rFonts w:ascii="Times New Roman" w:eastAsia="Times New Roman" w:hAnsi="Times New Roman" w:cs="Times New Roman"/>
          <w:b/>
          <w:bCs/>
          <w:i/>
          <w:iCs/>
          <w:u w:val="single"/>
          <w:lang w:val="sr-Latn-ME"/>
        </w:rPr>
      </w:pPr>
    </w:p>
    <w:p w14:paraId="24482BC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i/>
          <w:lang w:val="sr-Latn-ME"/>
        </w:rPr>
      </w:pPr>
      <w:r w:rsidRPr="00643CB3">
        <w:rPr>
          <w:rFonts w:ascii="Times New Roman" w:eastAsia="Times New Roman" w:hAnsi="Times New Roman" w:cs="Times New Roman"/>
          <w:noProof/>
        </w:rPr>
        <w:drawing>
          <wp:inline distT="0" distB="0" distL="0" distR="0" wp14:anchorId="26AF05B7" wp14:editId="2A40A084">
            <wp:extent cx="172085" cy="144780"/>
            <wp:effectExtent l="0" t="0" r="0" b="762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643CB3">
        <w:rPr>
          <w:rFonts w:ascii="Times New Roman" w:eastAsia="Times New Roman" w:hAnsi="Times New Roman" w:cs="Times New Roman"/>
          <w:noProof/>
          <w:lang w:val="sr-Latn-ME"/>
        </w:rPr>
        <w:t xml:space="preserve"> Ovaj lijek je pod dodatnim praćenjem.</w:t>
      </w:r>
      <w:r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noProof/>
          <w:lang w:val="sr-Latn-ME"/>
        </w:rPr>
        <w:t>Time se omogućava brzo otkrivanje novih bezbjednosnih informacija. Zdravstveni radnici treba da prijave svaku sumnju na neželjeno dejstvo ovog lijeka.</w:t>
      </w:r>
      <w:r w:rsidRPr="00643CB3">
        <w:rPr>
          <w:rFonts w:ascii="Times New Roman" w:eastAsia="Times New Roman" w:hAnsi="Times New Roman" w:cs="Times New Roman"/>
          <w:lang w:val="sr-Latn-ME"/>
        </w:rPr>
        <w:t xml:space="preserve"> Za način prijavljivanja neželjenih dejstava vidjeti dio 4.8</w:t>
      </w:r>
      <w:r w:rsidRPr="00643CB3">
        <w:rPr>
          <w:rFonts w:ascii="Times New Roman" w:eastAsia="Times New Roman" w:hAnsi="Times New Roman" w:cs="Times New Roman"/>
          <w:noProof/>
          <w:lang w:val="sr-Latn-ME"/>
        </w:rPr>
        <w:t>.</w:t>
      </w:r>
    </w:p>
    <w:p w14:paraId="7FC4BCD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noProof/>
          <w:lang w:val="sr-Latn-ME"/>
        </w:rPr>
      </w:pPr>
    </w:p>
    <w:p w14:paraId="398EA4B5"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30518A99"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1.</w:t>
      </w:r>
      <w:r w:rsidRPr="00643CB3">
        <w:rPr>
          <w:rFonts w:ascii="Times New Roman" w:eastAsia="Times New Roman" w:hAnsi="Times New Roman" w:cs="Times New Roman"/>
          <w:b/>
          <w:bCs/>
          <w:lang w:val="sr-Latn-ME"/>
        </w:rPr>
        <w:tab/>
        <w:t>NAZIV LIJEKA</w:t>
      </w:r>
    </w:p>
    <w:p w14:paraId="433ED710" w14:textId="77777777" w:rsidR="00643CB3" w:rsidRPr="00643CB3" w:rsidRDefault="00643CB3" w:rsidP="00643CB3">
      <w:pPr>
        <w:spacing w:after="0" w:line="240" w:lineRule="auto"/>
        <w:jc w:val="both"/>
        <w:rPr>
          <w:rFonts w:ascii="Times New Roman" w:eastAsia="Times New Roman" w:hAnsi="Times New Roman" w:cs="Times New Roman"/>
          <w:lang w:val="sr-Latn-ME"/>
        </w:rPr>
      </w:pPr>
    </w:p>
    <w:p w14:paraId="5CCD6597" w14:textId="065E4605" w:rsidR="00643CB3" w:rsidRPr="00643CB3" w:rsidRDefault="00643CB3" w:rsidP="00643CB3">
      <w:pPr>
        <w:tabs>
          <w:tab w:val="left" w:pos="284"/>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Mysimba, 90 mg + 8 mg, tableta sa produženim oslobađanjem</w:t>
      </w:r>
    </w:p>
    <w:p w14:paraId="4EBF3775"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p>
    <w:p w14:paraId="18BF6909" w14:textId="77777777" w:rsidR="00643CB3" w:rsidRPr="00643CB3" w:rsidRDefault="00643CB3" w:rsidP="00643CB3">
      <w:pPr>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INN: bupropion, naltrekson</w:t>
      </w:r>
    </w:p>
    <w:p w14:paraId="022D3678"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p>
    <w:p w14:paraId="1B8F55EA"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p>
    <w:p w14:paraId="64DFADF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2. </w:t>
      </w:r>
      <w:r w:rsidRPr="00643CB3">
        <w:rPr>
          <w:rFonts w:ascii="Times New Roman" w:eastAsia="Times New Roman" w:hAnsi="Times New Roman" w:cs="Times New Roman"/>
          <w:b/>
          <w:bCs/>
          <w:lang w:val="sr-Latn-ME"/>
        </w:rPr>
        <w:tab/>
        <w:t>KVALITATIVNI I KVANTITATIVNI SASTAV</w:t>
      </w:r>
    </w:p>
    <w:p w14:paraId="7421401B" w14:textId="77777777" w:rsidR="00643CB3" w:rsidRPr="00643CB3" w:rsidRDefault="00643CB3" w:rsidP="00643CB3">
      <w:pPr>
        <w:spacing w:after="0" w:line="240" w:lineRule="auto"/>
        <w:jc w:val="both"/>
        <w:rPr>
          <w:rFonts w:ascii="Times New Roman" w:eastAsia="Times New Roman" w:hAnsi="Times New Roman" w:cs="Times New Roman"/>
          <w:lang w:val="sr-Latn-ME"/>
        </w:rPr>
      </w:pPr>
    </w:p>
    <w:p w14:paraId="3AA53D2D" w14:textId="77777777" w:rsidR="00643CB3" w:rsidRPr="00643CB3" w:rsidRDefault="00643CB3" w:rsidP="00643CB3">
      <w:pPr>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Jedna tableta </w:t>
      </w:r>
      <w:r w:rsidRPr="00643CB3">
        <w:rPr>
          <w:rFonts w:ascii="Times New Roman" w:eastAsia="Times New Roman" w:hAnsi="Times New Roman" w:cs="Times New Roman"/>
          <w:bCs/>
          <w:lang w:val="sr-Latn-ME"/>
        </w:rPr>
        <w:t>sa produženim oslobađanjem</w:t>
      </w:r>
      <w:r w:rsidRPr="00643CB3">
        <w:rPr>
          <w:rFonts w:ascii="Times New Roman" w:eastAsia="Times New Roman" w:hAnsi="Times New Roman" w:cs="Times New Roman"/>
          <w:lang w:val="sr-Latn-ME"/>
        </w:rPr>
        <w:t xml:space="preserve"> sadrži 90 mg bupropion hidrohlorida (odgovara 78 mg bupropiona) i 8 mg naltrekson hidrohlorida (odgovara 7,2 mg naltreksona).</w:t>
      </w:r>
    </w:p>
    <w:p w14:paraId="7028BA71" w14:textId="77777777" w:rsidR="00643CB3" w:rsidRPr="00643CB3" w:rsidRDefault="00643CB3" w:rsidP="00643CB3">
      <w:pPr>
        <w:spacing w:after="0" w:line="240" w:lineRule="auto"/>
        <w:jc w:val="both"/>
        <w:rPr>
          <w:rFonts w:ascii="Times New Roman" w:eastAsia="Times New Roman" w:hAnsi="Times New Roman" w:cs="Times New Roman"/>
          <w:u w:val="single"/>
          <w:lang w:val="sr-Latn-ME"/>
        </w:rPr>
      </w:pPr>
    </w:p>
    <w:p w14:paraId="65856BBF" w14:textId="77777777" w:rsidR="00643CB3" w:rsidRPr="00643CB3" w:rsidRDefault="00643CB3" w:rsidP="00643CB3">
      <w:pPr>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Pomoćna supstanca sa potvrđenim dejstvom:</w:t>
      </w:r>
    </w:p>
    <w:p w14:paraId="4A837167" w14:textId="0F0065F2" w:rsidR="00643CB3" w:rsidRPr="00643CB3" w:rsidRDefault="00643CB3" w:rsidP="00643CB3">
      <w:pPr>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Jedna tableta sa produženim oslobađanjem sadrži 73,2 mg laktoze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w:t>
      </w:r>
    </w:p>
    <w:p w14:paraId="2FA24F4A" w14:textId="77777777" w:rsidR="00643CB3" w:rsidRPr="00643CB3" w:rsidRDefault="00643CB3" w:rsidP="00643CB3">
      <w:pPr>
        <w:spacing w:after="0" w:line="240" w:lineRule="auto"/>
        <w:jc w:val="both"/>
        <w:rPr>
          <w:rFonts w:ascii="Times New Roman" w:eastAsia="Times New Roman" w:hAnsi="Times New Roman" w:cs="Times New Roman"/>
          <w:lang w:val="sr-Latn-ME"/>
        </w:rPr>
      </w:pPr>
    </w:p>
    <w:p w14:paraId="00C89FAE" w14:textId="77777777" w:rsidR="00643CB3" w:rsidRPr="00643CB3" w:rsidRDefault="00643CB3" w:rsidP="00643CB3">
      <w:pPr>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Za spisak svih ekscipijenasa, pogledati dio 6.1.</w:t>
      </w:r>
    </w:p>
    <w:p w14:paraId="2BA288DD" w14:textId="77777777" w:rsidR="00643CB3" w:rsidRPr="00643CB3" w:rsidRDefault="00643CB3" w:rsidP="00643CB3">
      <w:pPr>
        <w:spacing w:after="0" w:line="240" w:lineRule="auto"/>
        <w:jc w:val="both"/>
        <w:rPr>
          <w:rFonts w:ascii="Times New Roman" w:eastAsia="Times New Roman" w:hAnsi="Times New Roman" w:cs="Times New Roman"/>
          <w:lang w:val="sr-Latn-ME"/>
        </w:rPr>
      </w:pPr>
    </w:p>
    <w:p w14:paraId="15695809" w14:textId="77777777" w:rsidR="00643CB3" w:rsidRPr="00643CB3" w:rsidRDefault="00643CB3" w:rsidP="00643CB3">
      <w:pPr>
        <w:spacing w:after="0" w:line="240" w:lineRule="auto"/>
        <w:jc w:val="both"/>
        <w:rPr>
          <w:rFonts w:ascii="Times New Roman" w:eastAsia="Times New Roman" w:hAnsi="Times New Roman" w:cs="Times New Roman"/>
          <w:lang w:val="sr-Latn-ME"/>
        </w:rPr>
      </w:pPr>
    </w:p>
    <w:p w14:paraId="056316C5"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3. </w:t>
      </w:r>
      <w:r w:rsidRPr="00643CB3">
        <w:rPr>
          <w:rFonts w:ascii="Times New Roman" w:eastAsia="Times New Roman" w:hAnsi="Times New Roman" w:cs="Times New Roman"/>
          <w:b/>
          <w:bCs/>
          <w:lang w:val="sr-Latn-ME"/>
        </w:rPr>
        <w:tab/>
        <w:t xml:space="preserve">FARMACEUTSKI OBLIK </w:t>
      </w:r>
    </w:p>
    <w:p w14:paraId="456D35F5"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p>
    <w:p w14:paraId="09BBC48C"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Tableta sa produženim oslobađanjem. </w:t>
      </w:r>
    </w:p>
    <w:p w14:paraId="036FE410"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p>
    <w:p w14:paraId="768CEBF0" w14:textId="77777777" w:rsidR="00643CB3" w:rsidRPr="00643CB3" w:rsidRDefault="00643CB3" w:rsidP="00643CB3">
      <w:pPr>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Plava, bikonveksna, okrugla tableta sa produženim oslobađanjem, promjera 12,0-12,2 mm, sa utisnutom oznakom “NB-890” na jednoj strani.</w:t>
      </w:r>
    </w:p>
    <w:p w14:paraId="174443E3" w14:textId="77777777" w:rsidR="00643CB3" w:rsidRDefault="00643CB3" w:rsidP="00643CB3">
      <w:pPr>
        <w:spacing w:after="0" w:line="240" w:lineRule="auto"/>
        <w:jc w:val="both"/>
        <w:rPr>
          <w:rFonts w:ascii="Times New Roman" w:eastAsia="Times New Roman" w:hAnsi="Times New Roman" w:cs="Times New Roman"/>
          <w:bCs/>
          <w:lang w:val="sr-Latn-ME"/>
        </w:rPr>
      </w:pPr>
    </w:p>
    <w:p w14:paraId="30ED0BF2" w14:textId="77777777" w:rsidR="00617397" w:rsidRPr="00643CB3" w:rsidRDefault="00617397" w:rsidP="00643CB3">
      <w:pPr>
        <w:spacing w:after="0" w:line="240" w:lineRule="auto"/>
        <w:jc w:val="both"/>
        <w:rPr>
          <w:rFonts w:ascii="Times New Roman" w:eastAsia="Times New Roman" w:hAnsi="Times New Roman" w:cs="Times New Roman"/>
          <w:bCs/>
          <w:lang w:val="sr-Latn-ME"/>
        </w:rPr>
      </w:pPr>
    </w:p>
    <w:p w14:paraId="10F00A6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 </w:t>
      </w:r>
      <w:r w:rsidRPr="00643CB3">
        <w:rPr>
          <w:rFonts w:ascii="Times New Roman" w:eastAsia="Times New Roman" w:hAnsi="Times New Roman" w:cs="Times New Roman"/>
          <w:b/>
          <w:bCs/>
          <w:lang w:val="sr-Latn-ME"/>
        </w:rPr>
        <w:tab/>
        <w:t>KLINIČKI PODACI</w:t>
      </w:r>
    </w:p>
    <w:p w14:paraId="63CBA97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1731463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4.1. </w:t>
      </w:r>
      <w:r w:rsidRPr="00643CB3">
        <w:rPr>
          <w:rFonts w:ascii="Times New Roman" w:eastAsia="Times New Roman" w:hAnsi="Times New Roman" w:cs="Times New Roman"/>
          <w:b/>
          <w:bCs/>
          <w:lang w:val="sr-Latn-ME"/>
        </w:rPr>
        <w:tab/>
        <w:t>Terapijske indikacije</w:t>
      </w:r>
    </w:p>
    <w:p w14:paraId="585ED1B1"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489F51DC" w14:textId="230F0AEB"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Lijek Mysimba je indikovan kao dodatak uz dijetu sa smanjenim unosom kalorija i povećanom fizičkom aktivnošću, za kontrolu tjelesne mase kod odraslih pacijenata (uzrasta ≥</w:t>
      </w:r>
      <w:r w:rsidR="00AE3A56">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 xml:space="preserve">18 godina) sa početnim indeksom tjelesne mase (engl. </w:t>
      </w:r>
      <w:r w:rsidRPr="00643CB3">
        <w:rPr>
          <w:rFonts w:ascii="Times New Roman" w:eastAsia="Times New Roman" w:hAnsi="Times New Roman" w:cs="Times New Roman"/>
          <w:i/>
          <w:lang w:val="sr-Latn-ME"/>
        </w:rPr>
        <w:t>Body Mass Index</w:t>
      </w:r>
      <w:r w:rsidRPr="00643CB3">
        <w:rPr>
          <w:rFonts w:ascii="Times New Roman" w:eastAsia="Times New Roman" w:hAnsi="Times New Roman" w:cs="Times New Roman"/>
          <w:lang w:val="sr-Latn-ME"/>
        </w:rPr>
        <w:t>, BMI) od:</w:t>
      </w:r>
    </w:p>
    <w:p w14:paraId="2314479B" w14:textId="77777777" w:rsidR="00643CB3" w:rsidRPr="00643CB3" w:rsidRDefault="00643CB3" w:rsidP="00643CB3">
      <w:pPr>
        <w:numPr>
          <w:ilvl w:val="0"/>
          <w:numId w:val="12"/>
        </w:numPr>
        <w:tabs>
          <w:tab w:val="center" w:pos="284"/>
          <w:tab w:val="right" w:pos="9072"/>
        </w:tabs>
        <w:spacing w:after="0" w:line="240" w:lineRule="auto"/>
        <w:ind w:left="318"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30 kg/m</w:t>
      </w:r>
      <w:r w:rsidRPr="00643CB3">
        <w:rPr>
          <w:rFonts w:ascii="Times New Roman" w:eastAsia="Times New Roman" w:hAnsi="Times New Roman" w:cs="Times New Roman"/>
          <w:vertAlign w:val="superscript"/>
          <w:lang w:val="sr-Latn-ME"/>
        </w:rPr>
        <w:t>2</w:t>
      </w:r>
      <w:r w:rsidRPr="00643CB3">
        <w:rPr>
          <w:rFonts w:ascii="Times New Roman" w:eastAsia="Times New Roman" w:hAnsi="Times New Roman" w:cs="Times New Roman"/>
          <w:lang w:val="sr-Latn-ME"/>
        </w:rPr>
        <w:t xml:space="preserve"> (gojazni), ili</w:t>
      </w:r>
    </w:p>
    <w:p w14:paraId="5C0BC140" w14:textId="77777777" w:rsidR="00643CB3" w:rsidRPr="00643CB3" w:rsidRDefault="00643CB3" w:rsidP="00643CB3">
      <w:pPr>
        <w:numPr>
          <w:ilvl w:val="0"/>
          <w:numId w:val="12"/>
        </w:numPr>
        <w:tabs>
          <w:tab w:val="center" w:pos="284"/>
          <w:tab w:val="right" w:pos="9072"/>
        </w:tabs>
        <w:spacing w:after="0" w:line="240" w:lineRule="auto"/>
        <w:ind w:left="318"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27 kg/m</w:t>
      </w:r>
      <w:r w:rsidRPr="00643CB3">
        <w:rPr>
          <w:rFonts w:ascii="Times New Roman" w:eastAsia="Times New Roman" w:hAnsi="Times New Roman" w:cs="Times New Roman"/>
          <w:vertAlign w:val="superscript"/>
          <w:lang w:val="sr-Latn-ME"/>
        </w:rPr>
        <w:t>2</w:t>
      </w:r>
      <w:r w:rsidRPr="00643CB3">
        <w:rPr>
          <w:rFonts w:ascii="Times New Roman" w:eastAsia="Times New Roman" w:hAnsi="Times New Roman" w:cs="Times New Roman"/>
          <w:lang w:val="sr-Latn-ME"/>
        </w:rPr>
        <w:t xml:space="preserve"> do &lt; 30 kg/m</w:t>
      </w:r>
      <w:r w:rsidRPr="00643CB3">
        <w:rPr>
          <w:rFonts w:ascii="Times New Roman" w:eastAsia="Times New Roman" w:hAnsi="Times New Roman" w:cs="Times New Roman"/>
          <w:vertAlign w:val="superscript"/>
          <w:lang w:val="sr-Latn-ME"/>
        </w:rPr>
        <w:t>2</w:t>
      </w:r>
      <w:r w:rsidRPr="00643CB3">
        <w:rPr>
          <w:rFonts w:ascii="Times New Roman" w:eastAsia="Times New Roman" w:hAnsi="Times New Roman" w:cs="Times New Roman"/>
          <w:lang w:val="sr-Latn-ME"/>
        </w:rPr>
        <w:t xml:space="preserve"> (prekomjerna tjelesna masa) u prisustvu jedne ili više bolesti povezanih sa tjelesnom masom (npr. dijabetes tip 2, dislipidemija ili kontrolisana hipertenzija).</w:t>
      </w:r>
    </w:p>
    <w:p w14:paraId="4A019A1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3A80C556" w14:textId="12B74EF0"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Liječenje lijekom Mysimba treba prekinuti poslije 16 nedjelja ako pacijent nije izgubio najmanje 5% svoje početne tjelesne mase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5.1).</w:t>
      </w:r>
    </w:p>
    <w:p w14:paraId="791F466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3FDE1A7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4.2. </w:t>
      </w:r>
      <w:r w:rsidRPr="00643CB3">
        <w:rPr>
          <w:rFonts w:ascii="Times New Roman" w:eastAsia="Times New Roman" w:hAnsi="Times New Roman" w:cs="Times New Roman"/>
          <w:b/>
          <w:bCs/>
          <w:lang w:val="sr-Latn-ME"/>
        </w:rPr>
        <w:tab/>
        <w:t>Doziranje i način primjene</w:t>
      </w:r>
    </w:p>
    <w:p w14:paraId="46AB2B8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FB1355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Doziranje</w:t>
      </w:r>
    </w:p>
    <w:p w14:paraId="3C57B135"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0B3601FE"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lastRenderedPageBreak/>
        <w:t>Odrasli</w:t>
      </w:r>
    </w:p>
    <w:p w14:paraId="31F7288B"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Nakon započinjanja terapije, dozu treba povećavati tokom perioda od 4 nedjelje na sljedeći način:</w:t>
      </w:r>
    </w:p>
    <w:p w14:paraId="71DB29F8"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7FE60840" w14:textId="77777777" w:rsidR="00643CB3" w:rsidRPr="00643CB3" w:rsidRDefault="00643CB3" w:rsidP="00643CB3">
      <w:pPr>
        <w:numPr>
          <w:ilvl w:val="0"/>
          <w:numId w:val="12"/>
        </w:numPr>
        <w:tabs>
          <w:tab w:val="left" w:pos="284"/>
          <w:tab w:val="center" w:pos="709"/>
          <w:tab w:val="right" w:pos="9072"/>
        </w:tabs>
        <w:spacing w:after="0" w:line="240" w:lineRule="auto"/>
        <w:ind w:left="601"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1. nedjelja: jedna tableta ujutru</w:t>
      </w:r>
    </w:p>
    <w:p w14:paraId="36D77483" w14:textId="77777777" w:rsidR="00643CB3" w:rsidRPr="00643CB3" w:rsidRDefault="00643CB3" w:rsidP="00643CB3">
      <w:pPr>
        <w:numPr>
          <w:ilvl w:val="0"/>
          <w:numId w:val="12"/>
        </w:numPr>
        <w:tabs>
          <w:tab w:val="left" w:pos="284"/>
          <w:tab w:val="center" w:pos="709"/>
          <w:tab w:val="right" w:pos="9072"/>
        </w:tabs>
        <w:spacing w:after="0" w:line="240" w:lineRule="auto"/>
        <w:ind w:left="601"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2. nedjelja: jedna tableta ujutru i jedna tableta uveče</w:t>
      </w:r>
    </w:p>
    <w:p w14:paraId="029DA9C6" w14:textId="77777777" w:rsidR="00643CB3" w:rsidRPr="00643CB3" w:rsidRDefault="00643CB3" w:rsidP="00643CB3">
      <w:pPr>
        <w:numPr>
          <w:ilvl w:val="0"/>
          <w:numId w:val="12"/>
        </w:numPr>
        <w:tabs>
          <w:tab w:val="left" w:pos="284"/>
          <w:tab w:val="center" w:pos="709"/>
          <w:tab w:val="right" w:pos="9072"/>
        </w:tabs>
        <w:spacing w:after="0" w:line="240" w:lineRule="auto"/>
        <w:ind w:left="601"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3. nedjelja: dvije tablete ujutru i jedna tableta uveče</w:t>
      </w:r>
    </w:p>
    <w:p w14:paraId="7586BEC8" w14:textId="77777777" w:rsidR="00643CB3" w:rsidRPr="00643CB3" w:rsidRDefault="00643CB3" w:rsidP="00643CB3">
      <w:pPr>
        <w:numPr>
          <w:ilvl w:val="0"/>
          <w:numId w:val="12"/>
        </w:numPr>
        <w:tabs>
          <w:tab w:val="left" w:pos="284"/>
          <w:tab w:val="center" w:pos="709"/>
          <w:tab w:val="right" w:pos="9072"/>
        </w:tabs>
        <w:spacing w:after="0" w:line="240" w:lineRule="auto"/>
        <w:ind w:left="601"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4. nedjelja i nadalje: dvije tablete ujutru i dvije tablete uveče</w:t>
      </w:r>
    </w:p>
    <w:p w14:paraId="4D52052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E9C9BBB"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Maksimalna preporučena dnevna doza lijeka Mysimba je dvije tablete primijenjene dva puta dnevno, pri čemu se postiže ukupna dnevna doza od 360 mg bupropion hidrohlorida i 32 mg naltrekson hidrohlorida.</w:t>
      </w:r>
    </w:p>
    <w:p w14:paraId="1AB2635E" w14:textId="0C9C08EF"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Procjenu potrebe za nastavkom liječenja treba izvršiti poslije16 nedjelja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4.1), a zatim ponovo na godišnjem nivou.</w:t>
      </w:r>
    </w:p>
    <w:p w14:paraId="489ABD8D" w14:textId="77777777" w:rsid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6AF1643F" w14:textId="5B6DA5B5" w:rsidR="00C53EE1" w:rsidRPr="00E21E63" w:rsidRDefault="00C53EE1" w:rsidP="00643CB3">
      <w:pPr>
        <w:tabs>
          <w:tab w:val="center" w:pos="4536"/>
          <w:tab w:val="right" w:pos="9072"/>
        </w:tabs>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lang w:val="sr-Latn-ME"/>
        </w:rPr>
        <w:t>Propu</w:t>
      </w:r>
      <w:r>
        <w:rPr>
          <w:rFonts w:ascii="Times New Roman" w:eastAsia="Times New Roman" w:hAnsi="Times New Roman" w:cs="Times New Roman"/>
          <w:i/>
          <w:iCs/>
        </w:rPr>
        <w:t>štena doza</w:t>
      </w:r>
    </w:p>
    <w:p w14:paraId="7366B119"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Ako se propusti doza, pacijenti ne smiju uzeti dodatnu dozu, već propisanu sljedeću dozu u uobičajeno vrijeme.</w:t>
      </w:r>
    </w:p>
    <w:p w14:paraId="45A4F4FB"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64572669" w14:textId="77777777" w:rsidR="00643CB3"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643CB3">
        <w:rPr>
          <w:rFonts w:ascii="Times New Roman" w:eastAsia="Times New Roman" w:hAnsi="Times New Roman" w:cs="Times New Roman"/>
          <w:i/>
          <w:u w:val="single"/>
          <w:lang w:val="sr-Latn-ME"/>
        </w:rPr>
        <w:t>Posebne populacije</w:t>
      </w:r>
    </w:p>
    <w:p w14:paraId="7E697331" w14:textId="77777777" w:rsidR="00617397" w:rsidRPr="00643CB3" w:rsidRDefault="00617397"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p>
    <w:p w14:paraId="2E7511F8"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Stariji pacijenti (preko 65 godina)</w:t>
      </w:r>
    </w:p>
    <w:p w14:paraId="5C3F119D" w14:textId="12F9913D"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Fiksnu kombinacija naltrekson/bupropion treba primjenjivati sa oprezom kod pacijenata preko 65 godina starosti. Ovaj lijek se ne preporučuje pacijentima preko 75 godina starosti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4.4, 4.8 i 5.2).</w:t>
      </w:r>
    </w:p>
    <w:p w14:paraId="7A93888D"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08EA853C"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Pacijenti sa oštećenjem funkcije bubrega</w:t>
      </w:r>
    </w:p>
    <w:p w14:paraId="2805F397" w14:textId="145146FF"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bookmarkStart w:id="0" w:name="_Hlk17289767"/>
      <w:r w:rsidRPr="00643CB3">
        <w:rPr>
          <w:rFonts w:ascii="Times New Roman" w:eastAsia="Times New Roman" w:hAnsi="Times New Roman" w:cs="Times New Roman"/>
          <w:lang w:val="sr-Latn-ME"/>
        </w:rPr>
        <w:t>Fiksna kombinacija naltrekson/bupropion</w:t>
      </w:r>
      <w:bookmarkEnd w:id="0"/>
      <w:r w:rsidRPr="00643CB3">
        <w:rPr>
          <w:rFonts w:ascii="Times New Roman" w:eastAsia="Times New Roman" w:hAnsi="Times New Roman" w:cs="Times New Roman"/>
          <w:lang w:val="sr-Latn-ME"/>
        </w:rPr>
        <w:t xml:space="preserve"> je kontraindikovana kod pacijenata u terminalnoj fazi bubrežne insuficijencije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4.3). Kod pacijenata sa umjerenim ili teškim oštećenjem bubrega, maksimalna preporučena dnevna doza fiksne kombinacije naltrekson/bupropion je dvije tablete (jedna tableta ujutro i jedna tableta uveče)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4.4, 4.8 i 5.2). </w:t>
      </w:r>
      <w:r w:rsidR="00B65E09" w:rsidRPr="00B65E09">
        <w:rPr>
          <w:rFonts w:ascii="Times New Roman" w:eastAsia="Times New Roman" w:hAnsi="Times New Roman" w:cs="Times New Roman"/>
        </w:rPr>
        <w:t>Preporu</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uje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se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pacijenti</w:t>
      </w:r>
      <w:r w:rsidR="00B65E09" w:rsidRPr="00A8419E">
        <w:rPr>
          <w:rFonts w:ascii="Times New Roman" w:eastAsia="Times New Roman" w:hAnsi="Times New Roman" w:cs="Times New Roman"/>
          <w:lang w:val="sr-Latn-ME"/>
        </w:rPr>
        <w:t xml:space="preserve"> </w:t>
      </w:r>
      <w:proofErr w:type="gramStart"/>
      <w:r w:rsidR="00B65E09" w:rsidRPr="00B65E09">
        <w:rPr>
          <w:rFonts w:ascii="Times New Roman" w:eastAsia="Times New Roman" w:hAnsi="Times New Roman" w:cs="Times New Roman"/>
        </w:rPr>
        <w:t>sa</w:t>
      </w:r>
      <w:proofErr w:type="gramEnd"/>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um</w:t>
      </w:r>
      <w:r w:rsidR="00FE3ADA">
        <w:rPr>
          <w:rFonts w:ascii="Times New Roman" w:eastAsia="Times New Roman" w:hAnsi="Times New Roman" w:cs="Times New Roman"/>
        </w:rPr>
        <w:t>j</w:t>
      </w:r>
      <w:r w:rsidR="00B65E09" w:rsidRPr="00B65E09">
        <w:rPr>
          <w:rFonts w:ascii="Times New Roman" w:eastAsia="Times New Roman" w:hAnsi="Times New Roman" w:cs="Times New Roman"/>
        </w:rPr>
        <w:t>erenim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ili</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te</w:t>
      </w:r>
      <w:r w:rsidR="00B65E09" w:rsidRPr="00A8419E">
        <w:rPr>
          <w:rFonts w:ascii="Times New Roman" w:eastAsia="Times New Roman" w:hAnsi="Times New Roman" w:cs="Times New Roman"/>
          <w:lang w:val="sr-Latn-ME"/>
        </w:rPr>
        <w:t>š</w:t>
      </w:r>
      <w:r w:rsidR="00B65E09" w:rsidRPr="00B65E09">
        <w:rPr>
          <w:rFonts w:ascii="Times New Roman" w:eastAsia="Times New Roman" w:hAnsi="Times New Roman" w:cs="Times New Roman"/>
        </w:rPr>
        <w:t>kim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o</w:t>
      </w:r>
      <w:r w:rsidR="00B65E09" w:rsidRPr="00A8419E">
        <w:rPr>
          <w:rFonts w:ascii="Times New Roman" w:eastAsia="Times New Roman" w:hAnsi="Times New Roman" w:cs="Times New Roman"/>
          <w:lang w:val="sr-Latn-ME"/>
        </w:rPr>
        <w:t>š</w:t>
      </w:r>
      <w:r w:rsidR="00B65E09" w:rsidRPr="00B65E09">
        <w:rPr>
          <w:rFonts w:ascii="Times New Roman" w:eastAsia="Times New Roman" w:hAnsi="Times New Roman" w:cs="Times New Roman"/>
        </w:rPr>
        <w:t>te</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enjem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funkcije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bubrega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zapo</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nu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l</w:t>
      </w:r>
      <w:r w:rsidR="00F0236D">
        <w:rPr>
          <w:rFonts w:ascii="Times New Roman" w:eastAsia="Times New Roman" w:hAnsi="Times New Roman" w:cs="Times New Roman"/>
        </w:rPr>
        <w:t>ij</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enje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jednom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tabletom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ujutru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tokom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prve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ned</w:t>
      </w:r>
      <w:r w:rsidR="00F0236D">
        <w:rPr>
          <w:rFonts w:ascii="Times New Roman" w:eastAsia="Times New Roman" w:hAnsi="Times New Roman" w:cs="Times New Roman"/>
        </w:rPr>
        <w:t>j</w:t>
      </w:r>
      <w:r w:rsidR="00B65E09" w:rsidRPr="00B65E09">
        <w:rPr>
          <w:rFonts w:ascii="Times New Roman" w:eastAsia="Times New Roman" w:hAnsi="Times New Roman" w:cs="Times New Roman"/>
        </w:rPr>
        <w:t>elje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l</w:t>
      </w:r>
      <w:r w:rsidR="00F0236D">
        <w:rPr>
          <w:rFonts w:ascii="Times New Roman" w:eastAsia="Times New Roman" w:hAnsi="Times New Roman" w:cs="Times New Roman"/>
        </w:rPr>
        <w:t>ij</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enja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zatim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pove</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aju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ujutru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i</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uve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od</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druge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ned</w:t>
      </w:r>
      <w:r w:rsidR="00F0236D">
        <w:rPr>
          <w:rFonts w:ascii="Times New Roman" w:eastAsia="Times New Roman" w:hAnsi="Times New Roman" w:cs="Times New Roman"/>
        </w:rPr>
        <w:t>j</w:t>
      </w:r>
      <w:r w:rsidR="00B65E09" w:rsidRPr="00B65E09">
        <w:rPr>
          <w:rFonts w:ascii="Times New Roman" w:eastAsia="Times New Roman" w:hAnsi="Times New Roman" w:cs="Times New Roman"/>
        </w:rPr>
        <w:t>elje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nadalje</w:t>
      </w:r>
      <w:r w:rsidR="00B65E09" w:rsidRPr="00A8419E">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 xml:space="preserve">Smanjenje doze nije neophodno kod pacijenata sa blagim oštećenjem funkcije bubrega. Kod osoba kod kojih je rizik od oštećenja funkcije bubrega povećan, naročito kod pacijenata sa dijabetesom ili starijih osoba, potrebno je utvrditi procijenjenu brzinu glomerularne filtracije (engl. </w:t>
      </w:r>
      <w:r w:rsidRPr="00643CB3">
        <w:rPr>
          <w:rFonts w:ascii="Times New Roman" w:eastAsia="Times New Roman" w:hAnsi="Times New Roman" w:cs="Times New Roman"/>
          <w:i/>
          <w:lang w:val="sr-Latn-ME"/>
        </w:rPr>
        <w:t>estimated glomerular filtration rate</w:t>
      </w:r>
      <w:r w:rsidRPr="00643CB3">
        <w:rPr>
          <w:rFonts w:ascii="Times New Roman" w:eastAsia="Times New Roman" w:hAnsi="Times New Roman" w:cs="Times New Roman"/>
          <w:lang w:val="sr-Latn-ME"/>
        </w:rPr>
        <w:t xml:space="preserve">, eGFR) prije početka liječenja </w:t>
      </w:r>
      <w:bookmarkStart w:id="1" w:name="OLE_LINK1"/>
      <w:r w:rsidRPr="00643CB3">
        <w:rPr>
          <w:rFonts w:ascii="Times New Roman" w:eastAsia="Times New Roman" w:hAnsi="Times New Roman" w:cs="Times New Roman"/>
          <w:lang w:val="sr-Latn-ME"/>
        </w:rPr>
        <w:t>ovim lijekom</w:t>
      </w:r>
      <w:bookmarkEnd w:id="1"/>
      <w:r w:rsidRPr="00643CB3">
        <w:rPr>
          <w:rFonts w:ascii="Times New Roman" w:eastAsia="Times New Roman" w:hAnsi="Times New Roman" w:cs="Times New Roman"/>
          <w:lang w:val="sr-Latn-ME"/>
        </w:rPr>
        <w:t>.</w:t>
      </w:r>
    </w:p>
    <w:p w14:paraId="075EA27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48AF14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i/>
          <w:lang w:val="sr-Latn-ME"/>
        </w:rPr>
        <w:t>Pacijenti sa oštećenjem funkcije jetre</w:t>
      </w:r>
    </w:p>
    <w:p w14:paraId="71568F39" w14:textId="62ECB63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Fiksna kombinacija naltrekson/bupropion je kontraindikovana kod pacijenata sa teškim oštećenjem funkcije jetre (vidjeti </w:t>
      </w:r>
      <w:r w:rsidR="00840DEF">
        <w:rPr>
          <w:rFonts w:ascii="Times New Roman" w:eastAsia="Times New Roman" w:hAnsi="Times New Roman" w:cs="Times New Roman"/>
          <w:lang w:val="sr-Latn-ME"/>
        </w:rPr>
        <w:t>dio</w:t>
      </w:r>
      <w:r w:rsidR="00B65E09" w:rsidRPr="00B65E09">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 xml:space="preserve">4.3). </w:t>
      </w:r>
      <w:bookmarkStart w:id="2" w:name="_Hlk17289128"/>
      <w:r w:rsidRPr="00643CB3">
        <w:rPr>
          <w:rFonts w:ascii="Times New Roman" w:eastAsia="Times New Roman" w:hAnsi="Times New Roman" w:cs="Times New Roman"/>
          <w:lang w:val="sr-Latn-ME"/>
        </w:rPr>
        <w:t xml:space="preserve">Naltrekson/bupropion </w:t>
      </w:r>
      <w:bookmarkEnd w:id="2"/>
      <w:r w:rsidRPr="00643CB3">
        <w:rPr>
          <w:rFonts w:ascii="Times New Roman" w:eastAsia="Times New Roman" w:hAnsi="Times New Roman" w:cs="Times New Roman"/>
          <w:lang w:val="sr-Latn-ME"/>
        </w:rPr>
        <w:t>se ne preporučuje kod pacijenata sa umjerenim oštećenjem funkcije jetre</w:t>
      </w:r>
      <w:r w:rsidR="00B65E09" w:rsidRPr="00B65E09">
        <w:rPr>
          <w:rFonts w:ascii="Times New Roman" w:eastAsia="Times New Roman" w:hAnsi="Times New Roman" w:cs="Times New Roman"/>
          <w:lang w:val="sr-Latn-ME"/>
        </w:rPr>
        <w:t xml:space="preserve"> (vid</w:t>
      </w:r>
      <w:r w:rsidR="00F0236D">
        <w:rPr>
          <w:rFonts w:ascii="Times New Roman" w:eastAsia="Times New Roman" w:hAnsi="Times New Roman" w:cs="Times New Roman"/>
          <w:lang w:val="sr-Latn-ME"/>
        </w:rPr>
        <w:t>j</w:t>
      </w:r>
      <w:r w:rsidR="00B65E09" w:rsidRPr="00B65E09">
        <w:rPr>
          <w:rFonts w:ascii="Times New Roman" w:eastAsia="Times New Roman" w:hAnsi="Times New Roman" w:cs="Times New Roman"/>
          <w:lang w:val="sr-Latn-ME"/>
        </w:rPr>
        <w:t xml:space="preserve">eti </w:t>
      </w:r>
      <w:r w:rsidR="00840DEF">
        <w:rPr>
          <w:rFonts w:ascii="Times New Roman" w:eastAsia="Times New Roman" w:hAnsi="Times New Roman" w:cs="Times New Roman"/>
          <w:lang w:val="sr-Latn-ME"/>
        </w:rPr>
        <w:t>djelove</w:t>
      </w:r>
      <w:r w:rsidR="00B65E09" w:rsidRPr="00B65E09">
        <w:rPr>
          <w:rFonts w:ascii="Times New Roman" w:eastAsia="Times New Roman" w:hAnsi="Times New Roman" w:cs="Times New Roman"/>
          <w:lang w:val="sr-Latn-ME"/>
        </w:rPr>
        <w:t xml:space="preserve"> 4.4. i 5.2)</w:t>
      </w:r>
      <w:r w:rsidRPr="00643CB3">
        <w:rPr>
          <w:rFonts w:ascii="Times New Roman" w:eastAsia="Times New Roman" w:hAnsi="Times New Roman" w:cs="Times New Roman"/>
          <w:lang w:val="sr-Latn-ME"/>
        </w:rPr>
        <w:t>.</w:t>
      </w:r>
      <w:r w:rsidR="00B65E09">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Kod</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pacijenata</w:t>
      </w:r>
      <w:r w:rsidR="00B65E09" w:rsidRPr="00A8419E">
        <w:rPr>
          <w:rFonts w:ascii="Times New Roman" w:eastAsia="Times New Roman" w:hAnsi="Times New Roman" w:cs="Times New Roman"/>
          <w:lang w:val="sr-Latn-ME"/>
        </w:rPr>
        <w:t xml:space="preserve"> </w:t>
      </w:r>
      <w:proofErr w:type="gramStart"/>
      <w:r w:rsidR="00B65E09" w:rsidRPr="00B65E09">
        <w:rPr>
          <w:rFonts w:ascii="Times New Roman" w:eastAsia="Times New Roman" w:hAnsi="Times New Roman" w:cs="Times New Roman"/>
        </w:rPr>
        <w:t>sa</w:t>
      </w:r>
      <w:proofErr w:type="gramEnd"/>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blagim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o</w:t>
      </w:r>
      <w:r w:rsidR="00B65E09" w:rsidRPr="00A8419E">
        <w:rPr>
          <w:rFonts w:ascii="Times New Roman" w:eastAsia="Times New Roman" w:hAnsi="Times New Roman" w:cs="Times New Roman"/>
          <w:lang w:val="sr-Latn-ME"/>
        </w:rPr>
        <w:t>š</w:t>
      </w:r>
      <w:r w:rsidR="00B65E09" w:rsidRPr="00B65E09">
        <w:rPr>
          <w:rFonts w:ascii="Times New Roman" w:eastAsia="Times New Roman" w:hAnsi="Times New Roman" w:cs="Times New Roman"/>
        </w:rPr>
        <w:t>te</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enjem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funkcije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jetre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najvi</w:t>
      </w:r>
      <w:r w:rsidR="00B65E09" w:rsidRPr="00A8419E">
        <w:rPr>
          <w:rFonts w:ascii="Times New Roman" w:eastAsia="Times New Roman" w:hAnsi="Times New Roman" w:cs="Times New Roman"/>
          <w:lang w:val="sr-Latn-ME"/>
        </w:rPr>
        <w:t>š</w:t>
      </w:r>
      <w:r w:rsidR="00B65E09" w:rsidRPr="00B65E09">
        <w:rPr>
          <w:rFonts w:ascii="Times New Roman" w:eastAsia="Times New Roman" w:hAnsi="Times New Roman" w:cs="Times New Roman"/>
        </w:rPr>
        <w:t>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preporu</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ena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dnevna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doza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fiksne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kombinacije</w:t>
      </w:r>
      <w:r w:rsidR="00B65E09" w:rsidRPr="00A8419E">
        <w:rPr>
          <w:rFonts w:ascii="Times New Roman" w:eastAsia="Times New Roman" w:hAnsi="Times New Roman" w:cs="Times New Roman"/>
          <w:lang w:val="sr-Latn-ME"/>
        </w:rPr>
        <w:t xml:space="preserve"> </w:t>
      </w:r>
      <w:r w:rsidR="00CE3215" w:rsidRPr="00CE3215">
        <w:rPr>
          <w:rFonts w:ascii="Times New Roman" w:eastAsia="Times New Roman" w:hAnsi="Times New Roman" w:cs="Times New Roman"/>
        </w:rPr>
        <w:t>naltrekson</w:t>
      </w:r>
      <w:r w:rsidR="00CE3215" w:rsidRPr="00A8419E">
        <w:rPr>
          <w:rFonts w:ascii="Times New Roman" w:eastAsia="Times New Roman" w:hAnsi="Times New Roman" w:cs="Times New Roman"/>
          <w:lang w:val="sr-Latn-ME"/>
        </w:rPr>
        <w:t>/</w:t>
      </w:r>
      <w:r w:rsidR="00CE3215" w:rsidRPr="00CE3215">
        <w:rPr>
          <w:rFonts w:ascii="Times New Roman" w:eastAsia="Times New Roman" w:hAnsi="Times New Roman" w:cs="Times New Roman"/>
        </w:rPr>
        <w:t>bupropion</w:t>
      </w:r>
      <w:r w:rsidR="00CE3215"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dv</w:t>
      </w:r>
      <w:r w:rsidR="00F0236D">
        <w:rPr>
          <w:rFonts w:ascii="Times New Roman" w:eastAsia="Times New Roman" w:hAnsi="Times New Roman" w:cs="Times New Roman"/>
        </w:rPr>
        <w:t>ij</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ujutro</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i</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uve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 (</w:t>
      </w:r>
      <w:r w:rsidR="00B65E09" w:rsidRPr="00B65E09">
        <w:rPr>
          <w:rFonts w:ascii="Times New Roman" w:eastAsia="Times New Roman" w:hAnsi="Times New Roman" w:cs="Times New Roman"/>
        </w:rPr>
        <w:t>vid</w:t>
      </w:r>
      <w:r w:rsidR="00F0236D">
        <w:rPr>
          <w:rFonts w:ascii="Times New Roman" w:eastAsia="Times New Roman" w:hAnsi="Times New Roman" w:cs="Times New Roman"/>
        </w:rPr>
        <w:t>j</w:t>
      </w:r>
      <w:r w:rsidR="00B65E09" w:rsidRPr="00B65E09">
        <w:rPr>
          <w:rFonts w:ascii="Times New Roman" w:eastAsia="Times New Roman" w:hAnsi="Times New Roman" w:cs="Times New Roman"/>
        </w:rPr>
        <w:t>eti</w:t>
      </w:r>
      <w:r w:rsidR="00B65E09" w:rsidRPr="00A8419E">
        <w:rPr>
          <w:rFonts w:ascii="Times New Roman" w:eastAsia="Times New Roman" w:hAnsi="Times New Roman" w:cs="Times New Roman"/>
          <w:lang w:val="sr-Latn-ME"/>
        </w:rPr>
        <w:t xml:space="preserve"> </w:t>
      </w:r>
      <w:r w:rsidR="00840DEF">
        <w:rPr>
          <w:rFonts w:ascii="Times New Roman" w:eastAsia="Times New Roman" w:hAnsi="Times New Roman" w:cs="Times New Roman"/>
        </w:rPr>
        <w:t>djelove</w:t>
      </w:r>
      <w:r w:rsidR="00B65E09" w:rsidRPr="00A8419E">
        <w:rPr>
          <w:rFonts w:ascii="Times New Roman" w:eastAsia="Times New Roman" w:hAnsi="Times New Roman" w:cs="Times New Roman"/>
          <w:lang w:val="sr-Latn-ME"/>
        </w:rPr>
        <w:t xml:space="preserve"> 4.4 </w:t>
      </w:r>
      <w:r w:rsidR="00B65E09" w:rsidRPr="00B65E09">
        <w:rPr>
          <w:rFonts w:ascii="Times New Roman" w:eastAsia="Times New Roman" w:hAnsi="Times New Roman" w:cs="Times New Roman"/>
        </w:rPr>
        <w:t>i</w:t>
      </w:r>
      <w:r w:rsidR="00B65E09" w:rsidRPr="00A8419E">
        <w:rPr>
          <w:rFonts w:ascii="Times New Roman" w:eastAsia="Times New Roman" w:hAnsi="Times New Roman" w:cs="Times New Roman"/>
          <w:lang w:val="sr-Latn-ME"/>
        </w:rPr>
        <w:t xml:space="preserve"> 5.2). </w:t>
      </w:r>
      <w:r w:rsidR="00B65E09" w:rsidRPr="00B65E09">
        <w:rPr>
          <w:rFonts w:ascii="Times New Roman" w:eastAsia="Times New Roman" w:hAnsi="Times New Roman" w:cs="Times New Roman"/>
        </w:rPr>
        <w:t>Preporu</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uje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se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pacijenti</w:t>
      </w:r>
      <w:r w:rsidR="00B65E09" w:rsidRPr="00A8419E">
        <w:rPr>
          <w:rFonts w:ascii="Times New Roman" w:eastAsia="Times New Roman" w:hAnsi="Times New Roman" w:cs="Times New Roman"/>
          <w:lang w:val="sr-Latn-ME"/>
        </w:rPr>
        <w:t xml:space="preserve"> </w:t>
      </w:r>
      <w:proofErr w:type="gramStart"/>
      <w:r w:rsidR="00B65E09" w:rsidRPr="00B65E09">
        <w:rPr>
          <w:rFonts w:ascii="Times New Roman" w:eastAsia="Times New Roman" w:hAnsi="Times New Roman" w:cs="Times New Roman"/>
        </w:rPr>
        <w:t>sa</w:t>
      </w:r>
      <w:proofErr w:type="gramEnd"/>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blagim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o</w:t>
      </w:r>
      <w:r w:rsidR="00B65E09" w:rsidRPr="00A8419E">
        <w:rPr>
          <w:rFonts w:ascii="Times New Roman" w:eastAsia="Times New Roman" w:hAnsi="Times New Roman" w:cs="Times New Roman"/>
          <w:lang w:val="sr-Latn-ME"/>
        </w:rPr>
        <w:t>š</w:t>
      </w:r>
      <w:r w:rsidR="00B65E09" w:rsidRPr="00B65E09">
        <w:rPr>
          <w:rFonts w:ascii="Times New Roman" w:eastAsia="Times New Roman" w:hAnsi="Times New Roman" w:cs="Times New Roman"/>
        </w:rPr>
        <w:t>te</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enjem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funkcije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jetre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zapo</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nu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l</w:t>
      </w:r>
      <w:r w:rsidR="00F0236D">
        <w:rPr>
          <w:rFonts w:ascii="Times New Roman" w:eastAsia="Times New Roman" w:hAnsi="Times New Roman" w:cs="Times New Roman"/>
        </w:rPr>
        <w:t>ij</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enje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jednom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tabletom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ujutro</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tokom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prve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ned</w:t>
      </w:r>
      <w:r w:rsidR="00F0236D">
        <w:rPr>
          <w:rFonts w:ascii="Times New Roman" w:eastAsia="Times New Roman" w:hAnsi="Times New Roman" w:cs="Times New Roman"/>
        </w:rPr>
        <w:t>j</w:t>
      </w:r>
      <w:r w:rsidR="00B65E09" w:rsidRPr="00B65E09">
        <w:rPr>
          <w:rFonts w:ascii="Times New Roman" w:eastAsia="Times New Roman" w:hAnsi="Times New Roman" w:cs="Times New Roman"/>
        </w:rPr>
        <w:t>elje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l</w:t>
      </w:r>
      <w:r w:rsidR="00F0236D">
        <w:rPr>
          <w:rFonts w:ascii="Times New Roman" w:eastAsia="Times New Roman" w:hAnsi="Times New Roman" w:cs="Times New Roman"/>
        </w:rPr>
        <w:t>ij</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enja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zatim</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pove</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aju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ujutro</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i</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jednu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tabletu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uve</w:t>
      </w:r>
      <w:r w:rsidR="00B65E09" w:rsidRPr="00A8419E">
        <w:rPr>
          <w:rFonts w:ascii="Times New Roman" w:eastAsia="Times New Roman" w:hAnsi="Times New Roman" w:cs="Times New Roman"/>
          <w:lang w:val="sr-Latn-ME"/>
        </w:rPr>
        <w:t>č</w:t>
      </w:r>
      <w:r w:rsidR="00B65E09" w:rsidRPr="00B65E09">
        <w:rPr>
          <w:rFonts w:ascii="Times New Roman" w:eastAsia="Times New Roman" w:hAnsi="Times New Roman" w:cs="Times New Roman"/>
        </w:rPr>
        <w:t>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od</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druge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ned</w:t>
      </w:r>
      <w:r w:rsidR="00F0236D">
        <w:rPr>
          <w:rFonts w:ascii="Times New Roman" w:eastAsia="Times New Roman" w:hAnsi="Times New Roman" w:cs="Times New Roman"/>
        </w:rPr>
        <w:t>j</w:t>
      </w:r>
      <w:r w:rsidR="00B65E09" w:rsidRPr="00B65E09">
        <w:rPr>
          <w:rFonts w:ascii="Times New Roman" w:eastAsia="Times New Roman" w:hAnsi="Times New Roman" w:cs="Times New Roman"/>
        </w:rPr>
        <w:t>elje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nadalje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Stepen</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o</w:t>
      </w:r>
      <w:r w:rsidR="00B65E09" w:rsidRPr="00A8419E">
        <w:rPr>
          <w:rFonts w:ascii="Times New Roman" w:eastAsia="Times New Roman" w:hAnsi="Times New Roman" w:cs="Times New Roman"/>
          <w:lang w:val="sr-Latn-ME"/>
        </w:rPr>
        <w:t>š</w:t>
      </w:r>
      <w:r w:rsidR="00B65E09" w:rsidRPr="00B65E09">
        <w:rPr>
          <w:rFonts w:ascii="Times New Roman" w:eastAsia="Times New Roman" w:hAnsi="Times New Roman" w:cs="Times New Roman"/>
        </w:rPr>
        <w:t>te</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enja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funkcije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jetre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mora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da</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se</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proc</w:t>
      </w:r>
      <w:r w:rsidR="00F0236D">
        <w:rPr>
          <w:rFonts w:ascii="Times New Roman" w:eastAsia="Times New Roman" w:hAnsi="Times New Roman" w:cs="Times New Roman"/>
        </w:rPr>
        <w:t>ij</w:t>
      </w:r>
      <w:r w:rsidR="00B65E09" w:rsidRPr="00B65E09">
        <w:rPr>
          <w:rFonts w:ascii="Times New Roman" w:eastAsia="Times New Roman" w:hAnsi="Times New Roman" w:cs="Times New Roman"/>
        </w:rPr>
        <w:t>eni</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pomo</w:t>
      </w:r>
      <w:r w:rsidR="00B65E09" w:rsidRPr="00A8419E">
        <w:rPr>
          <w:rFonts w:ascii="Times New Roman" w:eastAsia="Times New Roman" w:hAnsi="Times New Roman" w:cs="Times New Roman"/>
          <w:lang w:val="sr-Latn-ME"/>
        </w:rPr>
        <w:t>ć</w:t>
      </w:r>
      <w:r w:rsidR="00B65E09" w:rsidRPr="00B65E09">
        <w:rPr>
          <w:rFonts w:ascii="Times New Roman" w:eastAsia="Times New Roman" w:hAnsi="Times New Roman" w:cs="Times New Roman"/>
        </w:rPr>
        <w:t>u</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Child</w:t>
      </w:r>
      <w:r w:rsidR="00B65E09" w:rsidRPr="00A8419E">
        <w:rPr>
          <w:rFonts w:ascii="Times New Roman" w:eastAsia="Times New Roman" w:hAnsi="Times New Roman" w:cs="Times New Roman"/>
          <w:lang w:val="sr-Latn-ME"/>
        </w:rPr>
        <w:t>-</w:t>
      </w:r>
      <w:r w:rsidR="00B65E09" w:rsidRPr="00B65E09">
        <w:rPr>
          <w:rFonts w:ascii="Times New Roman" w:eastAsia="Times New Roman" w:hAnsi="Times New Roman" w:cs="Times New Roman"/>
        </w:rPr>
        <w:t>Pugh</w:t>
      </w:r>
      <w:r w:rsidR="00B65E09" w:rsidRPr="00A8419E">
        <w:rPr>
          <w:rFonts w:ascii="Times New Roman" w:eastAsia="Times New Roman" w:hAnsi="Times New Roman" w:cs="Times New Roman"/>
          <w:lang w:val="sr-Latn-ME"/>
        </w:rPr>
        <w:t xml:space="preserve"> </w:t>
      </w:r>
      <w:r w:rsidR="00B65E09" w:rsidRPr="00B65E09">
        <w:rPr>
          <w:rFonts w:ascii="Times New Roman" w:eastAsia="Times New Roman" w:hAnsi="Times New Roman" w:cs="Times New Roman"/>
        </w:rPr>
        <w:t>klasifikacije</w:t>
      </w:r>
      <w:r w:rsidR="00B65E09" w:rsidRPr="00A8419E">
        <w:rPr>
          <w:rFonts w:ascii="Times New Roman" w:eastAsia="Times New Roman" w:hAnsi="Times New Roman" w:cs="Times New Roman"/>
          <w:lang w:val="sr-Latn-ME"/>
        </w:rPr>
        <w:t>.</w:t>
      </w:r>
    </w:p>
    <w:p w14:paraId="20C16F86"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37E03E39"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Pedijatrijska populacija</w:t>
      </w:r>
    </w:p>
    <w:p w14:paraId="30BFE2AE"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Bezbjednost i efikasnost ovog lijeka kod djece i adolescenata uzrasta do 18 godina još nije</w:t>
      </w:r>
      <w:r w:rsidRPr="00643CB3" w:rsidDel="00A47356">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procijenjena. Stoga, fiksnu kombinaciju naltrekson/bupropion ne treba primjenjivati kod djece i adolescenata uzrasta do 18 godina.</w:t>
      </w:r>
    </w:p>
    <w:p w14:paraId="4C67FC1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C3FA247" w14:textId="4BF4D8DD" w:rsid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Način primjene</w:t>
      </w:r>
    </w:p>
    <w:p w14:paraId="0B306770" w14:textId="77777777" w:rsidR="007543E5" w:rsidRDefault="007543E5"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0414B0B"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Oralna upotreba. </w:t>
      </w:r>
    </w:p>
    <w:p w14:paraId="23E8C941" w14:textId="5CC45B9C" w:rsid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lastRenderedPageBreak/>
        <w:t xml:space="preserve">Tablete treba progutati cijele sa dovoljno vode. Preporučuje se da se tablete uzimaju sa hranom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5.2). Tablete ne smiju da se sijeku, žvaću ili drobe.</w:t>
      </w:r>
    </w:p>
    <w:p w14:paraId="347D7770" w14:textId="77777777" w:rsidR="00617397" w:rsidRPr="00643CB3" w:rsidRDefault="00617397" w:rsidP="00643CB3">
      <w:pPr>
        <w:tabs>
          <w:tab w:val="left" w:pos="284"/>
        </w:tabs>
        <w:spacing w:after="0" w:line="240" w:lineRule="auto"/>
        <w:jc w:val="both"/>
        <w:rPr>
          <w:rFonts w:ascii="Times New Roman" w:eastAsia="Times New Roman" w:hAnsi="Times New Roman" w:cs="Times New Roman"/>
          <w:lang w:val="sr-Latn-ME"/>
        </w:rPr>
      </w:pPr>
    </w:p>
    <w:p w14:paraId="4C5BDFB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4.3. </w:t>
      </w:r>
      <w:r w:rsidRPr="00643CB3">
        <w:rPr>
          <w:rFonts w:ascii="Times New Roman" w:eastAsia="Times New Roman" w:hAnsi="Times New Roman" w:cs="Times New Roman"/>
          <w:b/>
          <w:bCs/>
          <w:lang w:val="sr-Latn-ME"/>
        </w:rPr>
        <w:tab/>
        <w:t>Kontraindikacije</w:t>
      </w:r>
    </w:p>
    <w:p w14:paraId="7BA1B1F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053525B4" w14:textId="1916372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Preosjetljivost na aktivnu(e) supstancu(e) ili na bilo koju od pomoćnih supstanci navedenih u </w:t>
      </w:r>
      <w:r w:rsidR="00840DEF">
        <w:rPr>
          <w:rFonts w:ascii="Times New Roman" w:eastAsia="Times New Roman" w:hAnsi="Times New Roman" w:cs="Times New Roman"/>
          <w:lang w:val="sr-Latn-ME"/>
        </w:rPr>
        <w:t>dijelu</w:t>
      </w:r>
      <w:r w:rsidRPr="00643CB3">
        <w:rPr>
          <w:rFonts w:ascii="Times New Roman" w:eastAsia="Times New Roman" w:hAnsi="Times New Roman" w:cs="Times New Roman"/>
          <w:lang w:val="sr-Latn-ME"/>
        </w:rPr>
        <w:t xml:space="preserve"> 6.1;</w:t>
      </w:r>
    </w:p>
    <w:p w14:paraId="62F41D44" w14:textId="249F809D"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sa nekontrolisanom hipertenzijom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w:t>
      </w:r>
    </w:p>
    <w:p w14:paraId="4A13A05B" w14:textId="3A2FD44A"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sa poremećajem praćenim epileptičnim napadima ili sa epileptičnim napadima u anamnezi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w:t>
      </w:r>
    </w:p>
    <w:p w14:paraId="6DFB970D" w14:textId="7777777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Pacijenti sa poznatim tumorom centralnog nervnog sistema;</w:t>
      </w:r>
    </w:p>
    <w:p w14:paraId="67DEBF50" w14:textId="7777777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Pacijenti podvrgnuti akutnom odvikavanju od alkohola ili benzodiazepina;</w:t>
      </w:r>
    </w:p>
    <w:p w14:paraId="675E47FC" w14:textId="7777777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sa bipolarnim poremećajem u anamnezi; </w:t>
      </w:r>
    </w:p>
    <w:p w14:paraId="26FC8C47" w14:textId="7777777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Pacijenti koji istovremeno primaju terapiju bupropionom ili naltreksonom;</w:t>
      </w:r>
    </w:p>
    <w:p w14:paraId="419E51B1" w14:textId="7777777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Pacijenti sa trenutnom ili prethodnom dijagnozom bulimije ili anoreksije nervoze;</w:t>
      </w:r>
    </w:p>
    <w:p w14:paraId="71B0BB3B" w14:textId="16119817"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koji su trenutno zavisni od hronične primjene opioida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4.4 i 4.5) ili agonista opijata (npr. metadon) ili pacijenti u stanju akutne apstinencije od opijata;</w:t>
      </w:r>
    </w:p>
    <w:p w14:paraId="240BAEA9" w14:textId="5BF86902"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koji istovremeno primaju inhibitore monoaminooksidaze (MAOI). Mora proći najmanje 14 dana od prekida upotrebe MAOI do započinjanja liječenja lijekom Mysimba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4.5);</w:t>
      </w:r>
    </w:p>
    <w:p w14:paraId="6F385658" w14:textId="46512E5A"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sa teškim oštećenjem funkcije jetre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4.2 i 5.2);</w:t>
      </w:r>
    </w:p>
    <w:p w14:paraId="5F555CB6" w14:textId="1C48AD30" w:rsidR="00643CB3" w:rsidRPr="00643CB3" w:rsidRDefault="00643CB3" w:rsidP="00643CB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Pacijenti u terminalnoj fazi bubrežne insuficijencije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4.2 i 5.2).</w:t>
      </w:r>
    </w:p>
    <w:p w14:paraId="68D29DF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301E8A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4.4. </w:t>
      </w:r>
      <w:r w:rsidRPr="00643CB3">
        <w:rPr>
          <w:rFonts w:ascii="Times New Roman" w:eastAsia="Times New Roman" w:hAnsi="Times New Roman" w:cs="Times New Roman"/>
          <w:b/>
          <w:bCs/>
          <w:lang w:val="sr-Latn-ME"/>
        </w:rPr>
        <w:tab/>
        <w:t>Posebna upozorenja i mjere opreza pri upotrebi lijeka</w:t>
      </w:r>
    </w:p>
    <w:p w14:paraId="2B4696F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E1B902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Bezbjednost i podnošljivost fiksne kombinacije naltrekson/bupropion treba procjenjivati u redovnim vremenskim intervalima.</w:t>
      </w:r>
    </w:p>
    <w:p w14:paraId="1274ED2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ABA9642" w14:textId="3EA9A453"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Liječenje treba prekinuti ako postoji sumnja u bezbjednost ili podnošljivost lijeka prilikom liječenja koje je u toku, uključujući i pojavu povišenog krvnog pritiska (vidjeti </w:t>
      </w:r>
      <w:r w:rsidR="00840DEF">
        <w:rPr>
          <w:rFonts w:ascii="Times New Roman" w:eastAsia="Times New Roman" w:hAnsi="Times New Roman" w:cs="Times New Roman"/>
          <w:bCs/>
          <w:lang w:val="sr-Latn-ME"/>
        </w:rPr>
        <w:t>dio</w:t>
      </w:r>
      <w:r w:rsidRPr="00643CB3">
        <w:rPr>
          <w:rFonts w:ascii="Times New Roman" w:eastAsia="Times New Roman" w:hAnsi="Times New Roman" w:cs="Times New Roman"/>
          <w:bCs/>
          <w:lang w:val="sr-Latn-ME"/>
        </w:rPr>
        <w:t xml:space="preserve"> 4.8).</w:t>
      </w:r>
    </w:p>
    <w:p w14:paraId="5323387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939386C" w14:textId="77777777" w:rsid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Suicid i suicidalno ponašanje</w:t>
      </w:r>
    </w:p>
    <w:p w14:paraId="733633E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Fiksna kombinacija naltrekson/bupropion sadrži bupropion. Bupropion je indikovan u liječenju depresije u nekim zemljama. Meta-analiza placebo kontrolisanih kliničkih ispitivanja sa antidepresivima primijenjenim kod odraslih pacijenata sa psihijatrijskim oboljenjima je ukazala na povećan rizik od suicidalnog ponašanja kod pacijenata mlađih od 25 godina koji su bili na terapiji antidepresivima, u poređenju sa placebom.</w:t>
      </w:r>
    </w:p>
    <w:p w14:paraId="0171959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D835FCB"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Iako suicid ili suicidalni pokušaji nijesu zabilježeni u placebo kontrolisanim kliničkim ispitivanjima sa fiksnom kombinacijom naltrekson/bupropion u liječenju gojaznosti kod odraslih pacijenata koja su trajala do 56 nedjelja, suicidalni događaji (uključujući suicidalne ideje) su prijavljivani postmarketinški kod pacijenata svih uzrasta liječenih fiksnom kombinacijom naltrekson/bupropion.</w:t>
      </w:r>
    </w:p>
    <w:p w14:paraId="33FEEE9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6135E22" w14:textId="11222A30"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Prilikom liječenja fiksnom kombinacijom naltrekson/bupropion, pacijente je neophodno pažljivo pratiti, posebno one koji su visoko rizični, kako na početku terapije, tako i nakon promjene režima doziranja. Pacijentima (i osobama koje brinu o pacijentu) treba ukazati na potrebu praćenja pogoršanja kliničke slike, pojave suicidalnog ponašanja ili misli i neuobičajenih promjena u ponašanju i odmah potraž</w:t>
      </w:r>
      <w:r w:rsidR="00723639">
        <w:rPr>
          <w:rFonts w:ascii="Times New Roman" w:eastAsia="Times New Roman" w:hAnsi="Times New Roman" w:cs="Times New Roman"/>
          <w:bCs/>
          <w:lang w:val="sr-Latn-ME"/>
        </w:rPr>
        <w:t>iti</w:t>
      </w:r>
      <w:r w:rsidRPr="00643CB3">
        <w:rPr>
          <w:rFonts w:ascii="Times New Roman" w:eastAsia="Times New Roman" w:hAnsi="Times New Roman" w:cs="Times New Roman"/>
          <w:bCs/>
          <w:lang w:val="sr-Latn-ME"/>
        </w:rPr>
        <w:t xml:space="preserve"> medicinsku pomoć ukoliko su ovi simptomi prisutni.</w:t>
      </w:r>
    </w:p>
    <w:p w14:paraId="7B189E0F" w14:textId="77777777" w:rsidR="00A8419E" w:rsidRDefault="00A8419E"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00F2B4C" w14:textId="0A5BB417" w:rsid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Epileptični napadi</w:t>
      </w:r>
    </w:p>
    <w:p w14:paraId="20FCE07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Primjena bupropiona je udružena sa dozno zavisnim rizikom od nastanka epileptičnih napada. Učestalost pojave napada prilikom upotrebe bupropion tableta sa produženim oslobađanjem od 300 mg (engl. </w:t>
      </w:r>
      <w:r w:rsidRPr="00643CB3">
        <w:rPr>
          <w:rFonts w:ascii="Times New Roman" w:eastAsia="Times New Roman" w:hAnsi="Times New Roman" w:cs="Times New Roman"/>
          <w:bCs/>
          <w:i/>
          <w:lang w:val="sr-Latn-ME"/>
        </w:rPr>
        <w:t xml:space="preserve">sustained </w:t>
      </w:r>
      <w:r w:rsidRPr="00643CB3">
        <w:rPr>
          <w:rFonts w:ascii="Times New Roman" w:eastAsia="Times New Roman" w:hAnsi="Times New Roman" w:cs="Times New Roman"/>
          <w:bCs/>
          <w:i/>
          <w:lang w:val="sr-Latn-ME"/>
        </w:rPr>
        <w:lastRenderedPageBreak/>
        <w:t>release</w:t>
      </w:r>
      <w:r w:rsidRPr="00643CB3">
        <w:rPr>
          <w:rFonts w:ascii="Times New Roman" w:eastAsia="Times New Roman" w:hAnsi="Times New Roman" w:cs="Times New Roman"/>
          <w:bCs/>
          <w:lang w:val="sr-Latn-ME"/>
        </w:rPr>
        <w:t>, SR) iznosila je 0,1%. Koncentracije bupropiona i metabolita bupropiona u plazmi nakon primjene pojedinačne doze od 180 mg bupropiona u obliku tableta naltrekson/bupropion su uporedive sa koncentracijama bupropiona u plazmi nakon primjene pojedinačne doze od 150 mg u obliku bupropion tableta sa produženim oslobađanjem; međutim, nije sprovedeno ispitivanje u kom bi se odredile koncentracije bupropiona i metabolita bupropiona nakon ponovljenog doziranja tableta naltrekson/bupropion u odnosu na bupropion tablete sa produženim oslobađanjem. S obzirom na to da nije poznato da li je rizik od epileptičnog napada povezan sa bupropionom ili sa njegovim metabolitom, kao i da nema podataka koji bi pokazali uporedivost koncentracija u plazmi nakon ponavljanog doziranja, neizvjesno je da li je primjena ponavljane doze fiksne kombinacije naltrekson/bupropiona povezana sa sličnom učestalošću napada kao i kod bupropion tableta sa produženim oslobađanjem od 300 mg. Učestalost epileptičnih napada kod pacijenata koji su primali naltrekson/bupropion u kliničkim ispitivanjima bila je oko 0,06% (2/3239 ispitanika) u odnosu na odsustvo epileptičnih napada tj. učestalost od 0,0 % (0/1515 ispitanika) kod pacijenata koji su primali placebo. Ova učestalost epileptičnih napada, uz učestalost napada kod ispitanika koji su primili naltrekson/bupropion u velikom ispitivanju kardiovaskularnih ishoda (CVOT), nije bila veća od učestalosti epileptičnih napada izazvanih bupropionom kao jedinim lijekom u odobrenoj dozi.</w:t>
      </w:r>
    </w:p>
    <w:p w14:paraId="203D327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6C5E04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Rizik od epileptičnih napada je takođe determinisan predisponirajućim</w:t>
      </w:r>
      <w:r w:rsidRPr="00643CB3" w:rsidDel="00946585">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faktorima samog pacijenta, kliničkim stanjem i istovremenom primjenom drugih ljekova, što se mora uzeti u obzir prilikom donošenja odluke o liječenju pacijenta fiksnom kombinacijom naltrekson/bupropion. Primjenu fiksne kombinacije naltrekson/bupropion treba prekinuti i ne započinjati ponovo kod pacijenata koji su imali epileptične napade tokom liječenja ovim lijekom. Potreban je oprez prilikom propisivanja fiksne kombinacije naltrekson/bupropion pacijentima sa predisponirajućim faktorima koji mogu povećati rizik od epileptičnih napada, uključujući i sljedeće:</w:t>
      </w:r>
    </w:p>
    <w:p w14:paraId="50394CCC" w14:textId="77777777" w:rsidR="00643CB3" w:rsidRPr="00643CB3" w:rsidRDefault="00643CB3" w:rsidP="00643CB3">
      <w:pPr>
        <w:numPr>
          <w:ilvl w:val="0"/>
          <w:numId w:val="12"/>
        </w:num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povreda glave u anamnezi,</w:t>
      </w:r>
    </w:p>
    <w:p w14:paraId="4143FB83" w14:textId="77777777" w:rsidR="00643CB3" w:rsidRPr="00643CB3" w:rsidRDefault="00643CB3" w:rsidP="00643CB3">
      <w:pPr>
        <w:numPr>
          <w:ilvl w:val="0"/>
          <w:numId w:val="12"/>
        </w:num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pretjerano konzumiranje alkohola ili zavisnost od kokaina ili stimulansa,</w:t>
      </w:r>
    </w:p>
    <w:p w14:paraId="68149C6A" w14:textId="77777777" w:rsidR="00643CB3" w:rsidRPr="00643CB3" w:rsidRDefault="00643CB3" w:rsidP="00643CB3">
      <w:pPr>
        <w:numPr>
          <w:ilvl w:val="0"/>
          <w:numId w:val="12"/>
        </w:numPr>
        <w:tabs>
          <w:tab w:val="left" w:pos="426"/>
          <w:tab w:val="left" w:pos="540"/>
        </w:tabs>
        <w:spacing w:after="0" w:line="240" w:lineRule="auto"/>
        <w:ind w:left="567" w:hanging="218"/>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dijabetes, liječen hipoglikemicima ili insulinom (s obzirom na to da terapija fiksnom kombinacijom naltrekson/bupropion može dovesti do sniženja glukoze kod pacijenata sa dijabetesom, potrebno je procijeniti dozu insulina i/ili oralnih antidijabetika kako bi se smanjio rizik od hipoglikemije, koja može biti predisponirajući faktor za pojavu epileptičnih napada),</w:t>
      </w:r>
    </w:p>
    <w:p w14:paraId="79C187D0" w14:textId="77777777" w:rsidR="00643CB3" w:rsidRPr="00643CB3" w:rsidRDefault="00643CB3" w:rsidP="00643CB3">
      <w:pPr>
        <w:numPr>
          <w:ilvl w:val="0"/>
          <w:numId w:val="12"/>
        </w:numPr>
        <w:tabs>
          <w:tab w:val="left" w:pos="540"/>
          <w:tab w:val="left" w:pos="567"/>
        </w:tabs>
        <w:spacing w:after="0" w:line="240" w:lineRule="auto"/>
        <w:ind w:left="567" w:hanging="207"/>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istovremena primjena ljekova koji mogu sniziti prag za nastanak epileptičnih napada, kao što su antipsihotici, antidepresivi, antimalarici, tramadol, teofilin, sistemski steroidi, hinoloni i sedativni antihistaminici.</w:t>
      </w:r>
    </w:p>
    <w:p w14:paraId="670E223D" w14:textId="45C2B1FE"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444791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Konzumiranje alkohola tokom liječenja fiksnom kombinacijom naltrekson/bupropion treba svesti na minimum ili izbjeći.</w:t>
      </w:r>
    </w:p>
    <w:p w14:paraId="71E7508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208788C" w14:textId="0D2519FE" w:rsid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Pacijenti na terapiji opioidnim analgeticima</w:t>
      </w:r>
    </w:p>
    <w:p w14:paraId="6362EABB" w14:textId="77777777" w:rsidR="00723639" w:rsidRDefault="00723639"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A056D4D" w14:textId="3CC710FF"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Ovaj lijek se ne smije davati pacijentima koji primaju hroničnu terapiju opijatima (vidjeti </w:t>
      </w:r>
      <w:r w:rsidR="00840DEF">
        <w:rPr>
          <w:rFonts w:ascii="Times New Roman" w:eastAsia="Times New Roman" w:hAnsi="Times New Roman" w:cs="Times New Roman"/>
          <w:bCs/>
          <w:lang w:val="sr-Latn-ME"/>
        </w:rPr>
        <w:t>dio</w:t>
      </w:r>
      <w:r w:rsidRPr="00643CB3">
        <w:rPr>
          <w:rFonts w:ascii="Times New Roman" w:eastAsia="Times New Roman" w:hAnsi="Times New Roman" w:cs="Times New Roman"/>
          <w:bCs/>
          <w:lang w:val="sr-Latn-ME"/>
        </w:rPr>
        <w:t xml:space="preserve"> 4.3). Ako je neophodna hronična terapija opijatima, mora se prekinuti liječenje fiksnom kombinacijom naltrekson/bupropion. Kod pacijenata kojima je neophodna povremena terapija opijatima, liječenje fiksnom kombinacijom naltrekson/bupropion treba privremeno prekinuti, a doza opijata ne smije da se poveća iznad standardne doze. Tokom kliničkih ispitivanja fiksne kombinacije naltrekson/bupropion, istovremena primjena opioida ili ljekova sličnih opioidima, uključujući analgetike ili antitusike, bila je isključena. Međutim, oko 12% ispitanika je istovremeno uzimalo opioide ili ljekove slične opioidima dok su učestvovali u kliničkim ispitivanjima fiksne kombinacije naltrekson/bupropion, od kojih je većina nastavila liječenje u ispitivanju bez prekida doze fiksne kombinacije naltrekson/bupropion i bez nepovoljnih posljedica.</w:t>
      </w:r>
    </w:p>
    <w:p w14:paraId="2D3EDFAB"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2EA862B" w14:textId="77777777" w:rsidR="00723639" w:rsidRDefault="00643CB3" w:rsidP="00AE3A56">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Pokušaj prevazilaženja blokade</w:t>
      </w:r>
    </w:p>
    <w:p w14:paraId="5E9E9CCB" w14:textId="77777777" w:rsidR="00723639" w:rsidRDefault="00723639" w:rsidP="00AE3A56">
      <w:pPr>
        <w:tabs>
          <w:tab w:val="left" w:pos="540"/>
          <w:tab w:val="left" w:pos="569"/>
        </w:tabs>
        <w:spacing w:after="0" w:line="240" w:lineRule="auto"/>
        <w:jc w:val="both"/>
        <w:rPr>
          <w:rFonts w:ascii="Times New Roman" w:eastAsia="Times New Roman" w:hAnsi="Times New Roman" w:cs="Times New Roman"/>
          <w:bCs/>
          <w:u w:val="single"/>
          <w:lang w:val="sr-Latn-ME"/>
        </w:rPr>
      </w:pPr>
    </w:p>
    <w:p w14:paraId="60175B8A" w14:textId="3A7B9BA9" w:rsidR="00643CB3" w:rsidRPr="00643CB3" w:rsidRDefault="00643CB3" w:rsidP="00AE3A56">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lastRenderedPageBreak/>
        <w:t>Pokušaj prevazilaženja blokade postignute naltreksonom primjenom velikih doza egzogenih opioida je vrlo opasan i može dovesti do predoziranja opioidima sa smrtnim ishodom ili po život opasne intoksikacije opioidima (npr. respiratorni arest, cirkulatorni kolaps). Pacijenti moraju biti upoznati da nakon prekida terapije fiksnom kombinacijom naltrekson/bupropion mogu biti mnogo osjetljiviji na niže doze opioida.</w:t>
      </w:r>
    </w:p>
    <w:p w14:paraId="7B1FB4B7" w14:textId="77777777" w:rsidR="00643CB3" w:rsidRPr="00643CB3" w:rsidRDefault="00643CB3" w:rsidP="00AE3A56">
      <w:pPr>
        <w:tabs>
          <w:tab w:val="left" w:pos="540"/>
          <w:tab w:val="left" w:pos="569"/>
        </w:tabs>
        <w:spacing w:after="0" w:line="240" w:lineRule="auto"/>
        <w:jc w:val="both"/>
        <w:rPr>
          <w:rFonts w:ascii="Times New Roman" w:eastAsia="Times New Roman" w:hAnsi="Times New Roman" w:cs="Times New Roman"/>
          <w:bCs/>
          <w:lang w:val="sr-Latn-ME"/>
        </w:rPr>
      </w:pPr>
    </w:p>
    <w:p w14:paraId="0A64CCCA" w14:textId="4B9D7DEE" w:rsidR="00643CB3" w:rsidRDefault="00643CB3" w:rsidP="00AE3A56">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Alergijske reakcije</w:t>
      </w:r>
    </w:p>
    <w:p w14:paraId="73F4DEE9" w14:textId="77777777" w:rsidR="0089543B" w:rsidRDefault="0089543B" w:rsidP="00AE3A56">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811220B" w14:textId="44EA01AE" w:rsidR="00643CB3" w:rsidRPr="00643CB3" w:rsidRDefault="00643CB3" w:rsidP="007543E5">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U kliničkim studijama sa bupropionom prijavljene su anafilaktoidne/anafilaktičke reakcije koje karakterišu simptomi kao što su pruritus, urtikarija, angioedem i dispneja, koji su zahtijevali liječenje. Osim toga, bilo je i rijetkih spontanih postmarketinških prijava multiformnog eritema</w:t>
      </w:r>
      <w:r w:rsidR="00AA5E50">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 xml:space="preserve">i prijava anafilaktičkog šoka povezanih sa bupropionom. Pacijent treba da prestane da uzima fiksnu kombinaciju naltrekson/bupropion i da se obrati ljekaru ako se u toku terapije pojave alergijske ili anafilaktoidne/anafilaktičke reakcije (npr. osip na koži, pruritus, urtikarija, bol u grudima, edem i </w:t>
      </w:r>
      <w:r w:rsidR="0089543B">
        <w:rPr>
          <w:rFonts w:ascii="Times New Roman" w:eastAsia="Times New Roman" w:hAnsi="Times New Roman" w:cs="Times New Roman"/>
          <w:bCs/>
          <w:lang w:val="sr-Latn-ME"/>
        </w:rPr>
        <w:t>nedostatak vazduha</w:t>
      </w:r>
      <w:r w:rsidRPr="00643CB3">
        <w:rPr>
          <w:rFonts w:ascii="Times New Roman" w:eastAsia="Times New Roman" w:hAnsi="Times New Roman" w:cs="Times New Roman"/>
          <w:bCs/>
          <w:lang w:val="sr-Latn-ME"/>
        </w:rPr>
        <w:t>).</w:t>
      </w:r>
    </w:p>
    <w:p w14:paraId="2453F6D6"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4431265D"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Prijavljene su artralgija, mijalgija i povišena tjelesna temperatura udružena sa osipom i drugim simptomima koji ukazuju na nastanak odložene preosjetljivosti. Ovi simptomi mogu biti slični serumskoj bolesti. Pacijenta treba savjetovati da obavijesti svog nadležnog ljekara ako ima ove simptome. Ako se sumnja na serumsku bolest, treba prekinuti terapiju fiksnom kombinacijom naltrekson/bupropion.</w:t>
      </w:r>
    </w:p>
    <w:p w14:paraId="2C99A796" w14:textId="77777777" w:rsid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673D21DA" w14:textId="77777777" w:rsidR="00CD643D" w:rsidRPr="00CD643D" w:rsidRDefault="00CD643D">
      <w:pPr>
        <w:tabs>
          <w:tab w:val="left" w:pos="567"/>
        </w:tabs>
        <w:spacing w:after="0" w:line="240" w:lineRule="auto"/>
        <w:jc w:val="both"/>
        <w:rPr>
          <w:rFonts w:ascii="Times New Roman" w:eastAsia="Times New Roman" w:hAnsi="Times New Roman" w:cs="Times New Roman"/>
          <w:szCs w:val="20"/>
          <w:u w:val="single"/>
          <w:lang w:val="hr-HR" w:eastAsia="hr-HR"/>
        </w:rPr>
      </w:pPr>
      <w:r w:rsidRPr="00CD643D">
        <w:rPr>
          <w:rFonts w:ascii="Times New Roman" w:eastAsia="Times New Roman" w:hAnsi="Times New Roman" w:cs="Times New Roman"/>
          <w:szCs w:val="20"/>
          <w:u w:val="single"/>
          <w:lang w:val="hr-HR" w:eastAsia="hr-HR"/>
        </w:rPr>
        <w:t>Teške neželjene reakcije na koži</w:t>
      </w:r>
    </w:p>
    <w:p w14:paraId="2F48907F" w14:textId="77777777" w:rsidR="00CD643D" w:rsidRPr="00CD643D" w:rsidRDefault="00CD643D">
      <w:pPr>
        <w:tabs>
          <w:tab w:val="left" w:pos="567"/>
        </w:tabs>
        <w:spacing w:after="0" w:line="240" w:lineRule="auto"/>
        <w:jc w:val="both"/>
        <w:rPr>
          <w:rFonts w:ascii="Times New Roman" w:eastAsia="Times New Roman" w:hAnsi="Times New Roman" w:cs="Times New Roman"/>
          <w:szCs w:val="20"/>
          <w:u w:val="single"/>
          <w:lang w:val="hr-HR" w:eastAsia="hr-HR"/>
        </w:rPr>
      </w:pPr>
    </w:p>
    <w:p w14:paraId="0DDC2BFC" w14:textId="558E1205" w:rsidR="00CD643D" w:rsidRPr="00CD643D" w:rsidRDefault="00CD643D">
      <w:pPr>
        <w:tabs>
          <w:tab w:val="left" w:pos="567"/>
        </w:tabs>
        <w:spacing w:after="0" w:line="240" w:lineRule="auto"/>
        <w:jc w:val="both"/>
        <w:rPr>
          <w:rFonts w:ascii="Times New Roman" w:eastAsia="Times New Roman" w:hAnsi="Times New Roman" w:cs="Times New Roman"/>
          <w:szCs w:val="20"/>
          <w:lang w:val="hr-HR" w:eastAsia="hr-HR"/>
        </w:rPr>
      </w:pPr>
      <w:r w:rsidRPr="00CD643D">
        <w:rPr>
          <w:rFonts w:ascii="Times New Roman" w:eastAsia="Times New Roman" w:hAnsi="Times New Roman" w:cs="Times New Roman"/>
          <w:szCs w:val="20"/>
          <w:lang w:val="hr-HR" w:eastAsia="hr-HR"/>
        </w:rPr>
        <w:t xml:space="preserve">Teške </w:t>
      </w:r>
      <w:r w:rsidRPr="003248FD">
        <w:rPr>
          <w:rFonts w:ascii="Times New Roman" w:eastAsia="Times New Roman" w:hAnsi="Times New Roman" w:cs="Times New Roman"/>
          <w:szCs w:val="20"/>
          <w:lang w:val="hr-HR" w:eastAsia="hr-HR"/>
        </w:rPr>
        <w:t>neželjene reakcije na koži</w:t>
      </w:r>
      <w:r w:rsidRPr="00CD643D">
        <w:rPr>
          <w:rFonts w:ascii="Times New Roman" w:eastAsia="Times New Roman" w:hAnsi="Times New Roman" w:cs="Times New Roman"/>
          <w:szCs w:val="20"/>
          <w:lang w:val="hr-HR" w:eastAsia="hr-HR"/>
        </w:rPr>
        <w:t xml:space="preserve"> (engl. </w:t>
      </w:r>
      <w:r w:rsidRPr="00CD643D">
        <w:rPr>
          <w:rFonts w:ascii="Times New Roman" w:eastAsia="Times New Roman" w:hAnsi="Times New Roman" w:cs="Times New Roman"/>
          <w:i/>
          <w:szCs w:val="20"/>
          <w:lang w:val="hr-HR" w:eastAsia="hr-HR"/>
        </w:rPr>
        <w:t xml:space="preserve">Severe cutaneous adverse reaction, </w:t>
      </w:r>
      <w:r w:rsidRPr="00CD643D">
        <w:rPr>
          <w:rFonts w:ascii="Times New Roman" w:eastAsia="Times New Roman" w:hAnsi="Times New Roman" w:cs="Times New Roman"/>
          <w:szCs w:val="20"/>
          <w:lang w:val="hr-HR" w:eastAsia="hr-HR"/>
        </w:rPr>
        <w:t xml:space="preserve">SCAR) kao što su </w:t>
      </w:r>
      <w:r w:rsidRPr="00CD643D">
        <w:rPr>
          <w:rFonts w:ascii="Times New Roman" w:eastAsia="Times New Roman" w:hAnsi="Times New Roman" w:cs="Times New Roman"/>
          <w:i/>
          <w:iCs/>
          <w:szCs w:val="20"/>
          <w:lang w:val="hr-HR" w:eastAsia="hr-HR"/>
        </w:rPr>
        <w:t>Stevens-Johnson</w:t>
      </w:r>
      <w:r w:rsidRPr="00CD643D">
        <w:rPr>
          <w:rFonts w:ascii="Times New Roman" w:eastAsia="Times New Roman" w:hAnsi="Times New Roman" w:cs="Times New Roman"/>
          <w:szCs w:val="20"/>
          <w:lang w:val="hr-HR" w:eastAsia="hr-HR"/>
        </w:rPr>
        <w:t>-ov sindrom (SJS) i akutna generalizovana egzantematozna pustuloza (engl.</w:t>
      </w:r>
      <w:r w:rsidRPr="00CD643D">
        <w:rPr>
          <w:rFonts w:ascii="Times New Roman" w:eastAsia="Times New Roman" w:hAnsi="Times New Roman" w:cs="Times New Roman"/>
          <w:szCs w:val="24"/>
        </w:rPr>
        <w:t xml:space="preserve"> </w:t>
      </w:r>
      <w:r w:rsidRPr="00CD643D">
        <w:rPr>
          <w:rFonts w:ascii="Times New Roman" w:eastAsia="Times New Roman" w:hAnsi="Times New Roman" w:cs="Times New Roman"/>
          <w:i/>
          <w:iCs/>
          <w:szCs w:val="20"/>
          <w:lang w:val="hr-HR" w:eastAsia="hr-HR"/>
        </w:rPr>
        <w:t>Acute Generalised Exanthematous Pustulosis</w:t>
      </w:r>
      <w:r w:rsidRPr="00CD643D">
        <w:rPr>
          <w:rFonts w:ascii="Times New Roman" w:eastAsia="Times New Roman" w:hAnsi="Times New Roman" w:cs="Times New Roman"/>
          <w:szCs w:val="20"/>
          <w:lang w:val="hr-HR" w:eastAsia="hr-HR"/>
        </w:rPr>
        <w:t>, AGEP), koje mogu biti opasne po život ili smrtonosne, prijavljene su u vezi s l</w:t>
      </w:r>
      <w:r>
        <w:rPr>
          <w:rFonts w:ascii="Times New Roman" w:eastAsia="Times New Roman" w:hAnsi="Times New Roman" w:cs="Times New Roman"/>
          <w:szCs w:val="20"/>
          <w:lang w:val="hr-HR" w:eastAsia="hr-HR"/>
        </w:rPr>
        <w:t>ij</w:t>
      </w:r>
      <w:r w:rsidRPr="00CD643D">
        <w:rPr>
          <w:rFonts w:ascii="Times New Roman" w:eastAsia="Times New Roman" w:hAnsi="Times New Roman" w:cs="Times New Roman"/>
          <w:szCs w:val="20"/>
          <w:lang w:val="hr-HR" w:eastAsia="hr-HR"/>
        </w:rPr>
        <w:t>ečenjem naltreksonom/bupropionom.</w:t>
      </w:r>
    </w:p>
    <w:p w14:paraId="52901FD6" w14:textId="50CD3EF5" w:rsidR="00CD643D" w:rsidRPr="00CD643D" w:rsidRDefault="00CD643D">
      <w:pPr>
        <w:tabs>
          <w:tab w:val="left" w:pos="567"/>
        </w:tabs>
        <w:spacing w:after="0" w:line="240" w:lineRule="auto"/>
        <w:jc w:val="both"/>
        <w:rPr>
          <w:rFonts w:ascii="Times New Roman" w:eastAsia="Times New Roman" w:hAnsi="Times New Roman" w:cs="Times New Roman"/>
          <w:szCs w:val="20"/>
          <w:lang w:val="hr-HR" w:eastAsia="hr-HR"/>
        </w:rPr>
      </w:pPr>
      <w:r w:rsidRPr="00CD643D">
        <w:rPr>
          <w:rFonts w:ascii="Times New Roman" w:eastAsia="Times New Roman" w:hAnsi="Times New Roman" w:cs="Times New Roman"/>
          <w:szCs w:val="20"/>
          <w:lang w:val="hr-HR" w:eastAsia="hr-HR"/>
        </w:rPr>
        <w:t>Pacijente treba informisati o zna</w:t>
      </w:r>
      <w:r w:rsidR="0089543B">
        <w:rPr>
          <w:rFonts w:ascii="Times New Roman" w:eastAsia="Times New Roman" w:hAnsi="Times New Roman" w:cs="Times New Roman"/>
          <w:szCs w:val="20"/>
          <w:lang w:val="hr-HR" w:eastAsia="hr-HR"/>
        </w:rPr>
        <w:t>cima</w:t>
      </w:r>
      <w:r w:rsidRPr="00CD643D">
        <w:rPr>
          <w:rFonts w:ascii="Times New Roman" w:eastAsia="Times New Roman" w:hAnsi="Times New Roman" w:cs="Times New Roman"/>
          <w:szCs w:val="20"/>
          <w:lang w:val="hr-HR" w:eastAsia="hr-HR"/>
        </w:rPr>
        <w:t xml:space="preserve"> i simptomima i pažljivo ih pratiti zbog moguće pojave kožnih reakcija. Ako se pojave zna</w:t>
      </w:r>
      <w:r w:rsidR="0089543B">
        <w:rPr>
          <w:rFonts w:ascii="Times New Roman" w:eastAsia="Times New Roman" w:hAnsi="Times New Roman" w:cs="Times New Roman"/>
          <w:szCs w:val="20"/>
          <w:lang w:val="hr-HR" w:eastAsia="hr-HR"/>
        </w:rPr>
        <w:t>ci</w:t>
      </w:r>
      <w:r w:rsidRPr="00CD643D">
        <w:rPr>
          <w:rFonts w:ascii="Times New Roman" w:eastAsia="Times New Roman" w:hAnsi="Times New Roman" w:cs="Times New Roman"/>
          <w:szCs w:val="20"/>
          <w:lang w:val="hr-HR" w:eastAsia="hr-HR"/>
        </w:rPr>
        <w:t xml:space="preserve"> ili simptomi koji ukazuju na ove reakcije, odmah treba prekinuti prim</w:t>
      </w:r>
      <w:r>
        <w:rPr>
          <w:rFonts w:ascii="Times New Roman" w:eastAsia="Times New Roman" w:hAnsi="Times New Roman" w:cs="Times New Roman"/>
          <w:szCs w:val="20"/>
          <w:lang w:val="hr-HR" w:eastAsia="hr-HR"/>
        </w:rPr>
        <w:t>j</w:t>
      </w:r>
      <w:r w:rsidRPr="00CD643D">
        <w:rPr>
          <w:rFonts w:ascii="Times New Roman" w:eastAsia="Times New Roman" w:hAnsi="Times New Roman" w:cs="Times New Roman"/>
          <w:szCs w:val="20"/>
          <w:lang w:val="hr-HR" w:eastAsia="hr-HR"/>
        </w:rPr>
        <w:t>enu naltreksona/bupropiona i razmotriti zamensku terapiju (ako je prikladno). Ako se kod pacijenta razvije ozbiljna reakcija poput SJS-a ili AGEP-a povezana sa prim</w:t>
      </w:r>
      <w:r>
        <w:rPr>
          <w:rFonts w:ascii="Times New Roman" w:eastAsia="Times New Roman" w:hAnsi="Times New Roman" w:cs="Times New Roman"/>
          <w:szCs w:val="20"/>
          <w:lang w:val="hr-HR" w:eastAsia="hr-HR"/>
        </w:rPr>
        <w:t>j</w:t>
      </w:r>
      <w:r w:rsidRPr="00CD643D">
        <w:rPr>
          <w:rFonts w:ascii="Times New Roman" w:eastAsia="Times New Roman" w:hAnsi="Times New Roman" w:cs="Times New Roman"/>
          <w:szCs w:val="20"/>
          <w:lang w:val="hr-HR" w:eastAsia="hr-HR"/>
        </w:rPr>
        <w:t>enom naltreksona/bupropiona, ta terapija se kod tog pacijenta nikada ne sm</w:t>
      </w:r>
      <w:r>
        <w:rPr>
          <w:rFonts w:ascii="Times New Roman" w:eastAsia="Times New Roman" w:hAnsi="Times New Roman" w:cs="Times New Roman"/>
          <w:szCs w:val="20"/>
          <w:lang w:val="hr-HR" w:eastAsia="hr-HR"/>
        </w:rPr>
        <w:t>ij</w:t>
      </w:r>
      <w:r w:rsidRPr="00CD643D">
        <w:rPr>
          <w:rFonts w:ascii="Times New Roman" w:eastAsia="Times New Roman" w:hAnsi="Times New Roman" w:cs="Times New Roman"/>
          <w:szCs w:val="20"/>
          <w:lang w:val="hr-HR" w:eastAsia="hr-HR"/>
        </w:rPr>
        <w:t>e ponovno prim</w:t>
      </w:r>
      <w:r>
        <w:rPr>
          <w:rFonts w:ascii="Times New Roman" w:eastAsia="Times New Roman" w:hAnsi="Times New Roman" w:cs="Times New Roman"/>
          <w:szCs w:val="20"/>
          <w:lang w:val="hr-HR" w:eastAsia="hr-HR"/>
        </w:rPr>
        <w:t>j</w:t>
      </w:r>
      <w:r w:rsidRPr="00CD643D">
        <w:rPr>
          <w:rFonts w:ascii="Times New Roman" w:eastAsia="Times New Roman" w:hAnsi="Times New Roman" w:cs="Times New Roman"/>
          <w:szCs w:val="20"/>
          <w:lang w:val="hr-HR" w:eastAsia="hr-HR"/>
        </w:rPr>
        <w:t>eniti.</w:t>
      </w:r>
    </w:p>
    <w:p w14:paraId="4AE625AC" w14:textId="77777777" w:rsidR="00CD643D" w:rsidRPr="00643CB3" w:rsidRDefault="00CD643D">
      <w:pPr>
        <w:tabs>
          <w:tab w:val="left" w:pos="540"/>
          <w:tab w:val="left" w:pos="569"/>
        </w:tabs>
        <w:spacing w:after="0" w:line="240" w:lineRule="auto"/>
        <w:jc w:val="both"/>
        <w:rPr>
          <w:rFonts w:ascii="Times New Roman" w:eastAsia="Times New Roman" w:hAnsi="Times New Roman" w:cs="Times New Roman"/>
          <w:bCs/>
          <w:lang w:val="sr-Latn-ME"/>
        </w:rPr>
      </w:pPr>
    </w:p>
    <w:p w14:paraId="1DBEEB41" w14:textId="33D7A09E"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Povišenje krvnog pritiska</w:t>
      </w:r>
    </w:p>
    <w:p w14:paraId="72399494" w14:textId="77777777" w:rsidR="0089543B" w:rsidRDefault="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053D436" w14:textId="062FD855"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U kliničkim studijama faze III sa fiksnom kombinacijom naltrekson/bupropion zabilježeno je rano, prolazno povećanje srednje vrijednosti sistolnog i dijastolnog krvnog pritiska do 1 mmHg u odnosu na početne vrijednosti. U ispitivanju kardiovaskularnih ishoda (CVOT) kod pacijenata sa povišenim rizikom od kardiovaskularnih događaja, zabilježena su srednja povećanja sistolnog i dijastolnog krvnog pritiska za približno 1 mmHg u poređenju sa placebom. U kliničkoj praksi sa drugim ljekovima koji sadrže bupropion, prijavljena je hipertenzija, u nekim slučajevima i teška koja je zahtijevala akutno liječenje.</w:t>
      </w:r>
      <w:r w:rsidR="00E074BE" w:rsidRPr="00E074BE">
        <w:rPr>
          <w:lang w:val="sr-Latn-ME"/>
        </w:rPr>
        <w:t xml:space="preserve"> </w:t>
      </w:r>
      <w:r w:rsidR="00E074BE" w:rsidRPr="008478C1">
        <w:rPr>
          <w:rFonts w:ascii="Times New Roman" w:eastAsia="Times New Roman" w:hAnsi="Times New Roman" w:cs="Times New Roman"/>
          <w:bCs/>
          <w:lang w:val="sr-Latn-ME"/>
        </w:rPr>
        <w:t>Osim toga, zabilježeni su u periodu nakon stavljanja lijeka u promet slučajevi hipertenzivne krize tokom početne faze titracije fiksnom kombinacijom bupropion/naltrekson.</w:t>
      </w:r>
    </w:p>
    <w:p w14:paraId="6B00ECE9"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1D8DA9EC"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Potrebna je kontrola krvnog pritiska i pulsa prije započinjanja liječenja fiksnom kombinacijom naltrekson/bupropion, uz kasnije praćenje u redovnim intervalima u skladu sa uobičajenom kliničkom praksom. Ukoliko se kod pacijenata pojavi klinički značajno i održivo povećanje krvnog pritiska ili ubrzan puls, potrebno je prekinuti terapiju fiksnom kombinacijom naltrekson/bupropion.</w:t>
      </w:r>
    </w:p>
    <w:p w14:paraId="5EBC7F33"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0068B7C6" w14:textId="69C77B96"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bookmarkStart w:id="3" w:name="_Hlk17291945"/>
      <w:r w:rsidRPr="00643CB3">
        <w:rPr>
          <w:rFonts w:ascii="Times New Roman" w:eastAsia="Times New Roman" w:hAnsi="Times New Roman" w:cs="Times New Roman"/>
          <w:bCs/>
          <w:lang w:val="sr-Latn-ME"/>
        </w:rPr>
        <w:t>Fiksnu kombinaciju naltrekson/bupropion</w:t>
      </w:r>
      <w:bookmarkEnd w:id="3"/>
      <w:r w:rsidRPr="00643CB3">
        <w:rPr>
          <w:rFonts w:ascii="Times New Roman" w:eastAsia="Times New Roman" w:hAnsi="Times New Roman" w:cs="Times New Roman"/>
          <w:bCs/>
          <w:lang w:val="sr-Latn-ME"/>
        </w:rPr>
        <w:t xml:space="preserve"> treba davati uz oprez pacijentima sa kontrolisanom hipertenzijom, dok se pacijentima sa nekontrolisanom hipertenzijom ovaj lijek ne smije davati (vidjeti </w:t>
      </w:r>
      <w:r w:rsidR="00840DEF">
        <w:rPr>
          <w:rFonts w:ascii="Times New Roman" w:eastAsia="Times New Roman" w:hAnsi="Times New Roman" w:cs="Times New Roman"/>
          <w:bCs/>
          <w:lang w:val="sr-Latn-ME"/>
        </w:rPr>
        <w:t>dio</w:t>
      </w:r>
      <w:r w:rsidRPr="00643CB3">
        <w:rPr>
          <w:rFonts w:ascii="Times New Roman" w:eastAsia="Times New Roman" w:hAnsi="Times New Roman" w:cs="Times New Roman"/>
          <w:bCs/>
          <w:lang w:val="sr-Latn-ME"/>
        </w:rPr>
        <w:t xml:space="preserve"> 4.3).</w:t>
      </w:r>
    </w:p>
    <w:p w14:paraId="4C5EDE27"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6E7D52FC" w14:textId="77777777"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Kardiovaskularna oboljenja</w:t>
      </w:r>
    </w:p>
    <w:p w14:paraId="58E58D73"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lastRenderedPageBreak/>
        <w:t>Ne postoji kliničko iskustvo koje bi potvrdilo bezbjednost fiksne kombinacije naltrekson/bupropion kod pacijenata sa nedavnim infarktom miokarda u anamnezi, nestabilnom bolešću srca ili kongestivnom srčanom insuficijencijom NYHA klase III ili IV. Potreban je oprez ako se fiksna kombinacija naltrekson/bupropion primjenjuje kod pacijenata sa aktivnom bolešću koronarne arterije (npr. aktivna angina pektoris ili nedavni infarkt miokarda u anamnezi) ili sa cerebrovaskularnom bolešću u anamnezi.</w:t>
      </w:r>
    </w:p>
    <w:p w14:paraId="79705103" w14:textId="77777777" w:rsid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35C41FB8" w14:textId="77777777" w:rsidR="006957E1" w:rsidRPr="006957E1" w:rsidRDefault="006957E1" w:rsidP="003248FD">
      <w:pPr>
        <w:tabs>
          <w:tab w:val="left" w:pos="284"/>
        </w:tabs>
        <w:spacing w:after="0" w:line="240" w:lineRule="auto"/>
        <w:jc w:val="both"/>
        <w:rPr>
          <w:rFonts w:ascii="Times New Roman" w:eastAsia="Times New Roman" w:hAnsi="Times New Roman" w:cs="Times New Roman"/>
        </w:rPr>
      </w:pPr>
      <w:r w:rsidRPr="006957E1">
        <w:rPr>
          <w:rFonts w:ascii="Times New Roman" w:eastAsia="Times New Roman" w:hAnsi="Times New Roman" w:cs="Times New Roman"/>
        </w:rPr>
        <w:t>Brugada sindrom</w:t>
      </w:r>
    </w:p>
    <w:p w14:paraId="4001B71A" w14:textId="77777777" w:rsidR="006957E1" w:rsidRPr="006957E1" w:rsidRDefault="006957E1" w:rsidP="003248FD">
      <w:pPr>
        <w:tabs>
          <w:tab w:val="left" w:pos="284"/>
        </w:tabs>
        <w:spacing w:after="0" w:line="240" w:lineRule="auto"/>
        <w:jc w:val="both"/>
        <w:rPr>
          <w:rFonts w:ascii="Times New Roman" w:eastAsia="Times New Roman" w:hAnsi="Times New Roman" w:cs="Times New Roman"/>
        </w:rPr>
      </w:pPr>
    </w:p>
    <w:p w14:paraId="1CDA3172" w14:textId="1CFFF8D5" w:rsidR="006957E1" w:rsidRPr="006957E1" w:rsidRDefault="006957E1" w:rsidP="00AE3A56">
      <w:pPr>
        <w:tabs>
          <w:tab w:val="left" w:pos="284"/>
        </w:tabs>
        <w:spacing w:after="0" w:line="240" w:lineRule="auto"/>
        <w:jc w:val="both"/>
        <w:rPr>
          <w:rFonts w:ascii="Times New Roman" w:eastAsia="Times New Roman" w:hAnsi="Times New Roman" w:cs="Times New Roman"/>
        </w:rPr>
      </w:pPr>
      <w:r w:rsidRPr="006957E1">
        <w:rPr>
          <w:rFonts w:ascii="Times New Roman" w:eastAsia="Times New Roman" w:hAnsi="Times New Roman" w:cs="Times New Roman"/>
        </w:rPr>
        <w:t>Bupropion može da razotkrije Brugada sindrom, r</w:t>
      </w:r>
      <w:r>
        <w:rPr>
          <w:rFonts w:ascii="Times New Roman" w:eastAsia="Times New Roman" w:hAnsi="Times New Roman" w:cs="Times New Roman"/>
        </w:rPr>
        <w:t>ij</w:t>
      </w:r>
      <w:r w:rsidRPr="006957E1">
        <w:rPr>
          <w:rFonts w:ascii="Times New Roman" w:eastAsia="Times New Roman" w:hAnsi="Times New Roman" w:cs="Times New Roman"/>
        </w:rPr>
        <w:t>etku nasl</w:t>
      </w:r>
      <w:r>
        <w:rPr>
          <w:rFonts w:ascii="Times New Roman" w:eastAsia="Times New Roman" w:hAnsi="Times New Roman" w:cs="Times New Roman"/>
        </w:rPr>
        <w:t>j</w:t>
      </w:r>
      <w:r w:rsidRPr="006957E1">
        <w:rPr>
          <w:rFonts w:ascii="Times New Roman" w:eastAsia="Times New Roman" w:hAnsi="Times New Roman" w:cs="Times New Roman"/>
        </w:rPr>
        <w:t>ednu bolest srčanih natrijum</w:t>
      </w:r>
      <w:r w:rsidR="0089543B">
        <w:rPr>
          <w:rFonts w:ascii="Times New Roman" w:eastAsia="Times New Roman" w:hAnsi="Times New Roman" w:cs="Times New Roman"/>
        </w:rPr>
        <w:t>skih</w:t>
      </w:r>
      <w:r w:rsidRPr="006957E1">
        <w:rPr>
          <w:rFonts w:ascii="Times New Roman" w:eastAsia="Times New Roman" w:hAnsi="Times New Roman" w:cs="Times New Roman"/>
        </w:rPr>
        <w:t xml:space="preserve"> kanala </w:t>
      </w:r>
      <w:proofErr w:type="gramStart"/>
      <w:r w:rsidRPr="006957E1">
        <w:rPr>
          <w:rFonts w:ascii="Times New Roman" w:eastAsia="Times New Roman" w:hAnsi="Times New Roman" w:cs="Times New Roman"/>
        </w:rPr>
        <w:t>sa</w:t>
      </w:r>
      <w:proofErr w:type="gramEnd"/>
      <w:r w:rsidRPr="006957E1">
        <w:rPr>
          <w:rFonts w:ascii="Times New Roman" w:eastAsia="Times New Roman" w:hAnsi="Times New Roman" w:cs="Times New Roman"/>
        </w:rPr>
        <w:t xml:space="preserve"> karakterističnim EKG prom</w:t>
      </w:r>
      <w:r>
        <w:rPr>
          <w:rFonts w:ascii="Times New Roman" w:eastAsia="Times New Roman" w:hAnsi="Times New Roman" w:cs="Times New Roman"/>
        </w:rPr>
        <w:t>j</w:t>
      </w:r>
      <w:r w:rsidRPr="006957E1">
        <w:rPr>
          <w:rFonts w:ascii="Times New Roman" w:eastAsia="Times New Roman" w:hAnsi="Times New Roman" w:cs="Times New Roman"/>
        </w:rPr>
        <w:t>enama (blok desne grane snopa i elevacija ST segmenta u desnim prekordijalnim odvodima), što može dovesti do srčanog zastoja ili iznenadne smrti. Oprez se sav</w:t>
      </w:r>
      <w:r>
        <w:rPr>
          <w:rFonts w:ascii="Times New Roman" w:eastAsia="Times New Roman" w:hAnsi="Times New Roman" w:cs="Times New Roman"/>
        </w:rPr>
        <w:t>j</w:t>
      </w:r>
      <w:r w:rsidRPr="006957E1">
        <w:rPr>
          <w:rFonts w:ascii="Times New Roman" w:eastAsia="Times New Roman" w:hAnsi="Times New Roman" w:cs="Times New Roman"/>
        </w:rPr>
        <w:t xml:space="preserve">etuje kod pacijenata </w:t>
      </w:r>
      <w:proofErr w:type="gramStart"/>
      <w:r w:rsidRPr="006957E1">
        <w:rPr>
          <w:rFonts w:ascii="Times New Roman" w:eastAsia="Times New Roman" w:hAnsi="Times New Roman" w:cs="Times New Roman"/>
        </w:rPr>
        <w:t>sa</w:t>
      </w:r>
      <w:proofErr w:type="gramEnd"/>
      <w:r w:rsidRPr="006957E1">
        <w:rPr>
          <w:rFonts w:ascii="Times New Roman" w:eastAsia="Times New Roman" w:hAnsi="Times New Roman" w:cs="Times New Roman"/>
        </w:rPr>
        <w:t xml:space="preserve"> Brugada sindromom ili porodičnom istorijom srčanog zastoja ili iznenadne smrti.</w:t>
      </w:r>
    </w:p>
    <w:p w14:paraId="75AF95E1" w14:textId="77777777" w:rsidR="006957E1" w:rsidRPr="00643CB3" w:rsidRDefault="006957E1" w:rsidP="007543E5">
      <w:pPr>
        <w:tabs>
          <w:tab w:val="left" w:pos="540"/>
          <w:tab w:val="left" w:pos="569"/>
        </w:tabs>
        <w:spacing w:after="0" w:line="240" w:lineRule="auto"/>
        <w:jc w:val="both"/>
        <w:rPr>
          <w:rFonts w:ascii="Times New Roman" w:eastAsia="Times New Roman" w:hAnsi="Times New Roman" w:cs="Times New Roman"/>
          <w:bCs/>
          <w:lang w:val="sr-Latn-ME"/>
        </w:rPr>
      </w:pPr>
    </w:p>
    <w:p w14:paraId="64E0D0EE" w14:textId="1AB6C6E6" w:rsidR="00643CB3" w:rsidRDefault="00643CB3" w:rsidP="0089543B">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Hepatotoksičnost</w:t>
      </w:r>
    </w:p>
    <w:p w14:paraId="70F91A00" w14:textId="77777777" w:rsidR="0089543B" w:rsidRDefault="0089543B" w:rsidP="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1FBC2995"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U završenim kliničkim studijama sa fiksnom kombinacijom naltrekson/bupropion u kojima su dnevne doze naltrekson hidrohlorida bile u rasponu od 16 mg do 48 mg, prijavljeno je oštećenje jetre usljed terapije lijekom (engl. </w:t>
      </w:r>
      <w:r w:rsidRPr="00643CB3">
        <w:rPr>
          <w:rFonts w:ascii="Times New Roman" w:eastAsia="Times New Roman" w:hAnsi="Times New Roman" w:cs="Times New Roman"/>
          <w:bCs/>
          <w:i/>
          <w:lang w:val="sr-Latn-ME"/>
        </w:rPr>
        <w:t>Drug-induced liver injury</w:t>
      </w:r>
      <w:r w:rsidRPr="00643CB3">
        <w:rPr>
          <w:rFonts w:ascii="Times New Roman" w:eastAsia="Times New Roman" w:hAnsi="Times New Roman" w:cs="Times New Roman"/>
          <w:bCs/>
          <w:lang w:val="sr-Latn-ME"/>
        </w:rPr>
        <w:t>, DILI). Takođe, u postmarketinškom periodu, javili su se slučajevi povišenih vrijednosti enzima jetre. Pacijent kod koga se sumnja da je došlo do DILI mora da prekine terapiju fiksnom kombinacijom naltrekson/bupropion.</w:t>
      </w:r>
    </w:p>
    <w:p w14:paraId="1093FAEB"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180DCF48" w14:textId="4D8070AD"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Stariji pacijenti</w:t>
      </w:r>
    </w:p>
    <w:p w14:paraId="536F8BD1" w14:textId="77777777" w:rsidR="0089543B" w:rsidRDefault="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64D5C2B0" w14:textId="668790FD"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Kliničke studije sa fiksnom kombinacijom naltrekson/bupropion ni</w:t>
      </w:r>
      <w:r w:rsidR="0089543B">
        <w:rPr>
          <w:rFonts w:ascii="Times New Roman" w:eastAsia="Times New Roman" w:hAnsi="Times New Roman" w:cs="Times New Roman"/>
          <w:bCs/>
          <w:lang w:val="sr-Latn-ME"/>
        </w:rPr>
        <w:t>je</w:t>
      </w:r>
      <w:r w:rsidRPr="00643CB3">
        <w:rPr>
          <w:rFonts w:ascii="Times New Roman" w:eastAsia="Times New Roman" w:hAnsi="Times New Roman" w:cs="Times New Roman"/>
          <w:bCs/>
          <w:lang w:val="sr-Latn-ME"/>
        </w:rPr>
        <w:t>su uključile dovoljan broj ispitanika starosti 65 godina i više kako bi se utvrdilo da li oni imaju drugačiji odgovor na lijek u odnosu na mlađe ispitanike. Kod starijih pacijenata izraženija je pojava neželjenih reakcija na naltrekson/bupropion na nivou centralnog nervnog sistema, nego kod ostale populacije. Poznato je da se naltrekson i bupropion uglavnom izlučuju preko bubrega, pa rizik od neželjenih reakcija na fiksnu kombinaciju naltrekson/bupropion može biti veći kod pacijenata sa oštećenom funkcijom bubrega, stanjem koje je učestalije kod starijih osoba. Zbog toga, lijek Mysimba treba koristiti uz oprez kod pacijenata starijih od 65 godina, dok se upotreba ovog lijeka ne preporučuje kod pacijenata starijih od 75 godina.</w:t>
      </w:r>
    </w:p>
    <w:p w14:paraId="779AC95A"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082B85B9" w14:textId="5CCA5854"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Oštećenje funkcije bubrega</w:t>
      </w:r>
    </w:p>
    <w:p w14:paraId="59AB673B" w14:textId="77777777" w:rsidR="0089543B" w:rsidRDefault="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08B5BFC9" w14:textId="3C2840A3"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lang w:val="sr-Latn-ME"/>
        </w:rPr>
        <w:t>Fiksna kombinacija naltrekson/bupropion</w:t>
      </w:r>
      <w:r w:rsidRPr="00643CB3">
        <w:rPr>
          <w:rFonts w:ascii="Times New Roman" w:eastAsia="Times New Roman" w:hAnsi="Times New Roman" w:cs="Times New Roman"/>
          <w:bCs/>
          <w:lang w:val="sr-Latn-ME"/>
        </w:rPr>
        <w:t xml:space="preserve"> nije procjenjivana kod većeg broja ispitanika sa insuficijencijom bubrega. </w:t>
      </w:r>
      <w:r w:rsidRPr="00643CB3">
        <w:rPr>
          <w:rFonts w:ascii="Times New Roman" w:eastAsia="Times New Roman" w:hAnsi="Times New Roman" w:cs="Times New Roman"/>
          <w:lang w:val="sr-Latn-ME"/>
        </w:rPr>
        <w:t>Fiksna kombinacija naltrekson/bupropion</w:t>
      </w:r>
      <w:r w:rsidRPr="00643CB3">
        <w:rPr>
          <w:rFonts w:ascii="Times New Roman" w:eastAsia="Times New Roman" w:hAnsi="Times New Roman" w:cs="Times New Roman"/>
          <w:bCs/>
          <w:lang w:val="sr-Latn-ME"/>
        </w:rPr>
        <w:t xml:space="preserve"> je kontraindikovana kod pacijenata u terminalnoj fazi bubrežne insuficijencije. </w:t>
      </w:r>
      <w:r w:rsidRPr="00643CB3">
        <w:rPr>
          <w:rFonts w:ascii="Times New Roman" w:eastAsia="Times New Roman" w:hAnsi="Times New Roman" w:cs="Times New Roman"/>
          <w:lang w:val="sr-Latn-ME"/>
        </w:rPr>
        <w:t xml:space="preserve">Kod pacijenata sa umjerenim ili teškim oštećenjem funkcije bubrega, maksimalna preporučena dnevna doza fiksne kombinacije naltrekson/bupropion treba da se smanji, s obzirom da kod ovih pacijenata koncentracije lijeka u plazmi mogu biti veće, što može dovesti do povećanja </w:t>
      </w:r>
      <w:r w:rsidR="00921122">
        <w:rPr>
          <w:rFonts w:ascii="Times New Roman" w:eastAsia="Times New Roman" w:hAnsi="Times New Roman" w:cs="Times New Roman"/>
          <w:lang w:val="sr-Latn-ME"/>
        </w:rPr>
        <w:t>incidence</w:t>
      </w:r>
      <w:r w:rsidR="00921122"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neželjenih reakcija na ovaj lijek</w:t>
      </w:r>
      <w:r w:rsidRPr="00643CB3">
        <w:rPr>
          <w:rFonts w:ascii="Times New Roman" w:eastAsia="Times New Roman" w:hAnsi="Times New Roman" w:cs="Times New Roman"/>
          <w:bCs/>
          <w:lang w:val="sr-Latn-ME"/>
        </w:rPr>
        <w:t xml:space="preserve"> (vidjeti </w:t>
      </w:r>
      <w:r w:rsidR="00840DEF">
        <w:rPr>
          <w:rFonts w:ascii="Times New Roman" w:eastAsia="Times New Roman" w:hAnsi="Times New Roman" w:cs="Times New Roman"/>
          <w:bCs/>
          <w:lang w:val="sr-Latn-ME"/>
        </w:rPr>
        <w:t>djelove</w:t>
      </w:r>
      <w:r w:rsidR="00840DEF"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4.2, 4.8 i 5.2). Kod pacijenata sa povećanim rizikom od oštećenja funkcije bubrega, posebno kod pacijenata sa dijabetesom ili starijih osoba, potrebno je utvrditi procijenjenu brzinu glomerularne filtracije (eGFR) prije početka terapije fiksnom kombinacijom naltrekson/bupropion.</w:t>
      </w:r>
    </w:p>
    <w:p w14:paraId="3F8B30A0"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59D54337" w14:textId="2C89CBCB"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Oštećenje funkcije jetre</w:t>
      </w:r>
    </w:p>
    <w:p w14:paraId="3D5C07BC" w14:textId="77777777" w:rsidR="0089543B" w:rsidRDefault="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65806DB2" w14:textId="11177F4E" w:rsid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bookmarkStart w:id="4" w:name="_Hlk17292690"/>
      <w:r w:rsidRPr="00643CB3">
        <w:rPr>
          <w:rFonts w:ascii="Times New Roman" w:eastAsia="Times New Roman" w:hAnsi="Times New Roman" w:cs="Times New Roman"/>
          <w:bCs/>
          <w:lang w:val="sr-Latn-ME"/>
        </w:rPr>
        <w:t xml:space="preserve">Fiksna kombinacija naltrekson/bupropion </w:t>
      </w:r>
      <w:bookmarkEnd w:id="4"/>
      <w:r w:rsidRPr="00643CB3">
        <w:rPr>
          <w:rFonts w:ascii="Times New Roman" w:eastAsia="Times New Roman" w:hAnsi="Times New Roman" w:cs="Times New Roman"/>
          <w:bCs/>
          <w:lang w:val="sr-Latn-ME"/>
        </w:rPr>
        <w:t xml:space="preserve">nije </w:t>
      </w:r>
      <w:r w:rsidR="00B65E09" w:rsidRPr="00B65E09">
        <w:rPr>
          <w:rFonts w:ascii="Times New Roman" w:eastAsia="Times New Roman" w:hAnsi="Times New Roman" w:cs="Times New Roman"/>
          <w:bCs/>
          <w:lang w:val="sr-Latn-ME"/>
        </w:rPr>
        <w:t xml:space="preserve">opsežno </w:t>
      </w:r>
      <w:r w:rsidRPr="00643CB3">
        <w:rPr>
          <w:rFonts w:ascii="Times New Roman" w:eastAsia="Times New Roman" w:hAnsi="Times New Roman" w:cs="Times New Roman"/>
          <w:bCs/>
          <w:lang w:val="sr-Latn-ME"/>
        </w:rPr>
        <w:t xml:space="preserve">procjenjivana kod ispitanika sa oštećenjem funkcije jetre. Fiksna kombinacija naltrekson/bupropion je kontraindikovana kod pacijenata sa teškim oštećenjem funkcije jetre. Takođe, ne preporučuje se ni kod pacijenata sa umjerenim oštećenjem funkcije jetre (vidjeti </w:t>
      </w:r>
      <w:r w:rsidR="00840DEF">
        <w:rPr>
          <w:rFonts w:ascii="Times New Roman" w:eastAsia="Times New Roman" w:hAnsi="Times New Roman" w:cs="Times New Roman"/>
          <w:bCs/>
          <w:lang w:val="sr-Latn-ME"/>
        </w:rPr>
        <w:t>djelove</w:t>
      </w:r>
      <w:r w:rsidR="00840DEF"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 xml:space="preserve">4.2, </w:t>
      </w:r>
      <w:r w:rsidR="00BD3843" w:rsidRPr="00BD3843">
        <w:rPr>
          <w:rFonts w:ascii="Times New Roman" w:eastAsia="Times New Roman" w:hAnsi="Times New Roman" w:cs="Times New Roman"/>
          <w:bCs/>
          <w:lang w:val="sr-Latn-ME"/>
        </w:rPr>
        <w:t>4.3</w:t>
      </w:r>
      <w:r w:rsidRPr="00643CB3">
        <w:rPr>
          <w:rFonts w:ascii="Times New Roman" w:eastAsia="Times New Roman" w:hAnsi="Times New Roman" w:cs="Times New Roman"/>
          <w:bCs/>
          <w:lang w:val="sr-Latn-ME"/>
        </w:rPr>
        <w:t xml:space="preserve"> i 5.2).</w:t>
      </w:r>
      <w:r w:rsidR="00BD3843">
        <w:rPr>
          <w:rFonts w:ascii="Times New Roman" w:eastAsia="Times New Roman" w:hAnsi="Times New Roman" w:cs="Times New Roman"/>
          <w:bCs/>
          <w:lang w:val="sr-Latn-ME"/>
        </w:rPr>
        <w:t xml:space="preserve"> </w:t>
      </w:r>
      <w:r w:rsidR="00BD3843" w:rsidRPr="00BD3843">
        <w:rPr>
          <w:rFonts w:ascii="Times New Roman" w:eastAsia="Times New Roman" w:hAnsi="Times New Roman" w:cs="Times New Roman"/>
          <w:bCs/>
          <w:lang w:val="sr-Latn-ME"/>
        </w:rPr>
        <w:t xml:space="preserve">Kod pacijenata sa blagim oštećenjem funkcije jetre, najviša preporučena dnevna doza fiksne kombinacije </w:t>
      </w:r>
      <w:r w:rsidR="00CE3215" w:rsidRPr="00CE3215">
        <w:rPr>
          <w:rFonts w:ascii="Times New Roman" w:eastAsia="Times New Roman" w:hAnsi="Times New Roman" w:cs="Times New Roman"/>
          <w:bCs/>
          <w:lang w:val="sr-Latn-ME"/>
        </w:rPr>
        <w:t>naltrekson/bupropion</w:t>
      </w:r>
      <w:r w:rsidR="00BD3843" w:rsidRPr="00BD3843">
        <w:rPr>
          <w:rFonts w:ascii="Times New Roman" w:eastAsia="Times New Roman" w:hAnsi="Times New Roman" w:cs="Times New Roman"/>
          <w:bCs/>
          <w:lang w:val="sr-Latn-ME"/>
        </w:rPr>
        <w:t xml:space="preserve"> mora da se smanji jer ti pacijenti mogu imati više koncentracije l</w:t>
      </w:r>
      <w:r w:rsidR="00FA4F77">
        <w:rPr>
          <w:rFonts w:ascii="Times New Roman" w:eastAsia="Times New Roman" w:hAnsi="Times New Roman" w:cs="Times New Roman"/>
          <w:bCs/>
          <w:lang w:val="sr-Latn-ME"/>
        </w:rPr>
        <w:t>ij</w:t>
      </w:r>
      <w:r w:rsidR="00BD3843" w:rsidRPr="00BD3843">
        <w:rPr>
          <w:rFonts w:ascii="Times New Roman" w:eastAsia="Times New Roman" w:hAnsi="Times New Roman" w:cs="Times New Roman"/>
          <w:bCs/>
          <w:lang w:val="sr-Latn-ME"/>
        </w:rPr>
        <w:t>eka što bi moglo da rezultira povećanjem učestalosti neželjenih reakcija (vid</w:t>
      </w:r>
      <w:r w:rsidR="00D0010B">
        <w:rPr>
          <w:rFonts w:ascii="Times New Roman" w:eastAsia="Times New Roman" w:hAnsi="Times New Roman" w:cs="Times New Roman"/>
          <w:bCs/>
          <w:lang w:val="sr-Latn-ME"/>
        </w:rPr>
        <w:t>j</w:t>
      </w:r>
      <w:r w:rsidR="00BD3843" w:rsidRPr="00BD3843">
        <w:rPr>
          <w:rFonts w:ascii="Times New Roman" w:eastAsia="Times New Roman" w:hAnsi="Times New Roman" w:cs="Times New Roman"/>
          <w:bCs/>
          <w:lang w:val="sr-Latn-ME"/>
        </w:rPr>
        <w:t xml:space="preserve">eti </w:t>
      </w:r>
      <w:r w:rsidR="00840DEF">
        <w:rPr>
          <w:rFonts w:ascii="Times New Roman" w:eastAsia="Times New Roman" w:hAnsi="Times New Roman" w:cs="Times New Roman"/>
          <w:bCs/>
          <w:lang w:val="sr-Latn-ME"/>
        </w:rPr>
        <w:t>djelove</w:t>
      </w:r>
      <w:r w:rsidR="00840DEF" w:rsidRPr="00BD3843">
        <w:rPr>
          <w:rFonts w:ascii="Times New Roman" w:eastAsia="Times New Roman" w:hAnsi="Times New Roman" w:cs="Times New Roman"/>
          <w:bCs/>
          <w:lang w:val="sr-Latn-ME"/>
        </w:rPr>
        <w:t xml:space="preserve"> </w:t>
      </w:r>
      <w:r w:rsidR="00BD3843" w:rsidRPr="00BD3843">
        <w:rPr>
          <w:rFonts w:ascii="Times New Roman" w:eastAsia="Times New Roman" w:hAnsi="Times New Roman" w:cs="Times New Roman"/>
          <w:bCs/>
          <w:lang w:val="sr-Latn-ME"/>
        </w:rPr>
        <w:t>4.2 i 5.2)</w:t>
      </w:r>
      <w:r w:rsidR="00BD3843">
        <w:rPr>
          <w:rFonts w:ascii="Times New Roman" w:eastAsia="Times New Roman" w:hAnsi="Times New Roman" w:cs="Times New Roman"/>
          <w:bCs/>
          <w:lang w:val="sr-Latn-ME"/>
        </w:rPr>
        <w:t>.</w:t>
      </w:r>
    </w:p>
    <w:p w14:paraId="0AFD21E8" w14:textId="48FE5F09" w:rsidR="00AB4BC7" w:rsidRDefault="00AB4BC7">
      <w:pPr>
        <w:tabs>
          <w:tab w:val="left" w:pos="540"/>
          <w:tab w:val="left" w:pos="569"/>
        </w:tabs>
        <w:spacing w:after="0" w:line="240" w:lineRule="auto"/>
        <w:jc w:val="both"/>
        <w:rPr>
          <w:rFonts w:ascii="Times New Roman" w:eastAsia="Times New Roman" w:hAnsi="Times New Roman" w:cs="Times New Roman"/>
          <w:bCs/>
          <w:lang w:val="sr-Latn-ME"/>
        </w:rPr>
      </w:pPr>
    </w:p>
    <w:p w14:paraId="5BA0BC02" w14:textId="617507C7" w:rsidR="001975D6" w:rsidRDefault="001975D6">
      <w:pPr>
        <w:tabs>
          <w:tab w:val="left" w:pos="540"/>
          <w:tab w:val="left" w:pos="569"/>
        </w:tabs>
        <w:spacing w:after="0" w:line="240" w:lineRule="auto"/>
        <w:jc w:val="both"/>
        <w:rPr>
          <w:rFonts w:ascii="Times New Roman" w:eastAsia="Times New Roman" w:hAnsi="Times New Roman" w:cs="Times New Roman"/>
          <w:bCs/>
          <w:u w:val="single"/>
          <w:lang w:val="sr-Latn-ME"/>
        </w:rPr>
      </w:pPr>
      <w:r w:rsidRPr="00E21E63">
        <w:rPr>
          <w:rFonts w:ascii="Times New Roman" w:eastAsia="Times New Roman" w:hAnsi="Times New Roman" w:cs="Times New Roman"/>
          <w:bCs/>
          <w:u w:val="single"/>
          <w:lang w:val="sr-Latn-ME"/>
        </w:rPr>
        <w:t>Serotoninski sindrom</w:t>
      </w:r>
    </w:p>
    <w:p w14:paraId="61B84883" w14:textId="77777777" w:rsidR="0089543B" w:rsidRPr="00E21E63" w:rsidRDefault="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0597F4E" w14:textId="5C332BD5" w:rsidR="001975D6" w:rsidRPr="005F1878" w:rsidRDefault="001975D6">
      <w:pPr>
        <w:tabs>
          <w:tab w:val="left" w:pos="540"/>
          <w:tab w:val="left" w:pos="569"/>
        </w:tabs>
        <w:spacing w:after="0" w:line="240" w:lineRule="auto"/>
        <w:jc w:val="both"/>
        <w:rPr>
          <w:rFonts w:ascii="Times New Roman" w:eastAsia="Times New Roman" w:hAnsi="Times New Roman" w:cs="Times New Roman"/>
          <w:bCs/>
          <w:lang w:val="sr-Latn-ME"/>
        </w:rPr>
      </w:pPr>
      <w:r w:rsidRPr="005F1878">
        <w:rPr>
          <w:rFonts w:ascii="Times New Roman" w:eastAsia="Times New Roman" w:hAnsi="Times New Roman" w:cs="Times New Roman"/>
          <w:bCs/>
          <w:lang w:val="sr-Latn-ME"/>
        </w:rPr>
        <w:t>Postoje izv</w:t>
      </w:r>
      <w:r w:rsidR="005A53F5" w:rsidRPr="005F1878">
        <w:rPr>
          <w:rFonts w:ascii="Times New Roman" w:eastAsia="Times New Roman" w:hAnsi="Times New Roman" w:cs="Times New Roman"/>
          <w:bCs/>
          <w:lang w:val="sr-Latn-ME"/>
        </w:rPr>
        <w:t>j</w:t>
      </w:r>
      <w:r w:rsidRPr="005F1878">
        <w:rPr>
          <w:rFonts w:ascii="Times New Roman" w:eastAsia="Times New Roman" w:hAnsi="Times New Roman" w:cs="Times New Roman"/>
          <w:bCs/>
          <w:lang w:val="sr-Latn-ME"/>
        </w:rPr>
        <w:t>eštaji iz perioda nakon stavljanja l</w:t>
      </w:r>
      <w:r w:rsidR="00236468" w:rsidRPr="005F1878">
        <w:rPr>
          <w:rFonts w:ascii="Times New Roman" w:eastAsia="Times New Roman" w:hAnsi="Times New Roman" w:cs="Times New Roman"/>
          <w:bCs/>
          <w:lang w:val="sr-Latn-ME"/>
        </w:rPr>
        <w:t>ij</w:t>
      </w:r>
      <w:r w:rsidRPr="005F1878">
        <w:rPr>
          <w:rFonts w:ascii="Times New Roman" w:eastAsia="Times New Roman" w:hAnsi="Times New Roman" w:cs="Times New Roman"/>
          <w:bCs/>
          <w:lang w:val="sr-Latn-ME"/>
        </w:rPr>
        <w:t>eka u promet o serotoninskom sindromu, potencijalno po život opasnom stanju, kada se fiksna kombinacija bupropion/naltrekson davala istovremeno sa serotonergičkim l</w:t>
      </w:r>
      <w:r w:rsidR="00236468" w:rsidRPr="005F1878">
        <w:rPr>
          <w:rFonts w:ascii="Times New Roman" w:eastAsia="Times New Roman" w:hAnsi="Times New Roman" w:cs="Times New Roman"/>
          <w:bCs/>
          <w:lang w:val="sr-Latn-ME"/>
        </w:rPr>
        <w:t>j</w:t>
      </w:r>
      <w:r w:rsidRPr="005F1878">
        <w:rPr>
          <w:rFonts w:ascii="Times New Roman" w:eastAsia="Times New Roman" w:hAnsi="Times New Roman" w:cs="Times New Roman"/>
          <w:bCs/>
          <w:lang w:val="sr-Latn-ME"/>
        </w:rPr>
        <w:t>ekovima, kao što su selektivni inhibitori pr</w:t>
      </w:r>
      <w:r w:rsidR="00236468" w:rsidRPr="005F1878">
        <w:rPr>
          <w:rFonts w:ascii="Times New Roman" w:eastAsia="Times New Roman" w:hAnsi="Times New Roman" w:cs="Times New Roman"/>
          <w:bCs/>
          <w:lang w:val="sr-Latn-ME"/>
        </w:rPr>
        <w:t>eu</w:t>
      </w:r>
      <w:r w:rsidRPr="005F1878">
        <w:rPr>
          <w:rFonts w:ascii="Times New Roman" w:eastAsia="Times New Roman" w:hAnsi="Times New Roman" w:cs="Times New Roman"/>
          <w:bCs/>
          <w:lang w:val="sr-Latn-ME"/>
        </w:rPr>
        <w:t>zimanja serotonina (SSRI) ili inhibitori pr</w:t>
      </w:r>
      <w:r w:rsidR="00236468" w:rsidRPr="005F1878">
        <w:rPr>
          <w:rFonts w:ascii="Times New Roman" w:eastAsia="Times New Roman" w:hAnsi="Times New Roman" w:cs="Times New Roman"/>
          <w:bCs/>
          <w:lang w:val="sr-Latn-ME"/>
        </w:rPr>
        <w:t>e</w:t>
      </w:r>
      <w:r w:rsidRPr="005F1878">
        <w:rPr>
          <w:rFonts w:ascii="Times New Roman" w:eastAsia="Times New Roman" w:hAnsi="Times New Roman" w:cs="Times New Roman"/>
          <w:bCs/>
          <w:lang w:val="sr-Latn-ME"/>
        </w:rPr>
        <w:t>uzimanja serotonina i norepinefrina (SNRI) (vid</w:t>
      </w:r>
      <w:r w:rsidR="00236468" w:rsidRPr="005F1878">
        <w:rPr>
          <w:rFonts w:ascii="Times New Roman" w:eastAsia="Times New Roman" w:hAnsi="Times New Roman" w:cs="Times New Roman"/>
          <w:bCs/>
          <w:lang w:val="sr-Latn-ME"/>
        </w:rPr>
        <w:t>j</w:t>
      </w:r>
      <w:r w:rsidRPr="005F1878">
        <w:rPr>
          <w:rFonts w:ascii="Times New Roman" w:eastAsia="Times New Roman" w:hAnsi="Times New Roman" w:cs="Times New Roman"/>
          <w:bCs/>
          <w:lang w:val="sr-Latn-ME"/>
        </w:rPr>
        <w:t xml:space="preserve">eti </w:t>
      </w:r>
      <w:r w:rsidR="00840DEF">
        <w:rPr>
          <w:rFonts w:ascii="Times New Roman" w:eastAsia="Times New Roman" w:hAnsi="Times New Roman" w:cs="Times New Roman"/>
          <w:bCs/>
          <w:lang w:val="sr-Latn-ME"/>
        </w:rPr>
        <w:t>djelove</w:t>
      </w:r>
      <w:r w:rsidR="00840DEF" w:rsidRPr="005F1878">
        <w:rPr>
          <w:rFonts w:ascii="Times New Roman" w:eastAsia="Times New Roman" w:hAnsi="Times New Roman" w:cs="Times New Roman"/>
          <w:bCs/>
          <w:lang w:val="sr-Latn-ME"/>
        </w:rPr>
        <w:t xml:space="preserve"> </w:t>
      </w:r>
      <w:r w:rsidRPr="005F1878">
        <w:rPr>
          <w:rFonts w:ascii="Times New Roman" w:eastAsia="Times New Roman" w:hAnsi="Times New Roman" w:cs="Times New Roman"/>
          <w:bCs/>
          <w:lang w:val="sr-Latn-ME"/>
        </w:rPr>
        <w:t>4.5 i 4.8). Ako je klinički opravdano istovremeno l</w:t>
      </w:r>
      <w:r w:rsidR="00236468" w:rsidRPr="005F1878">
        <w:rPr>
          <w:rFonts w:ascii="Times New Roman" w:eastAsia="Times New Roman" w:hAnsi="Times New Roman" w:cs="Times New Roman"/>
          <w:bCs/>
          <w:lang w:val="sr-Latn-ME"/>
        </w:rPr>
        <w:t>ij</w:t>
      </w:r>
      <w:r w:rsidRPr="005F1878">
        <w:rPr>
          <w:rFonts w:ascii="Times New Roman" w:eastAsia="Times New Roman" w:hAnsi="Times New Roman" w:cs="Times New Roman"/>
          <w:bCs/>
          <w:lang w:val="sr-Latn-ME"/>
        </w:rPr>
        <w:t>ečenje sa drugim serotonergičkim l</w:t>
      </w:r>
      <w:r w:rsidR="00236468" w:rsidRPr="005F1878">
        <w:rPr>
          <w:rFonts w:ascii="Times New Roman" w:eastAsia="Times New Roman" w:hAnsi="Times New Roman" w:cs="Times New Roman"/>
          <w:bCs/>
          <w:lang w:val="sr-Latn-ME"/>
        </w:rPr>
        <w:t>j</w:t>
      </w:r>
      <w:r w:rsidRPr="005F1878">
        <w:rPr>
          <w:rFonts w:ascii="Times New Roman" w:eastAsia="Times New Roman" w:hAnsi="Times New Roman" w:cs="Times New Roman"/>
          <w:bCs/>
          <w:lang w:val="sr-Latn-ME"/>
        </w:rPr>
        <w:t>ekovima, sav</w:t>
      </w:r>
      <w:r w:rsidR="00236468" w:rsidRPr="005F1878">
        <w:rPr>
          <w:rFonts w:ascii="Times New Roman" w:eastAsia="Times New Roman" w:hAnsi="Times New Roman" w:cs="Times New Roman"/>
          <w:bCs/>
          <w:lang w:val="sr-Latn-ME"/>
        </w:rPr>
        <w:t>j</w:t>
      </w:r>
      <w:r w:rsidRPr="005F1878">
        <w:rPr>
          <w:rFonts w:ascii="Times New Roman" w:eastAsia="Times New Roman" w:hAnsi="Times New Roman" w:cs="Times New Roman"/>
          <w:bCs/>
          <w:lang w:val="sr-Latn-ME"/>
        </w:rPr>
        <w:t>etuje se pažljivo posmatranje pacijenta, posebno tokom započinjanja l</w:t>
      </w:r>
      <w:r w:rsidR="00236468" w:rsidRPr="005F1878">
        <w:rPr>
          <w:rFonts w:ascii="Times New Roman" w:eastAsia="Times New Roman" w:hAnsi="Times New Roman" w:cs="Times New Roman"/>
          <w:bCs/>
          <w:lang w:val="sr-Latn-ME"/>
        </w:rPr>
        <w:t>ij</w:t>
      </w:r>
      <w:r w:rsidRPr="005F1878">
        <w:rPr>
          <w:rFonts w:ascii="Times New Roman" w:eastAsia="Times New Roman" w:hAnsi="Times New Roman" w:cs="Times New Roman"/>
          <w:bCs/>
          <w:lang w:val="sr-Latn-ME"/>
        </w:rPr>
        <w:t xml:space="preserve">ečenja i </w:t>
      </w:r>
      <w:r w:rsidR="00236468" w:rsidRPr="005F1878">
        <w:rPr>
          <w:rFonts w:ascii="Times New Roman" w:eastAsia="Times New Roman" w:hAnsi="Times New Roman" w:cs="Times New Roman"/>
          <w:bCs/>
          <w:lang w:val="sr-Latn-ME"/>
        </w:rPr>
        <w:t>povećanja</w:t>
      </w:r>
      <w:r w:rsidRPr="005F1878">
        <w:rPr>
          <w:rFonts w:ascii="Times New Roman" w:eastAsia="Times New Roman" w:hAnsi="Times New Roman" w:cs="Times New Roman"/>
          <w:bCs/>
          <w:lang w:val="sr-Latn-ME"/>
        </w:rPr>
        <w:t xml:space="preserve"> doze.</w:t>
      </w:r>
    </w:p>
    <w:p w14:paraId="6190C10C" w14:textId="264CBB57" w:rsidR="001975D6" w:rsidRDefault="001975D6">
      <w:pPr>
        <w:tabs>
          <w:tab w:val="left" w:pos="540"/>
          <w:tab w:val="left" w:pos="569"/>
        </w:tabs>
        <w:spacing w:after="0" w:line="240" w:lineRule="auto"/>
        <w:jc w:val="both"/>
        <w:rPr>
          <w:rFonts w:ascii="Times New Roman" w:eastAsia="Times New Roman" w:hAnsi="Times New Roman" w:cs="Times New Roman"/>
          <w:bCs/>
          <w:lang w:val="sr-Latn-ME"/>
        </w:rPr>
      </w:pPr>
      <w:r w:rsidRPr="005F1878">
        <w:rPr>
          <w:rFonts w:ascii="Times New Roman" w:eastAsia="Times New Roman" w:hAnsi="Times New Roman" w:cs="Times New Roman"/>
          <w:bCs/>
          <w:lang w:val="sr-Latn-ME"/>
        </w:rPr>
        <w:t>Serotoninski sindrom može uključivati prom</w:t>
      </w:r>
      <w:r w:rsidR="00236468" w:rsidRPr="005F1878">
        <w:rPr>
          <w:rFonts w:ascii="Times New Roman" w:eastAsia="Times New Roman" w:hAnsi="Times New Roman" w:cs="Times New Roman"/>
          <w:bCs/>
          <w:lang w:val="sr-Latn-ME"/>
        </w:rPr>
        <w:t>ij</w:t>
      </w:r>
      <w:r w:rsidRPr="005F1878">
        <w:rPr>
          <w:rFonts w:ascii="Times New Roman" w:eastAsia="Times New Roman" w:hAnsi="Times New Roman" w:cs="Times New Roman"/>
          <w:bCs/>
          <w:lang w:val="sr-Latn-ME"/>
        </w:rPr>
        <w:t>ene mentalnog statusa (npr. agitacija, halucinacije, koma), nestabilnost aut</w:t>
      </w:r>
      <w:r w:rsidR="00236468" w:rsidRPr="005F1878">
        <w:rPr>
          <w:rFonts w:ascii="Times New Roman" w:eastAsia="Times New Roman" w:hAnsi="Times New Roman" w:cs="Times New Roman"/>
          <w:bCs/>
          <w:lang w:val="sr-Latn-ME"/>
        </w:rPr>
        <w:t>o</w:t>
      </w:r>
      <w:r w:rsidRPr="005F1878">
        <w:rPr>
          <w:rFonts w:ascii="Times New Roman" w:eastAsia="Times New Roman" w:hAnsi="Times New Roman" w:cs="Times New Roman"/>
          <w:bCs/>
          <w:lang w:val="sr-Latn-ME"/>
        </w:rPr>
        <w:t>nomnog nervnog sistema (npr. tahikardija, labilni krvni pritisak, hipertermija), neuromišićne abnormalnosti (npr. hiperrefleksija, nekoordinisanost,</w:t>
      </w:r>
      <w:r w:rsidR="00236468" w:rsidRPr="005F1878">
        <w:rPr>
          <w:rFonts w:ascii="Times New Roman" w:eastAsia="Times New Roman" w:hAnsi="Times New Roman" w:cs="Times New Roman"/>
          <w:bCs/>
          <w:lang w:val="sr-Latn-ME"/>
        </w:rPr>
        <w:t xml:space="preserve"> </w:t>
      </w:r>
      <w:r w:rsidRPr="005F1878">
        <w:rPr>
          <w:rFonts w:ascii="Times New Roman" w:eastAsia="Times New Roman" w:hAnsi="Times New Roman" w:cs="Times New Roman"/>
          <w:bCs/>
          <w:lang w:val="sr-Latn-ME"/>
        </w:rPr>
        <w:t xml:space="preserve">rigidnost) i/ili gastrointestinalne simptome (npr. </w:t>
      </w:r>
      <w:r w:rsidR="00236468" w:rsidRPr="005F1878">
        <w:rPr>
          <w:rFonts w:ascii="Times New Roman" w:eastAsia="Times New Roman" w:hAnsi="Times New Roman" w:cs="Times New Roman"/>
          <w:bCs/>
          <w:lang w:val="sr-Latn-ME"/>
        </w:rPr>
        <w:t>povraćanje</w:t>
      </w:r>
      <w:r w:rsidRPr="005F1878">
        <w:rPr>
          <w:rFonts w:ascii="Times New Roman" w:eastAsia="Times New Roman" w:hAnsi="Times New Roman" w:cs="Times New Roman"/>
          <w:bCs/>
          <w:lang w:val="sr-Latn-ME"/>
        </w:rPr>
        <w:t>, dijareja). Ako se sumnja na serotoninski sindrom, treba razmotriti prekid terapije.</w:t>
      </w:r>
    </w:p>
    <w:p w14:paraId="220EFF57" w14:textId="77777777" w:rsidR="001975D6" w:rsidRPr="00643CB3" w:rsidRDefault="001975D6">
      <w:pPr>
        <w:tabs>
          <w:tab w:val="left" w:pos="540"/>
          <w:tab w:val="left" w:pos="569"/>
        </w:tabs>
        <w:spacing w:after="0" w:line="240" w:lineRule="auto"/>
        <w:jc w:val="both"/>
        <w:rPr>
          <w:rFonts w:ascii="Times New Roman" w:eastAsia="Times New Roman" w:hAnsi="Times New Roman" w:cs="Times New Roman"/>
          <w:bCs/>
          <w:lang w:val="sr-Latn-ME"/>
        </w:rPr>
      </w:pPr>
    </w:p>
    <w:p w14:paraId="2C0A6566" w14:textId="37575D30"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Neuropsihijatrijski simptomi i aktivacija manije</w:t>
      </w:r>
    </w:p>
    <w:p w14:paraId="2D9ED64D" w14:textId="77777777" w:rsidR="0089543B" w:rsidRDefault="0089543B">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5E0C2AA"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Aktiviranje manije i hipomanije je prijavljeno kod pacijenata sa poremećajima raspoloženja, koji su liječeni drugim sličnim ljekovima u terapiji velikog depresivnog poremećaja. Nije bilo prijave aktiviranja manije ili hipomanije u kliničkim studijama u kojima se procjenjivalo dejstvo fiksne kombinacije naltrekson/bupropion kod gojaznih ispitanika, u koje nijesu bili uključeni ispitanici koji su primali antidepresive. Fiksnu kombinaciju naltrekson/bupropion treba propisivati sa oprezom kod pacijenata sa manijom u anamnezi.</w:t>
      </w:r>
    </w:p>
    <w:p w14:paraId="3A98A79C" w14:textId="77777777" w:rsid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09B435E1" w14:textId="16156B92" w:rsidR="005A6892" w:rsidRPr="005A6892" w:rsidRDefault="005A6892">
      <w:pPr>
        <w:tabs>
          <w:tab w:val="left" w:pos="284"/>
        </w:tabs>
        <w:spacing w:after="0" w:line="240" w:lineRule="auto"/>
        <w:jc w:val="both"/>
        <w:rPr>
          <w:rFonts w:ascii="Times New Roman" w:eastAsia="Times New Roman" w:hAnsi="Times New Roman" w:cs="Times New Roman"/>
        </w:rPr>
      </w:pPr>
      <w:r w:rsidRPr="005A6892">
        <w:rPr>
          <w:rFonts w:ascii="Times New Roman" w:eastAsia="Times New Roman" w:hAnsi="Times New Roman" w:cs="Times New Roman"/>
        </w:rPr>
        <w:t>Prijavljeni su napadi panike pri prim</w:t>
      </w:r>
      <w:r>
        <w:rPr>
          <w:rFonts w:ascii="Times New Roman" w:eastAsia="Times New Roman" w:hAnsi="Times New Roman" w:cs="Times New Roman"/>
        </w:rPr>
        <w:t>j</w:t>
      </w:r>
      <w:r w:rsidRPr="005A6892">
        <w:rPr>
          <w:rFonts w:ascii="Times New Roman" w:eastAsia="Times New Roman" w:hAnsi="Times New Roman" w:cs="Times New Roman"/>
        </w:rPr>
        <w:t>eni l</w:t>
      </w:r>
      <w:r>
        <w:rPr>
          <w:rFonts w:ascii="Times New Roman" w:eastAsia="Times New Roman" w:hAnsi="Times New Roman" w:cs="Times New Roman"/>
        </w:rPr>
        <w:t>ij</w:t>
      </w:r>
      <w:r w:rsidRPr="005A6892">
        <w:rPr>
          <w:rFonts w:ascii="Times New Roman" w:eastAsia="Times New Roman" w:hAnsi="Times New Roman" w:cs="Times New Roman"/>
        </w:rPr>
        <w:t xml:space="preserve">eka Mysimba, naročito kod pacijenata </w:t>
      </w:r>
      <w:proofErr w:type="gramStart"/>
      <w:r w:rsidRPr="005A6892">
        <w:rPr>
          <w:rFonts w:ascii="Times New Roman" w:eastAsia="Times New Roman" w:hAnsi="Times New Roman" w:cs="Times New Roman"/>
        </w:rPr>
        <w:t>sa</w:t>
      </w:r>
      <w:proofErr w:type="gramEnd"/>
      <w:r w:rsidRPr="005A6892">
        <w:rPr>
          <w:rFonts w:ascii="Times New Roman" w:eastAsia="Times New Roman" w:hAnsi="Times New Roman" w:cs="Times New Roman"/>
        </w:rPr>
        <w:t xml:space="preserve"> psihijatrijskim poremećajima u anamnezi. Slučajevi su se uglavnom dešavali tokom početne faze titracije i nakon prom</w:t>
      </w:r>
      <w:r>
        <w:rPr>
          <w:rFonts w:ascii="Times New Roman" w:eastAsia="Times New Roman" w:hAnsi="Times New Roman" w:cs="Times New Roman"/>
        </w:rPr>
        <w:t>j</w:t>
      </w:r>
      <w:r w:rsidRPr="005A6892">
        <w:rPr>
          <w:rFonts w:ascii="Times New Roman" w:eastAsia="Times New Roman" w:hAnsi="Times New Roman" w:cs="Times New Roman"/>
        </w:rPr>
        <w:t>ena doze. L</w:t>
      </w:r>
      <w:r>
        <w:rPr>
          <w:rFonts w:ascii="Times New Roman" w:eastAsia="Times New Roman" w:hAnsi="Times New Roman" w:cs="Times New Roman"/>
        </w:rPr>
        <w:t>ij</w:t>
      </w:r>
      <w:r w:rsidRPr="005A6892">
        <w:rPr>
          <w:rFonts w:ascii="Times New Roman" w:eastAsia="Times New Roman" w:hAnsi="Times New Roman" w:cs="Times New Roman"/>
        </w:rPr>
        <w:t xml:space="preserve">ek Mysimba treba </w:t>
      </w:r>
      <w:proofErr w:type="gramStart"/>
      <w:r w:rsidRPr="005A6892">
        <w:rPr>
          <w:rFonts w:ascii="Times New Roman" w:eastAsia="Times New Roman" w:hAnsi="Times New Roman" w:cs="Times New Roman"/>
        </w:rPr>
        <w:t>sa</w:t>
      </w:r>
      <w:proofErr w:type="gramEnd"/>
      <w:r w:rsidRPr="005A6892">
        <w:rPr>
          <w:rFonts w:ascii="Times New Roman" w:eastAsia="Times New Roman" w:hAnsi="Times New Roman" w:cs="Times New Roman"/>
        </w:rPr>
        <w:t xml:space="preserve"> oprezom propisivati pacijentima sa psihijatrijskim poremećajima u anamnezi.</w:t>
      </w:r>
    </w:p>
    <w:p w14:paraId="1A737670" w14:textId="77777777" w:rsidR="005A6892" w:rsidRPr="00643CB3" w:rsidRDefault="005A6892">
      <w:pPr>
        <w:tabs>
          <w:tab w:val="left" w:pos="540"/>
          <w:tab w:val="left" w:pos="569"/>
        </w:tabs>
        <w:spacing w:after="0" w:line="240" w:lineRule="auto"/>
        <w:jc w:val="both"/>
        <w:rPr>
          <w:rFonts w:ascii="Times New Roman" w:eastAsia="Times New Roman" w:hAnsi="Times New Roman" w:cs="Times New Roman"/>
          <w:bCs/>
          <w:lang w:val="sr-Latn-ME"/>
        </w:rPr>
      </w:pPr>
    </w:p>
    <w:p w14:paraId="0D62D9D3"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Podaci iz studija na životinjama ukazuju na potencijal za zloupotrebu bupropiona. Međutim, ispitivanja o mogućnosti zloupotrebe kod ljudi, kao i veliko kliničko iskustvo, potvrđuju da postoji mali potencijal za zloupotrebu bupropiona.</w:t>
      </w:r>
    </w:p>
    <w:p w14:paraId="244B3870"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74C0F0C8" w14:textId="785AAEAD"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Uticaj na sposobnost upravljanja vozilima i rukovanje mašinama</w:t>
      </w:r>
    </w:p>
    <w:p w14:paraId="49EC127E" w14:textId="77777777" w:rsidR="004A0207" w:rsidRDefault="004A020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8E22F87" w14:textId="23596DC0"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Primjena fiksne kombinacije naltrekson/bupropiona povezana je sa somnolencijom i epizodama gubitka svijesti, ponekad uzrokovanih epileptičnim napadima. Pacijentima treba savjetovati oprez prilikom upravljanja vozilima ili rukovanja mašinama tokom liječenja fiksnom kombinacijom naltrekson/bupropionom, posebno na početku liječenja ili tokom faze titracije. Pacijentima kod kojih se javi vrtoglavica, somnolencija, gubitak svijesti ili epileptični napad treba savjetovati izbjegavanje upravljanja vozilima ili rada sa mašinama sve dok ta neželjena dejstva ne prestanu. Kao druga mogućnost, može da se razmotri prestanak liječenja (vidjeti </w:t>
      </w:r>
      <w:r w:rsidR="00840DEF">
        <w:rPr>
          <w:rFonts w:ascii="Times New Roman" w:eastAsia="Times New Roman" w:hAnsi="Times New Roman" w:cs="Times New Roman"/>
          <w:bCs/>
          <w:lang w:val="sr-Latn-ME"/>
        </w:rPr>
        <w:t>djelov</w:t>
      </w:r>
      <w:r w:rsidR="00840DEF" w:rsidRPr="00643CB3">
        <w:rPr>
          <w:rFonts w:ascii="Times New Roman" w:eastAsia="Times New Roman" w:hAnsi="Times New Roman" w:cs="Times New Roman"/>
          <w:bCs/>
          <w:lang w:val="sr-Latn-ME"/>
        </w:rPr>
        <w:t xml:space="preserve">e </w:t>
      </w:r>
      <w:r w:rsidRPr="00643CB3">
        <w:rPr>
          <w:rFonts w:ascii="Times New Roman" w:eastAsia="Times New Roman" w:hAnsi="Times New Roman" w:cs="Times New Roman"/>
          <w:bCs/>
          <w:lang w:val="sr-Latn-ME"/>
        </w:rPr>
        <w:t>4.7 i 4.8).</w:t>
      </w:r>
    </w:p>
    <w:p w14:paraId="08462616"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062FDDE2" w14:textId="4B42DFA4" w:rsidR="00643CB3" w:rsidRDefault="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Laktoza</w:t>
      </w:r>
    </w:p>
    <w:p w14:paraId="5F8A76EF" w14:textId="77777777" w:rsidR="004A0207" w:rsidRDefault="004A0207">
      <w:pPr>
        <w:tabs>
          <w:tab w:val="left" w:pos="540"/>
          <w:tab w:val="left" w:pos="569"/>
        </w:tabs>
        <w:spacing w:after="0" w:line="240" w:lineRule="auto"/>
        <w:jc w:val="both"/>
        <w:rPr>
          <w:rFonts w:ascii="Times New Roman" w:eastAsia="Times New Roman" w:hAnsi="Times New Roman" w:cs="Times New Roman"/>
          <w:bCs/>
          <w:u w:val="single"/>
          <w:lang w:val="sr-Latn-ME"/>
        </w:rPr>
      </w:pPr>
    </w:p>
    <w:p w14:paraId="755FC9F1"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Pacijenti sa rijetkim nasljednim oboljenjem intolerancije na galaktozu, </w:t>
      </w:r>
      <w:r w:rsidR="00D87781" w:rsidRPr="00D87781">
        <w:rPr>
          <w:rFonts w:ascii="Times New Roman" w:eastAsia="Times New Roman" w:hAnsi="Times New Roman" w:cs="Times New Roman"/>
          <w:bCs/>
          <w:lang w:val="sr-Latn-ME"/>
        </w:rPr>
        <w:t xml:space="preserve">potpunim </w:t>
      </w:r>
      <w:r w:rsidRPr="00643CB3">
        <w:rPr>
          <w:rFonts w:ascii="Times New Roman" w:eastAsia="Times New Roman" w:hAnsi="Times New Roman" w:cs="Times New Roman"/>
          <w:bCs/>
          <w:lang w:val="sr-Latn-ME"/>
        </w:rPr>
        <w:t>nedostatkom laktaze ili glukozno-galaktoznom malapsorcijom ne smiju da koriste ovaj lijek.</w:t>
      </w:r>
    </w:p>
    <w:p w14:paraId="76D30E25"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Cs/>
          <w:lang w:val="sr-Latn-ME"/>
        </w:rPr>
      </w:pPr>
    </w:p>
    <w:p w14:paraId="19D29B5A" w14:textId="77777777" w:rsidR="00643CB3" w:rsidRPr="00643CB3" w:rsidRDefault="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4.5.</w:t>
      </w:r>
      <w:r w:rsidRPr="00643CB3">
        <w:rPr>
          <w:rFonts w:ascii="Times New Roman" w:eastAsia="Times New Roman" w:hAnsi="Times New Roman" w:cs="Times New Roman"/>
          <w:b/>
          <w:bCs/>
          <w:lang w:val="sr-Latn-ME"/>
        </w:rPr>
        <w:tab/>
        <w:t>Interakcije sa drugim ljekovima i druge vrste interakcija</w:t>
      </w:r>
    </w:p>
    <w:p w14:paraId="3F9E938D" w14:textId="77777777" w:rsidR="00643CB3" w:rsidRPr="00643CB3" w:rsidRDefault="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418F697B" w14:textId="3174897B" w:rsidR="00643CB3" w:rsidRDefault="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Inhibitori monoaminooksidaze (MAOI)</w:t>
      </w:r>
    </w:p>
    <w:p w14:paraId="5ECAFF5D" w14:textId="77777777" w:rsidR="00AD01E4" w:rsidRDefault="00AD01E4">
      <w:pPr>
        <w:tabs>
          <w:tab w:val="center" w:pos="4536"/>
          <w:tab w:val="right" w:pos="9072"/>
        </w:tabs>
        <w:spacing w:after="0" w:line="240" w:lineRule="auto"/>
        <w:jc w:val="both"/>
        <w:rPr>
          <w:rFonts w:ascii="Times New Roman" w:eastAsia="Times New Roman" w:hAnsi="Times New Roman" w:cs="Times New Roman"/>
          <w:u w:val="single"/>
          <w:lang w:val="sr-Latn-ME"/>
        </w:rPr>
      </w:pPr>
    </w:p>
    <w:p w14:paraId="35CE64AF" w14:textId="4172AF82" w:rsidR="00643CB3" w:rsidRPr="00643CB3" w:rsidRDefault="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lastRenderedPageBreak/>
        <w:t xml:space="preserve">S obzirom na to da inhibitori monoaminooksidaze A i B takođe pospješuju kateholaminergičke metaboličke puteve, različitim mehanizmom od bupropiona, istovremena primjena fiksne kombinacije naltrekson/bupropion i inhibitora monoaminooksidaze (MAOI) je kontraindikovana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4.3).</w:t>
      </w:r>
    </w:p>
    <w:p w14:paraId="49F94E9D" w14:textId="77777777" w:rsidR="00643CB3" w:rsidRPr="00643CB3" w:rsidRDefault="00643CB3">
      <w:pPr>
        <w:tabs>
          <w:tab w:val="center" w:pos="4536"/>
          <w:tab w:val="right" w:pos="9072"/>
        </w:tabs>
        <w:spacing w:after="0" w:line="240" w:lineRule="auto"/>
        <w:jc w:val="both"/>
        <w:rPr>
          <w:rFonts w:ascii="Times New Roman" w:eastAsia="Times New Roman" w:hAnsi="Times New Roman" w:cs="Times New Roman"/>
          <w:lang w:val="sr-Latn-ME"/>
        </w:rPr>
      </w:pPr>
    </w:p>
    <w:p w14:paraId="7C49A9FC" w14:textId="1222EF14" w:rsidR="00643CB3" w:rsidRDefault="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Opioidni analgetici</w:t>
      </w:r>
    </w:p>
    <w:p w14:paraId="613A8E0F" w14:textId="77777777" w:rsidR="00AD01E4" w:rsidRPr="00643CB3" w:rsidRDefault="00AD01E4">
      <w:pPr>
        <w:tabs>
          <w:tab w:val="center" w:pos="4536"/>
          <w:tab w:val="right" w:pos="9072"/>
        </w:tabs>
        <w:spacing w:after="0" w:line="240" w:lineRule="auto"/>
        <w:jc w:val="both"/>
        <w:rPr>
          <w:rFonts w:ascii="Times New Roman" w:eastAsia="Times New Roman" w:hAnsi="Times New Roman" w:cs="Times New Roman"/>
          <w:u w:val="single"/>
          <w:lang w:val="sr-Latn-ME"/>
        </w:rPr>
      </w:pPr>
    </w:p>
    <w:p w14:paraId="310B174B" w14:textId="20FF0A84" w:rsidR="00643CB3" w:rsidRPr="00643CB3" w:rsidRDefault="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Fiksna kombinacija naltrekson/bupropion je kontraindikovana kod pacijenata koji su trenutno zavisni od hronične terapije opioidima ili agonistima opijata (npr. metadon), ili kod pacijenata u stanju akutne obustave opijata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4.3). Zbog antagonističkog djelovanja naltreksona na opioidni receptor, pacijenti koji uzimaju fiksnu kombinaciju naltrekson/bupropion možda neće imati potpunu korist od terapije ljekovima koji sadrže opioide kao što su ljekovi protiv kašlja i prehlade, preparati protiv proliva i opioidni analgetici. Kod pacijenata kojima je potrebno povremeno liječenje opijatima, terapiju fiksnom kombinacijom naltrekson/bupropion treba privremeno prekinuti, a doza opijata se ne smije povećati iznad standardne doze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 Ako je potrebna hronična terapija opijatima, treba prekinuti liječenje fiksnom kombinacijom naltrekson/bupropion. Fiksna kombinacija naltrekson/bupropion može da se koristiti uz oprez, nakon što se hronična primjena opioida prekine na 7 do 10 dana kako bi se spriječila precipitacija reakcija obustave.</w:t>
      </w:r>
    </w:p>
    <w:p w14:paraId="11895DB5"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DDCAAD7" w14:textId="1DA915A0"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 xml:space="preserve">Ljekovi koji se metabolišu uz pomoć enzima citohroma P450 (CYP) </w:t>
      </w:r>
    </w:p>
    <w:p w14:paraId="7AAF52F1" w14:textId="77777777" w:rsidR="00AD01E4" w:rsidRPr="00643CB3" w:rsidRDefault="00AD01E4"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7592DBE2"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Bupropion se metaboliše do svog glavnog aktivnog metabolita hidroksibupropiona primarno pomoću citohroma P450 CYP2B6; stoga, postoji potencijal za interakcije prilikom istovremene primjene sa ljekovima koji indukuju ili inhibiraju CYP2B6. Iako se ne metaboliše pomoću izoenzima CYP2D6, bupropion i njegov glavni metabolit, hidroksibupropion, inhibiraju metabolički put CYP2D6, tako da postoji potencijal uticaja na ljekove koji se metabolišu pomoću CYP2D6.</w:t>
      </w:r>
    </w:p>
    <w:p w14:paraId="1E0A6EE1"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14C784C" w14:textId="5F70CEC0" w:rsidR="00643CB3"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643CB3">
        <w:rPr>
          <w:rFonts w:ascii="Times New Roman" w:eastAsia="Times New Roman" w:hAnsi="Times New Roman" w:cs="Times New Roman"/>
          <w:i/>
          <w:u w:val="single"/>
          <w:lang w:val="sr-Latn-ME"/>
        </w:rPr>
        <w:t>CYP2D6 supstrati</w:t>
      </w:r>
    </w:p>
    <w:p w14:paraId="05B87B23" w14:textId="77777777" w:rsidR="00AD01E4" w:rsidRPr="00643CB3" w:rsidRDefault="00AD01E4"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p>
    <w:p w14:paraId="3DAFA4D2" w14:textId="78D64547" w:rsid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U kliničkoj studiji, fiksna kombinacija naltrekson/bupropion (360 bupropion hidrohlorida mg + 32 mg naltrekson hidrohlorida</w:t>
      </w:r>
      <w:r w:rsidRPr="00643CB3" w:rsidDel="003E3A34">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dnevno) se istovremeno primjenjivala sa dozom od 50 mg metoprolola (supstrata CYP2D6). Fiksna kombinacija naltrekson/bupropion je povećala vrijednost PIK i C</w:t>
      </w:r>
      <w:r w:rsidRPr="00643CB3">
        <w:rPr>
          <w:rFonts w:ascii="Times New Roman" w:eastAsia="Times New Roman" w:hAnsi="Times New Roman" w:cs="Times New Roman"/>
          <w:vertAlign w:val="subscript"/>
          <w:lang w:val="sr-Latn-ME"/>
        </w:rPr>
        <w:t>max</w:t>
      </w:r>
      <w:r w:rsidRPr="00643CB3">
        <w:rPr>
          <w:rFonts w:ascii="Times New Roman" w:eastAsia="Times New Roman" w:hAnsi="Times New Roman" w:cs="Times New Roman"/>
          <w:lang w:val="sr-Latn-ME"/>
        </w:rPr>
        <w:t xml:space="preserve"> metoprolola za oko 4 odnosno 2 puta, u odnosu na sam metoprolol. Slične kliničke interakcije ljekova sa posljedičnom povišenom farmakokinetičkom izloženošću supstrata CYP2D6, takođe su uočene i sa bupropionom kao jedinim lijekom uz dezipramin i venlafaksin.</w:t>
      </w:r>
    </w:p>
    <w:p w14:paraId="4F2CA6E8" w14:textId="77777777" w:rsidR="00157975" w:rsidRPr="00643CB3" w:rsidRDefault="00157975"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A02F9A2" w14:textId="77777777" w:rsidR="007D7CDA"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Istovremenoj primjeni bupropiona sa ljekovima koji se metabolišu pomoću izoenzima CYP2D6 uključujući i određene antidepresive (selektivne inhibitore ponovnog preuzimanja serotonina /SSRI/ i mnoge tricikličke antidepresive, npr. dezipramin, imipramin, paroksetin), antipsihotike (npr. haloperidol, risperidon i tioridazin), beta-blokatore (npr. metoprolol) i antiaritmike tipa 1C (npr. propafenon i flekainid), treba pristupiti uz oprez i trebalo bi da bude započeta primjenom doza koje odgovaraju donjoj granici doznog opsega istovremeno primijenjenog lijeka. Iako se citalopram ne metaboliše primarno</w:t>
      </w:r>
      <w:r w:rsidRPr="00643CB3" w:rsidDel="00954BAB">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putem CYP2D6, u okviru jednog kliničkog ispitivanja, primjena bupropiona je povećala vrijednost C</w:t>
      </w:r>
      <w:r w:rsidRPr="00643CB3">
        <w:rPr>
          <w:rFonts w:ascii="Times New Roman" w:eastAsia="Times New Roman" w:hAnsi="Times New Roman" w:cs="Times New Roman"/>
          <w:vertAlign w:val="subscript"/>
          <w:lang w:val="sr-Latn-ME"/>
        </w:rPr>
        <w:t>max</w:t>
      </w:r>
      <w:r w:rsidRPr="00643CB3">
        <w:rPr>
          <w:rFonts w:ascii="Times New Roman" w:eastAsia="Times New Roman" w:hAnsi="Times New Roman" w:cs="Times New Roman"/>
          <w:lang w:val="sr-Latn-ME"/>
        </w:rPr>
        <w:t xml:space="preserve"> i PIK citaloprama za 30%, odnosno 40%.  </w:t>
      </w:r>
    </w:p>
    <w:p w14:paraId="6075B355" w14:textId="77777777" w:rsidR="005370F1" w:rsidRDefault="005370F1"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9A95CDE" w14:textId="7EEF15C0" w:rsidR="007D7CDA" w:rsidRDefault="005370F1" w:rsidP="00643CB3">
      <w:pPr>
        <w:tabs>
          <w:tab w:val="center" w:pos="4536"/>
          <w:tab w:val="right" w:pos="9072"/>
        </w:tabs>
        <w:spacing w:after="0" w:line="240" w:lineRule="auto"/>
        <w:jc w:val="both"/>
        <w:rPr>
          <w:rFonts w:ascii="Times New Roman" w:eastAsia="Times New Roman" w:hAnsi="Times New Roman" w:cs="Times New Roman"/>
          <w:lang w:val="sr-Latn-ME"/>
        </w:rPr>
      </w:pPr>
      <w:r w:rsidRPr="00D30DBE">
        <w:rPr>
          <w:rFonts w:ascii="Times New Roman" w:eastAsia="Times New Roman" w:hAnsi="Times New Roman" w:cs="Times New Roman"/>
          <w:lang w:val="sr-Latn-ME"/>
        </w:rPr>
        <w:t xml:space="preserve">Postoje izvještaji iz perioda nakon stavljanja lijeka u promet o serotoninskom sindromu, potencijalno po život opasnom stanju, kada se fiksna kombinacija bupropion/naltrekson davala istovremeno sa serotonergičkim ljekovima, kao što su selektivni inhibitori preuzimanja serotonina (SSRI) ili inhibitori preuzimanja serotonina i norepinefrina (SNRI) (vidjeti </w:t>
      </w:r>
      <w:r w:rsidR="00840DEF">
        <w:rPr>
          <w:rFonts w:ascii="Times New Roman" w:eastAsia="Times New Roman" w:hAnsi="Times New Roman" w:cs="Times New Roman"/>
          <w:lang w:val="sr-Latn-ME"/>
        </w:rPr>
        <w:t>djelove</w:t>
      </w:r>
      <w:r w:rsidRPr="00D30DBE">
        <w:rPr>
          <w:rFonts w:ascii="Times New Roman" w:eastAsia="Times New Roman" w:hAnsi="Times New Roman" w:cs="Times New Roman"/>
          <w:lang w:val="sr-Latn-ME"/>
        </w:rPr>
        <w:t xml:space="preserve"> 4.5 i 4.8).</w:t>
      </w:r>
    </w:p>
    <w:p w14:paraId="6F81BF6B" w14:textId="77777777" w:rsidR="005370F1" w:rsidRDefault="005370F1"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652E262" w14:textId="7F2F6E5A"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Moguće je smanjenje efikasnosti ljekova koji zahtijevaju metaboličku aktivaciju pomoću CYP2D6 (npr. tamoksifen) da bi ispoljili efikasnost prilikom istovremene primjene sa inhibitorima CYP2D6, kao što je bupropion. Ukoliko se fiksna kombinacija naltrekson/bupropion dodaje terapijskom režimu pacijenta koji već prima lijek metabolisan pomoću CYP2D6, potrebno je razmotriti potrebu za smanjenjem doze tog lijeka i to </w:t>
      </w:r>
      <w:r w:rsidRPr="00643CB3">
        <w:rPr>
          <w:rFonts w:ascii="Times New Roman" w:eastAsia="Times New Roman" w:hAnsi="Times New Roman" w:cs="Times New Roman"/>
          <w:lang w:val="sr-Latn-ME"/>
        </w:rPr>
        <w:lastRenderedPageBreak/>
        <w:t>posebno za istovremeno primijenjene ljekove sa uskim terapijskim indeksom. Kada je to moguće, treba razmotriti mogućnost terapijskog praćenja lijeka za ljekove sa uskim terapijskim indeksom, kao što su triciklički antidepresivi.</w:t>
      </w:r>
    </w:p>
    <w:p w14:paraId="04C39821"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EAFEB40" w14:textId="7FB4E193" w:rsidR="00643CB3"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643CB3">
        <w:rPr>
          <w:rFonts w:ascii="Times New Roman" w:eastAsia="Times New Roman" w:hAnsi="Times New Roman" w:cs="Times New Roman"/>
          <w:i/>
          <w:u w:val="single"/>
          <w:lang w:val="sr-Latn-ME"/>
        </w:rPr>
        <w:t>CYP2B6 induktori, inhibitori i supstrati</w:t>
      </w:r>
    </w:p>
    <w:p w14:paraId="593ECB0C" w14:textId="77777777" w:rsidR="00AD01E4" w:rsidRPr="00643CB3" w:rsidRDefault="00AD01E4"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p>
    <w:p w14:paraId="1DE0D81C"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Bupropion se metaboliše do svog glavnog aktivnog metabolita hidroksibupropiona primarno pomoću izoenzima CYP2B6. Postoji potencijal interakcije između naltrekson/bupropiona i ljekova koji indukuju ili koji su supstrati za izoenzim CYP2B6.</w:t>
      </w:r>
    </w:p>
    <w:p w14:paraId="55CF6630"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0902C3D"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Budući da bupropion podliježe ekstenzivnom metabolizmu, preporučuje se oprez kada se fiksna kombinacija naltrekson/bupropion primjenjuje istovremeno sa drugim ljekovima za koje je poznato da indukuju metabolizam (npr. karbamazepin, fenitoin, ritonavir, efavirenc), jer mogu uticati na kliničku efikasnost fiksne kombinacije naltrekson/bupropion. U nizu kliničkih ispitivanja na zdravim dobrovoljcima, primjena ritonavira (100 mg dva puta dnevno ili 600 mg dva puta dnevno) ili ritonavira 100 mg i lopinavira 400 mg dva puta dnevno, smanjila je izloženost bupropionu i njegovom glavnom metabolitu u dozno zavisnom odnosu, za približno 20 do 80%. Slično, primjena efavirenca u dozi od 600 mg jednom dnevno tokom perioda od dvije nedjelje, smanjila je izloženost bupropionu za približno 55% kod zdravih dobrovoljaca.</w:t>
      </w:r>
    </w:p>
    <w:p w14:paraId="05FDC9C0"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743176F4" w14:textId="22479C4A" w:rsidR="00643CB3" w:rsidRPr="00643CB3" w:rsidRDefault="00643CB3" w:rsidP="00643CB3">
      <w:pPr>
        <w:tabs>
          <w:tab w:val="center" w:pos="4536"/>
          <w:tab w:val="right" w:pos="9356"/>
          <w:tab w:val="left" w:pos="949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Istovremena primjena ljekova koji mogu inhibi</w:t>
      </w:r>
      <w:r w:rsidR="00AD01E4">
        <w:rPr>
          <w:rFonts w:ascii="Times New Roman" w:eastAsia="Times New Roman" w:hAnsi="Times New Roman" w:cs="Times New Roman"/>
          <w:lang w:val="sr-Latn-ME"/>
        </w:rPr>
        <w:t>sati</w:t>
      </w:r>
      <w:r w:rsidRPr="00643CB3">
        <w:rPr>
          <w:rFonts w:ascii="Times New Roman" w:eastAsia="Times New Roman" w:hAnsi="Times New Roman" w:cs="Times New Roman"/>
          <w:lang w:val="sr-Latn-ME"/>
        </w:rPr>
        <w:t xml:space="preserve"> metabolizam bupropiona pomoću CYP2B6 izoenzima (npr. CYP2B6 supstrati: ciklofosfamid, ifosfamid i CYP2B6 inhibitori: orfenadrin, tiklopidin, klopidogrel), može imati za posljedicu povećanje koncentracije bupropiona u plazmi i manje koncentracije aktivnog metabolita hidroksibupropiona. Trenutno nijesu poznate kliničke posljedice inhibicije metabolizma bupropiona putem CYP2B6 enzima i posljedične izmjene odnosa bupropion hidroksibupropion, ali mogu potencijalno dovesti do smanjenja efikasnosti fiksne kombinacije naltrekson/bupropion.</w:t>
      </w:r>
    </w:p>
    <w:p w14:paraId="28AD754A"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21795B18" w14:textId="1C7016B8"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OCT2 supstrati</w:t>
      </w:r>
    </w:p>
    <w:p w14:paraId="13244D17" w14:textId="77777777" w:rsidR="00AD01E4" w:rsidRPr="00643CB3" w:rsidRDefault="00AD01E4"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47A87EEF"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Bupropion i njegovi metaboliti kompetitivno inhibiraju OCT2 u bazolateralnoj membrani bubrežnih tubula odgovornih za lučenje kreatinina, na način sličan OCT2 supstratu cimetidinu. Stoga, blagi porast kreatinina uočen nakon dugotrajne terapije fiksnom kombinacijom naltrekson/bupropion je vjerovatno posljedica inhibicije OCT2 i ne ukazuje na promjene u klirensu kreatinina. Primjena fiksne kombinacije naltrekson/bupropion sa drugim OCT2 supstratima (npr. metformin) u kliničkim ispitivanjima nije ukazala na potrebu za prilagođavanjem doze ili drugim mjerama opreza.</w:t>
      </w:r>
    </w:p>
    <w:p w14:paraId="261A8126"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61D95EFA" w14:textId="3BCBF945"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Druge interakcije</w:t>
      </w:r>
    </w:p>
    <w:p w14:paraId="1B269E0A" w14:textId="77777777" w:rsidR="00A7259F" w:rsidRPr="00643CB3" w:rsidRDefault="00A7259F"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6B1D844B"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Iako klinički podaci ne identifikuju farmakokinetičku interakciju između bupropiona i alkohola, bilo je rijetkih prijava neželjenih neuropsihijatrijskih događaja ili smanjene tolerancije na alkohol kod pacijenata koji su konzumirali alkohol tokom liječenja bupropionom. Nema poznatih farmakokinetičkih interakcija između naltreksona i alkohola. Konzumiranje alkohola tokom liječenja fiksnom kombinacijom naltrekson/bupropion treba svesti na minimum ili izbjeći.</w:t>
      </w:r>
    </w:p>
    <w:p w14:paraId="66692B87"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6BB7C4AA"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Potreban je oprez kod propisivanja fiksne kombinacije naltrekson/bupropion pacijentima sa predisponirajućim faktorima koji mogu povećati rizik od epileptičnog napada, uključujući i:</w:t>
      </w:r>
    </w:p>
    <w:p w14:paraId="040099CF" w14:textId="77777777" w:rsidR="00643CB3" w:rsidRPr="00643CB3" w:rsidRDefault="00643CB3" w:rsidP="00643CB3">
      <w:pPr>
        <w:numPr>
          <w:ilvl w:val="0"/>
          <w:numId w:val="12"/>
        </w:numPr>
        <w:tabs>
          <w:tab w:val="left" w:pos="284"/>
          <w:tab w:val="center" w:pos="567"/>
          <w:tab w:val="right" w:pos="9072"/>
        </w:tabs>
        <w:spacing w:after="0" w:line="240" w:lineRule="auto"/>
        <w:ind w:left="601"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s obzirom na to da terapija fiksnom kombinacijom naltrekson/bupropion može dovesti do sniženja glukoze kod pacijenata sa dijabetesom, potrebno je procijeniti dozu insulina i/ili oralnih antidijabetika kako bi se smanjio rizik od hipoglikemije, koja može biti predisponirajući faktor za epileptični napad;</w:t>
      </w:r>
    </w:p>
    <w:p w14:paraId="26194AFB" w14:textId="77777777" w:rsidR="00643CB3" w:rsidRPr="00643CB3" w:rsidRDefault="00643CB3" w:rsidP="00643CB3">
      <w:pPr>
        <w:numPr>
          <w:ilvl w:val="0"/>
          <w:numId w:val="12"/>
        </w:numPr>
        <w:tabs>
          <w:tab w:val="left" w:pos="284"/>
          <w:tab w:val="center" w:pos="567"/>
          <w:tab w:val="right" w:pos="9072"/>
        </w:tabs>
        <w:spacing w:after="0" w:line="240" w:lineRule="auto"/>
        <w:ind w:left="601" w:hanging="318"/>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istovremena primjena ljekova koji mogu sniziti prag epileptičkog napada, uključujući i antipsihotike, antidepresive, ljekove protiv malarije, tramadol, teofilin, sistemske steroide, hinolone i sedativne antihistaminike.</w:t>
      </w:r>
    </w:p>
    <w:p w14:paraId="335E3C2D"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41375EA4" w14:textId="08C9D25F"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Fiksna kombinacija naltrekson/bupropion je kontraindikovana kod pacijenata koji primaju istovremenu terapiju inhibitorima monoaminooksidaze, bupropionom ili naltreksonom, pacijenata koji trenutno prolaze kroz akutnu obustavu alkohola ili benzodiazepina, pacijenata koji su trenutno zavisni od hronične primjene opioida ili agonista opijata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4.3).</w:t>
      </w:r>
    </w:p>
    <w:p w14:paraId="0436A0AF"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3EBF0AA7" w14:textId="6956B5BC"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Primjena fiksne kombinacije naltrekson/bupropion kod pacijenata koji istovremeno primaju ili levodopu ili amantadin treba da se sprovodi uz oprez. Ograničeni klinički podaci ukazuju na veću incidencu neželjenih reakcija (npr. mučnina, povraćanje i neuropsihijatrijske neželjene reakcije - vidjeti </w:t>
      </w:r>
      <w:r w:rsidR="00A7259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4.8) kod pacijenata koji primaju bupropion istovremeno sa levodopom ili amantadinom.</w:t>
      </w:r>
    </w:p>
    <w:p w14:paraId="42088188"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B5E289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Primjenu fiksne kombinacije naltrekson/bupropion sa inhibitorima ili induktorima UGT 1A2 i 2B7 treba sprovoditi uz oprez, jer ti ljekovi mogu promijeniti izloženost naltreksonu.</w:t>
      </w:r>
    </w:p>
    <w:p w14:paraId="50A3E426" w14:textId="77777777" w:rsidR="00A8419E" w:rsidRDefault="00A8419E"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46479E5E" w14:textId="142F7E5A" w:rsidR="00643CB3" w:rsidRDefault="00A8419E" w:rsidP="00643CB3">
      <w:pPr>
        <w:tabs>
          <w:tab w:val="center" w:pos="4536"/>
          <w:tab w:val="right" w:pos="9072"/>
        </w:tabs>
        <w:spacing w:after="0" w:line="240" w:lineRule="auto"/>
        <w:jc w:val="both"/>
        <w:rPr>
          <w:rFonts w:ascii="Times New Roman" w:eastAsia="Times New Roman" w:hAnsi="Times New Roman" w:cs="Times New Roman"/>
          <w:lang w:val="sr-Latn-ME"/>
        </w:rPr>
      </w:pPr>
      <w:r w:rsidRPr="00A8419E">
        <w:rPr>
          <w:rFonts w:ascii="Times New Roman" w:eastAsia="Times New Roman" w:hAnsi="Times New Roman" w:cs="Times New Roman"/>
          <w:lang w:val="sr-Latn-ME"/>
        </w:rPr>
        <w:t>Istovremena prim</w:t>
      </w:r>
      <w:r w:rsidR="00DA16E3">
        <w:rPr>
          <w:rFonts w:ascii="Times New Roman" w:eastAsia="Times New Roman" w:hAnsi="Times New Roman" w:cs="Times New Roman"/>
          <w:lang w:val="sr-Latn-ME"/>
        </w:rPr>
        <w:t>j</w:t>
      </w:r>
      <w:r w:rsidRPr="00A8419E">
        <w:rPr>
          <w:rFonts w:ascii="Times New Roman" w:eastAsia="Times New Roman" w:hAnsi="Times New Roman" w:cs="Times New Roman"/>
          <w:lang w:val="sr-Latn-ME"/>
        </w:rPr>
        <w:t>ena fiksne kombinacije bupropion/naltrekson sa digoksinom može smanjiti nivo digoksina u plazmi. Treba pratiti nivo digoksina u plazmi kod pacijenata koji istovremeno primaju fiksnu kombinaciju bupropion/naltrekson i digoksin. L</w:t>
      </w:r>
      <w:r w:rsidR="00DA16E3">
        <w:rPr>
          <w:rFonts w:ascii="Times New Roman" w:eastAsia="Times New Roman" w:hAnsi="Times New Roman" w:cs="Times New Roman"/>
          <w:lang w:val="sr-Latn-ME"/>
        </w:rPr>
        <w:t>j</w:t>
      </w:r>
      <w:r w:rsidRPr="00A8419E">
        <w:rPr>
          <w:rFonts w:ascii="Times New Roman" w:eastAsia="Times New Roman" w:hAnsi="Times New Roman" w:cs="Times New Roman"/>
          <w:lang w:val="sr-Latn-ME"/>
        </w:rPr>
        <w:t>ekari treba da budu sv</w:t>
      </w:r>
      <w:r w:rsidR="00DA16E3">
        <w:rPr>
          <w:rFonts w:ascii="Times New Roman" w:eastAsia="Times New Roman" w:hAnsi="Times New Roman" w:cs="Times New Roman"/>
          <w:lang w:val="sr-Latn-ME"/>
        </w:rPr>
        <w:t>j</w:t>
      </w:r>
      <w:r w:rsidRPr="00A8419E">
        <w:rPr>
          <w:rFonts w:ascii="Times New Roman" w:eastAsia="Times New Roman" w:hAnsi="Times New Roman" w:cs="Times New Roman"/>
          <w:lang w:val="sr-Latn-ME"/>
        </w:rPr>
        <w:t>esni da se nivo digoksina može povećati nakon prekida prim</w:t>
      </w:r>
      <w:r w:rsidR="00DA16E3">
        <w:rPr>
          <w:rFonts w:ascii="Times New Roman" w:eastAsia="Times New Roman" w:hAnsi="Times New Roman" w:cs="Times New Roman"/>
          <w:lang w:val="sr-Latn-ME"/>
        </w:rPr>
        <w:t>j</w:t>
      </w:r>
      <w:r w:rsidRPr="00A8419E">
        <w:rPr>
          <w:rFonts w:ascii="Times New Roman" w:eastAsia="Times New Roman" w:hAnsi="Times New Roman" w:cs="Times New Roman"/>
          <w:lang w:val="sr-Latn-ME"/>
        </w:rPr>
        <w:t>ene fiksne kombinacije bupropion/naltrekson, a pacijente treba nadgledati zbog toksičnosti digoksina.</w:t>
      </w:r>
    </w:p>
    <w:p w14:paraId="1D6F0FA6" w14:textId="77777777" w:rsidR="00A8419E" w:rsidRPr="00643CB3" w:rsidRDefault="00A8419E"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44934581"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Fiksna kombinacija naltrekson/bupropion nije ispitivana zajedno sa alfa-adrenergičkim blokatorima ili klonidinom.</w:t>
      </w:r>
    </w:p>
    <w:p w14:paraId="60DE3908"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483ED993"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S obzirom na to da bupropion podliježe ekstenzivnom metabolizmu, preporučuje se oprez kada se fiksna kombinacija naltrekson/bupropion primjenjuje istovremeno sa drugim ljekovima za koje je poznato da inhibiraju metabolizam (npr. valproat), jer mogu uticati na njegovu kliničku efikasnost i bezbjednost.</w:t>
      </w:r>
    </w:p>
    <w:p w14:paraId="2E2DA4EF"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281D381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Preporučljivo je da se fiksna kombinacija naltrekson/bupropion uzima sa hranom, jer je poznato da se koncentracije naltreksona i bupropiona u plazmi povećavaju sa hranom, kao i da se podaci iz kliničkih ispitivanja o bezbjednosti i efikasnosti zasnivaju na doziranju sa hranom.</w:t>
      </w:r>
    </w:p>
    <w:p w14:paraId="03FCDCD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16AFDBF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lang w:val="sr-Latn-ME"/>
        </w:rPr>
      </w:pPr>
      <w:r w:rsidRPr="00643CB3">
        <w:rPr>
          <w:rFonts w:ascii="Times New Roman" w:eastAsia="Times New Roman" w:hAnsi="Times New Roman" w:cs="Times New Roman"/>
          <w:b/>
          <w:bCs/>
          <w:lang w:val="sr-Latn-ME"/>
        </w:rPr>
        <w:t xml:space="preserve">4.6. </w:t>
      </w:r>
      <w:r w:rsidRPr="00643CB3">
        <w:rPr>
          <w:rFonts w:ascii="Times New Roman" w:eastAsia="Times New Roman" w:hAnsi="Times New Roman" w:cs="Times New Roman"/>
          <w:b/>
          <w:bCs/>
          <w:lang w:val="sr-Latn-ME"/>
        </w:rPr>
        <w:tab/>
      </w:r>
      <w:r w:rsidRPr="00643CB3">
        <w:rPr>
          <w:rFonts w:ascii="Times New Roman" w:eastAsia="Times New Roman" w:hAnsi="Times New Roman" w:cs="Times New Roman"/>
          <w:b/>
          <w:lang w:val="sr-Latn-ME"/>
        </w:rPr>
        <w:t>Plodnost, trudnoća i dojenje</w:t>
      </w:r>
    </w:p>
    <w:p w14:paraId="7396B313"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0315BB61" w14:textId="21853FC6" w:rsidR="00F361A2" w:rsidRDefault="00F361A2" w:rsidP="00F361A2">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Plodnost</w:t>
      </w:r>
    </w:p>
    <w:p w14:paraId="0FEC4EC6" w14:textId="77777777" w:rsidR="00A7259F" w:rsidRPr="00643CB3" w:rsidRDefault="00A7259F" w:rsidP="00F361A2">
      <w:pPr>
        <w:tabs>
          <w:tab w:val="center" w:pos="4536"/>
          <w:tab w:val="right" w:pos="9072"/>
        </w:tabs>
        <w:spacing w:after="0" w:line="240" w:lineRule="auto"/>
        <w:jc w:val="both"/>
        <w:rPr>
          <w:rFonts w:ascii="Times New Roman" w:eastAsia="Times New Roman" w:hAnsi="Times New Roman" w:cs="Times New Roman"/>
          <w:u w:val="single"/>
          <w:lang w:val="sr-Latn-ME"/>
        </w:rPr>
      </w:pPr>
    </w:p>
    <w:p w14:paraId="73C22FC2" w14:textId="03A96336" w:rsidR="00F361A2" w:rsidRDefault="00F361A2" w:rsidP="00F361A2">
      <w:pPr>
        <w:tabs>
          <w:tab w:val="left" w:pos="540"/>
          <w:tab w:val="left" w:pos="569"/>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Nema podataka o uticaju fiksne kombinacije naltrekson/bupropion na plodnost. Nije zabilježen uticaj bupropiona na plodnost u ispitivanjima reproduktivne toksičnosti. Naltrekson primijenjen peroralno kod pacova izazvao je značajno povećanje pseudotrudnoće i smanjenje stopa trudnoće pri približno 30 puta većoj dozi od doze naltreksona koja se nalazi u fiksnoj kombinaciji naltrekson/bupropion. Relevantnost tih </w:t>
      </w:r>
      <w:r w:rsidR="00A7259F">
        <w:rPr>
          <w:rFonts w:ascii="Times New Roman" w:eastAsia="Times New Roman" w:hAnsi="Times New Roman" w:cs="Times New Roman"/>
          <w:lang w:val="sr-Latn-ME"/>
        </w:rPr>
        <w:t>za</w:t>
      </w:r>
      <w:r w:rsidRPr="00643CB3">
        <w:rPr>
          <w:rFonts w:ascii="Times New Roman" w:eastAsia="Times New Roman" w:hAnsi="Times New Roman" w:cs="Times New Roman"/>
          <w:lang w:val="sr-Latn-ME"/>
        </w:rPr>
        <w:t xml:space="preserve">pažanja za plodnost kod ljudi nije poznata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5.3).</w:t>
      </w:r>
    </w:p>
    <w:p w14:paraId="3B6509D6" w14:textId="77777777" w:rsidR="00D81EA4" w:rsidRPr="00643CB3" w:rsidRDefault="00D81EA4" w:rsidP="00F361A2">
      <w:pPr>
        <w:tabs>
          <w:tab w:val="left" w:pos="540"/>
          <w:tab w:val="left" w:pos="569"/>
        </w:tabs>
        <w:spacing w:after="0" w:line="240" w:lineRule="auto"/>
        <w:jc w:val="both"/>
        <w:rPr>
          <w:rFonts w:ascii="Times New Roman" w:eastAsia="Times New Roman" w:hAnsi="Times New Roman" w:cs="Times New Roman"/>
          <w:lang w:val="sr-Latn-ME"/>
        </w:rPr>
      </w:pPr>
    </w:p>
    <w:p w14:paraId="7760D503" w14:textId="6DE88217"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Trudnoća</w:t>
      </w:r>
    </w:p>
    <w:p w14:paraId="0BD38CA4" w14:textId="77777777" w:rsidR="00A7259F" w:rsidRPr="00643CB3" w:rsidRDefault="00A7259F"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58D8D0B2" w14:textId="02E3944D"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Nema podataka ili su podaci o primjeni fiksne kombinacije naltrekson/bupropion kod trudnica ograničeni. Fiksna kombinacija naltrekson/bupropion nije ispitivana u studijama reproduktivne toksičnosti. Ispitivanja na životinjama sa naltreksonom su pokazala reproduktivnu toksičnost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5.3); ispitivanja na životinjama sa bupropionom ne daju jasan dokaz štetnog efekta na reprodukciju. Potencijalni rizik za ljude nije poznat.</w:t>
      </w:r>
    </w:p>
    <w:p w14:paraId="10CB193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A929FE1"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bookmarkStart w:id="5" w:name="_Hlk17358595"/>
      <w:r w:rsidRPr="00643CB3">
        <w:rPr>
          <w:rFonts w:ascii="Times New Roman" w:eastAsia="Times New Roman" w:hAnsi="Times New Roman" w:cs="Times New Roman"/>
          <w:lang w:val="sr-Latn-ME"/>
        </w:rPr>
        <w:t>Fiksna kombinacija naltrekson/bupropion</w:t>
      </w:r>
      <w:bookmarkEnd w:id="5"/>
      <w:r w:rsidRPr="00643CB3">
        <w:rPr>
          <w:rFonts w:ascii="Times New Roman" w:eastAsia="Times New Roman" w:hAnsi="Times New Roman" w:cs="Times New Roman"/>
          <w:lang w:val="sr-Latn-ME"/>
        </w:rPr>
        <w:t xml:space="preserve"> ne smije da se koristi tokom trudnoće. </w:t>
      </w:r>
    </w:p>
    <w:p w14:paraId="460C5939"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Ovaj lijek ne smiju da koriste žene koje pokušavaju da ostanu u drugom stanju.</w:t>
      </w:r>
    </w:p>
    <w:p w14:paraId="62C7BB6B"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236DDE4D" w14:textId="3B940E30"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lastRenderedPageBreak/>
        <w:t>Dojenje</w:t>
      </w:r>
    </w:p>
    <w:p w14:paraId="39F11C08" w14:textId="77777777" w:rsidR="00A7259F" w:rsidRPr="00643CB3" w:rsidRDefault="00A7259F"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48F5EF10" w14:textId="77777777" w:rsidR="00643CB3" w:rsidRPr="00643CB3" w:rsidRDefault="00643CB3" w:rsidP="00C416C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Bupropion i naltrekson i njihovi metaboliti se izlučuju u majčino mlijeko.</w:t>
      </w:r>
    </w:p>
    <w:p w14:paraId="1DE11068" w14:textId="77777777" w:rsidR="00643CB3" w:rsidRPr="00643CB3" w:rsidRDefault="00643CB3" w:rsidP="00C416C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Budući da su informacije o sistemskoj izloženosti bupropionu i naltreksonu odojčadi/novorođenčadi koja se doje ograničene, ne može se isključiti rizik za novorođenčad/odojčad.</w:t>
      </w:r>
    </w:p>
    <w:p w14:paraId="37AA1447" w14:textId="13397AEE"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Fiksn</w:t>
      </w:r>
      <w:r w:rsidR="00A7259F">
        <w:rPr>
          <w:rFonts w:ascii="Times New Roman" w:eastAsia="Times New Roman" w:hAnsi="Times New Roman" w:cs="Times New Roman"/>
          <w:lang w:val="sr-Latn-ME"/>
        </w:rPr>
        <w:t>a</w:t>
      </w:r>
      <w:r w:rsidRPr="00643CB3">
        <w:rPr>
          <w:rFonts w:ascii="Times New Roman" w:eastAsia="Times New Roman" w:hAnsi="Times New Roman" w:cs="Times New Roman"/>
          <w:lang w:val="sr-Latn-ME"/>
        </w:rPr>
        <w:t xml:space="preserve"> kombinacij</w:t>
      </w:r>
      <w:r w:rsidR="00A7259F">
        <w:rPr>
          <w:rFonts w:ascii="Times New Roman" w:eastAsia="Times New Roman" w:hAnsi="Times New Roman" w:cs="Times New Roman"/>
          <w:lang w:val="sr-Latn-ME"/>
        </w:rPr>
        <w:t>a</w:t>
      </w:r>
      <w:r w:rsidRPr="00643CB3">
        <w:rPr>
          <w:rFonts w:ascii="Times New Roman" w:eastAsia="Times New Roman" w:hAnsi="Times New Roman" w:cs="Times New Roman"/>
          <w:lang w:val="sr-Latn-ME"/>
        </w:rPr>
        <w:t xml:space="preserve"> naltrekson/bupropion ne </w:t>
      </w:r>
      <w:r w:rsidR="00A7259F">
        <w:rPr>
          <w:rFonts w:ascii="Times New Roman" w:eastAsia="Times New Roman" w:hAnsi="Times New Roman" w:cs="Times New Roman"/>
          <w:lang w:val="sr-Latn-ME"/>
        </w:rPr>
        <w:t xml:space="preserve">smije se </w:t>
      </w:r>
      <w:r w:rsidRPr="00643CB3">
        <w:rPr>
          <w:rFonts w:ascii="Times New Roman" w:eastAsia="Times New Roman" w:hAnsi="Times New Roman" w:cs="Times New Roman"/>
          <w:lang w:val="sr-Latn-ME"/>
        </w:rPr>
        <w:t>koristiti tokom dojenja.</w:t>
      </w:r>
    </w:p>
    <w:p w14:paraId="68F3066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4E4A05EB"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4.7. </w:t>
      </w:r>
      <w:r w:rsidRPr="00643CB3">
        <w:rPr>
          <w:rFonts w:ascii="Times New Roman" w:eastAsia="Times New Roman" w:hAnsi="Times New Roman" w:cs="Times New Roman"/>
          <w:b/>
          <w:bCs/>
          <w:lang w:val="sr-Latn-ME"/>
        </w:rPr>
        <w:tab/>
      </w:r>
      <w:bookmarkStart w:id="6" w:name="_Hlk17292178"/>
      <w:r w:rsidRPr="00643CB3">
        <w:rPr>
          <w:rFonts w:ascii="Times New Roman" w:eastAsia="Times New Roman" w:hAnsi="Times New Roman" w:cs="Times New Roman"/>
          <w:b/>
          <w:bCs/>
          <w:lang w:val="sr-Latn-ME"/>
        </w:rPr>
        <w:t>Uticaj na sposobnost upravljanja vozilima i rukovanje mašinama</w:t>
      </w:r>
      <w:bookmarkEnd w:id="6"/>
    </w:p>
    <w:p w14:paraId="08D1FA6A"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7A807983"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Fiksna kombinacija naltrekson/bupropion ima uticaj na sposobnost upravljanja motornim vozilima i rukovanja mašinama. Prilikom upravljanja vozilima ili rukovanja mašinama potrebno je uzeti u obzir da tokom liječenja može doći do pojave vrtoglavice, somnolencije, gubitka svijesti i epileptičnog napada.</w:t>
      </w:r>
    </w:p>
    <w:p w14:paraId="2DC2A1F5"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1ECC0827" w14:textId="59FF4ACE"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Pacijente treba upozoriti u vezi upravljanja vozilima ili rada sa opasnim mašinama za slučaj da fiksna kombinacija naltrekson/bupropion možda kod njih bude uticala na sposobnost obavljanja takvih aktivnosti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4.4 i 4.8).</w:t>
      </w:r>
    </w:p>
    <w:p w14:paraId="146172F9"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798473C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4.8. </w:t>
      </w:r>
      <w:r w:rsidRPr="00643CB3">
        <w:rPr>
          <w:rFonts w:ascii="Times New Roman" w:eastAsia="Times New Roman" w:hAnsi="Times New Roman" w:cs="Times New Roman"/>
          <w:b/>
          <w:bCs/>
          <w:lang w:val="sr-Latn-ME"/>
        </w:rPr>
        <w:tab/>
        <w:t>Neželjena dejstva</w:t>
      </w:r>
    </w:p>
    <w:p w14:paraId="695A7168" w14:textId="77777777" w:rsidR="00C416C3" w:rsidRDefault="00C416C3" w:rsidP="00643CB3">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p>
    <w:p w14:paraId="4DBD93FF"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Sažetak bezbjednosnog profila</w:t>
      </w:r>
    </w:p>
    <w:p w14:paraId="400ED69A"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14:paraId="144BA20C" w14:textId="719D9AFC"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U kliničkim studijama, 23,8% ispitanika koji su primali fiksnu kombinaciju naltrekson/ bupropion i 11,9% ispitanika koji su primali placebo, prekinulo je liječenje zbog neželjenih događaja. Najčešće neželjene reakcije za fiksnu kombinaciju naltrekson/ bupropion su mučnina</w:t>
      </w:r>
      <w:r w:rsidR="00A7259F">
        <w:rPr>
          <w:rFonts w:ascii="Times New Roman" w:eastAsia="Times New Roman" w:hAnsi="Times New Roman" w:cs="Times New Roman"/>
          <w:lang w:val="sr-Latn-ME"/>
        </w:rPr>
        <w:t xml:space="preserve"> (veoma često)</w:t>
      </w:r>
      <w:r w:rsidRPr="00643CB3">
        <w:rPr>
          <w:rFonts w:ascii="Times New Roman" w:eastAsia="Times New Roman" w:hAnsi="Times New Roman" w:cs="Times New Roman"/>
          <w:lang w:val="sr-Latn-ME"/>
        </w:rPr>
        <w:t>, konstipacija</w:t>
      </w:r>
      <w:r w:rsidR="00A7259F">
        <w:rPr>
          <w:rFonts w:ascii="Times New Roman" w:eastAsia="Times New Roman" w:hAnsi="Times New Roman" w:cs="Times New Roman"/>
          <w:lang w:val="sr-Latn-ME"/>
        </w:rPr>
        <w:t xml:space="preserve"> (veoma često)</w:t>
      </w:r>
      <w:r w:rsidRPr="00643CB3">
        <w:rPr>
          <w:rFonts w:ascii="Times New Roman" w:eastAsia="Times New Roman" w:hAnsi="Times New Roman" w:cs="Times New Roman"/>
          <w:lang w:val="sr-Latn-ME"/>
        </w:rPr>
        <w:t>, povraćanje</w:t>
      </w:r>
      <w:r w:rsidR="00A7259F">
        <w:rPr>
          <w:rFonts w:ascii="Times New Roman" w:eastAsia="Times New Roman" w:hAnsi="Times New Roman" w:cs="Times New Roman"/>
          <w:lang w:val="sr-Latn-ME"/>
        </w:rPr>
        <w:t xml:space="preserve"> (veoma često)</w:t>
      </w:r>
      <w:r w:rsidRPr="00643CB3">
        <w:rPr>
          <w:rFonts w:ascii="Times New Roman" w:eastAsia="Times New Roman" w:hAnsi="Times New Roman" w:cs="Times New Roman"/>
          <w:lang w:val="sr-Latn-ME"/>
        </w:rPr>
        <w:t>, vrtoglavica</w:t>
      </w:r>
      <w:r w:rsidR="00A7259F">
        <w:rPr>
          <w:rFonts w:ascii="Times New Roman" w:eastAsia="Times New Roman" w:hAnsi="Times New Roman" w:cs="Times New Roman"/>
          <w:lang w:val="sr-Latn-ME"/>
        </w:rPr>
        <w:t xml:space="preserve"> (često)</w:t>
      </w:r>
      <w:r w:rsidRPr="00643CB3">
        <w:rPr>
          <w:rFonts w:ascii="Times New Roman" w:eastAsia="Times New Roman" w:hAnsi="Times New Roman" w:cs="Times New Roman"/>
          <w:lang w:val="sr-Latn-ME"/>
        </w:rPr>
        <w:t xml:space="preserve"> i suva usta</w:t>
      </w:r>
      <w:r w:rsidR="00A7259F">
        <w:rPr>
          <w:rFonts w:ascii="Times New Roman" w:eastAsia="Times New Roman" w:hAnsi="Times New Roman" w:cs="Times New Roman"/>
          <w:lang w:val="sr-Latn-ME"/>
        </w:rPr>
        <w:t xml:space="preserve"> (često)</w:t>
      </w:r>
      <w:r w:rsidRPr="00643CB3">
        <w:rPr>
          <w:rFonts w:ascii="Times New Roman" w:eastAsia="Times New Roman" w:hAnsi="Times New Roman" w:cs="Times New Roman"/>
          <w:lang w:val="sr-Latn-ME"/>
        </w:rPr>
        <w:t>. Najčešće neželjene reakcije koje su dovele do prekida terapije fiksnom kombinacijom naltrekson/bupropion su mučnina</w:t>
      </w:r>
      <w:r w:rsidR="00B100EB">
        <w:rPr>
          <w:rFonts w:ascii="Times New Roman" w:eastAsia="Times New Roman" w:hAnsi="Times New Roman" w:cs="Times New Roman"/>
          <w:lang w:val="sr-Latn-ME"/>
        </w:rPr>
        <w:t xml:space="preserve"> (veoma često)</w:t>
      </w:r>
      <w:r w:rsidRPr="00643CB3">
        <w:rPr>
          <w:rFonts w:ascii="Times New Roman" w:eastAsia="Times New Roman" w:hAnsi="Times New Roman" w:cs="Times New Roman"/>
          <w:lang w:val="sr-Latn-ME"/>
        </w:rPr>
        <w:t>, glavobolja</w:t>
      </w:r>
      <w:r w:rsidR="00B100EB">
        <w:rPr>
          <w:rFonts w:ascii="Times New Roman" w:eastAsia="Times New Roman" w:hAnsi="Times New Roman" w:cs="Times New Roman"/>
          <w:lang w:val="sr-Latn-ME"/>
        </w:rPr>
        <w:t xml:space="preserve"> (veoma često)</w:t>
      </w:r>
      <w:r w:rsidRPr="00643CB3">
        <w:rPr>
          <w:rFonts w:ascii="Times New Roman" w:eastAsia="Times New Roman" w:hAnsi="Times New Roman" w:cs="Times New Roman"/>
          <w:lang w:val="sr-Latn-ME"/>
        </w:rPr>
        <w:t>, vrtoglavica</w:t>
      </w:r>
      <w:r w:rsidR="00B100EB">
        <w:rPr>
          <w:rFonts w:ascii="Times New Roman" w:eastAsia="Times New Roman" w:hAnsi="Times New Roman" w:cs="Times New Roman"/>
          <w:lang w:val="sr-Latn-ME"/>
        </w:rPr>
        <w:t xml:space="preserve"> (često)</w:t>
      </w:r>
      <w:r w:rsidRPr="00643CB3">
        <w:rPr>
          <w:rFonts w:ascii="Times New Roman" w:eastAsia="Times New Roman" w:hAnsi="Times New Roman" w:cs="Times New Roman"/>
          <w:lang w:val="sr-Latn-ME"/>
        </w:rPr>
        <w:t xml:space="preserve"> i povraćanje</w:t>
      </w:r>
      <w:r w:rsidR="00B100EB">
        <w:rPr>
          <w:rFonts w:ascii="Times New Roman" w:eastAsia="Times New Roman" w:hAnsi="Times New Roman" w:cs="Times New Roman"/>
          <w:lang w:val="sr-Latn-ME"/>
        </w:rPr>
        <w:t xml:space="preserve"> (veoma često)</w:t>
      </w:r>
      <w:r w:rsidRPr="00643CB3">
        <w:rPr>
          <w:rFonts w:ascii="Times New Roman" w:eastAsia="Times New Roman" w:hAnsi="Times New Roman" w:cs="Times New Roman"/>
          <w:lang w:val="sr-Latn-ME"/>
        </w:rPr>
        <w:t>.</w:t>
      </w:r>
    </w:p>
    <w:p w14:paraId="34946081"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p>
    <w:p w14:paraId="3B470CE8" w14:textId="36AFD056" w:rsid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Tabelarni prikaz neželjenih reakcija</w:t>
      </w:r>
    </w:p>
    <w:p w14:paraId="11D85600" w14:textId="77777777" w:rsidR="005C45BA" w:rsidRPr="00643CB3" w:rsidRDefault="005C45BA" w:rsidP="00643CB3">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p>
    <w:p w14:paraId="2FC6E42B"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 xml:space="preserve">Neželjene reakcije prijavljene sa fiksnom kombinacijom </w:t>
      </w:r>
    </w:p>
    <w:p w14:paraId="7C2C0ED3" w14:textId="4384B12F"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Bezbjednosni profil fiksne kombinacije naltrekson/bupropiona (NB) </w:t>
      </w:r>
      <w:r w:rsidR="00BD3843" w:rsidRPr="00BD3843">
        <w:rPr>
          <w:rFonts w:ascii="Times New Roman" w:eastAsia="Times New Roman" w:hAnsi="Times New Roman" w:cs="Times New Roman"/>
          <w:lang w:val="sr-Latn-ME"/>
        </w:rPr>
        <w:t xml:space="preserve">sažet u </w:t>
      </w:r>
      <w:r w:rsidR="004E5103" w:rsidRPr="00BD3843">
        <w:rPr>
          <w:rFonts w:ascii="Times New Roman" w:eastAsia="Times New Roman" w:hAnsi="Times New Roman" w:cs="Times New Roman"/>
          <w:lang w:val="sr-Latn-ME"/>
        </w:rPr>
        <w:t>T</w:t>
      </w:r>
      <w:r w:rsidR="00BD3843" w:rsidRPr="00BD3843">
        <w:rPr>
          <w:rFonts w:ascii="Times New Roman" w:eastAsia="Times New Roman" w:hAnsi="Times New Roman" w:cs="Times New Roman"/>
          <w:lang w:val="sr-Latn-ME"/>
        </w:rPr>
        <w:t>abeli 1</w:t>
      </w:r>
      <w:r w:rsidRPr="00643CB3">
        <w:rPr>
          <w:rFonts w:ascii="Times New Roman" w:eastAsia="Times New Roman" w:hAnsi="Times New Roman" w:cs="Times New Roman"/>
          <w:lang w:val="sr-Latn-ME"/>
        </w:rPr>
        <w:t xml:space="preserve"> u nastavku zasniva se na kliničkim studijama sprovedenim sa ovom fiksnom kombinacijom (neželjene reakcije učestalosti najmanje 0,1% i dvostrukom u odnosu na placebo)</w:t>
      </w:r>
      <w:r w:rsidR="00BD38F3" w:rsidRPr="00BD38F3">
        <w:rPr>
          <w:lang w:val="sr-Latn-ME"/>
        </w:rPr>
        <w:t xml:space="preserve"> </w:t>
      </w:r>
      <w:r w:rsidR="00BD38F3" w:rsidRPr="00621B18">
        <w:rPr>
          <w:rFonts w:ascii="Times New Roman" w:eastAsia="Times New Roman" w:hAnsi="Times New Roman" w:cs="Times New Roman"/>
          <w:lang w:val="sr-Latn-ME"/>
        </w:rPr>
        <w:t>i/ili izvorima podataka iz perioda nakon stavljanja lijeka u promet</w:t>
      </w:r>
      <w:r w:rsidRPr="00621B18">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 xml:space="preserve"> Lista </w:t>
      </w:r>
      <w:r w:rsidR="00DE523F" w:rsidRPr="00DE523F">
        <w:rPr>
          <w:rFonts w:ascii="Times New Roman" w:eastAsia="Times New Roman" w:hAnsi="Times New Roman" w:cs="Times New Roman"/>
          <w:lang w:val="sr-Latn-ME"/>
        </w:rPr>
        <w:t xml:space="preserve">pojmova u </w:t>
      </w:r>
      <w:r w:rsidR="004E5103" w:rsidRPr="00DE523F">
        <w:rPr>
          <w:rFonts w:ascii="Times New Roman" w:eastAsia="Times New Roman" w:hAnsi="Times New Roman" w:cs="Times New Roman"/>
          <w:lang w:val="sr-Latn-ME"/>
        </w:rPr>
        <w:t>T</w:t>
      </w:r>
      <w:r w:rsidR="00DE523F" w:rsidRPr="00DE523F">
        <w:rPr>
          <w:rFonts w:ascii="Times New Roman" w:eastAsia="Times New Roman" w:hAnsi="Times New Roman" w:cs="Times New Roman"/>
          <w:lang w:val="sr-Latn-ME"/>
        </w:rPr>
        <w:t>abeli 2</w:t>
      </w:r>
      <w:r w:rsidRPr="00643CB3">
        <w:rPr>
          <w:rFonts w:ascii="Times New Roman" w:eastAsia="Times New Roman" w:hAnsi="Times New Roman" w:cs="Times New Roman"/>
          <w:lang w:val="sr-Latn-ME"/>
        </w:rPr>
        <w:t xml:space="preserve"> pruža informacije o neželjenim reakcijama pojedinačnih aktivnih supstanci, bupropiona (B) i naltreksona (N) identifikovanih u </w:t>
      </w:r>
      <w:r w:rsidR="00DE523F" w:rsidRPr="00DE523F">
        <w:rPr>
          <w:rFonts w:ascii="Times New Roman" w:eastAsia="Times New Roman" w:hAnsi="Times New Roman" w:cs="Times New Roman"/>
          <w:lang w:val="sr-Latn-ME"/>
        </w:rPr>
        <w:t xml:space="preserve">njihovim </w:t>
      </w:r>
      <w:r w:rsidRPr="00643CB3">
        <w:rPr>
          <w:rFonts w:ascii="Times New Roman" w:eastAsia="Times New Roman" w:hAnsi="Times New Roman" w:cs="Times New Roman"/>
          <w:lang w:val="sr-Latn-ME"/>
        </w:rPr>
        <w:t>odgovarajućim odobrenim Sažecima karakteristika lijeka</w:t>
      </w:r>
      <w:r w:rsidR="00DE523F" w:rsidRPr="00DE523F">
        <w:rPr>
          <w:rFonts w:ascii="Times New Roman" w:eastAsia="Times New Roman" w:hAnsi="Times New Roman" w:cs="Times New Roman"/>
          <w:lang w:val="sr-Latn-ME"/>
        </w:rPr>
        <w:t xml:space="preserve"> za različite indikacije</w:t>
      </w:r>
      <w:r w:rsidRPr="00643CB3">
        <w:rPr>
          <w:rFonts w:ascii="Times New Roman" w:eastAsia="Times New Roman" w:hAnsi="Times New Roman" w:cs="Times New Roman"/>
          <w:lang w:val="sr-Latn-ME"/>
        </w:rPr>
        <w:t>.</w:t>
      </w:r>
    </w:p>
    <w:p w14:paraId="4141A040"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14:paraId="0DAD8ACC" w14:textId="2BECAC98"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Učestalost javljanja neželjenih reakcija je klasifikovana na sljedeći način: veoma često (≥</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 često (≥</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1/100 i &lt;</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 povremeno (≥</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1/1000 i &lt;</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1/100); rijetko (</w:t>
      </w:r>
      <w:r w:rsidR="00DE523F" w:rsidRPr="00DE523F">
        <w:rPr>
          <w:rFonts w:ascii="Times New Roman" w:eastAsia="Times New Roman" w:hAnsi="Times New Roman" w:cs="Times New Roman"/>
          <w:lang w:val="sr-Latn-ME"/>
        </w:rPr>
        <w:t>≥</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1/10000 i &lt;</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1/1000); veoma rijetko (&lt;</w:t>
      </w:r>
      <w:r w:rsidR="005C45BA">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1/10000); nepoznato (ne može se procijeniti na osnovu raspoloživih podataka).</w:t>
      </w:r>
    </w:p>
    <w:p w14:paraId="55B27BE4"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14:paraId="48D5B804" w14:textId="179E14CD" w:rsidR="00643CB3" w:rsidRPr="003248FD" w:rsidRDefault="00643CB3" w:rsidP="003248FD">
      <w:p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Tabela 1.</w:t>
      </w:r>
      <w:r w:rsidR="005C45BA" w:rsidRPr="003248FD">
        <w:rPr>
          <w:rFonts w:ascii="Times New Roman" w:eastAsia="Times New Roman" w:hAnsi="Times New Roman" w:cs="Times New Roman"/>
          <w:b/>
          <w:lang w:val="sr-Latn-ME"/>
        </w:rPr>
        <w:t xml:space="preserve"> </w:t>
      </w:r>
      <w:r w:rsidRPr="003248FD">
        <w:rPr>
          <w:rFonts w:ascii="Times New Roman" w:eastAsia="Times New Roman" w:hAnsi="Times New Roman" w:cs="Times New Roman"/>
          <w:b/>
          <w:lang w:val="sr-Latn-ME"/>
        </w:rPr>
        <w:t>Neželjene reakcije prijavljene kod ispitanika koji su primali naltrekson/bupropion</w:t>
      </w:r>
      <w:r w:rsidR="00DE523F" w:rsidRPr="003248FD">
        <w:rPr>
          <w:rFonts w:ascii="Times New Roman" w:eastAsia="Times New Roman" w:hAnsi="Times New Roman" w:cs="Times New Roman"/>
          <w:b/>
          <w:lang w:val="sr-Latn-ME"/>
        </w:rPr>
        <w:t xml:space="preserve"> kao fiksnu kombinaciju</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5459"/>
      </w:tblGrid>
      <w:tr w:rsidR="00643CB3" w:rsidRPr="00643CB3" w14:paraId="224E6FC1" w14:textId="77777777" w:rsidTr="00617397">
        <w:tc>
          <w:tcPr>
            <w:tcW w:w="3085" w:type="dxa"/>
          </w:tcPr>
          <w:p w14:paraId="4A01587B"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Calibri" w:hAnsi="Times New Roman" w:cs="Times New Roman"/>
                <w:b/>
                <w:lang w:val="sr-Latn-ME"/>
              </w:rPr>
            </w:pPr>
            <w:bookmarkStart w:id="7" w:name="_Hlk41390373"/>
            <w:r w:rsidRPr="00643CB3">
              <w:rPr>
                <w:rFonts w:ascii="Times New Roman" w:eastAsia="Calibri" w:hAnsi="Times New Roman" w:cs="Times New Roman"/>
                <w:b/>
                <w:lang w:val="sr-Latn-ME"/>
              </w:rPr>
              <w:t>Klasa sistema organa</w:t>
            </w:r>
          </w:p>
        </w:tc>
        <w:tc>
          <w:tcPr>
            <w:tcW w:w="1418" w:type="dxa"/>
          </w:tcPr>
          <w:p w14:paraId="30AC3728"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Učestalost</w:t>
            </w:r>
          </w:p>
        </w:tc>
        <w:tc>
          <w:tcPr>
            <w:tcW w:w="5459" w:type="dxa"/>
          </w:tcPr>
          <w:p w14:paraId="59CCD684" w14:textId="77777777" w:rsidR="00643CB3" w:rsidRPr="00643CB3" w:rsidRDefault="00643CB3" w:rsidP="00643CB3">
            <w:pPr>
              <w:tabs>
                <w:tab w:val="left" w:pos="284"/>
              </w:tabs>
              <w:autoSpaceDE w:val="0"/>
              <w:autoSpaceDN w:val="0"/>
              <w:adjustRightInd w:val="0"/>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Neželjena reakcija (lijek*)</w:t>
            </w:r>
          </w:p>
        </w:tc>
      </w:tr>
      <w:tr w:rsidR="00FE7604" w:rsidRPr="00643CB3" w14:paraId="126CE968" w14:textId="77777777" w:rsidTr="00E21E63">
        <w:trPr>
          <w:trHeight w:val="342"/>
        </w:trPr>
        <w:tc>
          <w:tcPr>
            <w:tcW w:w="3085" w:type="dxa"/>
            <w:vMerge w:val="restart"/>
          </w:tcPr>
          <w:p w14:paraId="12536303" w14:textId="77777777" w:rsidR="00FE7604" w:rsidRPr="00643CB3" w:rsidRDefault="00FE7604"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bCs/>
                <w:lang w:val="sr-Latn-ME"/>
              </w:rPr>
              <w:t>Poremećaji krvi i limfnog sistema</w:t>
            </w:r>
          </w:p>
        </w:tc>
        <w:tc>
          <w:tcPr>
            <w:tcW w:w="1418" w:type="dxa"/>
          </w:tcPr>
          <w:p w14:paraId="4A067E08" w14:textId="77777777" w:rsidR="00FE7604" w:rsidRPr="00643CB3" w:rsidRDefault="00FE7604"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216DF56C" w14:textId="790FA20E" w:rsidR="00FE7604" w:rsidRPr="00643CB3" w:rsidRDefault="006F07EC" w:rsidP="00EA1DBC">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S</w:t>
            </w:r>
            <w:r w:rsidR="00521891" w:rsidRPr="00521891">
              <w:rPr>
                <w:rFonts w:ascii="Times New Roman" w:eastAsia="Calibri" w:hAnsi="Times New Roman" w:cs="Times New Roman"/>
                <w:lang w:val="sr-Latn-ME"/>
              </w:rPr>
              <w:t>manjen hematokrit</w:t>
            </w:r>
            <w:r w:rsidR="00521891">
              <w:rPr>
                <w:rFonts w:ascii="Times New Roman" w:eastAsia="Calibri" w:hAnsi="Times New Roman" w:cs="Times New Roman"/>
                <w:lang w:val="sr-Latn-ME"/>
              </w:rPr>
              <w:t>,</w:t>
            </w:r>
            <w:r w:rsidR="00521891" w:rsidRPr="00521891">
              <w:rPr>
                <w:rFonts w:ascii="Times New Roman" w:eastAsia="Calibri" w:hAnsi="Times New Roman" w:cs="Times New Roman"/>
                <w:lang w:val="sr-Latn-ME"/>
              </w:rPr>
              <w:t xml:space="preserve"> </w:t>
            </w:r>
            <w:r w:rsidR="00521891">
              <w:rPr>
                <w:rFonts w:ascii="Times New Roman" w:eastAsia="Calibri" w:hAnsi="Times New Roman" w:cs="Times New Roman"/>
                <w:lang w:val="sr-Latn-ME"/>
              </w:rPr>
              <w:t>s</w:t>
            </w:r>
            <w:r w:rsidR="00FE7604" w:rsidRPr="00643CB3">
              <w:rPr>
                <w:rFonts w:ascii="Times New Roman" w:eastAsia="Calibri" w:hAnsi="Times New Roman" w:cs="Times New Roman"/>
                <w:lang w:val="sr-Latn-ME"/>
              </w:rPr>
              <w:t xml:space="preserve">manjen broj limfocita </w:t>
            </w:r>
          </w:p>
        </w:tc>
      </w:tr>
      <w:tr w:rsidR="00DE523F" w:rsidRPr="00643CB3" w14:paraId="545B4032" w14:textId="77777777" w:rsidTr="00617397">
        <w:tc>
          <w:tcPr>
            <w:tcW w:w="3085" w:type="dxa"/>
            <w:vMerge/>
          </w:tcPr>
          <w:p w14:paraId="774304F5" w14:textId="77777777" w:rsidR="00DE523F" w:rsidRPr="00643CB3" w:rsidRDefault="00DE523F"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61222476" w14:textId="77777777" w:rsidR="00DE523F" w:rsidRPr="00643CB3" w:rsidRDefault="00DE523F"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N</w:t>
            </w:r>
            <w:r w:rsidRPr="00DE523F">
              <w:rPr>
                <w:rFonts w:ascii="Times New Roman" w:eastAsia="Calibri" w:hAnsi="Times New Roman" w:cs="Times New Roman"/>
                <w:lang w:val="sr-Latn-ME"/>
              </w:rPr>
              <w:t>epoznat</w:t>
            </w:r>
            <w:r w:rsidR="005816A5">
              <w:rPr>
                <w:rFonts w:ascii="Times New Roman" w:eastAsia="Calibri" w:hAnsi="Times New Roman" w:cs="Times New Roman"/>
                <w:lang w:val="sr-Latn-ME"/>
              </w:rPr>
              <w:t>a</w:t>
            </w:r>
          </w:p>
        </w:tc>
        <w:tc>
          <w:tcPr>
            <w:tcW w:w="5459" w:type="dxa"/>
          </w:tcPr>
          <w:p w14:paraId="75DDADA3" w14:textId="77777777" w:rsidR="00DE523F" w:rsidRPr="00643CB3" w:rsidRDefault="00521891"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521891">
              <w:rPr>
                <w:rFonts w:ascii="Times New Roman" w:eastAsia="Calibri" w:hAnsi="Times New Roman" w:cs="Times New Roman"/>
                <w:lang w:val="sr-Latn-ME"/>
              </w:rPr>
              <w:t>Limfadenopatija</w:t>
            </w:r>
          </w:p>
        </w:tc>
      </w:tr>
      <w:tr w:rsidR="00DB603F" w:rsidRPr="00643CB3" w14:paraId="03D08BE1" w14:textId="77777777" w:rsidTr="00E21E63">
        <w:trPr>
          <w:trHeight w:val="294"/>
        </w:trPr>
        <w:tc>
          <w:tcPr>
            <w:tcW w:w="3085" w:type="dxa"/>
            <w:vMerge w:val="restart"/>
          </w:tcPr>
          <w:p w14:paraId="4BBAB347" w14:textId="0A32432B" w:rsidR="00DB603F" w:rsidRPr="00643CB3" w:rsidRDefault="00DB603F"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imunog sistema</w:t>
            </w:r>
          </w:p>
        </w:tc>
        <w:tc>
          <w:tcPr>
            <w:tcW w:w="1418" w:type="dxa"/>
          </w:tcPr>
          <w:p w14:paraId="476C32DC" w14:textId="77777777" w:rsidR="00DB603F" w:rsidRPr="00643CB3" w:rsidRDefault="00DB603F"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0C2508D5" w14:textId="4C1937CB" w:rsidR="00DB603F" w:rsidRPr="00643CB3" w:rsidRDefault="006F07EC" w:rsidP="00EA1DBC">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6F07EC">
              <w:rPr>
                <w:rFonts w:ascii="Times New Roman" w:eastAsia="Calibri" w:hAnsi="Times New Roman" w:cs="Times New Roman"/>
                <w:lang w:val="sr-Latn-ME"/>
              </w:rPr>
              <w:t>reosjetljivost</w:t>
            </w:r>
            <w:r w:rsidR="00DB603F">
              <w:rPr>
                <w:rFonts w:ascii="Times New Roman" w:eastAsia="Calibri" w:hAnsi="Times New Roman" w:cs="Times New Roman"/>
                <w:lang w:val="sr-Latn-ME"/>
              </w:rPr>
              <w:t>,</w:t>
            </w:r>
            <w:r w:rsidR="008150AE">
              <w:rPr>
                <w:rFonts w:ascii="Times New Roman" w:eastAsia="Calibri" w:hAnsi="Times New Roman" w:cs="Times New Roman"/>
                <w:lang w:val="sr-Latn-ME"/>
              </w:rPr>
              <w:t xml:space="preserve"> </w:t>
            </w:r>
            <w:r w:rsidR="00DB603F" w:rsidRPr="00643CB3">
              <w:rPr>
                <w:rFonts w:ascii="Times New Roman" w:eastAsia="Calibri" w:hAnsi="Times New Roman" w:cs="Times New Roman"/>
                <w:lang w:val="sr-Latn-ME"/>
              </w:rPr>
              <w:t xml:space="preserve">urtikarija </w:t>
            </w:r>
          </w:p>
        </w:tc>
      </w:tr>
      <w:tr w:rsidR="00643CB3" w:rsidRPr="00643CB3" w14:paraId="3F0F247C" w14:textId="77777777" w:rsidTr="00617397">
        <w:tc>
          <w:tcPr>
            <w:tcW w:w="3085" w:type="dxa"/>
            <w:vMerge/>
          </w:tcPr>
          <w:p w14:paraId="7292E890"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08F0D480" w14:textId="1A52E2C2" w:rsidR="00643CB3" w:rsidRPr="00643CB3" w:rsidRDefault="00DB603F"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R</w:t>
            </w:r>
            <w:r w:rsidR="00643CB3" w:rsidRPr="00643CB3">
              <w:rPr>
                <w:rFonts w:ascii="Times New Roman" w:eastAsia="Calibri" w:hAnsi="Times New Roman" w:cs="Times New Roman"/>
                <w:lang w:val="sr-Latn-ME"/>
              </w:rPr>
              <w:t>ijetko</w:t>
            </w:r>
          </w:p>
        </w:tc>
        <w:tc>
          <w:tcPr>
            <w:tcW w:w="5459" w:type="dxa"/>
          </w:tcPr>
          <w:p w14:paraId="30CCE237" w14:textId="21962B97" w:rsidR="00643CB3" w:rsidRPr="00643CB3" w:rsidRDefault="00643CB3" w:rsidP="00EA1DBC">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Angioedem </w:t>
            </w:r>
          </w:p>
        </w:tc>
      </w:tr>
      <w:tr w:rsidR="00687A7A" w:rsidRPr="00643CB3" w14:paraId="380C817B" w14:textId="77777777" w:rsidTr="00E21E63">
        <w:trPr>
          <w:trHeight w:val="443"/>
        </w:trPr>
        <w:tc>
          <w:tcPr>
            <w:tcW w:w="3085" w:type="dxa"/>
          </w:tcPr>
          <w:p w14:paraId="42F76DFB"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lastRenderedPageBreak/>
              <w:t>Poremećaji metabolizma i ishrane</w:t>
            </w:r>
          </w:p>
        </w:tc>
        <w:tc>
          <w:tcPr>
            <w:tcW w:w="1418" w:type="dxa"/>
          </w:tcPr>
          <w:p w14:paraId="7031B976"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10A8D553" w14:textId="4753A7A1"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87A7A">
              <w:rPr>
                <w:rFonts w:ascii="Times New Roman" w:eastAsia="Calibri" w:hAnsi="Times New Roman" w:cs="Times New Roman"/>
                <w:lang w:val="sr-Latn-ME"/>
              </w:rPr>
              <w:t>Dehidracija</w:t>
            </w:r>
          </w:p>
        </w:tc>
      </w:tr>
      <w:tr w:rsidR="00687A7A" w:rsidRPr="00643CB3" w14:paraId="18D25ED8" w14:textId="77777777" w:rsidTr="00E21E63">
        <w:trPr>
          <w:trHeight w:val="267"/>
        </w:trPr>
        <w:tc>
          <w:tcPr>
            <w:tcW w:w="3085" w:type="dxa"/>
            <w:vMerge w:val="restart"/>
          </w:tcPr>
          <w:p w14:paraId="52D02B97"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Psihijatrijski poremećaji</w:t>
            </w:r>
          </w:p>
        </w:tc>
        <w:tc>
          <w:tcPr>
            <w:tcW w:w="1418" w:type="dxa"/>
          </w:tcPr>
          <w:p w14:paraId="0837723B"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530C457B" w14:textId="649933AF"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A</w:t>
            </w:r>
            <w:r w:rsidRPr="00643CB3">
              <w:rPr>
                <w:rFonts w:ascii="Times New Roman" w:eastAsia="Calibri" w:hAnsi="Times New Roman" w:cs="Times New Roman"/>
                <w:lang w:val="sr-Latn-ME"/>
              </w:rPr>
              <w:t>nksioznost</w:t>
            </w:r>
            <w:r>
              <w:rPr>
                <w:rFonts w:ascii="Times New Roman" w:eastAsia="Calibri" w:hAnsi="Times New Roman" w:cs="Times New Roman"/>
                <w:lang w:val="sr-Latn-ME"/>
              </w:rPr>
              <w:t xml:space="preserve">, </w:t>
            </w:r>
            <w:r w:rsidRPr="00687A7A">
              <w:rPr>
                <w:rFonts w:ascii="Times New Roman" w:eastAsia="Calibri" w:hAnsi="Times New Roman" w:cs="Times New Roman"/>
                <w:lang w:val="sr-Latn-ME"/>
              </w:rPr>
              <w:t>insomnija</w:t>
            </w:r>
          </w:p>
        </w:tc>
      </w:tr>
      <w:tr w:rsidR="00687A7A" w:rsidRPr="009B39C8" w14:paraId="60700A4B" w14:textId="77777777" w:rsidTr="00617397">
        <w:tc>
          <w:tcPr>
            <w:tcW w:w="3085" w:type="dxa"/>
            <w:vMerge/>
          </w:tcPr>
          <w:p w14:paraId="598D522B"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1D962353"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23D5E99E" w14:textId="1CD0C8F6"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Abnormalni snovi, </w:t>
            </w:r>
            <w:r w:rsidRPr="00687A7A">
              <w:rPr>
                <w:rFonts w:ascii="Times New Roman" w:eastAsia="Calibri" w:hAnsi="Times New Roman" w:cs="Times New Roman"/>
                <w:lang w:val="sr-Latn-ME"/>
              </w:rPr>
              <w:t>agitacija</w:t>
            </w:r>
            <w:r>
              <w:rPr>
                <w:rFonts w:ascii="Times New Roman" w:eastAsia="Calibri" w:hAnsi="Times New Roman" w:cs="Times New Roman"/>
                <w:lang w:val="sr-Latn-ME"/>
              </w:rPr>
              <w:t>,</w:t>
            </w:r>
            <w:r w:rsidRPr="00687A7A">
              <w:rPr>
                <w:rFonts w:ascii="Times New Roman" w:eastAsia="Calibri" w:hAnsi="Times New Roman" w:cs="Times New Roman"/>
                <w:lang w:val="sr-Latn-ME"/>
              </w:rPr>
              <w:t xml:space="preserve"> promjene raspoloženja</w:t>
            </w:r>
            <w:r>
              <w:rPr>
                <w:rFonts w:ascii="Times New Roman" w:eastAsia="Calibri" w:hAnsi="Times New Roman" w:cs="Times New Roman"/>
                <w:lang w:val="sr-Latn-ME"/>
              </w:rPr>
              <w:t>,</w:t>
            </w:r>
            <w:r w:rsidRPr="00687A7A">
              <w:rPr>
                <w:rFonts w:ascii="Times New Roman" w:eastAsia="Calibri" w:hAnsi="Times New Roman" w:cs="Times New Roman"/>
                <w:lang w:val="sr-Latn-ME"/>
              </w:rPr>
              <w:t xml:space="preserve"> </w:t>
            </w:r>
            <w:r w:rsidRPr="00643CB3">
              <w:rPr>
                <w:rFonts w:ascii="Times New Roman" w:eastAsia="Calibri" w:hAnsi="Times New Roman" w:cs="Times New Roman"/>
                <w:lang w:val="sr-Latn-ME"/>
              </w:rPr>
              <w:t>nervoza, napetost</w:t>
            </w:r>
            <w:r w:rsidR="00C80FE4" w:rsidRPr="00C80FE4">
              <w:rPr>
                <w:rFonts w:ascii="Times New Roman" w:eastAsia="Calibri" w:hAnsi="Times New Roman" w:cs="Times New Roman"/>
                <w:lang w:val="sr-Latn-ME"/>
              </w:rPr>
              <w:t>, disocijacija (osjećaj odvojenosti)</w:t>
            </w:r>
          </w:p>
        </w:tc>
      </w:tr>
      <w:tr w:rsidR="00687A7A" w:rsidRPr="00643CB3" w14:paraId="4B45DFD8" w14:textId="77777777" w:rsidTr="00E21E63">
        <w:trPr>
          <w:trHeight w:val="322"/>
        </w:trPr>
        <w:tc>
          <w:tcPr>
            <w:tcW w:w="3085" w:type="dxa"/>
            <w:vMerge/>
          </w:tcPr>
          <w:p w14:paraId="4547CC6B"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2137DD6C" w14:textId="5FC11AC8"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686023AF" w14:textId="2772A995" w:rsidR="00687A7A" w:rsidRPr="00643CB3" w:rsidRDefault="00687A7A" w:rsidP="00F4474A">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H</w:t>
            </w:r>
            <w:r w:rsidRPr="00643CB3">
              <w:rPr>
                <w:rFonts w:ascii="Times New Roman" w:eastAsia="Calibri" w:hAnsi="Times New Roman" w:cs="Times New Roman"/>
                <w:lang w:val="sr-Latn-ME"/>
              </w:rPr>
              <w:t xml:space="preserve">alucinacije </w:t>
            </w:r>
          </w:p>
        </w:tc>
      </w:tr>
      <w:tr w:rsidR="00DC0E38" w:rsidRPr="00643CB3" w14:paraId="676F848A" w14:textId="77777777" w:rsidTr="00E35685">
        <w:trPr>
          <w:trHeight w:val="322"/>
        </w:trPr>
        <w:tc>
          <w:tcPr>
            <w:tcW w:w="3085" w:type="dxa"/>
            <w:vMerge/>
          </w:tcPr>
          <w:p w14:paraId="56A1C71F" w14:textId="77777777" w:rsidR="00DC0E38" w:rsidRPr="00643CB3" w:rsidRDefault="00DC0E38"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1760D019" w14:textId="0892493C" w:rsidR="00DC0E38" w:rsidRPr="00643CB3" w:rsidRDefault="006A3997"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Nepoznata</w:t>
            </w:r>
          </w:p>
        </w:tc>
        <w:tc>
          <w:tcPr>
            <w:tcW w:w="5459" w:type="dxa"/>
          </w:tcPr>
          <w:p w14:paraId="781C0EC5" w14:textId="7A7F8448" w:rsidR="00DC0E38" w:rsidRPr="00643CB3" w:rsidDel="00091DF8" w:rsidRDefault="006A3997" w:rsidP="00F4474A">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Napad panike</w:t>
            </w:r>
          </w:p>
        </w:tc>
      </w:tr>
      <w:tr w:rsidR="00687A7A" w:rsidRPr="009B39C8" w14:paraId="02AFD0C6" w14:textId="77777777" w:rsidTr="00E21E63">
        <w:trPr>
          <w:trHeight w:val="1262"/>
        </w:trPr>
        <w:tc>
          <w:tcPr>
            <w:tcW w:w="3085" w:type="dxa"/>
            <w:vMerge/>
          </w:tcPr>
          <w:p w14:paraId="52A93131"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FD108D5" w14:textId="77777777" w:rsidR="00687A7A" w:rsidRPr="00643CB3" w:rsidRDefault="00687A7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87A7A">
              <w:rPr>
                <w:rFonts w:ascii="Times New Roman" w:eastAsia="Calibri" w:hAnsi="Times New Roman" w:cs="Times New Roman"/>
                <w:lang w:val="sr-Latn-ME"/>
              </w:rPr>
              <w:t>Nepoznat</w:t>
            </w:r>
            <w:r w:rsidR="005816A5">
              <w:rPr>
                <w:rFonts w:ascii="Times New Roman" w:eastAsia="Calibri" w:hAnsi="Times New Roman" w:cs="Times New Roman"/>
                <w:lang w:val="sr-Latn-ME"/>
              </w:rPr>
              <w:t>a</w:t>
            </w:r>
          </w:p>
        </w:tc>
        <w:tc>
          <w:tcPr>
            <w:tcW w:w="5459" w:type="dxa"/>
          </w:tcPr>
          <w:p w14:paraId="514C99A9" w14:textId="77777777" w:rsidR="00687A7A" w:rsidRPr="00643CB3" w:rsidDel="00687A7A" w:rsidRDefault="00687A7A" w:rsidP="00687A7A">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A</w:t>
            </w:r>
            <w:r w:rsidRPr="00687A7A">
              <w:rPr>
                <w:rFonts w:ascii="Times New Roman" w:eastAsia="Calibri" w:hAnsi="Times New Roman" w:cs="Times New Roman"/>
                <w:lang w:val="sr-Latn-ME"/>
              </w:rPr>
              <w:t>fektivni poremećaji</w:t>
            </w:r>
            <w:r>
              <w:rPr>
                <w:rFonts w:ascii="Times New Roman" w:eastAsia="Calibri" w:hAnsi="Times New Roman" w:cs="Times New Roman"/>
                <w:lang w:val="sr-Latn-ME"/>
              </w:rPr>
              <w:t xml:space="preserve">, </w:t>
            </w:r>
            <w:r w:rsidR="00BD76C4" w:rsidRPr="00BD76C4">
              <w:rPr>
                <w:rFonts w:ascii="Times New Roman" w:eastAsia="Calibri" w:hAnsi="Times New Roman" w:cs="Times New Roman"/>
                <w:lang w:val="sr-Latn-ME"/>
              </w:rPr>
              <w:t>agresija</w:t>
            </w:r>
            <w:r w:rsidR="00BD76C4">
              <w:rPr>
                <w:rFonts w:ascii="Times New Roman" w:eastAsia="Calibri" w:hAnsi="Times New Roman" w:cs="Times New Roman"/>
                <w:lang w:val="sr-Latn-ME"/>
              </w:rPr>
              <w:t xml:space="preserve">, </w:t>
            </w:r>
            <w:r w:rsidR="00BD76C4" w:rsidRPr="00BD76C4">
              <w:rPr>
                <w:rFonts w:ascii="Times New Roman" w:eastAsia="Calibri" w:hAnsi="Times New Roman" w:cs="Times New Roman"/>
                <w:lang w:val="sr-Latn-ME"/>
              </w:rPr>
              <w:t>stanje konfuzije</w:t>
            </w:r>
            <w:r w:rsidR="00BD76C4">
              <w:rPr>
                <w:rFonts w:ascii="Times New Roman" w:eastAsia="Calibri" w:hAnsi="Times New Roman" w:cs="Times New Roman"/>
                <w:lang w:val="sr-Latn-ME"/>
              </w:rPr>
              <w:t>, z</w:t>
            </w:r>
            <w:r w:rsidR="00BD76C4" w:rsidRPr="00BD76C4">
              <w:rPr>
                <w:rFonts w:ascii="Times New Roman" w:eastAsia="Calibri" w:hAnsi="Times New Roman" w:cs="Times New Roman"/>
                <w:lang w:val="sr-Latn-ME"/>
              </w:rPr>
              <w:t>ablude</w:t>
            </w:r>
            <w:r w:rsidR="00BD76C4">
              <w:rPr>
                <w:rFonts w:ascii="Times New Roman" w:eastAsia="Calibri" w:hAnsi="Times New Roman" w:cs="Times New Roman"/>
                <w:lang w:val="sr-Latn-ME"/>
              </w:rPr>
              <w:t xml:space="preserve">, </w:t>
            </w:r>
            <w:r w:rsidR="00BD76C4" w:rsidRPr="00BD76C4">
              <w:rPr>
                <w:rFonts w:ascii="Times New Roman" w:eastAsia="Calibri" w:hAnsi="Times New Roman" w:cs="Times New Roman"/>
                <w:lang w:val="sr-Latn-ME"/>
              </w:rPr>
              <w:t>depresija</w:t>
            </w:r>
            <w:r w:rsidR="00BD76C4">
              <w:rPr>
                <w:rFonts w:ascii="Times New Roman" w:eastAsia="Calibri" w:hAnsi="Times New Roman" w:cs="Times New Roman"/>
                <w:lang w:val="sr-Latn-ME"/>
              </w:rPr>
              <w:t xml:space="preserve">, </w:t>
            </w:r>
            <w:r w:rsidR="00BD76C4" w:rsidRPr="00BD76C4">
              <w:rPr>
                <w:rFonts w:ascii="Times New Roman" w:eastAsia="Calibri" w:hAnsi="Times New Roman" w:cs="Times New Roman"/>
                <w:lang w:val="sr-Latn-ME"/>
              </w:rPr>
              <w:t>dezorijentacija</w:t>
            </w:r>
            <w:r w:rsidR="00BD76C4">
              <w:rPr>
                <w:rFonts w:ascii="Times New Roman" w:eastAsia="Calibri" w:hAnsi="Times New Roman" w:cs="Times New Roman"/>
                <w:lang w:val="sr-Latn-ME"/>
              </w:rPr>
              <w:t xml:space="preserve">, </w:t>
            </w:r>
            <w:r w:rsidR="00BD76C4" w:rsidRPr="00BD76C4">
              <w:rPr>
                <w:rFonts w:ascii="Times New Roman" w:eastAsia="Calibri" w:hAnsi="Times New Roman" w:cs="Times New Roman"/>
                <w:lang w:val="sr-Latn-ME"/>
              </w:rPr>
              <w:t>poremećaj pažnje, neprijateljsko raspoloženje</w:t>
            </w:r>
            <w:r w:rsidR="00BD76C4">
              <w:rPr>
                <w:rFonts w:ascii="Times New Roman" w:eastAsia="Calibri" w:hAnsi="Times New Roman" w:cs="Times New Roman"/>
                <w:lang w:val="sr-Latn-ME"/>
              </w:rPr>
              <w:t>, gubitak</w:t>
            </w:r>
            <w:r w:rsidR="00BD76C4" w:rsidRPr="00BD76C4">
              <w:rPr>
                <w:rFonts w:ascii="Times New Roman" w:eastAsia="Calibri" w:hAnsi="Times New Roman" w:cs="Times New Roman"/>
                <w:lang w:val="sr-Latn-ME"/>
              </w:rPr>
              <w:t xml:space="preserve"> libid</w:t>
            </w:r>
            <w:r w:rsidR="00BD76C4">
              <w:rPr>
                <w:rFonts w:ascii="Times New Roman" w:eastAsia="Calibri" w:hAnsi="Times New Roman" w:cs="Times New Roman"/>
                <w:lang w:val="sr-Latn-ME"/>
              </w:rPr>
              <w:t xml:space="preserve">a, </w:t>
            </w:r>
            <w:r w:rsidR="00BD76C4" w:rsidRPr="00BD76C4">
              <w:rPr>
                <w:rFonts w:ascii="Times New Roman" w:eastAsia="Calibri" w:hAnsi="Times New Roman" w:cs="Times New Roman"/>
                <w:lang w:val="sr-Latn-ME"/>
              </w:rPr>
              <w:t>noćne more</w:t>
            </w:r>
            <w:r w:rsidR="00BD76C4">
              <w:rPr>
                <w:rFonts w:ascii="Times New Roman" w:eastAsia="Calibri" w:hAnsi="Times New Roman" w:cs="Times New Roman"/>
                <w:lang w:val="sr-Latn-ME"/>
              </w:rPr>
              <w:t xml:space="preserve">, </w:t>
            </w:r>
            <w:r w:rsidR="00BD76C4" w:rsidRPr="00BD76C4">
              <w:rPr>
                <w:rFonts w:ascii="Times New Roman" w:eastAsia="Calibri" w:hAnsi="Times New Roman" w:cs="Times New Roman"/>
                <w:lang w:val="sr-Latn-ME"/>
              </w:rPr>
              <w:t>paranoja</w:t>
            </w:r>
            <w:r w:rsidR="00BD76C4">
              <w:rPr>
                <w:rFonts w:ascii="Times New Roman" w:eastAsia="Calibri" w:hAnsi="Times New Roman" w:cs="Times New Roman"/>
                <w:lang w:val="sr-Latn-ME"/>
              </w:rPr>
              <w:t xml:space="preserve">, </w:t>
            </w:r>
            <w:r w:rsidR="00F4474A" w:rsidRPr="00F4474A">
              <w:rPr>
                <w:rFonts w:ascii="Times New Roman" w:eastAsia="Calibri" w:hAnsi="Times New Roman" w:cs="Times New Roman"/>
                <w:lang w:val="sr-Latn-ME"/>
              </w:rPr>
              <w:t>psihotični poremećaji,</w:t>
            </w:r>
            <w:r w:rsidR="00F4474A">
              <w:rPr>
                <w:rFonts w:ascii="Times New Roman" w:eastAsia="Calibri" w:hAnsi="Times New Roman" w:cs="Times New Roman"/>
                <w:lang w:val="sr-Latn-ME"/>
              </w:rPr>
              <w:t xml:space="preserve"> </w:t>
            </w:r>
            <w:r w:rsidR="00F4474A" w:rsidRPr="00F4474A">
              <w:rPr>
                <w:rFonts w:ascii="Times New Roman" w:eastAsia="Calibri" w:hAnsi="Times New Roman" w:cs="Times New Roman"/>
                <w:lang w:val="sr-Latn-ME"/>
              </w:rPr>
              <w:t>suicidalne ideje</w:t>
            </w:r>
            <w:r w:rsidR="00F4474A">
              <w:rPr>
                <w:rFonts w:ascii="Times New Roman" w:eastAsia="Calibri" w:hAnsi="Times New Roman" w:cs="Times New Roman"/>
                <w:lang w:val="sr-Latn-ME"/>
              </w:rPr>
              <w:t>*</w:t>
            </w:r>
            <w:r w:rsidR="00F4474A" w:rsidRPr="00F4474A">
              <w:rPr>
                <w:rFonts w:ascii="Times New Roman" w:eastAsia="Calibri" w:hAnsi="Times New Roman" w:cs="Times New Roman"/>
                <w:lang w:val="sr-Latn-ME"/>
              </w:rPr>
              <w:t>, pokušaj suicida</w:t>
            </w:r>
            <w:r w:rsidR="00F4474A">
              <w:rPr>
                <w:rFonts w:ascii="Times New Roman" w:eastAsia="Calibri" w:hAnsi="Times New Roman" w:cs="Times New Roman"/>
                <w:lang w:val="sr-Latn-ME"/>
              </w:rPr>
              <w:t xml:space="preserve">, </w:t>
            </w:r>
            <w:r w:rsidR="00F4474A" w:rsidRPr="00F4474A">
              <w:rPr>
                <w:rFonts w:ascii="Times New Roman" w:eastAsia="Calibri" w:hAnsi="Times New Roman" w:cs="Times New Roman"/>
                <w:lang w:val="sr-Latn-ME"/>
              </w:rPr>
              <w:t>suicidalno ponašanje</w:t>
            </w:r>
          </w:p>
        </w:tc>
      </w:tr>
      <w:tr w:rsidR="00643CB3" w:rsidRPr="00643CB3" w14:paraId="17CDB391" w14:textId="77777777" w:rsidTr="00617397">
        <w:tc>
          <w:tcPr>
            <w:tcW w:w="3085" w:type="dxa"/>
            <w:vMerge w:val="restart"/>
          </w:tcPr>
          <w:p w14:paraId="2DE8F062"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bCs/>
                <w:lang w:val="sr-Latn-ME"/>
              </w:rPr>
              <w:t>Poremećaji nervnog sistema</w:t>
            </w:r>
          </w:p>
        </w:tc>
        <w:tc>
          <w:tcPr>
            <w:tcW w:w="1418" w:type="dxa"/>
          </w:tcPr>
          <w:p w14:paraId="5C5A98C6"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Veoma često</w:t>
            </w:r>
          </w:p>
        </w:tc>
        <w:tc>
          <w:tcPr>
            <w:tcW w:w="5459" w:type="dxa"/>
          </w:tcPr>
          <w:p w14:paraId="1AA3C51D" w14:textId="6776208E"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Glavobolja</w:t>
            </w:r>
          </w:p>
        </w:tc>
      </w:tr>
      <w:tr w:rsidR="00643CB3" w:rsidRPr="00643CB3" w14:paraId="7E5AED36" w14:textId="77777777" w:rsidTr="00617397">
        <w:tc>
          <w:tcPr>
            <w:tcW w:w="3085" w:type="dxa"/>
            <w:vMerge/>
          </w:tcPr>
          <w:p w14:paraId="496E86D6"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0378C52"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5E0EF1B1" w14:textId="18F193D3"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Vrtoglavica, tremor, disgeuzija, letargija, somnolencija </w:t>
            </w:r>
          </w:p>
        </w:tc>
      </w:tr>
      <w:tr w:rsidR="00643CB3" w:rsidRPr="00643CB3" w14:paraId="6960B1CF" w14:textId="77777777" w:rsidTr="00617397">
        <w:tc>
          <w:tcPr>
            <w:tcW w:w="3085" w:type="dxa"/>
            <w:vMerge/>
          </w:tcPr>
          <w:p w14:paraId="014B2FA0"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C6EBC1B"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7F332D60" w14:textId="29EDBD6B"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Intencioni tremor, poremećaj ravnoteže, amnezija</w:t>
            </w:r>
          </w:p>
        </w:tc>
      </w:tr>
      <w:tr w:rsidR="00643CB3" w:rsidRPr="009B39C8" w14:paraId="7AFF45E0" w14:textId="77777777" w:rsidTr="00617397">
        <w:tc>
          <w:tcPr>
            <w:tcW w:w="3085" w:type="dxa"/>
            <w:vMerge/>
          </w:tcPr>
          <w:p w14:paraId="3D924ECE"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bookmarkStart w:id="8" w:name="_Hlk41490737"/>
          </w:p>
        </w:tc>
        <w:tc>
          <w:tcPr>
            <w:tcW w:w="1418" w:type="dxa"/>
          </w:tcPr>
          <w:p w14:paraId="30E6114C"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05326FFF" w14:textId="391F9C2A" w:rsidR="00643CB3" w:rsidRPr="00643CB3" w:rsidRDefault="001D646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G</w:t>
            </w:r>
            <w:r w:rsidR="00643CB3" w:rsidRPr="00643CB3">
              <w:rPr>
                <w:rFonts w:ascii="Times New Roman" w:eastAsia="Calibri" w:hAnsi="Times New Roman" w:cs="Times New Roman"/>
                <w:lang w:val="sr-Latn-ME"/>
              </w:rPr>
              <w:t xml:space="preserve">ubitak svijesti, </w:t>
            </w:r>
            <w:r w:rsidR="003547BA" w:rsidRPr="003547BA">
              <w:rPr>
                <w:rFonts w:ascii="Times New Roman" w:eastAsia="Calibri" w:hAnsi="Times New Roman" w:cs="Times New Roman"/>
                <w:lang w:val="sr-Latn-ME"/>
              </w:rPr>
              <w:t>parestezija</w:t>
            </w:r>
            <w:r w:rsidR="003547BA">
              <w:rPr>
                <w:rFonts w:ascii="Times New Roman" w:eastAsia="Calibri" w:hAnsi="Times New Roman" w:cs="Times New Roman"/>
                <w:lang w:val="sr-Latn-ME"/>
              </w:rPr>
              <w:t xml:space="preserve">, </w:t>
            </w:r>
            <w:r w:rsidR="00C76EBE" w:rsidRPr="00C76EBE">
              <w:rPr>
                <w:rFonts w:ascii="Times New Roman" w:eastAsia="Calibri" w:hAnsi="Times New Roman" w:cs="Times New Roman"/>
                <w:lang w:val="sr-Latn-ME"/>
              </w:rPr>
              <w:t>presinkopa</w:t>
            </w:r>
            <w:r w:rsidR="00C76EBE">
              <w:rPr>
                <w:rFonts w:ascii="Times New Roman" w:eastAsia="Calibri" w:hAnsi="Times New Roman" w:cs="Times New Roman"/>
                <w:lang w:val="sr-Latn-ME"/>
              </w:rPr>
              <w:t xml:space="preserve">, </w:t>
            </w:r>
            <w:r w:rsidR="00C76EBE" w:rsidRPr="00C76EBE">
              <w:rPr>
                <w:rFonts w:ascii="Times New Roman" w:eastAsia="Calibri" w:hAnsi="Times New Roman" w:cs="Times New Roman"/>
                <w:lang w:val="sr-Latn-ME"/>
              </w:rPr>
              <w:t>epileptični napadi</w:t>
            </w:r>
            <w:r w:rsidR="00105563">
              <w:rPr>
                <w:rFonts w:ascii="Times New Roman" w:eastAsia="Calibri" w:hAnsi="Times New Roman" w:cs="Times New Roman"/>
                <w:lang w:val="sr-Latn-ME"/>
              </w:rPr>
              <w:t>**</w:t>
            </w:r>
            <w:r w:rsidR="00643CB3" w:rsidRPr="00643CB3">
              <w:rPr>
                <w:rFonts w:ascii="Times New Roman" w:eastAsia="Calibri" w:hAnsi="Times New Roman" w:cs="Times New Roman"/>
                <w:lang w:val="sr-Latn-ME"/>
              </w:rPr>
              <w:t>, sinkopa</w:t>
            </w:r>
          </w:p>
        </w:tc>
      </w:tr>
      <w:bookmarkEnd w:id="8"/>
      <w:tr w:rsidR="00643CB3" w:rsidRPr="009B39C8" w14:paraId="1C34B670" w14:textId="77777777" w:rsidTr="00617397">
        <w:tc>
          <w:tcPr>
            <w:tcW w:w="3085" w:type="dxa"/>
            <w:vMerge/>
          </w:tcPr>
          <w:p w14:paraId="2E28A414"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682B56EC"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Nepoznata </w:t>
            </w:r>
          </w:p>
        </w:tc>
        <w:tc>
          <w:tcPr>
            <w:tcW w:w="5459" w:type="dxa"/>
          </w:tcPr>
          <w:p w14:paraId="61B29CC2" w14:textId="13ED4E18" w:rsidR="00643CB3" w:rsidRPr="00643CB3" w:rsidRDefault="005816A5"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E21E63">
              <w:rPr>
                <w:rFonts w:ascii="Times New Roman" w:eastAsia="Calibri" w:hAnsi="Times New Roman" w:cs="Times New Roman"/>
                <w:lang w:val="sr-Latn-ME"/>
              </w:rPr>
              <w:t>Distonija, poremećaj pamćenja, parkinsonizam, nemir</w:t>
            </w:r>
            <w:r w:rsidR="001B132F" w:rsidRPr="00E21E63">
              <w:rPr>
                <w:rFonts w:ascii="Times New Roman" w:eastAsia="Calibri" w:hAnsi="Times New Roman" w:cs="Times New Roman"/>
                <w:lang w:val="sr-Latn-ME"/>
              </w:rPr>
              <w:t>,</w:t>
            </w:r>
            <w:r w:rsidR="0007145B" w:rsidRPr="00E21E63">
              <w:rPr>
                <w:rFonts w:ascii="Times New Roman" w:eastAsia="Calibri" w:hAnsi="Times New Roman" w:cs="Times New Roman"/>
                <w:lang w:val="sr-Latn-ME"/>
              </w:rPr>
              <w:t xml:space="preserve"> serotoninski sindrom****</w:t>
            </w:r>
          </w:p>
        </w:tc>
      </w:tr>
      <w:tr w:rsidR="005816A5" w:rsidRPr="009B39C8" w14:paraId="1D65561F" w14:textId="77777777" w:rsidTr="000C1A53">
        <w:trPr>
          <w:trHeight w:val="537"/>
        </w:trPr>
        <w:tc>
          <w:tcPr>
            <w:tcW w:w="3085" w:type="dxa"/>
          </w:tcPr>
          <w:p w14:paraId="2D47B91C" w14:textId="77777777" w:rsidR="005816A5" w:rsidRPr="00643CB3" w:rsidRDefault="005816A5"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oka</w:t>
            </w:r>
          </w:p>
        </w:tc>
        <w:tc>
          <w:tcPr>
            <w:tcW w:w="1418" w:type="dxa"/>
          </w:tcPr>
          <w:p w14:paraId="7ECC6EB1" w14:textId="7BA01538" w:rsidR="005816A5" w:rsidRPr="00643CB3" w:rsidRDefault="005816A5" w:rsidP="005816A5">
            <w:pPr>
              <w:tabs>
                <w:tab w:val="left" w:pos="284"/>
              </w:tabs>
              <w:autoSpaceDE w:val="0"/>
              <w:autoSpaceDN w:val="0"/>
              <w:adjustRightInd w:val="0"/>
              <w:spacing w:after="0" w:line="240" w:lineRule="auto"/>
              <w:rPr>
                <w:rFonts w:ascii="Times New Roman" w:eastAsia="Calibri" w:hAnsi="Times New Roman" w:cs="Times New Roman"/>
                <w:lang w:val="sr-Latn-ME"/>
              </w:rPr>
            </w:pPr>
            <w:r w:rsidRPr="005816A5">
              <w:rPr>
                <w:rFonts w:ascii="Times New Roman" w:eastAsia="Calibri" w:hAnsi="Times New Roman" w:cs="Times New Roman"/>
                <w:lang w:val="sr-Latn-ME"/>
              </w:rPr>
              <w:t xml:space="preserve">Nepoznata </w:t>
            </w:r>
          </w:p>
        </w:tc>
        <w:tc>
          <w:tcPr>
            <w:tcW w:w="5459" w:type="dxa"/>
          </w:tcPr>
          <w:p w14:paraId="628B8475" w14:textId="5F6C502E" w:rsidR="005816A5" w:rsidRPr="00643CB3" w:rsidRDefault="005816A5" w:rsidP="00EA1DBC">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I</w:t>
            </w:r>
            <w:r w:rsidRPr="005816A5">
              <w:rPr>
                <w:rFonts w:ascii="Times New Roman" w:eastAsia="Calibri" w:hAnsi="Times New Roman" w:cs="Times New Roman"/>
                <w:lang w:val="sr-Latn-ME"/>
              </w:rPr>
              <w:t>ritacija oka, bol u oku ili astenopija, oticanje oka</w:t>
            </w:r>
            <w:r>
              <w:rPr>
                <w:rFonts w:ascii="Times New Roman" w:eastAsia="Calibri" w:hAnsi="Times New Roman" w:cs="Times New Roman"/>
                <w:lang w:val="sr-Latn-ME"/>
              </w:rPr>
              <w:t>, p</w:t>
            </w:r>
            <w:r w:rsidRPr="005816A5">
              <w:rPr>
                <w:rFonts w:ascii="Times New Roman" w:eastAsia="Calibri" w:hAnsi="Times New Roman" w:cs="Times New Roman"/>
                <w:lang w:val="sr-Latn-ME"/>
              </w:rPr>
              <w:t>ojačano suzenje</w:t>
            </w:r>
            <w:r>
              <w:rPr>
                <w:rFonts w:ascii="Times New Roman" w:eastAsia="Calibri" w:hAnsi="Times New Roman" w:cs="Times New Roman"/>
                <w:lang w:val="sr-Latn-ME"/>
              </w:rPr>
              <w:t>,</w:t>
            </w:r>
            <w:r w:rsidRPr="005816A5">
              <w:rPr>
                <w:rFonts w:ascii="Times New Roman" w:eastAsia="Calibri" w:hAnsi="Times New Roman" w:cs="Times New Roman"/>
                <w:lang w:val="sr-Latn-ME"/>
              </w:rPr>
              <w:t xml:space="preserve"> fotofobija</w:t>
            </w:r>
            <w:r>
              <w:rPr>
                <w:rFonts w:ascii="Times New Roman" w:eastAsia="Calibri" w:hAnsi="Times New Roman" w:cs="Times New Roman"/>
                <w:lang w:val="sr-Latn-ME"/>
              </w:rPr>
              <w:t>, z</w:t>
            </w:r>
            <w:r w:rsidRPr="005816A5">
              <w:rPr>
                <w:rFonts w:ascii="Times New Roman" w:eastAsia="Calibri" w:hAnsi="Times New Roman" w:cs="Times New Roman"/>
                <w:lang w:val="sr-Latn-ME"/>
              </w:rPr>
              <w:t>amagljen vid</w:t>
            </w:r>
          </w:p>
        </w:tc>
      </w:tr>
      <w:tr w:rsidR="003A0EB3" w:rsidRPr="00643CB3" w14:paraId="08EAAE70" w14:textId="77777777" w:rsidTr="00617397">
        <w:tc>
          <w:tcPr>
            <w:tcW w:w="3085" w:type="dxa"/>
            <w:vMerge w:val="restart"/>
          </w:tcPr>
          <w:p w14:paraId="53A5A007"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uha i labirinta</w:t>
            </w:r>
          </w:p>
        </w:tc>
        <w:tc>
          <w:tcPr>
            <w:tcW w:w="1418" w:type="dxa"/>
          </w:tcPr>
          <w:p w14:paraId="13F9124C"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553FBAB6" w14:textId="6E069A95"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Tinitus, vertigo</w:t>
            </w:r>
          </w:p>
        </w:tc>
      </w:tr>
      <w:tr w:rsidR="003A0EB3" w:rsidRPr="00643CB3" w14:paraId="4F21A073" w14:textId="77777777" w:rsidTr="003A0EB3">
        <w:trPr>
          <w:trHeight w:val="128"/>
        </w:trPr>
        <w:tc>
          <w:tcPr>
            <w:tcW w:w="3085" w:type="dxa"/>
            <w:vMerge/>
          </w:tcPr>
          <w:p w14:paraId="2E32BBC1"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6B59B660"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6BB663DA" w14:textId="63F5D989"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Kinetoza </w:t>
            </w:r>
          </w:p>
        </w:tc>
      </w:tr>
      <w:tr w:rsidR="003A0EB3" w:rsidRPr="009B39C8" w14:paraId="29D75E95" w14:textId="77777777" w:rsidTr="00617397">
        <w:trPr>
          <w:trHeight w:val="127"/>
        </w:trPr>
        <w:tc>
          <w:tcPr>
            <w:tcW w:w="3085" w:type="dxa"/>
            <w:vMerge/>
          </w:tcPr>
          <w:p w14:paraId="5815382A"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41187BAC"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3A0EB3">
              <w:rPr>
                <w:rFonts w:ascii="Times New Roman" w:eastAsia="Calibri" w:hAnsi="Times New Roman" w:cs="Times New Roman"/>
                <w:lang w:val="sr-Latn-ME"/>
              </w:rPr>
              <w:t>Nepoznata</w:t>
            </w:r>
          </w:p>
        </w:tc>
        <w:tc>
          <w:tcPr>
            <w:tcW w:w="5459" w:type="dxa"/>
          </w:tcPr>
          <w:p w14:paraId="634D5C36" w14:textId="77777777" w:rsidR="003A0EB3" w:rsidRPr="00643CB3" w:rsidRDefault="003A0E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N</w:t>
            </w:r>
            <w:r w:rsidRPr="003A0EB3">
              <w:rPr>
                <w:rFonts w:ascii="Times New Roman" w:eastAsia="Calibri" w:hAnsi="Times New Roman" w:cs="Times New Roman"/>
                <w:lang w:val="sr-Latn-ME"/>
              </w:rPr>
              <w:t>elagodnost u uhu</w:t>
            </w:r>
            <w:r>
              <w:rPr>
                <w:rFonts w:ascii="Times New Roman" w:eastAsia="Calibri" w:hAnsi="Times New Roman" w:cs="Times New Roman"/>
                <w:lang w:val="sr-Latn-ME"/>
              </w:rPr>
              <w:t>,</w:t>
            </w:r>
            <w:r w:rsidRPr="003A0EB3">
              <w:rPr>
                <w:rFonts w:ascii="Times New Roman" w:eastAsia="Calibri" w:hAnsi="Times New Roman" w:cs="Times New Roman"/>
                <w:lang w:val="sr-Latn-ME"/>
              </w:rPr>
              <w:t xml:space="preserve"> bol u uhu</w:t>
            </w:r>
          </w:p>
        </w:tc>
      </w:tr>
      <w:tr w:rsidR="00643CB3" w:rsidRPr="00643CB3" w14:paraId="344E4CC1" w14:textId="77777777" w:rsidTr="00617397">
        <w:tc>
          <w:tcPr>
            <w:tcW w:w="3085" w:type="dxa"/>
            <w:vMerge w:val="restart"/>
          </w:tcPr>
          <w:p w14:paraId="4654413C"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Kardiološki poremećaji</w:t>
            </w:r>
          </w:p>
        </w:tc>
        <w:tc>
          <w:tcPr>
            <w:tcW w:w="1418" w:type="dxa"/>
          </w:tcPr>
          <w:p w14:paraId="29578319"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1D4D29EE" w14:textId="00FEFCAA"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Palpitacije</w:t>
            </w:r>
            <w:r w:rsidR="00E33B1B">
              <w:rPr>
                <w:rFonts w:ascii="Times New Roman" w:eastAsia="Calibri" w:hAnsi="Times New Roman" w:cs="Times New Roman"/>
                <w:lang w:val="sr-Latn-ME"/>
              </w:rPr>
              <w:t>,</w:t>
            </w:r>
            <w:r w:rsidR="00CB495E">
              <w:t xml:space="preserve"> </w:t>
            </w:r>
            <w:r w:rsidR="00CB495E" w:rsidRPr="00CB495E">
              <w:rPr>
                <w:rFonts w:ascii="Times New Roman" w:eastAsia="Calibri" w:hAnsi="Times New Roman" w:cs="Times New Roman"/>
                <w:lang w:val="sr-Latn-ME"/>
              </w:rPr>
              <w:t>ubrzan rad srca</w:t>
            </w:r>
          </w:p>
        </w:tc>
      </w:tr>
      <w:tr w:rsidR="00643CB3" w:rsidRPr="00643CB3" w14:paraId="0B75B9FA" w14:textId="77777777" w:rsidTr="00617397">
        <w:tc>
          <w:tcPr>
            <w:tcW w:w="3085" w:type="dxa"/>
            <w:vMerge/>
          </w:tcPr>
          <w:p w14:paraId="3AE351EB"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DCA7AFD"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1BDD14DA" w14:textId="49C08ACF"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Tahikardija</w:t>
            </w:r>
          </w:p>
        </w:tc>
      </w:tr>
      <w:tr w:rsidR="00643CB3" w:rsidRPr="009B39C8" w14:paraId="28B6F4E1" w14:textId="77777777" w:rsidTr="00617397">
        <w:tc>
          <w:tcPr>
            <w:tcW w:w="3085" w:type="dxa"/>
            <w:vMerge w:val="restart"/>
          </w:tcPr>
          <w:p w14:paraId="3E6C69F0"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Vaskularni poremećaji</w:t>
            </w:r>
          </w:p>
        </w:tc>
        <w:tc>
          <w:tcPr>
            <w:tcW w:w="1418" w:type="dxa"/>
          </w:tcPr>
          <w:p w14:paraId="6028E5EA"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1C093806" w14:textId="12F4C409"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Nalet vrućine</w:t>
            </w:r>
            <w:r w:rsidR="00CB495E">
              <w:rPr>
                <w:rFonts w:ascii="Times New Roman" w:eastAsia="Calibri" w:hAnsi="Times New Roman" w:cs="Times New Roman"/>
                <w:lang w:val="sr-Latn-ME"/>
              </w:rPr>
              <w:t xml:space="preserve">, </w:t>
            </w:r>
            <w:r w:rsidR="00CB495E" w:rsidRPr="00E21E63">
              <w:rPr>
                <w:rFonts w:ascii="Times New Roman" w:eastAsia="Calibri" w:hAnsi="Times New Roman" w:cs="Times New Roman"/>
                <w:lang w:val="sr-Latn-ME"/>
              </w:rPr>
              <w:t>hipertenzija</w:t>
            </w:r>
            <w:r w:rsidR="00483BBE" w:rsidRPr="00E21E63">
              <w:rPr>
                <w:rFonts w:ascii="Times New Roman" w:eastAsia="Calibri" w:hAnsi="Times New Roman" w:cs="Times New Roman"/>
                <w:lang w:val="sr-Latn-ME"/>
              </w:rPr>
              <w:t>*****</w:t>
            </w:r>
            <w:r w:rsidR="00CB495E" w:rsidRPr="00E21E63">
              <w:rPr>
                <w:rFonts w:ascii="Times New Roman" w:eastAsia="Calibri" w:hAnsi="Times New Roman" w:cs="Times New Roman"/>
                <w:lang w:val="sr-Latn-ME"/>
              </w:rPr>
              <w:t>, povišeni</w:t>
            </w:r>
            <w:r w:rsidR="00CB495E" w:rsidRPr="00CB495E">
              <w:rPr>
                <w:rFonts w:ascii="Times New Roman" w:eastAsia="Calibri" w:hAnsi="Times New Roman" w:cs="Times New Roman"/>
                <w:lang w:val="sr-Latn-ME"/>
              </w:rPr>
              <w:t xml:space="preserve"> krvni pritisak</w:t>
            </w:r>
          </w:p>
        </w:tc>
      </w:tr>
      <w:tr w:rsidR="00CB495E" w:rsidRPr="00643CB3" w14:paraId="5EA4CFA0" w14:textId="77777777" w:rsidTr="00E21E63">
        <w:trPr>
          <w:trHeight w:val="285"/>
        </w:trPr>
        <w:tc>
          <w:tcPr>
            <w:tcW w:w="3085" w:type="dxa"/>
            <w:vMerge/>
          </w:tcPr>
          <w:p w14:paraId="0DDD2625" w14:textId="77777777" w:rsidR="00CB495E" w:rsidRPr="00643CB3" w:rsidRDefault="00CB495E"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5EEE5DCB" w14:textId="7759BFA0" w:rsidR="00CB495E" w:rsidRPr="00643CB3" w:rsidRDefault="00CB495E"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CB495E">
              <w:rPr>
                <w:rFonts w:ascii="Times New Roman" w:eastAsia="Calibri" w:hAnsi="Times New Roman" w:cs="Times New Roman"/>
                <w:lang w:val="sr-Latn-ME"/>
              </w:rPr>
              <w:t>Nepoznata</w:t>
            </w:r>
          </w:p>
        </w:tc>
        <w:tc>
          <w:tcPr>
            <w:tcW w:w="5459" w:type="dxa"/>
          </w:tcPr>
          <w:p w14:paraId="0073342A" w14:textId="35D83826" w:rsidR="00CB495E" w:rsidRPr="00643CB3" w:rsidRDefault="00CB495E"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CB495E">
              <w:rPr>
                <w:rFonts w:ascii="Times New Roman" w:eastAsia="Calibri" w:hAnsi="Times New Roman" w:cs="Times New Roman"/>
                <w:lang w:val="sr-Latn-ME"/>
              </w:rPr>
              <w:t>Fluktuacija krvnog pritiska</w:t>
            </w:r>
          </w:p>
        </w:tc>
      </w:tr>
      <w:tr w:rsidR="00CB495E" w:rsidRPr="009B39C8" w14:paraId="5D938CE0" w14:textId="77777777" w:rsidTr="00E21E63">
        <w:trPr>
          <w:trHeight w:val="714"/>
        </w:trPr>
        <w:tc>
          <w:tcPr>
            <w:tcW w:w="3085" w:type="dxa"/>
          </w:tcPr>
          <w:p w14:paraId="73BE18F2" w14:textId="77777777" w:rsidR="00CB495E" w:rsidRPr="00643CB3" w:rsidRDefault="00CB495E"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Respiratorni, torakalni i medijastinalni poremećaji</w:t>
            </w:r>
          </w:p>
        </w:tc>
        <w:tc>
          <w:tcPr>
            <w:tcW w:w="1418" w:type="dxa"/>
          </w:tcPr>
          <w:p w14:paraId="6A3071DA" w14:textId="771F5E3E" w:rsidR="00CB495E" w:rsidRPr="00643CB3" w:rsidRDefault="00CB495E"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CB495E">
              <w:rPr>
                <w:rFonts w:ascii="Times New Roman" w:eastAsia="Calibri" w:hAnsi="Times New Roman" w:cs="Times New Roman"/>
                <w:lang w:val="sr-Latn-ME"/>
              </w:rPr>
              <w:t>Nepoznata</w:t>
            </w:r>
          </w:p>
        </w:tc>
        <w:tc>
          <w:tcPr>
            <w:tcW w:w="5459" w:type="dxa"/>
          </w:tcPr>
          <w:p w14:paraId="3351A0D3" w14:textId="7A4B039C" w:rsidR="00CB495E" w:rsidRPr="00643CB3" w:rsidRDefault="00CB495E"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K</w:t>
            </w:r>
            <w:r w:rsidRPr="00CB495E">
              <w:rPr>
                <w:rFonts w:ascii="Times New Roman" w:eastAsia="Calibri" w:hAnsi="Times New Roman" w:cs="Times New Roman"/>
                <w:lang w:val="sr-Latn-ME"/>
              </w:rPr>
              <w:t>ašalj</w:t>
            </w:r>
            <w:r>
              <w:rPr>
                <w:rFonts w:ascii="Times New Roman" w:eastAsia="Calibri" w:hAnsi="Times New Roman" w:cs="Times New Roman"/>
                <w:lang w:val="sr-Latn-ME"/>
              </w:rPr>
              <w:t>,</w:t>
            </w:r>
            <w:r w:rsidRPr="00CB495E" w:rsidDel="00CB495E">
              <w:rPr>
                <w:rFonts w:ascii="Times New Roman" w:eastAsia="Calibri" w:hAnsi="Times New Roman" w:cs="Times New Roman"/>
                <w:lang w:val="sr-Latn-ME"/>
              </w:rPr>
              <w:t xml:space="preserve"> </w:t>
            </w:r>
            <w:r w:rsidRPr="00CB495E">
              <w:rPr>
                <w:rFonts w:ascii="Times New Roman" w:eastAsia="Calibri" w:hAnsi="Times New Roman" w:cs="Times New Roman"/>
                <w:lang w:val="sr-Latn-ME"/>
              </w:rPr>
              <w:t>disfonija</w:t>
            </w:r>
            <w:r>
              <w:rPr>
                <w:rFonts w:ascii="Times New Roman" w:eastAsia="Calibri" w:hAnsi="Times New Roman" w:cs="Times New Roman"/>
                <w:lang w:val="sr-Latn-ME"/>
              </w:rPr>
              <w:t xml:space="preserve">, </w:t>
            </w:r>
            <w:r w:rsidRPr="00CB495E">
              <w:rPr>
                <w:rFonts w:ascii="Times New Roman" w:eastAsia="Calibri" w:hAnsi="Times New Roman" w:cs="Times New Roman"/>
                <w:lang w:val="sr-Latn-ME"/>
              </w:rPr>
              <w:t>dispneja</w:t>
            </w:r>
            <w:r>
              <w:rPr>
                <w:rFonts w:ascii="Times New Roman" w:eastAsia="Calibri" w:hAnsi="Times New Roman" w:cs="Times New Roman"/>
                <w:lang w:val="sr-Latn-ME"/>
              </w:rPr>
              <w:t xml:space="preserve">, </w:t>
            </w:r>
            <w:r w:rsidR="008B2EDD">
              <w:rPr>
                <w:rFonts w:ascii="Times New Roman" w:eastAsia="Calibri" w:hAnsi="Times New Roman" w:cs="Times New Roman"/>
                <w:lang w:val="sr-Latn-ME"/>
              </w:rPr>
              <w:t>n</w:t>
            </w:r>
            <w:r w:rsidR="008B2EDD" w:rsidRPr="008B2EDD">
              <w:rPr>
                <w:rFonts w:ascii="Times New Roman" w:eastAsia="Calibri" w:hAnsi="Times New Roman" w:cs="Times New Roman"/>
                <w:lang w:val="sr-Latn-ME"/>
              </w:rPr>
              <w:t>azalna kongestija</w:t>
            </w:r>
            <w:r w:rsidR="008B2EDD">
              <w:rPr>
                <w:rFonts w:ascii="Times New Roman" w:eastAsia="Calibri" w:hAnsi="Times New Roman" w:cs="Times New Roman"/>
                <w:lang w:val="sr-Latn-ME"/>
              </w:rPr>
              <w:t>,</w:t>
            </w:r>
            <w:r w:rsidR="008B2EDD" w:rsidRPr="008B2EDD">
              <w:rPr>
                <w:rFonts w:ascii="Times New Roman" w:eastAsia="Calibri" w:hAnsi="Times New Roman" w:cs="Times New Roman"/>
                <w:lang w:val="sr-Latn-ME"/>
              </w:rPr>
              <w:t xml:space="preserve"> </w:t>
            </w:r>
            <w:r w:rsidRPr="00CB495E">
              <w:rPr>
                <w:rFonts w:ascii="Times New Roman" w:eastAsia="Calibri" w:hAnsi="Times New Roman" w:cs="Times New Roman"/>
                <w:lang w:val="sr-Latn-ME"/>
              </w:rPr>
              <w:t>nazalna nelagodnost, orofaringealni bol</w:t>
            </w:r>
            <w:r>
              <w:rPr>
                <w:rFonts w:ascii="Times New Roman" w:eastAsia="Calibri" w:hAnsi="Times New Roman" w:cs="Times New Roman"/>
                <w:lang w:val="sr-Latn-ME"/>
              </w:rPr>
              <w:t xml:space="preserve">, </w:t>
            </w:r>
            <w:r w:rsidRPr="00643CB3">
              <w:rPr>
                <w:rFonts w:ascii="Times New Roman" w:eastAsia="Calibri" w:hAnsi="Times New Roman" w:cs="Times New Roman"/>
                <w:lang w:val="sr-Latn-ME"/>
              </w:rPr>
              <w:t>rinoreja</w:t>
            </w:r>
            <w:r>
              <w:rPr>
                <w:rFonts w:ascii="Times New Roman" w:eastAsia="Calibri" w:hAnsi="Times New Roman" w:cs="Times New Roman"/>
                <w:lang w:val="sr-Latn-ME"/>
              </w:rPr>
              <w:t>,</w:t>
            </w:r>
            <w:r w:rsidR="008554DF">
              <w:rPr>
                <w:rFonts w:ascii="Times New Roman" w:eastAsia="Calibri" w:hAnsi="Times New Roman" w:cs="Times New Roman"/>
                <w:lang w:val="sr-Latn-ME"/>
              </w:rPr>
              <w:t xml:space="preserve"> </w:t>
            </w:r>
            <w:r w:rsidR="008554DF" w:rsidRPr="008554DF">
              <w:rPr>
                <w:rFonts w:ascii="Times New Roman" w:eastAsia="Calibri" w:hAnsi="Times New Roman" w:cs="Times New Roman"/>
                <w:lang w:val="sr-Latn-ME"/>
              </w:rPr>
              <w:t>poremećaj sinusa</w:t>
            </w:r>
            <w:r w:rsidR="008554DF">
              <w:rPr>
                <w:rFonts w:ascii="Times New Roman" w:eastAsia="Calibri" w:hAnsi="Times New Roman" w:cs="Times New Roman"/>
                <w:lang w:val="sr-Latn-ME"/>
              </w:rPr>
              <w:t xml:space="preserve">, </w:t>
            </w:r>
            <w:r w:rsidR="008554DF" w:rsidRPr="00643CB3">
              <w:rPr>
                <w:rFonts w:ascii="Times New Roman" w:eastAsia="Calibri" w:hAnsi="Times New Roman" w:cs="Times New Roman"/>
                <w:lang w:val="sr-Latn-ME"/>
              </w:rPr>
              <w:t>kijanje</w:t>
            </w:r>
            <w:r w:rsidR="008554DF">
              <w:rPr>
                <w:rFonts w:ascii="Times New Roman" w:eastAsia="Calibri" w:hAnsi="Times New Roman" w:cs="Times New Roman"/>
                <w:lang w:val="sr-Latn-ME"/>
              </w:rPr>
              <w:t xml:space="preserve">, </w:t>
            </w:r>
            <w:r w:rsidR="008554DF" w:rsidRPr="008554DF">
              <w:rPr>
                <w:rFonts w:ascii="Times New Roman" w:eastAsia="Calibri" w:hAnsi="Times New Roman" w:cs="Times New Roman"/>
                <w:lang w:val="sr-Latn-ME"/>
              </w:rPr>
              <w:t xml:space="preserve">zijevanje </w:t>
            </w:r>
            <w:r w:rsidRPr="00643CB3">
              <w:rPr>
                <w:rFonts w:ascii="Times New Roman" w:eastAsia="Calibri" w:hAnsi="Times New Roman" w:cs="Times New Roman"/>
                <w:lang w:val="sr-Latn-ME"/>
              </w:rPr>
              <w:t xml:space="preserve"> </w:t>
            </w:r>
          </w:p>
        </w:tc>
      </w:tr>
      <w:tr w:rsidR="005A4A5B" w:rsidRPr="00643CB3" w14:paraId="038C24D7" w14:textId="77777777" w:rsidTr="00617397">
        <w:tc>
          <w:tcPr>
            <w:tcW w:w="3085" w:type="dxa"/>
            <w:vMerge w:val="restart"/>
          </w:tcPr>
          <w:p w14:paraId="00905F7F"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Gastrointestinalni poremećaji</w:t>
            </w:r>
          </w:p>
        </w:tc>
        <w:tc>
          <w:tcPr>
            <w:tcW w:w="1418" w:type="dxa"/>
          </w:tcPr>
          <w:p w14:paraId="3DAC30C0"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Veoma često</w:t>
            </w:r>
          </w:p>
        </w:tc>
        <w:tc>
          <w:tcPr>
            <w:tcW w:w="5459" w:type="dxa"/>
          </w:tcPr>
          <w:p w14:paraId="11D716A3" w14:textId="610C0DC4"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M</w:t>
            </w:r>
            <w:r w:rsidRPr="00643CB3">
              <w:rPr>
                <w:rFonts w:ascii="Times New Roman" w:eastAsia="Calibri" w:hAnsi="Times New Roman" w:cs="Times New Roman"/>
                <w:lang w:val="sr-Latn-ME"/>
              </w:rPr>
              <w:t>učnina, konstipacija, povraćanje</w:t>
            </w:r>
          </w:p>
        </w:tc>
      </w:tr>
      <w:tr w:rsidR="005A4A5B" w:rsidRPr="009B39C8" w14:paraId="4C379075" w14:textId="77777777" w:rsidTr="00617397">
        <w:tc>
          <w:tcPr>
            <w:tcW w:w="3085" w:type="dxa"/>
            <w:vMerge/>
          </w:tcPr>
          <w:p w14:paraId="326DF35E"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F1E3DE2"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0638CDB0" w14:textId="1D4F4CDB"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Suva usta, bol u gornjem dijelu abdomena, </w:t>
            </w:r>
            <w:r>
              <w:rPr>
                <w:rFonts w:ascii="Times New Roman" w:eastAsia="Calibri" w:hAnsi="Times New Roman" w:cs="Times New Roman"/>
                <w:lang w:val="sr-Latn-ME"/>
              </w:rPr>
              <w:t>b</w:t>
            </w:r>
            <w:r w:rsidRPr="00831962">
              <w:rPr>
                <w:rFonts w:ascii="Times New Roman" w:eastAsia="Calibri" w:hAnsi="Times New Roman" w:cs="Times New Roman"/>
                <w:lang w:val="sr-Latn-ME"/>
              </w:rPr>
              <w:t>ol u abdomenu</w:t>
            </w:r>
          </w:p>
        </w:tc>
      </w:tr>
      <w:tr w:rsidR="005A4A5B" w:rsidRPr="009B39C8" w14:paraId="4B5A052A" w14:textId="77777777" w:rsidTr="00617397">
        <w:tc>
          <w:tcPr>
            <w:tcW w:w="3085" w:type="dxa"/>
            <w:vMerge/>
          </w:tcPr>
          <w:p w14:paraId="0AADC933"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480C6432"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1E6CB49F" w14:textId="060DAE5D"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831962">
              <w:rPr>
                <w:rFonts w:ascii="Times New Roman" w:eastAsia="Calibri" w:hAnsi="Times New Roman" w:cs="Times New Roman"/>
                <w:lang w:val="sr-Latn-ME"/>
              </w:rPr>
              <w:t>Nelagodnost u trbuhu</w:t>
            </w:r>
            <w:r w:rsidRPr="00643CB3">
              <w:rPr>
                <w:rFonts w:ascii="Times New Roman" w:eastAsia="Calibri" w:hAnsi="Times New Roman" w:cs="Times New Roman"/>
                <w:lang w:val="sr-Latn-ME"/>
              </w:rPr>
              <w:t xml:space="preserve">, </w:t>
            </w:r>
            <w:r w:rsidRPr="00831962">
              <w:rPr>
                <w:rFonts w:ascii="Times New Roman" w:eastAsia="Calibri" w:hAnsi="Times New Roman" w:cs="Times New Roman"/>
                <w:lang w:val="sr-Latn-ME"/>
              </w:rPr>
              <w:t>dispepsija</w:t>
            </w:r>
            <w:r>
              <w:rPr>
                <w:rFonts w:ascii="Times New Roman" w:eastAsia="Calibri" w:hAnsi="Times New Roman" w:cs="Times New Roman"/>
                <w:lang w:val="sr-Latn-ME"/>
              </w:rPr>
              <w:t>,</w:t>
            </w:r>
            <w:r w:rsidRPr="00831962">
              <w:rPr>
                <w:rFonts w:ascii="Times New Roman" w:eastAsia="Calibri" w:hAnsi="Times New Roman" w:cs="Times New Roman"/>
                <w:lang w:val="sr-Latn-ME"/>
              </w:rPr>
              <w:t xml:space="preserve"> </w:t>
            </w:r>
            <w:r w:rsidRPr="00643CB3">
              <w:rPr>
                <w:rFonts w:ascii="Times New Roman" w:eastAsia="Calibri" w:hAnsi="Times New Roman" w:cs="Times New Roman"/>
                <w:lang w:val="sr-Latn-ME"/>
              </w:rPr>
              <w:t xml:space="preserve">podrigivanje </w:t>
            </w:r>
          </w:p>
        </w:tc>
      </w:tr>
      <w:tr w:rsidR="005A4A5B" w:rsidRPr="009B39C8" w14:paraId="05E5FC2D" w14:textId="77777777" w:rsidTr="005A4A5B">
        <w:trPr>
          <w:trHeight w:val="383"/>
        </w:trPr>
        <w:tc>
          <w:tcPr>
            <w:tcW w:w="3085" w:type="dxa"/>
            <w:vMerge/>
          </w:tcPr>
          <w:p w14:paraId="5784E816"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20C866F1" w14:textId="02DD87D5"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831962">
              <w:rPr>
                <w:rFonts w:ascii="Times New Roman" w:eastAsia="Calibri" w:hAnsi="Times New Roman" w:cs="Times New Roman"/>
                <w:lang w:val="sr-Latn-ME"/>
              </w:rPr>
              <w:t>Rijetko</w:t>
            </w:r>
            <w:r w:rsidRPr="00643CB3">
              <w:rPr>
                <w:rFonts w:ascii="Times New Roman" w:eastAsia="Calibri" w:hAnsi="Times New Roman" w:cs="Times New Roman"/>
                <w:lang w:val="sr-Latn-ME"/>
              </w:rPr>
              <w:t xml:space="preserve"> </w:t>
            </w:r>
          </w:p>
        </w:tc>
        <w:tc>
          <w:tcPr>
            <w:tcW w:w="5459" w:type="dxa"/>
          </w:tcPr>
          <w:p w14:paraId="4321E1F3" w14:textId="23501CB8"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H</w:t>
            </w:r>
            <w:r w:rsidRPr="005A4A5B">
              <w:rPr>
                <w:rFonts w:ascii="Times New Roman" w:eastAsia="Calibri" w:hAnsi="Times New Roman" w:cs="Times New Roman"/>
                <w:lang w:val="sr-Latn-ME"/>
              </w:rPr>
              <w:t>ematohezija, hernija, oticanje usne</w:t>
            </w:r>
            <w:r>
              <w:rPr>
                <w:rFonts w:ascii="Times New Roman" w:eastAsia="Calibri" w:hAnsi="Times New Roman" w:cs="Times New Roman"/>
                <w:lang w:val="sr-Latn-ME"/>
              </w:rPr>
              <w:t>,</w:t>
            </w:r>
            <w:r w:rsidRPr="005A4A5B">
              <w:rPr>
                <w:rFonts w:ascii="Times New Roman" w:eastAsia="Calibri" w:hAnsi="Times New Roman" w:cs="Times New Roman"/>
                <w:lang w:val="sr-Latn-ME"/>
              </w:rPr>
              <w:t xml:space="preserve"> </w:t>
            </w:r>
            <w:r>
              <w:rPr>
                <w:rFonts w:ascii="Times New Roman" w:eastAsia="Calibri" w:hAnsi="Times New Roman" w:cs="Times New Roman"/>
                <w:lang w:val="sr-Latn-ME"/>
              </w:rPr>
              <w:t>b</w:t>
            </w:r>
            <w:r w:rsidRPr="005A4A5B">
              <w:rPr>
                <w:rFonts w:ascii="Times New Roman" w:eastAsia="Calibri" w:hAnsi="Times New Roman" w:cs="Times New Roman"/>
                <w:lang w:val="sr-Latn-ME"/>
              </w:rPr>
              <w:t>ol u donjem dijelu abdomena</w:t>
            </w:r>
            <w:r>
              <w:rPr>
                <w:rFonts w:ascii="Times New Roman" w:eastAsia="Calibri" w:hAnsi="Times New Roman" w:cs="Times New Roman"/>
                <w:lang w:val="sr-Latn-ME"/>
              </w:rPr>
              <w:t xml:space="preserve">, </w:t>
            </w:r>
            <w:r w:rsidRPr="005A4A5B">
              <w:rPr>
                <w:rFonts w:ascii="Times New Roman" w:eastAsia="Calibri" w:hAnsi="Times New Roman" w:cs="Times New Roman"/>
                <w:lang w:val="sr-Latn-ME"/>
              </w:rPr>
              <w:t>zubni karijes</w:t>
            </w:r>
            <w:r>
              <w:rPr>
                <w:rFonts w:ascii="Times New Roman" w:eastAsia="Calibri" w:hAnsi="Times New Roman" w:cs="Times New Roman"/>
                <w:lang w:val="sr-Latn-ME"/>
              </w:rPr>
              <w:t>***, z</w:t>
            </w:r>
            <w:r w:rsidRPr="005A4A5B">
              <w:rPr>
                <w:rFonts w:ascii="Times New Roman" w:eastAsia="Calibri" w:hAnsi="Times New Roman" w:cs="Times New Roman"/>
                <w:lang w:val="sr-Latn-ME"/>
              </w:rPr>
              <w:t xml:space="preserve">ubobolja*** </w:t>
            </w:r>
          </w:p>
        </w:tc>
      </w:tr>
      <w:tr w:rsidR="005A4A5B" w:rsidRPr="00643CB3" w14:paraId="48D6C3D6" w14:textId="77777777" w:rsidTr="00617397">
        <w:trPr>
          <w:trHeight w:val="382"/>
        </w:trPr>
        <w:tc>
          <w:tcPr>
            <w:tcW w:w="3085" w:type="dxa"/>
            <w:vMerge/>
          </w:tcPr>
          <w:p w14:paraId="6307F61B" w14:textId="77777777" w:rsidR="005A4A5B" w:rsidRPr="00643CB3"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437946A5" w14:textId="77777777" w:rsidR="005A4A5B" w:rsidRPr="00831962"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5A4A5B">
              <w:rPr>
                <w:rFonts w:ascii="Times New Roman" w:eastAsia="Calibri" w:hAnsi="Times New Roman" w:cs="Times New Roman"/>
                <w:lang w:val="sr-Latn-ME"/>
              </w:rPr>
              <w:t>Nepoznata</w:t>
            </w:r>
          </w:p>
        </w:tc>
        <w:tc>
          <w:tcPr>
            <w:tcW w:w="5459" w:type="dxa"/>
          </w:tcPr>
          <w:p w14:paraId="1E9803CE" w14:textId="77777777" w:rsidR="005A4A5B" w:rsidRDefault="005A4A5B"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D</w:t>
            </w:r>
            <w:r w:rsidRPr="005A4A5B">
              <w:rPr>
                <w:rFonts w:ascii="Times New Roman" w:eastAsia="Calibri" w:hAnsi="Times New Roman" w:cs="Times New Roman"/>
                <w:lang w:val="sr-Latn-ME"/>
              </w:rPr>
              <w:t>ijareja</w:t>
            </w:r>
            <w:r>
              <w:rPr>
                <w:rFonts w:ascii="Times New Roman" w:eastAsia="Calibri" w:hAnsi="Times New Roman" w:cs="Times New Roman"/>
                <w:lang w:val="sr-Latn-ME"/>
              </w:rPr>
              <w:t xml:space="preserve">, </w:t>
            </w:r>
            <w:r w:rsidRPr="005A4A5B">
              <w:rPr>
                <w:rFonts w:ascii="Times New Roman" w:eastAsia="Calibri" w:hAnsi="Times New Roman" w:cs="Times New Roman"/>
                <w:lang w:val="sr-Latn-ME"/>
              </w:rPr>
              <w:t>flatulencija</w:t>
            </w:r>
            <w:r>
              <w:rPr>
                <w:rFonts w:ascii="Times New Roman" w:eastAsia="Calibri" w:hAnsi="Times New Roman" w:cs="Times New Roman"/>
                <w:lang w:val="sr-Latn-ME"/>
              </w:rPr>
              <w:t xml:space="preserve">, </w:t>
            </w:r>
            <w:r w:rsidRPr="005A4A5B">
              <w:rPr>
                <w:rFonts w:ascii="Times New Roman" w:eastAsia="Calibri" w:hAnsi="Times New Roman" w:cs="Times New Roman"/>
                <w:lang w:val="sr-Latn-ME"/>
              </w:rPr>
              <w:t>hemoroidi</w:t>
            </w:r>
            <w:r>
              <w:rPr>
                <w:rFonts w:ascii="Times New Roman" w:eastAsia="Calibri" w:hAnsi="Times New Roman" w:cs="Times New Roman"/>
                <w:lang w:val="sr-Latn-ME"/>
              </w:rPr>
              <w:t xml:space="preserve">, </w:t>
            </w:r>
            <w:r w:rsidRPr="005A4A5B">
              <w:rPr>
                <w:rFonts w:ascii="Times New Roman" w:eastAsia="Calibri" w:hAnsi="Times New Roman" w:cs="Times New Roman"/>
                <w:lang w:val="sr-Latn-ME"/>
              </w:rPr>
              <w:t>ulkus</w:t>
            </w:r>
          </w:p>
        </w:tc>
      </w:tr>
      <w:tr w:rsidR="00EA1DBC" w:rsidRPr="00643CB3" w14:paraId="607C62D6" w14:textId="77777777" w:rsidTr="00617397">
        <w:tc>
          <w:tcPr>
            <w:tcW w:w="3085" w:type="dxa"/>
            <w:vMerge w:val="restart"/>
          </w:tcPr>
          <w:p w14:paraId="7223C5F3" w14:textId="77777777" w:rsidR="00EA1DBC" w:rsidRPr="00643CB3" w:rsidRDefault="00EA1DB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Hepatobilijarni poremećaji</w:t>
            </w:r>
          </w:p>
        </w:tc>
        <w:tc>
          <w:tcPr>
            <w:tcW w:w="1418" w:type="dxa"/>
          </w:tcPr>
          <w:p w14:paraId="616DF9FB" w14:textId="77777777" w:rsidR="00EA1DBC" w:rsidRPr="00643CB3" w:rsidRDefault="00EA1DB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72206981" w14:textId="6A011BB5" w:rsidR="00EA1DBC" w:rsidRPr="00643CB3" w:rsidRDefault="00EA1DBC" w:rsidP="00EA1DBC">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Holecistitis, </w:t>
            </w:r>
            <w:r w:rsidRPr="00F65951">
              <w:rPr>
                <w:rFonts w:ascii="Times New Roman" w:eastAsia="Calibri" w:hAnsi="Times New Roman" w:cs="Times New Roman"/>
                <w:lang w:val="sr-Latn-ME"/>
              </w:rPr>
              <w:t>povišene vr</w:t>
            </w:r>
            <w:r w:rsidR="00B16F99">
              <w:rPr>
                <w:rFonts w:ascii="Times New Roman" w:eastAsia="Calibri" w:hAnsi="Times New Roman" w:cs="Times New Roman"/>
                <w:lang w:val="sr-Latn-ME"/>
              </w:rPr>
              <w:t>ij</w:t>
            </w:r>
            <w:r w:rsidRPr="00F65951">
              <w:rPr>
                <w:rFonts w:ascii="Times New Roman" w:eastAsia="Calibri" w:hAnsi="Times New Roman" w:cs="Times New Roman"/>
                <w:lang w:val="sr-Latn-ME"/>
              </w:rPr>
              <w:t>ednosti ALT, povišene vr</w:t>
            </w:r>
            <w:r w:rsidR="00B16F99">
              <w:rPr>
                <w:rFonts w:ascii="Times New Roman" w:eastAsia="Calibri" w:hAnsi="Times New Roman" w:cs="Times New Roman"/>
                <w:lang w:val="sr-Latn-ME"/>
              </w:rPr>
              <w:t>ij</w:t>
            </w:r>
            <w:r w:rsidRPr="00F65951">
              <w:rPr>
                <w:rFonts w:ascii="Times New Roman" w:eastAsia="Calibri" w:hAnsi="Times New Roman" w:cs="Times New Roman"/>
                <w:lang w:val="sr-Latn-ME"/>
              </w:rPr>
              <w:t>ednosti AST</w:t>
            </w:r>
            <w:r>
              <w:rPr>
                <w:rFonts w:ascii="Times New Roman" w:eastAsia="Calibri" w:hAnsi="Times New Roman" w:cs="Times New Roman"/>
                <w:lang w:val="sr-Latn-ME"/>
              </w:rPr>
              <w:t>,</w:t>
            </w:r>
            <w:r w:rsidRPr="00F65951">
              <w:rPr>
                <w:rFonts w:ascii="Times New Roman" w:eastAsia="Calibri" w:hAnsi="Times New Roman" w:cs="Times New Roman"/>
                <w:lang w:val="sr-Latn-ME"/>
              </w:rPr>
              <w:t xml:space="preserve"> </w:t>
            </w:r>
            <w:r w:rsidRPr="00643CB3">
              <w:rPr>
                <w:rFonts w:ascii="Times New Roman" w:eastAsia="Calibri" w:hAnsi="Times New Roman" w:cs="Times New Roman"/>
                <w:lang w:val="sr-Latn-ME"/>
              </w:rPr>
              <w:t>povišene vrijednosti enzima jetre</w:t>
            </w:r>
          </w:p>
        </w:tc>
      </w:tr>
      <w:tr w:rsidR="00EA1DBC" w:rsidRPr="009B39C8" w14:paraId="5A385164" w14:textId="77777777" w:rsidTr="00617397">
        <w:tc>
          <w:tcPr>
            <w:tcW w:w="3085" w:type="dxa"/>
            <w:vMerge/>
          </w:tcPr>
          <w:p w14:paraId="1EE89804" w14:textId="77777777" w:rsidR="00EA1DBC" w:rsidRPr="00643CB3" w:rsidRDefault="00EA1DBC"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5C1C96FC" w14:textId="77777777" w:rsidR="00EA1DBC" w:rsidRPr="00643CB3" w:rsidRDefault="00EA1DB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4FD930F7" w14:textId="2DA87EB5" w:rsidR="00EA1DBC" w:rsidRPr="00643CB3" w:rsidRDefault="00D3601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D3601A">
              <w:rPr>
                <w:rFonts w:ascii="Times New Roman" w:eastAsia="Calibri" w:hAnsi="Times New Roman" w:cs="Times New Roman"/>
                <w:lang w:val="sr-Latn-ME"/>
              </w:rPr>
              <w:t>Oštećenje funkcije jetre uzrokovano l</w:t>
            </w:r>
            <w:r w:rsidR="00B16F99">
              <w:rPr>
                <w:rFonts w:ascii="Times New Roman" w:eastAsia="Calibri" w:hAnsi="Times New Roman" w:cs="Times New Roman"/>
                <w:lang w:val="sr-Latn-ME"/>
              </w:rPr>
              <w:t>j</w:t>
            </w:r>
            <w:r w:rsidRPr="00D3601A">
              <w:rPr>
                <w:rFonts w:ascii="Times New Roman" w:eastAsia="Calibri" w:hAnsi="Times New Roman" w:cs="Times New Roman"/>
                <w:lang w:val="sr-Latn-ME"/>
              </w:rPr>
              <w:t>ekovima</w:t>
            </w:r>
          </w:p>
        </w:tc>
      </w:tr>
      <w:tr w:rsidR="00EA1DBC" w:rsidRPr="00643CB3" w14:paraId="6CCC48C9" w14:textId="77777777" w:rsidTr="00617397">
        <w:tc>
          <w:tcPr>
            <w:tcW w:w="3085" w:type="dxa"/>
            <w:vMerge/>
          </w:tcPr>
          <w:p w14:paraId="3D97451E" w14:textId="77777777" w:rsidR="00EA1DBC" w:rsidRPr="00643CB3" w:rsidRDefault="00EA1DBC"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6F4356EE" w14:textId="77777777" w:rsidR="00EA1DBC" w:rsidRPr="00643CB3" w:rsidRDefault="00EA1DB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EA1DBC">
              <w:rPr>
                <w:rFonts w:ascii="Times New Roman" w:eastAsia="Calibri" w:hAnsi="Times New Roman" w:cs="Times New Roman"/>
                <w:lang w:val="sr-Latn-ME"/>
              </w:rPr>
              <w:t>Nepoznata</w:t>
            </w:r>
          </w:p>
        </w:tc>
        <w:tc>
          <w:tcPr>
            <w:tcW w:w="5459" w:type="dxa"/>
          </w:tcPr>
          <w:p w14:paraId="056AC9CC" w14:textId="77777777" w:rsidR="00EA1DBC" w:rsidRPr="00643CB3" w:rsidRDefault="00D3601A"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H</w:t>
            </w:r>
            <w:r w:rsidRPr="00D3601A">
              <w:rPr>
                <w:rFonts w:ascii="Times New Roman" w:eastAsia="Calibri" w:hAnsi="Times New Roman" w:cs="Times New Roman"/>
                <w:lang w:val="sr-Latn-ME"/>
              </w:rPr>
              <w:t>epatitis</w:t>
            </w:r>
          </w:p>
        </w:tc>
      </w:tr>
      <w:tr w:rsidR="00643CB3" w:rsidRPr="00643CB3" w14:paraId="105B0FF5" w14:textId="77777777" w:rsidTr="00617397">
        <w:tc>
          <w:tcPr>
            <w:tcW w:w="3085" w:type="dxa"/>
            <w:vMerge w:val="restart"/>
          </w:tcPr>
          <w:p w14:paraId="74113144"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kože i potkožnog tkiva</w:t>
            </w:r>
          </w:p>
        </w:tc>
        <w:tc>
          <w:tcPr>
            <w:tcW w:w="1418" w:type="dxa"/>
          </w:tcPr>
          <w:p w14:paraId="529BED6C"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42F01B7B" w14:textId="3D4172C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Hiperhidroza, pruritus, alopecija, osip</w:t>
            </w:r>
          </w:p>
        </w:tc>
      </w:tr>
      <w:tr w:rsidR="00643CB3" w:rsidRPr="009B39C8" w14:paraId="477474D4" w14:textId="77777777" w:rsidTr="00617397">
        <w:tc>
          <w:tcPr>
            <w:tcW w:w="3085" w:type="dxa"/>
            <w:vMerge/>
          </w:tcPr>
          <w:p w14:paraId="107FEE6B"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16EA2C21"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Nepoznata </w:t>
            </w:r>
          </w:p>
        </w:tc>
        <w:tc>
          <w:tcPr>
            <w:tcW w:w="5459" w:type="dxa"/>
          </w:tcPr>
          <w:p w14:paraId="6CA3BEE8" w14:textId="2572C32A" w:rsidR="00643CB3" w:rsidRDefault="00C0182F"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Akne, m</w:t>
            </w:r>
            <w:r w:rsidR="00D3601A" w:rsidRPr="00D3601A">
              <w:rPr>
                <w:rFonts w:ascii="Times New Roman" w:eastAsia="Calibri" w:hAnsi="Times New Roman" w:cs="Times New Roman"/>
                <w:lang w:val="sr-Latn-ME"/>
              </w:rPr>
              <w:t>ultiformni eritem</w:t>
            </w:r>
            <w:r w:rsidR="00A8419E">
              <w:rPr>
                <w:rFonts w:ascii="Times New Roman" w:eastAsia="Calibri" w:hAnsi="Times New Roman" w:cs="Times New Roman"/>
                <w:lang w:val="sr-Latn-ME"/>
              </w:rPr>
              <w:t>,</w:t>
            </w:r>
            <w:r w:rsidR="00D3601A" w:rsidRPr="00D3601A">
              <w:rPr>
                <w:rFonts w:ascii="Times New Roman" w:eastAsia="Calibri" w:hAnsi="Times New Roman" w:cs="Times New Roman"/>
                <w:lang w:val="sr-Latn-ME"/>
              </w:rPr>
              <w:t xml:space="preserve"> </w:t>
            </w:r>
            <w:r w:rsidR="00D3601A" w:rsidRPr="00D3601A">
              <w:rPr>
                <w:rFonts w:ascii="Times New Roman" w:eastAsia="Calibri" w:hAnsi="Times New Roman" w:cs="Times New Roman"/>
                <w:i/>
                <w:lang w:val="sr-Latn-ME"/>
              </w:rPr>
              <w:t>Stevens-Johnson</w:t>
            </w:r>
            <w:r w:rsidR="00D3601A" w:rsidRPr="00D3601A">
              <w:rPr>
                <w:rFonts w:ascii="Times New Roman" w:eastAsia="Calibri" w:hAnsi="Times New Roman" w:cs="Times New Roman"/>
                <w:lang w:val="sr-Latn-ME"/>
              </w:rPr>
              <w:t>-ov sindrom</w:t>
            </w:r>
            <w:r w:rsidR="00A8419E">
              <w:rPr>
                <w:rFonts w:ascii="Times New Roman" w:eastAsia="Calibri" w:hAnsi="Times New Roman" w:cs="Times New Roman"/>
                <w:lang w:val="sr-Latn-ME"/>
              </w:rPr>
              <w:t>,</w:t>
            </w:r>
            <w:r w:rsidR="00A8419E">
              <w:rPr>
                <w:lang w:val="sr-Latn-ME"/>
              </w:rPr>
              <w:t xml:space="preserve"> </w:t>
            </w:r>
            <w:r w:rsidR="00A8419E" w:rsidRPr="00A8419E">
              <w:rPr>
                <w:rFonts w:ascii="Times New Roman" w:eastAsia="Calibri" w:hAnsi="Times New Roman" w:cs="Times New Roman"/>
                <w:lang w:val="sr-Latn-ME"/>
              </w:rPr>
              <w:t>kožni eritemski lupus, pogoršanje sindroma sistemskog eritemskog lupusa</w:t>
            </w:r>
            <w:r w:rsidR="004A74B4">
              <w:rPr>
                <w:rFonts w:ascii="Times New Roman" w:eastAsia="Calibri" w:hAnsi="Times New Roman" w:cs="Times New Roman"/>
                <w:lang w:val="sr-Latn-ME"/>
              </w:rPr>
              <w:t>,</w:t>
            </w:r>
          </w:p>
          <w:p w14:paraId="30ABBCBD" w14:textId="0EFABBB4" w:rsidR="004A74B4" w:rsidRPr="00643CB3" w:rsidRDefault="004A74B4"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4A74B4">
              <w:rPr>
                <w:rFonts w:ascii="Times New Roman" w:eastAsia="Calibri" w:hAnsi="Times New Roman" w:cs="Times New Roman"/>
                <w:lang w:val="sr-Latn-ME"/>
              </w:rPr>
              <w:t>akutna generalizovana egzantematozna pustuloza (AGEP)</w:t>
            </w:r>
          </w:p>
        </w:tc>
      </w:tr>
      <w:tr w:rsidR="007E782C" w:rsidRPr="00643CB3" w14:paraId="5EAE90D4" w14:textId="77777777" w:rsidTr="000C1A53">
        <w:trPr>
          <w:trHeight w:val="249"/>
        </w:trPr>
        <w:tc>
          <w:tcPr>
            <w:tcW w:w="3085" w:type="dxa"/>
            <w:vMerge w:val="restart"/>
          </w:tcPr>
          <w:p w14:paraId="59B2BE82"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mišićno-koštanog sistema i vezivnog tkiva</w:t>
            </w:r>
          </w:p>
        </w:tc>
        <w:tc>
          <w:tcPr>
            <w:tcW w:w="1418" w:type="dxa"/>
          </w:tcPr>
          <w:p w14:paraId="5E1CF61E"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09AD76AD" w14:textId="7EFF24AB" w:rsidR="007E782C" w:rsidRPr="00643CB3" w:rsidRDefault="007E782C" w:rsidP="000C1A5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B</w:t>
            </w:r>
            <w:r w:rsidRPr="007E782C">
              <w:rPr>
                <w:rFonts w:ascii="Times New Roman" w:eastAsia="Calibri" w:hAnsi="Times New Roman" w:cs="Times New Roman"/>
                <w:lang w:val="sr-Latn-ME"/>
              </w:rPr>
              <w:t>ol u vilici</w:t>
            </w:r>
          </w:p>
        </w:tc>
      </w:tr>
      <w:tr w:rsidR="007E782C" w:rsidRPr="009B39C8" w14:paraId="37A53481" w14:textId="77777777" w:rsidTr="000C1A53">
        <w:trPr>
          <w:trHeight w:val="268"/>
        </w:trPr>
        <w:tc>
          <w:tcPr>
            <w:tcW w:w="3085" w:type="dxa"/>
            <w:vMerge/>
          </w:tcPr>
          <w:p w14:paraId="69F707E1"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350ED4E" w14:textId="77777777" w:rsidR="007E782C" w:rsidRPr="00643CB3" w:rsidRDefault="007E782C" w:rsidP="000C1A53">
            <w:pPr>
              <w:tabs>
                <w:tab w:val="left" w:pos="284"/>
              </w:tabs>
              <w:autoSpaceDE w:val="0"/>
              <w:autoSpaceDN w:val="0"/>
              <w:adjustRightInd w:val="0"/>
              <w:spacing w:after="0" w:line="240" w:lineRule="auto"/>
              <w:rPr>
                <w:rFonts w:ascii="Times New Roman" w:eastAsia="Calibri" w:hAnsi="Times New Roman" w:cs="Times New Roman"/>
                <w:lang w:val="sr-Latn-ME"/>
              </w:rPr>
            </w:pPr>
            <w:r w:rsidRPr="007E782C">
              <w:rPr>
                <w:rFonts w:ascii="Times New Roman" w:eastAsia="Calibri" w:hAnsi="Times New Roman" w:cs="Times New Roman"/>
                <w:lang w:val="sr-Latn-ME"/>
              </w:rPr>
              <w:t>Nepoznata</w:t>
            </w:r>
          </w:p>
        </w:tc>
        <w:tc>
          <w:tcPr>
            <w:tcW w:w="5459" w:type="dxa"/>
          </w:tcPr>
          <w:p w14:paraId="73C069BC" w14:textId="77777777" w:rsidR="007E782C" w:rsidRPr="00643CB3" w:rsidRDefault="007E782C">
            <w:pPr>
              <w:tabs>
                <w:tab w:val="left" w:pos="284"/>
              </w:tabs>
              <w:autoSpaceDE w:val="0"/>
              <w:autoSpaceDN w:val="0"/>
              <w:adjustRightInd w:val="0"/>
              <w:spacing w:after="0" w:line="240" w:lineRule="auto"/>
              <w:rPr>
                <w:rFonts w:ascii="Times New Roman" w:eastAsia="Calibri" w:hAnsi="Times New Roman" w:cs="Times New Roman"/>
                <w:lang w:val="sr-Latn-ME"/>
              </w:rPr>
            </w:pPr>
            <w:r w:rsidRPr="007E782C">
              <w:rPr>
                <w:rFonts w:ascii="Times New Roman" w:eastAsia="Calibri" w:hAnsi="Times New Roman" w:cs="Times New Roman"/>
                <w:lang w:val="sr-Latn-ME"/>
              </w:rPr>
              <w:t>Artralgija</w:t>
            </w:r>
            <w:r>
              <w:rPr>
                <w:rFonts w:ascii="Times New Roman" w:eastAsia="Calibri" w:hAnsi="Times New Roman" w:cs="Times New Roman"/>
                <w:lang w:val="sr-Latn-ME"/>
              </w:rPr>
              <w:t xml:space="preserve">, </w:t>
            </w:r>
            <w:r w:rsidRPr="007E782C">
              <w:rPr>
                <w:rFonts w:ascii="Times New Roman" w:eastAsia="Calibri" w:hAnsi="Times New Roman" w:cs="Times New Roman"/>
                <w:lang w:val="sr-Latn-ME"/>
              </w:rPr>
              <w:t>bol u preponama</w:t>
            </w:r>
            <w:r>
              <w:rPr>
                <w:rFonts w:ascii="Times New Roman" w:eastAsia="Calibri" w:hAnsi="Times New Roman" w:cs="Times New Roman"/>
                <w:lang w:val="sr-Latn-ME"/>
              </w:rPr>
              <w:t xml:space="preserve">, </w:t>
            </w:r>
            <w:r w:rsidRPr="007E782C">
              <w:rPr>
                <w:rFonts w:ascii="Times New Roman" w:eastAsia="Calibri" w:hAnsi="Times New Roman" w:cs="Times New Roman"/>
                <w:lang w:val="sr-Latn-ME"/>
              </w:rPr>
              <w:t>mijalgija</w:t>
            </w:r>
            <w:r>
              <w:rPr>
                <w:rFonts w:ascii="Times New Roman" w:eastAsia="Calibri" w:hAnsi="Times New Roman" w:cs="Times New Roman"/>
                <w:lang w:val="sr-Latn-ME"/>
              </w:rPr>
              <w:t>, r</w:t>
            </w:r>
            <w:r w:rsidRPr="007E782C">
              <w:rPr>
                <w:rFonts w:ascii="Times New Roman" w:eastAsia="Calibri" w:hAnsi="Times New Roman" w:cs="Times New Roman"/>
                <w:lang w:val="sr-Latn-ME"/>
              </w:rPr>
              <w:t>abdomioliza</w:t>
            </w:r>
          </w:p>
        </w:tc>
      </w:tr>
      <w:tr w:rsidR="007E782C" w:rsidRPr="00643CB3" w14:paraId="7CF0C465" w14:textId="77777777" w:rsidTr="00617397">
        <w:tc>
          <w:tcPr>
            <w:tcW w:w="3085" w:type="dxa"/>
            <w:vMerge w:val="restart"/>
          </w:tcPr>
          <w:p w14:paraId="57DBFF38"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lastRenderedPageBreak/>
              <w:t>Poremećaji bubrega i urinarnog sistema</w:t>
            </w:r>
          </w:p>
        </w:tc>
        <w:tc>
          <w:tcPr>
            <w:tcW w:w="1418" w:type="dxa"/>
          </w:tcPr>
          <w:p w14:paraId="2DDAF6B0"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443694A1" w14:textId="4D4AEE78"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7E782C">
              <w:rPr>
                <w:rFonts w:ascii="Times New Roman" w:eastAsia="Calibri" w:hAnsi="Times New Roman" w:cs="Times New Roman"/>
                <w:lang w:val="sr-Latn-ME"/>
              </w:rPr>
              <w:t xml:space="preserve">Povišene vrijednosti kreatinina u krvi </w:t>
            </w:r>
          </w:p>
        </w:tc>
      </w:tr>
      <w:tr w:rsidR="007E782C" w:rsidRPr="00643CB3" w14:paraId="591E0C0E" w14:textId="77777777" w:rsidTr="00617397">
        <w:tc>
          <w:tcPr>
            <w:tcW w:w="3085" w:type="dxa"/>
            <w:vMerge/>
          </w:tcPr>
          <w:p w14:paraId="3BAB43B6"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3451820C"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Rijetko</w:t>
            </w:r>
          </w:p>
        </w:tc>
        <w:tc>
          <w:tcPr>
            <w:tcW w:w="5459" w:type="dxa"/>
          </w:tcPr>
          <w:p w14:paraId="35F6D389" w14:textId="19370FA3"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7E782C">
              <w:rPr>
                <w:rFonts w:ascii="Times New Roman" w:eastAsia="Calibri" w:hAnsi="Times New Roman" w:cs="Times New Roman"/>
                <w:lang w:val="sr-Latn-ME"/>
              </w:rPr>
              <w:t>Neodložno mokrenje</w:t>
            </w:r>
          </w:p>
        </w:tc>
      </w:tr>
      <w:tr w:rsidR="007E782C" w:rsidRPr="009B39C8" w14:paraId="29B9ACE7" w14:textId="77777777" w:rsidTr="00617397">
        <w:tc>
          <w:tcPr>
            <w:tcW w:w="3085" w:type="dxa"/>
            <w:vMerge/>
          </w:tcPr>
          <w:p w14:paraId="70C15464"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43CF8254"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7E782C">
              <w:rPr>
                <w:rFonts w:ascii="Times New Roman" w:eastAsia="Calibri" w:hAnsi="Times New Roman" w:cs="Times New Roman"/>
                <w:lang w:val="sr-Latn-ME"/>
              </w:rPr>
              <w:t>Nepoznata</w:t>
            </w:r>
          </w:p>
        </w:tc>
        <w:tc>
          <w:tcPr>
            <w:tcW w:w="5459" w:type="dxa"/>
          </w:tcPr>
          <w:p w14:paraId="0AC7B00E" w14:textId="1A5A374B" w:rsidR="007E782C" w:rsidRPr="007E782C"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D</w:t>
            </w:r>
            <w:r w:rsidRPr="007E782C">
              <w:rPr>
                <w:rFonts w:ascii="Times New Roman" w:eastAsia="Calibri" w:hAnsi="Times New Roman" w:cs="Times New Roman"/>
                <w:lang w:val="sr-Latn-ME"/>
              </w:rPr>
              <w:t>izurija</w:t>
            </w:r>
            <w:r>
              <w:rPr>
                <w:rFonts w:ascii="Times New Roman" w:eastAsia="Calibri" w:hAnsi="Times New Roman" w:cs="Times New Roman"/>
                <w:lang w:val="sr-Latn-ME"/>
              </w:rPr>
              <w:t xml:space="preserve">, </w:t>
            </w:r>
            <w:r w:rsidRPr="007E782C">
              <w:rPr>
                <w:rFonts w:ascii="Times New Roman" w:eastAsia="Calibri" w:hAnsi="Times New Roman" w:cs="Times New Roman"/>
                <w:lang w:val="sr-Latn-ME"/>
              </w:rPr>
              <w:t>polaki</w:t>
            </w:r>
            <w:r w:rsidR="005C45BA">
              <w:rPr>
                <w:rFonts w:ascii="Times New Roman" w:eastAsia="Calibri" w:hAnsi="Times New Roman" w:cs="Times New Roman"/>
                <w:lang w:val="sr-Latn-ME"/>
              </w:rPr>
              <w:t>s</w:t>
            </w:r>
            <w:r w:rsidRPr="007E782C">
              <w:rPr>
                <w:rFonts w:ascii="Times New Roman" w:eastAsia="Calibri" w:hAnsi="Times New Roman" w:cs="Times New Roman"/>
                <w:lang w:val="sr-Latn-ME"/>
              </w:rPr>
              <w:t>urija</w:t>
            </w:r>
            <w:r>
              <w:rPr>
                <w:rFonts w:ascii="Times New Roman" w:eastAsia="Calibri" w:hAnsi="Times New Roman" w:cs="Times New Roman"/>
                <w:lang w:val="sr-Latn-ME"/>
              </w:rPr>
              <w:t>, u</w:t>
            </w:r>
            <w:r w:rsidRPr="007E782C">
              <w:rPr>
                <w:rFonts w:ascii="Times New Roman" w:eastAsia="Calibri" w:hAnsi="Times New Roman" w:cs="Times New Roman"/>
                <w:lang w:val="sr-Latn-ME"/>
              </w:rPr>
              <w:t>čestalo mokrenje i/ili retencija mokraće</w:t>
            </w:r>
          </w:p>
        </w:tc>
      </w:tr>
      <w:tr w:rsidR="00091DF8" w:rsidRPr="00643CB3" w14:paraId="630A9206" w14:textId="77777777" w:rsidTr="000C1A53">
        <w:trPr>
          <w:trHeight w:val="357"/>
        </w:trPr>
        <w:tc>
          <w:tcPr>
            <w:tcW w:w="3085" w:type="dxa"/>
            <w:vMerge w:val="restart"/>
          </w:tcPr>
          <w:p w14:paraId="532AED03" w14:textId="77777777" w:rsidR="00091DF8"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reproduktivnog sistema i dojki</w:t>
            </w:r>
          </w:p>
        </w:tc>
        <w:tc>
          <w:tcPr>
            <w:tcW w:w="1418" w:type="dxa"/>
          </w:tcPr>
          <w:p w14:paraId="3B80F009" w14:textId="77777777" w:rsidR="00091DF8"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032CA6E0" w14:textId="6CE7C1CB" w:rsidR="00091DF8"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E</w:t>
            </w:r>
            <w:r w:rsidRPr="00643CB3">
              <w:rPr>
                <w:rFonts w:ascii="Times New Roman" w:eastAsia="Calibri" w:hAnsi="Times New Roman" w:cs="Times New Roman"/>
                <w:lang w:val="sr-Latn-ME"/>
              </w:rPr>
              <w:t>rektilna disfunkcija</w:t>
            </w:r>
          </w:p>
        </w:tc>
      </w:tr>
      <w:tr w:rsidR="007E782C" w:rsidRPr="009B39C8" w14:paraId="6AD3A40C" w14:textId="77777777" w:rsidTr="00617397">
        <w:tc>
          <w:tcPr>
            <w:tcW w:w="3085" w:type="dxa"/>
            <w:vMerge/>
          </w:tcPr>
          <w:p w14:paraId="2790E84B" w14:textId="77777777" w:rsidR="007E782C" w:rsidRPr="00643CB3" w:rsidRDefault="007E782C"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7D2C563D" w14:textId="77777777" w:rsidR="007E782C"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091DF8">
              <w:rPr>
                <w:rFonts w:ascii="Times New Roman" w:eastAsia="Calibri" w:hAnsi="Times New Roman" w:cs="Times New Roman"/>
                <w:lang w:val="sr-Latn-ME"/>
              </w:rPr>
              <w:t>Rijetko</w:t>
            </w:r>
          </w:p>
        </w:tc>
        <w:tc>
          <w:tcPr>
            <w:tcW w:w="5459" w:type="dxa"/>
          </w:tcPr>
          <w:p w14:paraId="28F56FED" w14:textId="77777777" w:rsidR="007E782C"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091DF8">
              <w:rPr>
                <w:rFonts w:ascii="Times New Roman" w:eastAsia="Calibri" w:hAnsi="Times New Roman" w:cs="Times New Roman"/>
                <w:lang w:val="sr-Latn-ME"/>
              </w:rPr>
              <w:t>Neredovna menstruacija</w:t>
            </w:r>
            <w:r>
              <w:rPr>
                <w:rFonts w:ascii="Times New Roman" w:eastAsia="Calibri" w:hAnsi="Times New Roman" w:cs="Times New Roman"/>
                <w:lang w:val="sr-Latn-ME"/>
              </w:rPr>
              <w:t xml:space="preserve">, </w:t>
            </w:r>
            <w:r w:rsidRPr="00091DF8">
              <w:rPr>
                <w:rFonts w:ascii="Times New Roman" w:eastAsia="Calibri" w:hAnsi="Times New Roman" w:cs="Times New Roman"/>
                <w:lang w:val="sr-Latn-ME"/>
              </w:rPr>
              <w:t>vaginalno krvarenje</w:t>
            </w:r>
            <w:r>
              <w:rPr>
                <w:rFonts w:ascii="Times New Roman" w:eastAsia="Calibri" w:hAnsi="Times New Roman" w:cs="Times New Roman"/>
                <w:lang w:val="sr-Latn-ME"/>
              </w:rPr>
              <w:t xml:space="preserve">, </w:t>
            </w:r>
            <w:r w:rsidRPr="00091DF8">
              <w:rPr>
                <w:rFonts w:ascii="Times New Roman" w:eastAsia="Calibri" w:hAnsi="Times New Roman" w:cs="Times New Roman"/>
                <w:lang w:val="sr-Latn-ME"/>
              </w:rPr>
              <w:t>vulvovaginalna suvoća</w:t>
            </w:r>
          </w:p>
        </w:tc>
      </w:tr>
      <w:tr w:rsidR="00643CB3" w:rsidRPr="00643CB3" w14:paraId="01D472F4" w14:textId="77777777" w:rsidTr="00617397">
        <w:tc>
          <w:tcPr>
            <w:tcW w:w="3085" w:type="dxa"/>
            <w:vMerge w:val="restart"/>
          </w:tcPr>
          <w:p w14:paraId="54494F1A"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Opšti poremećaji i reakcije na mjestu primjene</w:t>
            </w:r>
          </w:p>
        </w:tc>
        <w:tc>
          <w:tcPr>
            <w:tcW w:w="1418" w:type="dxa"/>
          </w:tcPr>
          <w:p w14:paraId="1B6C8445"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2D1B0D28" w14:textId="26074B37" w:rsidR="00643CB3"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091DF8">
              <w:rPr>
                <w:rFonts w:ascii="Times New Roman" w:eastAsia="Calibri" w:hAnsi="Times New Roman" w:cs="Times New Roman"/>
                <w:lang w:val="sr-Latn-ME"/>
              </w:rPr>
              <w:t>Zamor</w:t>
            </w:r>
            <w:r>
              <w:rPr>
                <w:rFonts w:ascii="Times New Roman" w:eastAsia="Calibri" w:hAnsi="Times New Roman" w:cs="Times New Roman"/>
                <w:lang w:val="sr-Latn-ME"/>
              </w:rPr>
              <w:t>,</w:t>
            </w:r>
            <w:r w:rsidRPr="00091DF8">
              <w:rPr>
                <w:rFonts w:ascii="Times New Roman" w:eastAsia="Calibri" w:hAnsi="Times New Roman" w:cs="Times New Roman"/>
                <w:lang w:val="sr-Latn-ME"/>
              </w:rPr>
              <w:t xml:space="preserve"> </w:t>
            </w:r>
            <w:r>
              <w:rPr>
                <w:rFonts w:ascii="Times New Roman" w:eastAsia="Calibri" w:hAnsi="Times New Roman" w:cs="Times New Roman"/>
                <w:lang w:val="sr-Latn-ME"/>
              </w:rPr>
              <w:t>o</w:t>
            </w:r>
            <w:r w:rsidR="00643CB3" w:rsidRPr="00643CB3">
              <w:rPr>
                <w:rFonts w:ascii="Times New Roman" w:eastAsia="Calibri" w:hAnsi="Times New Roman" w:cs="Times New Roman"/>
                <w:lang w:val="sr-Latn-ME"/>
              </w:rPr>
              <w:t xml:space="preserve">sjećaj nervoze, </w:t>
            </w:r>
            <w:r w:rsidR="000C1A53">
              <w:rPr>
                <w:rFonts w:ascii="Times New Roman" w:eastAsia="Calibri" w:hAnsi="Times New Roman" w:cs="Times New Roman"/>
                <w:lang w:val="sr-Latn-ME"/>
              </w:rPr>
              <w:t>r</w:t>
            </w:r>
            <w:r w:rsidR="000C1A53" w:rsidRPr="000C1A53">
              <w:rPr>
                <w:rFonts w:ascii="Times New Roman" w:eastAsia="Calibri" w:hAnsi="Times New Roman" w:cs="Times New Roman"/>
                <w:lang w:val="sr-Latn-ME"/>
              </w:rPr>
              <w:t>azdražljivost</w:t>
            </w:r>
          </w:p>
        </w:tc>
      </w:tr>
      <w:tr w:rsidR="00643CB3" w:rsidRPr="009B39C8" w14:paraId="69191EBD" w14:textId="77777777" w:rsidTr="00617397">
        <w:tc>
          <w:tcPr>
            <w:tcW w:w="3085" w:type="dxa"/>
            <w:vMerge/>
          </w:tcPr>
          <w:p w14:paraId="4E4AAFB0"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2242E3DC"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7B2C2F22" w14:textId="605C99A2" w:rsidR="00643CB3"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A</w:t>
            </w:r>
            <w:r w:rsidRPr="00643CB3">
              <w:rPr>
                <w:rFonts w:ascii="Times New Roman" w:eastAsia="Calibri" w:hAnsi="Times New Roman" w:cs="Times New Roman"/>
                <w:lang w:val="sr-Latn-ME"/>
              </w:rPr>
              <w:t>stenija</w:t>
            </w:r>
            <w:r>
              <w:rPr>
                <w:rFonts w:ascii="Times New Roman" w:eastAsia="Calibri" w:hAnsi="Times New Roman" w:cs="Times New Roman"/>
                <w:lang w:val="sr-Latn-ME"/>
              </w:rPr>
              <w:t>,</w:t>
            </w:r>
            <w:r w:rsidRPr="00643CB3">
              <w:rPr>
                <w:rFonts w:ascii="Times New Roman" w:eastAsia="Calibri" w:hAnsi="Times New Roman" w:cs="Times New Roman"/>
                <w:lang w:val="sr-Latn-ME"/>
              </w:rPr>
              <w:t xml:space="preserve"> </w:t>
            </w:r>
            <w:r>
              <w:rPr>
                <w:rFonts w:ascii="Times New Roman" w:eastAsia="Calibri" w:hAnsi="Times New Roman" w:cs="Times New Roman"/>
                <w:lang w:val="sr-Latn-ME"/>
              </w:rPr>
              <w:t>n</w:t>
            </w:r>
            <w:r w:rsidR="00643CB3" w:rsidRPr="00643CB3">
              <w:rPr>
                <w:rFonts w:ascii="Times New Roman" w:eastAsia="Calibri" w:hAnsi="Times New Roman" w:cs="Times New Roman"/>
                <w:lang w:val="sr-Latn-ME"/>
              </w:rPr>
              <w:t xml:space="preserve">euobičajeni osjećaj, osjećaj vrućine, povećan apetit, </w:t>
            </w:r>
            <w:r w:rsidR="000C1A53" w:rsidRPr="000C1A53">
              <w:rPr>
                <w:rFonts w:ascii="Times New Roman" w:eastAsia="Calibri" w:hAnsi="Times New Roman" w:cs="Times New Roman"/>
                <w:lang w:val="sr-Latn-ME"/>
              </w:rPr>
              <w:t>žeđ</w:t>
            </w:r>
          </w:p>
        </w:tc>
      </w:tr>
      <w:tr w:rsidR="00091DF8" w:rsidRPr="009B39C8" w14:paraId="29B72388" w14:textId="77777777" w:rsidTr="00617397">
        <w:tc>
          <w:tcPr>
            <w:tcW w:w="3085" w:type="dxa"/>
            <w:vMerge/>
          </w:tcPr>
          <w:p w14:paraId="03BD2E60" w14:textId="77777777" w:rsidR="00091DF8"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0BA8DA11" w14:textId="77777777" w:rsidR="00091DF8" w:rsidRPr="00643CB3" w:rsidRDefault="00091DF8"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091DF8">
              <w:rPr>
                <w:rFonts w:ascii="Times New Roman" w:eastAsia="Calibri" w:hAnsi="Times New Roman" w:cs="Times New Roman"/>
                <w:lang w:val="sr-Latn-ME"/>
              </w:rPr>
              <w:t>Rijetko</w:t>
            </w:r>
          </w:p>
        </w:tc>
        <w:tc>
          <w:tcPr>
            <w:tcW w:w="5459" w:type="dxa"/>
          </w:tcPr>
          <w:p w14:paraId="67C272B3" w14:textId="77777777" w:rsidR="00091DF8" w:rsidRPr="00643CB3" w:rsidDel="00091DF8" w:rsidRDefault="00E67FEC"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B</w:t>
            </w:r>
            <w:r w:rsidRPr="00E67FEC">
              <w:rPr>
                <w:rFonts w:ascii="Times New Roman" w:eastAsia="Calibri" w:hAnsi="Times New Roman" w:cs="Times New Roman"/>
                <w:lang w:val="sr-Latn-ME"/>
              </w:rPr>
              <w:t>ol u grudima</w:t>
            </w:r>
            <w:r>
              <w:rPr>
                <w:rFonts w:ascii="Times New Roman" w:eastAsia="Calibri" w:hAnsi="Times New Roman" w:cs="Times New Roman"/>
                <w:lang w:val="sr-Latn-ME"/>
              </w:rPr>
              <w:t xml:space="preserve">, </w:t>
            </w:r>
            <w:r w:rsidRPr="00E67FEC">
              <w:rPr>
                <w:rFonts w:ascii="Times New Roman" w:eastAsia="Calibri" w:hAnsi="Times New Roman" w:cs="Times New Roman"/>
                <w:lang w:val="sr-Latn-ME"/>
              </w:rPr>
              <w:t>hladnoća ekstremiteta</w:t>
            </w:r>
            <w:r>
              <w:rPr>
                <w:rFonts w:ascii="Times New Roman" w:eastAsia="Calibri" w:hAnsi="Times New Roman" w:cs="Times New Roman"/>
                <w:lang w:val="sr-Latn-ME"/>
              </w:rPr>
              <w:t xml:space="preserve">, </w:t>
            </w:r>
            <w:r w:rsidRPr="00E67FEC">
              <w:rPr>
                <w:rFonts w:ascii="Times New Roman" w:eastAsia="Calibri" w:hAnsi="Times New Roman" w:cs="Times New Roman"/>
                <w:lang w:val="sr-Latn-ME"/>
              </w:rPr>
              <w:t>pireksija</w:t>
            </w:r>
          </w:p>
        </w:tc>
      </w:tr>
      <w:tr w:rsidR="00643CB3" w:rsidRPr="00643CB3" w14:paraId="53F5391E" w14:textId="77777777" w:rsidTr="00617397">
        <w:tc>
          <w:tcPr>
            <w:tcW w:w="3085" w:type="dxa"/>
            <w:vMerge/>
          </w:tcPr>
          <w:p w14:paraId="71DADE76"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74954EB3" w14:textId="77777777" w:rsidR="00643CB3" w:rsidRPr="00643CB3" w:rsidRDefault="00643CB3"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Nepoznata </w:t>
            </w:r>
          </w:p>
        </w:tc>
        <w:tc>
          <w:tcPr>
            <w:tcW w:w="5459" w:type="dxa"/>
          </w:tcPr>
          <w:p w14:paraId="1EF9105B" w14:textId="2CE755BA" w:rsidR="00643CB3" w:rsidRPr="00643CB3" w:rsidRDefault="00BC7569" w:rsidP="00C416C3">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D</w:t>
            </w:r>
            <w:r w:rsidR="00E67FEC" w:rsidRPr="00E67FEC">
              <w:rPr>
                <w:rFonts w:ascii="Times New Roman" w:eastAsia="Calibri" w:hAnsi="Times New Roman" w:cs="Times New Roman"/>
                <w:lang w:val="sr-Latn-ME"/>
              </w:rPr>
              <w:t>rhtavica, povećana energija</w:t>
            </w:r>
          </w:p>
        </w:tc>
      </w:tr>
    </w:tbl>
    <w:bookmarkEnd w:id="7"/>
    <w:p w14:paraId="62082A0E" w14:textId="21A493D4" w:rsidR="00B9608A" w:rsidRPr="00643CB3" w:rsidRDefault="00B9608A" w:rsidP="00B9608A">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 xml:space="preserve">Slučajevi suicidalne ideje i suicidalnog ponašanja su prijavljeni tokom terapije </w:t>
      </w:r>
      <w:r>
        <w:rPr>
          <w:rFonts w:ascii="Times New Roman" w:eastAsia="Times New Roman" w:hAnsi="Times New Roman" w:cs="Times New Roman"/>
          <w:lang w:val="sr-Latn-ME"/>
        </w:rPr>
        <w:t>NB</w:t>
      </w:r>
      <w:r w:rsidRPr="00643CB3">
        <w:rPr>
          <w:rFonts w:ascii="Times New Roman" w:eastAsia="Times New Roman" w:hAnsi="Times New Roman" w:cs="Times New Roman"/>
          <w:lang w:val="sr-Latn-ME"/>
        </w:rPr>
        <w:t xml:space="preserve">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w:t>
      </w:r>
    </w:p>
    <w:p w14:paraId="6E423B24" w14:textId="6E349FD8" w:rsidR="00643CB3" w:rsidRDefault="00643CB3" w:rsidP="00B83A7B">
      <w:pPr>
        <w:autoSpaceDE w:val="0"/>
        <w:autoSpaceDN w:val="0"/>
        <w:adjustRightInd w:val="0"/>
        <w:spacing w:after="0" w:line="240" w:lineRule="auto"/>
        <w:ind w:left="709" w:hanging="709"/>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 xml:space="preserve">Incidenca epileptičnih napada je otprilike 0,1% (1/1000). Najčešći tip napada su generalizovani tonično-klonični napadi, vrsta napada koja može u nekim slučajevima imati za posljedicu postiktalnu konfuziju ili poremećaj pamćenja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w:t>
      </w:r>
    </w:p>
    <w:p w14:paraId="7DE3CF08" w14:textId="77777777" w:rsidR="00B9608A" w:rsidRPr="00643CB3" w:rsidRDefault="00B9608A" w:rsidP="00B83A7B">
      <w:pPr>
        <w:autoSpaceDE w:val="0"/>
        <w:autoSpaceDN w:val="0"/>
        <w:adjustRightInd w:val="0"/>
        <w:spacing w:after="0" w:line="240" w:lineRule="auto"/>
        <w:ind w:left="709" w:hanging="709"/>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Zubobolja i zubni karijes, iako ne ispunjavaju kriterijume za uključivanje u ovu tabelu, navedeni su na osnovu podgrupe pacijenata sa suvoćom usta, u kojoj je uočena veća učestalost zubobolje i zubnog karijesa kod ispitanika koji su primali NB u odnosu na placebo.</w:t>
      </w:r>
    </w:p>
    <w:p w14:paraId="631408EC" w14:textId="3A88FD13" w:rsidR="00B33876" w:rsidRPr="00453836" w:rsidRDefault="00B33876" w:rsidP="00B83A7B">
      <w:pPr>
        <w:autoSpaceDE w:val="0"/>
        <w:autoSpaceDN w:val="0"/>
        <w:adjustRightInd w:val="0"/>
        <w:spacing w:after="0" w:line="240" w:lineRule="auto"/>
        <w:ind w:left="709" w:hanging="709"/>
        <w:jc w:val="both"/>
        <w:rPr>
          <w:rFonts w:ascii="Times New Roman" w:eastAsia="Times New Roman" w:hAnsi="Times New Roman" w:cs="Times New Roman"/>
          <w:lang w:val="sr-Latn-ME"/>
        </w:rPr>
      </w:pPr>
      <w:r w:rsidRPr="00453836">
        <w:rPr>
          <w:rFonts w:ascii="Times New Roman" w:eastAsia="Times New Roman" w:hAnsi="Times New Roman" w:cs="Times New Roman"/>
          <w:lang w:val="sr-Latn-ME"/>
        </w:rPr>
        <w:t>****</w:t>
      </w:r>
      <w:r w:rsidRPr="00453836">
        <w:rPr>
          <w:rFonts w:ascii="Times New Roman" w:eastAsia="Times New Roman" w:hAnsi="Times New Roman" w:cs="Times New Roman"/>
          <w:lang w:val="sr-Latn-ME"/>
        </w:rPr>
        <w:tab/>
        <w:t>Serotoninski sindrom se može javiti kao posl</w:t>
      </w:r>
      <w:r w:rsidR="00485D48" w:rsidRPr="00453836">
        <w:rPr>
          <w:rFonts w:ascii="Times New Roman" w:eastAsia="Times New Roman" w:hAnsi="Times New Roman" w:cs="Times New Roman"/>
          <w:lang w:val="sr-Latn-ME"/>
        </w:rPr>
        <w:t>j</w:t>
      </w:r>
      <w:r w:rsidRPr="00453836">
        <w:rPr>
          <w:rFonts w:ascii="Times New Roman" w:eastAsia="Times New Roman" w:hAnsi="Times New Roman" w:cs="Times New Roman"/>
          <w:lang w:val="sr-Latn-ME"/>
        </w:rPr>
        <w:t>edica interakcije između bupropiona i serotonergičkog l</w:t>
      </w:r>
      <w:r w:rsidR="00485D48" w:rsidRPr="00453836">
        <w:rPr>
          <w:rFonts w:ascii="Times New Roman" w:eastAsia="Times New Roman" w:hAnsi="Times New Roman" w:cs="Times New Roman"/>
          <w:lang w:val="sr-Latn-ME"/>
        </w:rPr>
        <w:t>ij</w:t>
      </w:r>
      <w:r w:rsidRPr="00453836">
        <w:rPr>
          <w:rFonts w:ascii="Times New Roman" w:eastAsia="Times New Roman" w:hAnsi="Times New Roman" w:cs="Times New Roman"/>
          <w:lang w:val="sr-Latn-ME"/>
        </w:rPr>
        <w:t>eka, poput selektivnih inhibitora pr</w:t>
      </w:r>
      <w:r w:rsidR="00485D48" w:rsidRPr="00453836">
        <w:rPr>
          <w:rFonts w:ascii="Times New Roman" w:eastAsia="Times New Roman" w:hAnsi="Times New Roman" w:cs="Times New Roman"/>
          <w:lang w:val="sr-Latn-ME"/>
        </w:rPr>
        <w:t>e</w:t>
      </w:r>
      <w:r w:rsidRPr="00453836">
        <w:rPr>
          <w:rFonts w:ascii="Times New Roman" w:eastAsia="Times New Roman" w:hAnsi="Times New Roman" w:cs="Times New Roman"/>
          <w:lang w:val="sr-Latn-ME"/>
        </w:rPr>
        <w:t>uzimanja serotonina (SSRI) ili inhibitora pr</w:t>
      </w:r>
      <w:r w:rsidR="00485D48" w:rsidRPr="00453836">
        <w:rPr>
          <w:rFonts w:ascii="Times New Roman" w:eastAsia="Times New Roman" w:hAnsi="Times New Roman" w:cs="Times New Roman"/>
          <w:lang w:val="sr-Latn-ME"/>
        </w:rPr>
        <w:t>e</w:t>
      </w:r>
      <w:r w:rsidRPr="00453836">
        <w:rPr>
          <w:rFonts w:ascii="Times New Roman" w:eastAsia="Times New Roman" w:hAnsi="Times New Roman" w:cs="Times New Roman"/>
          <w:lang w:val="sr-Latn-ME"/>
        </w:rPr>
        <w:t>uzimanja serotonina i norepinefrina (SNRI) (vid</w:t>
      </w:r>
      <w:r w:rsidR="00485D48" w:rsidRPr="00453836">
        <w:rPr>
          <w:rFonts w:ascii="Times New Roman" w:eastAsia="Times New Roman" w:hAnsi="Times New Roman" w:cs="Times New Roman"/>
          <w:lang w:val="sr-Latn-ME"/>
        </w:rPr>
        <w:t>j</w:t>
      </w:r>
      <w:r w:rsidRPr="00453836">
        <w:rPr>
          <w:rFonts w:ascii="Times New Roman" w:eastAsia="Times New Roman" w:hAnsi="Times New Roman" w:cs="Times New Roman"/>
          <w:lang w:val="sr-Latn-ME"/>
        </w:rPr>
        <w:t xml:space="preserve">eti </w:t>
      </w:r>
      <w:r w:rsidR="00840DEF">
        <w:rPr>
          <w:rFonts w:ascii="Times New Roman" w:eastAsia="Times New Roman" w:hAnsi="Times New Roman" w:cs="Times New Roman"/>
          <w:lang w:val="sr-Latn-ME"/>
        </w:rPr>
        <w:t>djelove</w:t>
      </w:r>
      <w:r w:rsidRPr="00453836">
        <w:rPr>
          <w:rFonts w:ascii="Times New Roman" w:eastAsia="Times New Roman" w:hAnsi="Times New Roman" w:cs="Times New Roman"/>
          <w:lang w:val="sr-Latn-ME"/>
        </w:rPr>
        <w:t xml:space="preserve"> 4.4 i 4.5).</w:t>
      </w:r>
    </w:p>
    <w:p w14:paraId="12FC4F0C" w14:textId="16107A33" w:rsidR="00B33876" w:rsidRPr="00643CB3" w:rsidRDefault="00B33876" w:rsidP="00B33876">
      <w:pPr>
        <w:autoSpaceDE w:val="0"/>
        <w:autoSpaceDN w:val="0"/>
        <w:adjustRightInd w:val="0"/>
        <w:spacing w:after="0" w:line="240" w:lineRule="auto"/>
        <w:jc w:val="both"/>
        <w:rPr>
          <w:rFonts w:ascii="Times New Roman" w:eastAsia="Times New Roman" w:hAnsi="Times New Roman" w:cs="Times New Roman"/>
          <w:lang w:val="sr-Latn-ME"/>
        </w:rPr>
      </w:pPr>
      <w:r w:rsidRPr="00453836">
        <w:rPr>
          <w:rFonts w:ascii="Times New Roman" w:eastAsia="Times New Roman" w:hAnsi="Times New Roman" w:cs="Times New Roman"/>
          <w:lang w:val="sr-Latn-ME"/>
        </w:rPr>
        <w:t>*****</w:t>
      </w:r>
      <w:r w:rsidRPr="00453836">
        <w:rPr>
          <w:rFonts w:ascii="Times New Roman" w:eastAsia="Times New Roman" w:hAnsi="Times New Roman" w:cs="Times New Roman"/>
          <w:lang w:val="sr-Latn-ME"/>
        </w:rPr>
        <w:tab/>
        <w:t>Post-marketinški slučajevi hipertenzivne krize zab</w:t>
      </w:r>
      <w:r w:rsidR="00485D48" w:rsidRPr="00453836">
        <w:rPr>
          <w:rFonts w:ascii="Times New Roman" w:eastAsia="Times New Roman" w:hAnsi="Times New Roman" w:cs="Times New Roman"/>
          <w:lang w:val="sr-Latn-ME"/>
        </w:rPr>
        <w:t>ilj</w:t>
      </w:r>
      <w:r w:rsidRPr="00453836">
        <w:rPr>
          <w:rFonts w:ascii="Times New Roman" w:eastAsia="Times New Roman" w:hAnsi="Times New Roman" w:cs="Times New Roman"/>
          <w:lang w:val="sr-Latn-ME"/>
        </w:rPr>
        <w:t>eženi su tokom početne faze titracije.</w:t>
      </w:r>
    </w:p>
    <w:p w14:paraId="20556BBF" w14:textId="4AB98376" w:rsidR="00643CB3" w:rsidRDefault="00643CB3" w:rsidP="00106935">
      <w:pPr>
        <w:autoSpaceDE w:val="0"/>
        <w:autoSpaceDN w:val="0"/>
        <w:adjustRightInd w:val="0"/>
        <w:spacing w:after="0" w:line="240" w:lineRule="auto"/>
        <w:jc w:val="both"/>
        <w:rPr>
          <w:rFonts w:ascii="Times New Roman" w:eastAsia="Times New Roman" w:hAnsi="Times New Roman" w:cs="Times New Roman"/>
          <w:noProof/>
          <w:u w:val="single"/>
          <w:lang w:val="sr-Latn-ME"/>
        </w:rPr>
      </w:pPr>
    </w:p>
    <w:p w14:paraId="081337C9" w14:textId="77777777" w:rsidR="00B9608A" w:rsidRPr="00106935" w:rsidRDefault="00B9608A" w:rsidP="00B9608A">
      <w:pPr>
        <w:tabs>
          <w:tab w:val="left" w:pos="284"/>
        </w:tabs>
        <w:spacing w:after="0" w:line="240" w:lineRule="auto"/>
        <w:jc w:val="both"/>
        <w:rPr>
          <w:rFonts w:ascii="Times New Roman" w:eastAsia="Times New Roman" w:hAnsi="Times New Roman" w:cs="Times New Roman"/>
          <w:noProof/>
          <w:lang w:val="hr-HR"/>
        </w:rPr>
      </w:pPr>
      <w:r w:rsidRPr="00106935">
        <w:rPr>
          <w:rFonts w:ascii="Times New Roman" w:eastAsia="Times New Roman" w:hAnsi="Times New Roman" w:cs="Times New Roman"/>
          <w:noProof/>
          <w:lang w:val="hr-HR"/>
        </w:rPr>
        <w:t>Budući da je NB fiksna kombinacija dv</w:t>
      </w:r>
      <w:r w:rsidR="00B16F99">
        <w:rPr>
          <w:rFonts w:ascii="Times New Roman" w:eastAsia="Times New Roman" w:hAnsi="Times New Roman" w:cs="Times New Roman"/>
          <w:noProof/>
          <w:lang w:val="hr-HR"/>
        </w:rPr>
        <w:t>ij</w:t>
      </w:r>
      <w:r w:rsidRPr="00106935">
        <w:rPr>
          <w:rFonts w:ascii="Times New Roman" w:eastAsia="Times New Roman" w:hAnsi="Times New Roman" w:cs="Times New Roman"/>
          <w:noProof/>
          <w:lang w:val="hr-HR"/>
        </w:rPr>
        <w:t xml:space="preserve">e </w:t>
      </w:r>
      <w:bookmarkStart w:id="9" w:name="_Hlk41313061"/>
      <w:r w:rsidRPr="00106935">
        <w:rPr>
          <w:rFonts w:ascii="Times New Roman" w:eastAsia="Times New Roman" w:hAnsi="Times New Roman" w:cs="Times New Roman"/>
          <w:noProof/>
          <w:lang w:val="hr-HR"/>
        </w:rPr>
        <w:t>aktivne supstance</w:t>
      </w:r>
      <w:bookmarkEnd w:id="9"/>
      <w:r w:rsidRPr="00106935">
        <w:rPr>
          <w:rFonts w:ascii="Times New Roman" w:eastAsia="Times New Roman" w:hAnsi="Times New Roman" w:cs="Times New Roman"/>
          <w:noProof/>
          <w:lang w:val="hr-HR"/>
        </w:rPr>
        <w:t>, osim neželjenih reakcija navedenih u tabeli 1, mogu da se pojave dodatne neželjene reakcije uočene sa jednom od aktivnih supstanci. Dodatne neželjene reakcije koje se mogu pojaviti sa jednom ili drugom aktivnom supstancom (bupropion ili naltrekson) kad se prim</w:t>
      </w:r>
      <w:r w:rsidR="00B16F99">
        <w:rPr>
          <w:rFonts w:ascii="Times New Roman" w:eastAsia="Times New Roman" w:hAnsi="Times New Roman" w:cs="Times New Roman"/>
          <w:noProof/>
          <w:lang w:val="hr-HR"/>
        </w:rPr>
        <w:t>j</w:t>
      </w:r>
      <w:r w:rsidRPr="00106935">
        <w:rPr>
          <w:rFonts w:ascii="Times New Roman" w:eastAsia="Times New Roman" w:hAnsi="Times New Roman" w:cs="Times New Roman"/>
          <w:noProof/>
          <w:lang w:val="hr-HR"/>
        </w:rPr>
        <w:t>enjuju u drugim indikacijama osim gojaznosti sažete su u tabeli 2.</w:t>
      </w:r>
    </w:p>
    <w:p w14:paraId="644FD2BD" w14:textId="77777777" w:rsidR="00B9608A" w:rsidRPr="00106935" w:rsidRDefault="00B9608A" w:rsidP="00B9608A">
      <w:pPr>
        <w:tabs>
          <w:tab w:val="left" w:pos="284"/>
        </w:tabs>
        <w:spacing w:after="0" w:line="240" w:lineRule="auto"/>
        <w:jc w:val="both"/>
        <w:rPr>
          <w:rFonts w:ascii="Times New Roman" w:eastAsia="Times New Roman" w:hAnsi="Times New Roman" w:cs="Times New Roman"/>
          <w:noProof/>
          <w:lang w:val="hr-HR"/>
        </w:rPr>
      </w:pPr>
    </w:p>
    <w:p w14:paraId="655489C1" w14:textId="77777777" w:rsidR="00B9608A" w:rsidRPr="003248FD" w:rsidRDefault="00B9608A" w:rsidP="00B9608A">
      <w:pPr>
        <w:tabs>
          <w:tab w:val="left" w:pos="284"/>
        </w:tabs>
        <w:spacing w:after="0" w:line="240" w:lineRule="auto"/>
        <w:jc w:val="both"/>
        <w:rPr>
          <w:rFonts w:ascii="Times New Roman" w:eastAsia="Times New Roman" w:hAnsi="Times New Roman" w:cs="Times New Roman"/>
          <w:b/>
          <w:noProof/>
          <w:lang w:val="hr-HR"/>
        </w:rPr>
      </w:pPr>
      <w:r w:rsidRPr="003248FD">
        <w:rPr>
          <w:rFonts w:ascii="Times New Roman" w:eastAsia="Times New Roman" w:hAnsi="Times New Roman" w:cs="Times New Roman"/>
          <w:b/>
          <w:noProof/>
          <w:lang w:val="hr-HR"/>
        </w:rPr>
        <w:t>Tabela 2.</w:t>
      </w:r>
    </w:p>
    <w:p w14:paraId="77359CEF" w14:textId="77777777" w:rsidR="00B9608A" w:rsidRPr="003248FD" w:rsidRDefault="00B9608A" w:rsidP="00B9608A">
      <w:pPr>
        <w:tabs>
          <w:tab w:val="left" w:pos="284"/>
        </w:tabs>
        <w:spacing w:after="0" w:line="240" w:lineRule="auto"/>
        <w:jc w:val="both"/>
        <w:rPr>
          <w:rFonts w:ascii="Times New Roman" w:eastAsia="Times New Roman" w:hAnsi="Times New Roman" w:cs="Times New Roman"/>
          <w:b/>
          <w:noProof/>
          <w:lang w:val="hr-HR"/>
        </w:rPr>
      </w:pPr>
      <w:r w:rsidRPr="003248FD">
        <w:rPr>
          <w:rFonts w:ascii="Times New Roman" w:eastAsia="Times New Roman" w:hAnsi="Times New Roman" w:cs="Times New Roman"/>
          <w:b/>
          <w:noProof/>
          <w:lang w:val="hr-HR"/>
        </w:rPr>
        <w:t>Neželjene reakcije prijavljene za pojedinačne aktivne supstance naltrekson i bupropion navedene u njihovim odobrenim Sažecima karakteristika l</w:t>
      </w:r>
      <w:r w:rsidR="00B16F99" w:rsidRPr="003248FD">
        <w:rPr>
          <w:rFonts w:ascii="Times New Roman" w:eastAsia="Times New Roman" w:hAnsi="Times New Roman" w:cs="Times New Roman"/>
          <w:b/>
          <w:noProof/>
          <w:lang w:val="hr-HR"/>
        </w:rPr>
        <w:t>ij</w:t>
      </w:r>
      <w:r w:rsidRPr="003248FD">
        <w:rPr>
          <w:rFonts w:ascii="Times New Roman" w:eastAsia="Times New Roman" w:hAnsi="Times New Roman" w:cs="Times New Roman"/>
          <w:b/>
          <w:noProof/>
          <w:lang w:val="hr-HR"/>
        </w:rPr>
        <w:t>eka.</w:t>
      </w:r>
    </w:p>
    <w:p w14:paraId="5ED26546" w14:textId="77777777" w:rsidR="00B9608A" w:rsidRDefault="00B9608A" w:rsidP="00643CB3">
      <w:pPr>
        <w:tabs>
          <w:tab w:val="left" w:pos="284"/>
        </w:tabs>
        <w:spacing w:after="0" w:line="240" w:lineRule="auto"/>
        <w:jc w:val="both"/>
        <w:rPr>
          <w:rFonts w:ascii="Times New Roman" w:eastAsia="Times New Roman" w:hAnsi="Times New Roman" w:cs="Times New Roman"/>
          <w:noProof/>
          <w:u w:val="single"/>
          <w:lang w:val="sr-Latn-M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5459"/>
      </w:tblGrid>
      <w:tr w:rsidR="00B9608A" w:rsidRPr="00643CB3" w14:paraId="584822D8" w14:textId="77777777" w:rsidTr="008150AE">
        <w:tc>
          <w:tcPr>
            <w:tcW w:w="3085" w:type="dxa"/>
          </w:tcPr>
          <w:p w14:paraId="4884105C" w14:textId="77777777" w:rsidR="00B9608A" w:rsidRPr="00643CB3" w:rsidRDefault="00B9608A" w:rsidP="008150AE">
            <w:pPr>
              <w:tabs>
                <w:tab w:val="left" w:pos="284"/>
              </w:tabs>
              <w:autoSpaceDE w:val="0"/>
              <w:autoSpaceDN w:val="0"/>
              <w:adjustRightInd w:val="0"/>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Klasa sistema organa</w:t>
            </w:r>
          </w:p>
        </w:tc>
        <w:tc>
          <w:tcPr>
            <w:tcW w:w="1418" w:type="dxa"/>
          </w:tcPr>
          <w:p w14:paraId="0D7482C6" w14:textId="77777777" w:rsidR="00B9608A" w:rsidRPr="00643CB3" w:rsidRDefault="00B9608A" w:rsidP="008150AE">
            <w:pPr>
              <w:tabs>
                <w:tab w:val="left" w:pos="284"/>
              </w:tabs>
              <w:autoSpaceDE w:val="0"/>
              <w:autoSpaceDN w:val="0"/>
              <w:adjustRightInd w:val="0"/>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Učestalost</w:t>
            </w:r>
          </w:p>
        </w:tc>
        <w:tc>
          <w:tcPr>
            <w:tcW w:w="5459" w:type="dxa"/>
          </w:tcPr>
          <w:p w14:paraId="49C9A83E" w14:textId="77777777" w:rsidR="00B9608A" w:rsidRPr="00643CB3" w:rsidRDefault="00B9608A" w:rsidP="008150AE">
            <w:pPr>
              <w:tabs>
                <w:tab w:val="left" w:pos="284"/>
              </w:tabs>
              <w:autoSpaceDE w:val="0"/>
              <w:autoSpaceDN w:val="0"/>
              <w:adjustRightInd w:val="0"/>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Neželjena reakcija</w:t>
            </w:r>
          </w:p>
        </w:tc>
      </w:tr>
      <w:tr w:rsidR="00B9608A" w:rsidRPr="00643CB3" w14:paraId="656F19C2" w14:textId="77777777" w:rsidTr="008150AE">
        <w:tc>
          <w:tcPr>
            <w:tcW w:w="3085" w:type="dxa"/>
          </w:tcPr>
          <w:p w14:paraId="626DADE1"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Infekcije i infestacije</w:t>
            </w:r>
          </w:p>
        </w:tc>
        <w:tc>
          <w:tcPr>
            <w:tcW w:w="1418" w:type="dxa"/>
          </w:tcPr>
          <w:p w14:paraId="24B482C8"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3C09F7AA"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Oralni herpes (N), tinea pedis (N)</w:t>
            </w:r>
          </w:p>
        </w:tc>
      </w:tr>
      <w:tr w:rsidR="004958C0" w:rsidRPr="00643CB3" w14:paraId="7221E254" w14:textId="77777777" w:rsidTr="004958C0">
        <w:trPr>
          <w:trHeight w:val="565"/>
        </w:trPr>
        <w:tc>
          <w:tcPr>
            <w:tcW w:w="3085" w:type="dxa"/>
          </w:tcPr>
          <w:p w14:paraId="723C21FB" w14:textId="77777777" w:rsidR="004958C0" w:rsidRPr="00643CB3" w:rsidRDefault="004958C0"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bCs/>
                <w:lang w:val="sr-Latn-ME"/>
              </w:rPr>
              <w:t>Poremećaji krvi i limfnog sistema</w:t>
            </w:r>
          </w:p>
        </w:tc>
        <w:tc>
          <w:tcPr>
            <w:tcW w:w="1418" w:type="dxa"/>
          </w:tcPr>
          <w:p w14:paraId="07F099B7" w14:textId="77777777" w:rsidR="004958C0" w:rsidRPr="00643CB3" w:rsidRDefault="004958C0"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3445BAF4" w14:textId="77777777" w:rsidR="004958C0" w:rsidRPr="00643CB3" w:rsidRDefault="004958C0"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4958C0">
              <w:rPr>
                <w:rFonts w:ascii="Times New Roman" w:eastAsia="Calibri" w:hAnsi="Times New Roman" w:cs="Times New Roman"/>
                <w:lang w:val="sr-Latn-ME"/>
              </w:rPr>
              <w:t>Idiopatska trombocitopenijska purpura (N)</w:t>
            </w:r>
          </w:p>
        </w:tc>
      </w:tr>
      <w:tr w:rsidR="00C52FD4" w:rsidRPr="00643CB3" w14:paraId="22BA20CF" w14:textId="77777777" w:rsidTr="00C52FD4">
        <w:trPr>
          <w:trHeight w:val="1551"/>
        </w:trPr>
        <w:tc>
          <w:tcPr>
            <w:tcW w:w="3085" w:type="dxa"/>
          </w:tcPr>
          <w:p w14:paraId="18F4997E" w14:textId="77777777" w:rsidR="00C52FD4" w:rsidRPr="00643CB3" w:rsidRDefault="00C52FD4"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imunog sistema</w:t>
            </w:r>
          </w:p>
        </w:tc>
        <w:tc>
          <w:tcPr>
            <w:tcW w:w="1418" w:type="dxa"/>
          </w:tcPr>
          <w:p w14:paraId="7AB13CAE" w14:textId="77777777" w:rsidR="00C52FD4" w:rsidRPr="00643CB3" w:rsidRDefault="00C52FD4"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Veoma rijetko</w:t>
            </w:r>
          </w:p>
        </w:tc>
        <w:tc>
          <w:tcPr>
            <w:tcW w:w="5459" w:type="dxa"/>
          </w:tcPr>
          <w:p w14:paraId="7C71CB1B" w14:textId="77777777" w:rsidR="00C52FD4" w:rsidRPr="00643CB3" w:rsidRDefault="00C52FD4"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R</w:t>
            </w:r>
            <w:r w:rsidRPr="00643CB3">
              <w:rPr>
                <w:rFonts w:ascii="Times New Roman" w:eastAsia="Calibri" w:hAnsi="Times New Roman" w:cs="Times New Roman"/>
                <w:lang w:val="sr-Latn-ME"/>
              </w:rPr>
              <w:t>eakcije preosjetljivosti ozbiljnijeg karaktera uključujući angioedem, dispneu/bronhospazam i anafilaktički šok.</w:t>
            </w:r>
          </w:p>
          <w:p w14:paraId="3489BA3A" w14:textId="77777777" w:rsidR="00C52FD4" w:rsidRPr="00643CB3" w:rsidRDefault="00C52FD4"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Artralgija, mijalgija i povišena tjelesna temperatura takođe su udružene sa osipom i drugim simptomima koji upućuju na nastanak odložene preosjetljivosti. Ovi simptomi mogu da podsjećaju na serumsku bolest (B)</w:t>
            </w:r>
          </w:p>
        </w:tc>
      </w:tr>
      <w:tr w:rsidR="00B9608A" w:rsidRPr="00643CB3" w14:paraId="1E33671C" w14:textId="77777777" w:rsidTr="008150AE">
        <w:tc>
          <w:tcPr>
            <w:tcW w:w="3085" w:type="dxa"/>
            <w:vMerge w:val="restart"/>
          </w:tcPr>
          <w:p w14:paraId="59896197"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metabolizma i ishrane</w:t>
            </w:r>
          </w:p>
        </w:tc>
        <w:tc>
          <w:tcPr>
            <w:tcW w:w="1418" w:type="dxa"/>
          </w:tcPr>
          <w:p w14:paraId="0671C722"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55F11EB2"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Smanjen apetit (N)</w:t>
            </w:r>
          </w:p>
        </w:tc>
      </w:tr>
      <w:tr w:rsidR="00B9608A" w:rsidRPr="009B39C8" w14:paraId="045B3873" w14:textId="77777777" w:rsidTr="008150AE">
        <w:tc>
          <w:tcPr>
            <w:tcW w:w="3085" w:type="dxa"/>
            <w:vMerge/>
          </w:tcPr>
          <w:p w14:paraId="35076BD9"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78C13307"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26CF9386" w14:textId="77777777" w:rsidR="00B9608A" w:rsidRPr="00643CB3" w:rsidRDefault="00C52FD4"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A</w:t>
            </w:r>
            <w:r w:rsidR="00B9608A" w:rsidRPr="00643CB3">
              <w:rPr>
                <w:rFonts w:ascii="Times New Roman" w:eastAsia="Calibri" w:hAnsi="Times New Roman" w:cs="Times New Roman"/>
                <w:lang w:val="sr-Latn-ME"/>
              </w:rPr>
              <w:t>noreksija (B)</w:t>
            </w:r>
            <w:r>
              <w:rPr>
                <w:rFonts w:ascii="Times New Roman" w:eastAsia="Calibri" w:hAnsi="Times New Roman" w:cs="Times New Roman"/>
                <w:lang w:val="sr-Latn-ME"/>
              </w:rPr>
              <w:t>, p</w:t>
            </w:r>
            <w:r w:rsidRPr="00C52FD4">
              <w:rPr>
                <w:rFonts w:ascii="Times New Roman" w:eastAsia="Calibri" w:hAnsi="Times New Roman" w:cs="Times New Roman"/>
                <w:lang w:val="sr-Latn-ME"/>
              </w:rPr>
              <w:t>oremećaj koncentracije glukoze u krvi (B)</w:t>
            </w:r>
          </w:p>
        </w:tc>
      </w:tr>
      <w:tr w:rsidR="006D48CC" w:rsidRPr="00643CB3" w14:paraId="4DA7381C" w14:textId="77777777" w:rsidTr="006D48CC">
        <w:trPr>
          <w:trHeight w:val="336"/>
        </w:trPr>
        <w:tc>
          <w:tcPr>
            <w:tcW w:w="3085" w:type="dxa"/>
            <w:vMerge w:val="restart"/>
          </w:tcPr>
          <w:p w14:paraId="3A91532B"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Psihijatrijski poremećaji</w:t>
            </w:r>
          </w:p>
        </w:tc>
        <w:tc>
          <w:tcPr>
            <w:tcW w:w="1418" w:type="dxa"/>
          </w:tcPr>
          <w:p w14:paraId="743065B8"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7FBB4085" w14:textId="77777777" w:rsidR="006D48CC" w:rsidRPr="00643CB3" w:rsidRDefault="006D48CC" w:rsidP="008B7224">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CC3EE8">
              <w:rPr>
                <w:rFonts w:ascii="Times New Roman" w:eastAsia="Calibri" w:hAnsi="Times New Roman" w:cs="Times New Roman"/>
                <w:lang w:val="sr-Latn-ME"/>
              </w:rPr>
              <w:t>oremećaj koncentracije (B)</w:t>
            </w:r>
          </w:p>
        </w:tc>
      </w:tr>
      <w:tr w:rsidR="00B9608A" w:rsidRPr="00643CB3" w14:paraId="2860CBB7" w14:textId="77777777" w:rsidTr="008150AE">
        <w:tc>
          <w:tcPr>
            <w:tcW w:w="3085" w:type="dxa"/>
            <w:vMerge/>
          </w:tcPr>
          <w:p w14:paraId="23206583"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p>
        </w:tc>
        <w:tc>
          <w:tcPr>
            <w:tcW w:w="1418" w:type="dxa"/>
          </w:tcPr>
          <w:p w14:paraId="2CE3162D" w14:textId="77777777" w:rsidR="00B9608A" w:rsidRPr="00643CB3" w:rsidRDefault="00B9608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1ED6900B" w14:textId="77777777" w:rsidR="00B9608A" w:rsidRPr="00643CB3" w:rsidRDefault="00CC3EE8"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CC3EE8">
              <w:rPr>
                <w:rFonts w:ascii="Times New Roman" w:eastAsia="Calibri" w:hAnsi="Times New Roman" w:cs="Times New Roman"/>
                <w:lang w:val="sr-Latn-ME"/>
              </w:rPr>
              <w:t>Zablude (B),</w:t>
            </w:r>
            <w:r>
              <w:rPr>
                <w:rFonts w:ascii="Times New Roman" w:eastAsia="Calibri" w:hAnsi="Times New Roman" w:cs="Times New Roman"/>
                <w:lang w:val="sr-Latn-ME"/>
              </w:rPr>
              <w:t xml:space="preserve"> </w:t>
            </w:r>
            <w:r w:rsidRPr="00CC3EE8">
              <w:rPr>
                <w:rFonts w:ascii="Times New Roman" w:eastAsia="Calibri" w:hAnsi="Times New Roman" w:cs="Times New Roman"/>
                <w:lang w:val="sr-Latn-ME"/>
              </w:rPr>
              <w:t>depersonalizacija (B),</w:t>
            </w:r>
            <w:r>
              <w:rPr>
                <w:rFonts w:ascii="Times New Roman" w:eastAsia="Calibri" w:hAnsi="Times New Roman" w:cs="Times New Roman"/>
                <w:lang w:val="sr-Latn-ME"/>
              </w:rPr>
              <w:t xml:space="preserve"> </w:t>
            </w:r>
            <w:r w:rsidR="006D48CC" w:rsidRPr="006D48CC">
              <w:rPr>
                <w:rFonts w:ascii="Times New Roman" w:eastAsia="Calibri" w:hAnsi="Times New Roman" w:cs="Times New Roman"/>
                <w:lang w:val="sr-Latn-ME"/>
              </w:rPr>
              <w:t>poremećaj libida (N)</w:t>
            </w:r>
            <w:r w:rsidR="006D48CC">
              <w:rPr>
                <w:rFonts w:ascii="Times New Roman" w:eastAsia="Calibri" w:hAnsi="Times New Roman" w:cs="Times New Roman"/>
                <w:lang w:val="sr-Latn-ME"/>
              </w:rPr>
              <w:t xml:space="preserve">, </w:t>
            </w:r>
            <w:r w:rsidR="006D48CC" w:rsidRPr="006D48CC">
              <w:rPr>
                <w:rFonts w:ascii="Times New Roman" w:eastAsia="Calibri" w:hAnsi="Times New Roman" w:cs="Times New Roman"/>
                <w:lang w:val="sr-Latn-ME"/>
              </w:rPr>
              <w:t>paranoidne ideje (B)</w:t>
            </w:r>
          </w:p>
        </w:tc>
      </w:tr>
      <w:tr w:rsidR="006D48CC" w:rsidRPr="00643CB3" w14:paraId="142ED11E" w14:textId="77777777" w:rsidTr="006D48CC">
        <w:trPr>
          <w:trHeight w:val="294"/>
        </w:trPr>
        <w:tc>
          <w:tcPr>
            <w:tcW w:w="3085" w:type="dxa"/>
          </w:tcPr>
          <w:p w14:paraId="2473FD87"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bCs/>
                <w:lang w:val="sr-Latn-ME"/>
              </w:rPr>
              <w:lastRenderedPageBreak/>
              <w:t>Poremećaji nervnog sistema</w:t>
            </w:r>
          </w:p>
        </w:tc>
        <w:tc>
          <w:tcPr>
            <w:tcW w:w="1418" w:type="dxa"/>
          </w:tcPr>
          <w:p w14:paraId="10D1F9EA"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D48CC">
              <w:rPr>
                <w:rFonts w:ascii="Times New Roman" w:eastAsia="Calibri" w:hAnsi="Times New Roman" w:cs="Times New Roman"/>
                <w:lang w:val="sr-Latn-ME"/>
              </w:rPr>
              <w:t>Povremeno</w:t>
            </w:r>
          </w:p>
        </w:tc>
        <w:tc>
          <w:tcPr>
            <w:tcW w:w="5459" w:type="dxa"/>
          </w:tcPr>
          <w:p w14:paraId="626D3FA0" w14:textId="77777777" w:rsidR="006D48CC" w:rsidRPr="00643CB3" w:rsidRDefault="006D48CC" w:rsidP="006D48CC">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A</w:t>
            </w:r>
            <w:r w:rsidRPr="00643CB3">
              <w:rPr>
                <w:rFonts w:ascii="Times New Roman" w:eastAsia="Calibri" w:hAnsi="Times New Roman" w:cs="Times New Roman"/>
                <w:lang w:val="sr-Latn-ME"/>
              </w:rPr>
              <w:t xml:space="preserve">taksija (B), </w:t>
            </w:r>
            <w:r w:rsidRPr="006D48CC">
              <w:rPr>
                <w:rFonts w:ascii="Times New Roman" w:eastAsia="Calibri" w:hAnsi="Times New Roman" w:cs="Times New Roman"/>
                <w:lang w:val="sr-Latn-ME"/>
              </w:rPr>
              <w:t>nekoordinisanost (B)</w:t>
            </w:r>
          </w:p>
        </w:tc>
      </w:tr>
      <w:tr w:rsidR="006D48CC" w:rsidRPr="00643CB3" w14:paraId="71BAAB20" w14:textId="77777777" w:rsidTr="00943A76">
        <w:trPr>
          <w:trHeight w:val="283"/>
        </w:trPr>
        <w:tc>
          <w:tcPr>
            <w:tcW w:w="3085" w:type="dxa"/>
          </w:tcPr>
          <w:p w14:paraId="63192644"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oka</w:t>
            </w:r>
          </w:p>
        </w:tc>
        <w:tc>
          <w:tcPr>
            <w:tcW w:w="1418" w:type="dxa"/>
          </w:tcPr>
          <w:p w14:paraId="56DDEBA6"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1AA61D31" w14:textId="77777777" w:rsidR="006D48CC" w:rsidRPr="00643CB3" w:rsidRDefault="006D48CC"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6D48CC">
              <w:rPr>
                <w:rFonts w:ascii="Times New Roman" w:eastAsia="Calibri" w:hAnsi="Times New Roman" w:cs="Times New Roman"/>
                <w:lang w:val="sr-Latn-ME"/>
              </w:rPr>
              <w:t>oremećaj vida (B)</w:t>
            </w:r>
          </w:p>
        </w:tc>
      </w:tr>
      <w:tr w:rsidR="00943A76" w:rsidRPr="00643CB3" w14:paraId="3396EF19" w14:textId="77777777" w:rsidTr="00943A76">
        <w:trPr>
          <w:trHeight w:val="260"/>
        </w:trPr>
        <w:tc>
          <w:tcPr>
            <w:tcW w:w="3085" w:type="dxa"/>
          </w:tcPr>
          <w:p w14:paraId="2143F206"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Kardiološki poremećaji</w:t>
            </w:r>
          </w:p>
        </w:tc>
        <w:tc>
          <w:tcPr>
            <w:tcW w:w="1418" w:type="dxa"/>
          </w:tcPr>
          <w:p w14:paraId="46A88C59"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943A76">
              <w:rPr>
                <w:rFonts w:ascii="Times New Roman" w:eastAsia="Calibri" w:hAnsi="Times New Roman" w:cs="Times New Roman"/>
                <w:lang w:val="sr-Latn-ME"/>
              </w:rPr>
              <w:t>Često</w:t>
            </w:r>
          </w:p>
        </w:tc>
        <w:tc>
          <w:tcPr>
            <w:tcW w:w="5459" w:type="dxa"/>
          </w:tcPr>
          <w:p w14:paraId="4B1D06B3"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943A76">
              <w:rPr>
                <w:rFonts w:ascii="Times New Roman" w:eastAsia="Calibri" w:hAnsi="Times New Roman" w:cs="Times New Roman"/>
                <w:lang w:val="sr-Latn-ME"/>
              </w:rPr>
              <w:t>romjene u elektrokardiogramu (N)</w:t>
            </w:r>
          </w:p>
        </w:tc>
      </w:tr>
      <w:tr w:rsidR="00943A76" w:rsidRPr="00643CB3" w14:paraId="08EF7593" w14:textId="77777777" w:rsidTr="00943A76">
        <w:trPr>
          <w:trHeight w:val="278"/>
        </w:trPr>
        <w:tc>
          <w:tcPr>
            <w:tcW w:w="3085" w:type="dxa"/>
          </w:tcPr>
          <w:p w14:paraId="405F6567"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Vaskularni poremećaji</w:t>
            </w:r>
          </w:p>
        </w:tc>
        <w:tc>
          <w:tcPr>
            <w:tcW w:w="1418" w:type="dxa"/>
          </w:tcPr>
          <w:p w14:paraId="26C1F9A9"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7A9388AE"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943A76">
              <w:rPr>
                <w:rFonts w:ascii="Times New Roman" w:eastAsia="Calibri" w:hAnsi="Times New Roman" w:cs="Times New Roman"/>
                <w:lang w:val="sr-Latn-ME"/>
              </w:rPr>
              <w:t>Posturalna hipotenzija (B), vazodilatacija (B)</w:t>
            </w:r>
          </w:p>
        </w:tc>
      </w:tr>
      <w:tr w:rsidR="00943A76" w:rsidRPr="00643CB3" w14:paraId="570A67A8" w14:textId="77777777" w:rsidTr="008150AE">
        <w:trPr>
          <w:trHeight w:val="516"/>
        </w:trPr>
        <w:tc>
          <w:tcPr>
            <w:tcW w:w="3085" w:type="dxa"/>
          </w:tcPr>
          <w:p w14:paraId="657E2D57"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Respiratorni, torakalni i medijastinalni poremećaji</w:t>
            </w:r>
          </w:p>
        </w:tc>
        <w:tc>
          <w:tcPr>
            <w:tcW w:w="1418" w:type="dxa"/>
          </w:tcPr>
          <w:p w14:paraId="349E5180"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38A96EBF"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943A76">
              <w:rPr>
                <w:rFonts w:ascii="Times New Roman" w:eastAsia="Calibri" w:hAnsi="Times New Roman" w:cs="Times New Roman"/>
                <w:lang w:val="sr-Latn-ME"/>
              </w:rPr>
              <w:t>ojačan sputum (N)</w:t>
            </w:r>
          </w:p>
        </w:tc>
      </w:tr>
      <w:tr w:rsidR="00943A76" w:rsidRPr="00643CB3" w14:paraId="39647ADB" w14:textId="77777777" w:rsidTr="00943A76">
        <w:trPr>
          <w:trHeight w:val="318"/>
        </w:trPr>
        <w:tc>
          <w:tcPr>
            <w:tcW w:w="3085" w:type="dxa"/>
          </w:tcPr>
          <w:p w14:paraId="453782CE"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Gastrointestinalni poremećaji</w:t>
            </w:r>
          </w:p>
        </w:tc>
        <w:tc>
          <w:tcPr>
            <w:tcW w:w="1418" w:type="dxa"/>
          </w:tcPr>
          <w:p w14:paraId="7DA1EC74"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47F91341" w14:textId="77777777" w:rsidR="00943A76" w:rsidRPr="00643CB3" w:rsidRDefault="00943A76"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943A76">
              <w:rPr>
                <w:rFonts w:ascii="Times New Roman" w:eastAsia="Calibri" w:hAnsi="Times New Roman" w:cs="Times New Roman"/>
                <w:lang w:val="sr-Latn-ME"/>
              </w:rPr>
              <w:t>oremećaji ukusa (B)</w:t>
            </w:r>
          </w:p>
        </w:tc>
      </w:tr>
      <w:tr w:rsidR="000312BD" w:rsidRPr="00643CB3" w14:paraId="1497D5B1" w14:textId="77777777" w:rsidTr="000312BD">
        <w:trPr>
          <w:trHeight w:val="265"/>
        </w:trPr>
        <w:tc>
          <w:tcPr>
            <w:tcW w:w="3085" w:type="dxa"/>
          </w:tcPr>
          <w:p w14:paraId="5ECA0005" w14:textId="77777777" w:rsidR="000312BD" w:rsidRPr="00643CB3" w:rsidRDefault="000312BD"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Hepatobilijarni poremećaji</w:t>
            </w:r>
          </w:p>
        </w:tc>
        <w:tc>
          <w:tcPr>
            <w:tcW w:w="1418" w:type="dxa"/>
          </w:tcPr>
          <w:p w14:paraId="066F9F34" w14:textId="77777777" w:rsidR="000312BD" w:rsidRPr="00643CB3" w:rsidRDefault="000312BD"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0312BD">
              <w:rPr>
                <w:rFonts w:ascii="Times New Roman" w:eastAsia="Calibri" w:hAnsi="Times New Roman" w:cs="Times New Roman"/>
                <w:lang w:val="sr-Latn-ME"/>
              </w:rPr>
              <w:t>Povremeno</w:t>
            </w:r>
          </w:p>
        </w:tc>
        <w:tc>
          <w:tcPr>
            <w:tcW w:w="5459" w:type="dxa"/>
          </w:tcPr>
          <w:p w14:paraId="033B4A23" w14:textId="77777777" w:rsidR="000312BD" w:rsidRPr="00643CB3" w:rsidRDefault="000312BD" w:rsidP="000312BD">
            <w:pPr>
              <w:tabs>
                <w:tab w:val="left" w:pos="284"/>
              </w:tabs>
              <w:autoSpaceDE w:val="0"/>
              <w:autoSpaceDN w:val="0"/>
              <w:adjustRightInd w:val="0"/>
              <w:spacing w:after="0" w:line="240" w:lineRule="auto"/>
              <w:rPr>
                <w:rFonts w:ascii="Times New Roman" w:eastAsia="Calibri" w:hAnsi="Times New Roman" w:cs="Times New Roman"/>
                <w:lang w:val="sr-Latn-ME"/>
              </w:rPr>
            </w:pPr>
            <w:r w:rsidRPr="00943A76">
              <w:rPr>
                <w:rFonts w:ascii="Times New Roman" w:eastAsia="Calibri" w:hAnsi="Times New Roman" w:cs="Times New Roman"/>
                <w:lang w:val="sr-Latn-ME"/>
              </w:rPr>
              <w:t>Povišen</w:t>
            </w:r>
            <w:r>
              <w:rPr>
                <w:rFonts w:ascii="Times New Roman" w:eastAsia="Calibri" w:hAnsi="Times New Roman" w:cs="Times New Roman"/>
                <w:lang w:val="sr-Latn-ME"/>
              </w:rPr>
              <w:t xml:space="preserve"> </w:t>
            </w:r>
            <w:r w:rsidRPr="00943A76">
              <w:rPr>
                <w:rFonts w:ascii="Times New Roman" w:eastAsia="Calibri" w:hAnsi="Times New Roman" w:cs="Times New Roman"/>
                <w:lang w:val="sr-Latn-ME"/>
              </w:rPr>
              <w:t>bilirubin u krvi (N),</w:t>
            </w:r>
            <w:r>
              <w:rPr>
                <w:rFonts w:ascii="Times New Roman" w:eastAsia="Calibri" w:hAnsi="Times New Roman" w:cs="Times New Roman"/>
                <w:lang w:val="sr-Latn-ME"/>
              </w:rPr>
              <w:t xml:space="preserve"> </w:t>
            </w:r>
            <w:r w:rsidRPr="00643CB3">
              <w:rPr>
                <w:rFonts w:ascii="Times New Roman" w:eastAsia="Calibri" w:hAnsi="Times New Roman" w:cs="Times New Roman"/>
                <w:lang w:val="sr-Latn-ME"/>
              </w:rPr>
              <w:t>žutica (B)</w:t>
            </w:r>
          </w:p>
        </w:tc>
      </w:tr>
      <w:tr w:rsidR="000312BD" w:rsidRPr="009B39C8" w14:paraId="004A1198" w14:textId="77777777" w:rsidTr="000312BD">
        <w:trPr>
          <w:trHeight w:val="568"/>
        </w:trPr>
        <w:tc>
          <w:tcPr>
            <w:tcW w:w="3085" w:type="dxa"/>
          </w:tcPr>
          <w:p w14:paraId="1FEDAAE4" w14:textId="77777777" w:rsidR="000312BD" w:rsidRPr="00643CB3" w:rsidRDefault="000312BD"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kože i potkožnog tkiva</w:t>
            </w:r>
          </w:p>
        </w:tc>
        <w:tc>
          <w:tcPr>
            <w:tcW w:w="1418" w:type="dxa"/>
          </w:tcPr>
          <w:p w14:paraId="7BC1B129" w14:textId="77777777" w:rsidR="000312BD" w:rsidRPr="00643CB3" w:rsidRDefault="000312BD"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0312BD">
              <w:rPr>
                <w:rFonts w:ascii="Times New Roman" w:eastAsia="Calibri" w:hAnsi="Times New Roman" w:cs="Times New Roman"/>
                <w:lang w:val="sr-Latn-ME"/>
              </w:rPr>
              <w:t>Povremeno</w:t>
            </w:r>
          </w:p>
        </w:tc>
        <w:tc>
          <w:tcPr>
            <w:tcW w:w="5459" w:type="dxa"/>
          </w:tcPr>
          <w:p w14:paraId="50B664E9" w14:textId="77777777" w:rsidR="000312BD" w:rsidRPr="00643CB3" w:rsidRDefault="000312BD"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0312BD">
              <w:rPr>
                <w:rFonts w:ascii="Times New Roman" w:eastAsia="Calibri" w:hAnsi="Times New Roman" w:cs="Times New Roman"/>
                <w:lang w:val="sr-Latn-ME"/>
              </w:rPr>
              <w:t>Pogoršanje psorijaze (B), seboreja (N)</w:t>
            </w:r>
          </w:p>
        </w:tc>
      </w:tr>
      <w:tr w:rsidR="003547BA" w:rsidRPr="00643CB3" w14:paraId="3A86B128" w14:textId="77777777" w:rsidTr="003547BA">
        <w:trPr>
          <w:trHeight w:val="548"/>
        </w:trPr>
        <w:tc>
          <w:tcPr>
            <w:tcW w:w="3085" w:type="dxa"/>
          </w:tcPr>
          <w:p w14:paraId="3491AA9E"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mišićno-koštanog sistema i vezivnog tkiva</w:t>
            </w:r>
          </w:p>
        </w:tc>
        <w:tc>
          <w:tcPr>
            <w:tcW w:w="1418" w:type="dxa"/>
          </w:tcPr>
          <w:p w14:paraId="534B444B"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0987D1C2"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3547BA">
              <w:rPr>
                <w:rFonts w:ascii="Times New Roman" w:eastAsia="Calibri" w:hAnsi="Times New Roman" w:cs="Times New Roman"/>
                <w:lang w:val="sr-Latn-ME"/>
              </w:rPr>
              <w:t>Trzanje mišića (B)</w:t>
            </w:r>
          </w:p>
        </w:tc>
      </w:tr>
      <w:tr w:rsidR="003547BA" w:rsidRPr="00643CB3" w14:paraId="33B8630C" w14:textId="77777777" w:rsidTr="003547BA">
        <w:trPr>
          <w:trHeight w:val="449"/>
        </w:trPr>
        <w:tc>
          <w:tcPr>
            <w:tcW w:w="3085" w:type="dxa"/>
          </w:tcPr>
          <w:p w14:paraId="5C470F6A"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Poremećaji reproduktivnog sistema i dojki</w:t>
            </w:r>
          </w:p>
        </w:tc>
        <w:tc>
          <w:tcPr>
            <w:tcW w:w="1418" w:type="dxa"/>
          </w:tcPr>
          <w:p w14:paraId="2D274514" w14:textId="77777777" w:rsidR="003547BA" w:rsidRPr="00643CB3" w:rsidRDefault="003547BA" w:rsidP="003547BA">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Često</w:t>
            </w:r>
          </w:p>
        </w:tc>
        <w:tc>
          <w:tcPr>
            <w:tcW w:w="5459" w:type="dxa"/>
          </w:tcPr>
          <w:p w14:paraId="5691D580" w14:textId="77777777" w:rsidR="003547BA" w:rsidRPr="00643CB3" w:rsidRDefault="003547BA" w:rsidP="003547BA">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Odložena ejakulacija (N)</w:t>
            </w:r>
          </w:p>
        </w:tc>
      </w:tr>
      <w:tr w:rsidR="003547BA" w:rsidRPr="00643CB3" w14:paraId="5DDDA4BA" w14:textId="77777777" w:rsidTr="003547BA">
        <w:trPr>
          <w:trHeight w:val="549"/>
        </w:trPr>
        <w:tc>
          <w:tcPr>
            <w:tcW w:w="3085" w:type="dxa"/>
          </w:tcPr>
          <w:p w14:paraId="43BC8B24"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Opšti poremećaji i reakcije na mjestu primjene</w:t>
            </w:r>
          </w:p>
        </w:tc>
        <w:tc>
          <w:tcPr>
            <w:tcW w:w="1418" w:type="dxa"/>
          </w:tcPr>
          <w:p w14:paraId="3332BE5E"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Povremeno</w:t>
            </w:r>
          </w:p>
        </w:tc>
        <w:tc>
          <w:tcPr>
            <w:tcW w:w="5459" w:type="dxa"/>
          </w:tcPr>
          <w:p w14:paraId="3CBDF144" w14:textId="77777777" w:rsidR="003547BA" w:rsidRPr="00643CB3" w:rsidRDefault="003547BA" w:rsidP="008150AE">
            <w:pPr>
              <w:tabs>
                <w:tab w:val="left" w:pos="284"/>
              </w:tabs>
              <w:autoSpaceDE w:val="0"/>
              <w:autoSpaceDN w:val="0"/>
              <w:adjustRightInd w:val="0"/>
              <w:spacing w:after="0" w:line="240" w:lineRule="auto"/>
              <w:rPr>
                <w:rFonts w:ascii="Times New Roman" w:eastAsia="Calibri" w:hAnsi="Times New Roman" w:cs="Times New Roman"/>
                <w:lang w:val="sr-Latn-ME"/>
              </w:rPr>
            </w:pPr>
            <w:r>
              <w:rPr>
                <w:rFonts w:ascii="Times New Roman" w:eastAsia="Calibri" w:hAnsi="Times New Roman" w:cs="Times New Roman"/>
                <w:lang w:val="sr-Latn-ME"/>
              </w:rPr>
              <w:t>P</w:t>
            </w:r>
            <w:r w:rsidRPr="000312BD">
              <w:rPr>
                <w:rFonts w:ascii="Times New Roman" w:eastAsia="Calibri" w:hAnsi="Times New Roman" w:cs="Times New Roman"/>
                <w:lang w:val="sr-Latn-ME"/>
              </w:rPr>
              <w:t>ovećanje tjelesne mase (N)</w:t>
            </w:r>
          </w:p>
        </w:tc>
      </w:tr>
    </w:tbl>
    <w:p w14:paraId="1B056A69" w14:textId="77777777" w:rsidR="00B9608A" w:rsidRPr="00643CB3" w:rsidRDefault="00B9608A" w:rsidP="00643CB3">
      <w:pPr>
        <w:tabs>
          <w:tab w:val="left" w:pos="284"/>
        </w:tabs>
        <w:spacing w:after="0" w:line="240" w:lineRule="auto"/>
        <w:jc w:val="both"/>
        <w:rPr>
          <w:rFonts w:ascii="Times New Roman" w:eastAsia="Times New Roman" w:hAnsi="Times New Roman" w:cs="Times New Roman"/>
          <w:noProof/>
          <w:u w:val="single"/>
          <w:lang w:val="sr-Latn-ME"/>
        </w:rPr>
      </w:pPr>
    </w:p>
    <w:p w14:paraId="39CFF4C5"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Opis odabranih neželjenih reakcija</w:t>
      </w:r>
    </w:p>
    <w:p w14:paraId="79EDED00"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p>
    <w:p w14:paraId="37AA051F" w14:textId="40EDC961"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i/>
          <w:lang w:val="sr-Latn-ME"/>
        </w:rPr>
        <w:t>Epileptični napadi:</w:t>
      </w:r>
      <w:r w:rsidRPr="00643CB3">
        <w:rPr>
          <w:rFonts w:ascii="Times New Roman" w:eastAsia="Times New Roman" w:hAnsi="Times New Roman" w:cs="Times New Roman"/>
          <w:lang w:val="sr-Latn-ME"/>
        </w:rPr>
        <w:t xml:space="preserve"> Incidenca epileptičnih napada kod primjene fiksne kombinacije naltrekson/bupropion tokom jednog kliničkog programa bila je 0,06% (2/3239 ispitanika). U grupi ispitanika na terapiji naltrekson/ bupropionom, oba slučaja napada su se smatrala ozbiljnim i doveli su do prekida terapije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4.4). Nije bilo slučajeva epileptičnih napada u grupi koja je primala placebo.</w:t>
      </w:r>
    </w:p>
    <w:p w14:paraId="1093544D"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p>
    <w:p w14:paraId="7F15BFDF" w14:textId="77777777" w:rsidR="000F6AE5"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i/>
          <w:lang w:val="sr-Latn-ME"/>
        </w:rPr>
        <w:t>Gastrointestinalne neželjene reakcije:</w:t>
      </w:r>
      <w:r w:rsidRPr="00643CB3">
        <w:rPr>
          <w:rFonts w:ascii="Times New Roman" w:eastAsia="Times New Roman" w:hAnsi="Times New Roman" w:cs="Times New Roman"/>
          <w:lang w:val="sr-Latn-ME"/>
        </w:rPr>
        <w:t xml:space="preserve"> Velika većina ispitanika na terapiji fiksnom kombinacijom naltrekson/ bupropion koji su imali mučninu, prijavili su događaj u okviru 4 nedjelje od početka terapije. </w:t>
      </w:r>
    </w:p>
    <w:p w14:paraId="006ECD2B" w14:textId="606EF180"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Događaji su uglavnom bili samo-ograničavajući; većina događaja se povukla u roku od 4 nedjelje, a skoro svi su bili riješeni do 24. nedjelje. Isto tako, većina događaja konstipacije kod ispitanika na terapiji fiksnom kombinacijom naltrekson/bupropion je bila prijavljena u fazi eskalacije doze. Vrijeme do oporavka u slučaju konstipacije je bilo slično kod ispitanika liječenih fiksnom kombinacijom naltrekson/bupropion i ispitanika koji su primali placebo. Približno polovina ispitanika liječenih fiksnom kombinacijom naltrekson/bupropion koji su imali povraćanje prvo su prijavili taj događaj u toku faze eskalacije doze. Vrijeme do oporavka kod povraćanja je obično bilo kratko (u roku od nedjelju dana), a skoro svi događaji su bili riješeni u roku od 4 nedjelje. Incidenca ovih čestih gastrointestinalnih neželjenih reakcija sa fiksnom kombinacijom naltrekson/ bupropion u odnosu na placebo bila je sljedeća: mučnina (31,8% u odnosu na 6,7%), konstipacija (18,1% u odnosu na 7,2%) i povraćanje (9,9% u odnosu na 2,9%). Incidenca teške mučnine, teške konstipacije i teškog povraćanja je bila niska, ali je bila veća kod ispitanika na terapiji fiksnom kombinacijom naltrekson/bupropion u odnosu na ispitanike koji su primali placebo (teška mučnina: naltrekson/ bupropion 1,9%, placebo &lt; 0,1%; teška konstipacija: naltrekson/ bupropion 0,6%, placebo 0,1%, teško povraćanje: naltrekson/bupropion 0,7%, placebo 0,3%). Nijedan događaj mučnine, konstipacije ili povraćanja nije smatran ozbiljnim.</w:t>
      </w:r>
    </w:p>
    <w:p w14:paraId="35C1A78A"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p>
    <w:p w14:paraId="61452675" w14:textId="637D1CA3"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i/>
          <w:lang w:val="sr-Latn-ME"/>
        </w:rPr>
        <w:t>Ostale česte</w:t>
      </w:r>
      <w:r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i/>
          <w:lang w:val="sr-Latn-ME"/>
        </w:rPr>
        <w:t>neželjene reakcije</w:t>
      </w:r>
      <w:r w:rsidRPr="00643CB3">
        <w:rPr>
          <w:rFonts w:ascii="Times New Roman" w:eastAsia="Times New Roman" w:hAnsi="Times New Roman" w:cs="Times New Roman"/>
          <w:lang w:val="sr-Latn-ME"/>
        </w:rPr>
        <w:t>: Većina ispitanika na terapiji fiksnom kombinacijom naltrekson/bupropion koji su prijavili vrtoglavicu, glavobolju, insomniju ili suv</w:t>
      </w:r>
      <w:r w:rsidR="006030A1">
        <w:rPr>
          <w:rFonts w:ascii="Times New Roman" w:eastAsia="Times New Roman" w:hAnsi="Times New Roman" w:cs="Times New Roman"/>
          <w:lang w:val="sr-Latn-ME"/>
        </w:rPr>
        <w:t>a</w:t>
      </w:r>
      <w:r w:rsidRPr="00643CB3">
        <w:rPr>
          <w:rFonts w:ascii="Times New Roman" w:eastAsia="Times New Roman" w:hAnsi="Times New Roman" w:cs="Times New Roman"/>
          <w:lang w:val="sr-Latn-ME"/>
        </w:rPr>
        <w:t xml:space="preserve"> usta, prvo su ih prijavili tokom faze eskalacije doze. Suv</w:t>
      </w:r>
      <w:r w:rsidR="006030A1">
        <w:rPr>
          <w:rFonts w:ascii="Times New Roman" w:eastAsia="Times New Roman" w:hAnsi="Times New Roman" w:cs="Times New Roman"/>
          <w:lang w:val="sr-Latn-ME"/>
        </w:rPr>
        <w:t>a</w:t>
      </w:r>
      <w:r w:rsidRPr="00643CB3">
        <w:rPr>
          <w:rFonts w:ascii="Times New Roman" w:eastAsia="Times New Roman" w:hAnsi="Times New Roman" w:cs="Times New Roman"/>
          <w:lang w:val="sr-Latn-ME"/>
        </w:rPr>
        <w:t xml:space="preserve"> usta mo</w:t>
      </w:r>
      <w:r w:rsidR="006030A1">
        <w:rPr>
          <w:rFonts w:ascii="Times New Roman" w:eastAsia="Times New Roman" w:hAnsi="Times New Roman" w:cs="Times New Roman"/>
          <w:lang w:val="sr-Latn-ME"/>
        </w:rPr>
        <w:t>gu</w:t>
      </w:r>
      <w:r w:rsidRPr="00643CB3">
        <w:rPr>
          <w:rFonts w:ascii="Times New Roman" w:eastAsia="Times New Roman" w:hAnsi="Times New Roman" w:cs="Times New Roman"/>
          <w:lang w:val="sr-Latn-ME"/>
        </w:rPr>
        <w:t xml:space="preserve"> biti povezana sa zuboboljom i zubnim karijesom; u podgrupi pacijenata sa suvim ustima, veća incidenca zubobolje i zubnog karijesa zabilježena je kod ispitanika liječenih fiksnom kombinacijom naltrekson/bupropion u odnosu na ispitanike koji su primali placebo. Incidenca teške glavobolje, teške vrtoglavice i teške insomnije je bila niska, ali je bila veća kod ispitanika na terapiji fiksnom kombinacijom naltrekson/bupropion u odnosu na ispitanike koji su primali placebo (teška glavobolja: naltrekson/bupropion 1,1%, placebo 0,3%; teška vrtoglavica: naltrekson/bupropion 0,6%, placebo 0,2%; teška insomnija: </w:t>
      </w:r>
      <w:r w:rsidRPr="00643CB3">
        <w:rPr>
          <w:rFonts w:ascii="Times New Roman" w:eastAsia="Times New Roman" w:hAnsi="Times New Roman" w:cs="Times New Roman"/>
          <w:lang w:val="sr-Latn-ME"/>
        </w:rPr>
        <w:lastRenderedPageBreak/>
        <w:t>naltrekson/bupropion 0,4%, placebo &lt; 0,1%). Nijedan događaj vrtoglavice, suvoće usta, glavobolje ili insomnije kod ispitanika na terapiji fiksnom kombinacijom naltrekson/bupropion nije smatran ozbiljnim.</w:t>
      </w:r>
    </w:p>
    <w:p w14:paraId="34E14D31"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p>
    <w:p w14:paraId="7A1F0641" w14:textId="0A87F1A6" w:rsidR="006030A1" w:rsidRPr="00643CB3" w:rsidRDefault="00643CB3" w:rsidP="00643CB3">
      <w:pPr>
        <w:autoSpaceDE w:val="0"/>
        <w:autoSpaceDN w:val="0"/>
        <w:adjustRightInd w:val="0"/>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Stariji pacijenti</w:t>
      </w:r>
    </w:p>
    <w:p w14:paraId="3CE1B9E0" w14:textId="2D9ABF52"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Stariji pacijenti mogu biti osjetljiviji na neke neželjene reakcije fiksne kombinacije naltrekson/bupropion na nivou centralnog nervnog sistema (prvenstveno vrtoglavica i tremor). Postoji i povećana incidenca gastrointestinalnih poremećaja u kategorijama starijeg uzrasta. Zajednički događaji koji su doveli do prekida terapije kod starijih bili su mučnina, povraćanje, vrtoglavica i konstipacija.</w:t>
      </w:r>
    </w:p>
    <w:p w14:paraId="3AA48B62"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p>
    <w:p w14:paraId="5584139B"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Dijabetes tip 2</w:t>
      </w:r>
    </w:p>
    <w:p w14:paraId="46F0F574" w14:textId="44965868"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Pacijenti sa dijabetesom tip 2 na terapiji fiksnom kombinacijom naltrekson/bupropion pokazali su veću incidencu gastrointestinalnih neželjenih događaja, a prije svega mučninu, povraćanje i dijareju, nego ispitanici bez dijabetesa. Pacijenti sa dijabetesom tipa 2 mogu biti skloniji tim događajima, zbog istovremene primjene ljekova (npr. metformin) ili je vjerovatnije da imaju već postojeće gastrointestinalne poremećaje (npr. gastropareza) usljed kojih imaju predispoziciju za gastrointestinalne simptome.</w:t>
      </w:r>
    </w:p>
    <w:p w14:paraId="25053C4F"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lang w:val="sr-Latn-ME"/>
        </w:rPr>
      </w:pPr>
    </w:p>
    <w:p w14:paraId="54E75C05" w14:textId="77777777" w:rsidR="00643CB3" w:rsidRPr="00643CB3" w:rsidRDefault="00643CB3" w:rsidP="00643CB3">
      <w:pPr>
        <w:autoSpaceDE w:val="0"/>
        <w:autoSpaceDN w:val="0"/>
        <w:adjustRightInd w:val="0"/>
        <w:spacing w:after="0" w:line="240" w:lineRule="auto"/>
        <w:jc w:val="both"/>
        <w:rPr>
          <w:rFonts w:ascii="Times New Roman" w:eastAsia="Times New Roman" w:hAnsi="Times New Roman" w:cs="Times New Roman"/>
          <w:i/>
          <w:lang w:val="sr-Latn-ME"/>
        </w:rPr>
      </w:pPr>
      <w:r w:rsidRPr="00643CB3">
        <w:rPr>
          <w:rFonts w:ascii="Times New Roman" w:eastAsia="Times New Roman" w:hAnsi="Times New Roman" w:cs="Times New Roman"/>
          <w:i/>
          <w:lang w:val="sr-Latn-ME"/>
        </w:rPr>
        <w:t>Oštećenje funkcije bubrega</w:t>
      </w:r>
    </w:p>
    <w:p w14:paraId="4AC203EF" w14:textId="01B8F5DB" w:rsidR="00643CB3" w:rsidRDefault="00643CB3" w:rsidP="00643CB3">
      <w:pPr>
        <w:tabs>
          <w:tab w:val="left" w:pos="540"/>
          <w:tab w:val="left" w:pos="569"/>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Pacijenti sa umjerenim oštećenjem funkcije bubrega imali su veću incidencu gastrointestinalnih neželjenih događaja i neželjenih događaja centralnog nervnog sistema, tako da su ovi pacijenti generalno imali manju podnošljivost fiksne kombinacije naltrekson/bupropion pri ukupnoj dnevnoj dozi od 32</w:t>
      </w:r>
      <w:r w:rsidR="006030A1">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 xml:space="preserve">mg </w:t>
      </w:r>
      <w:r w:rsidR="00B9608A" w:rsidRPr="00B9608A">
        <w:rPr>
          <w:rFonts w:ascii="Times New Roman" w:eastAsia="Times New Roman" w:hAnsi="Times New Roman" w:cs="Times New Roman"/>
          <w:lang w:val="sr-Latn-ME"/>
        </w:rPr>
        <w:t>naltrekson</w:t>
      </w:r>
      <w:r w:rsidR="006030A1">
        <w:rPr>
          <w:rFonts w:ascii="Times New Roman" w:eastAsia="Times New Roman" w:hAnsi="Times New Roman" w:cs="Times New Roman"/>
          <w:lang w:val="sr-Latn-ME"/>
        </w:rPr>
        <w:t xml:space="preserve"> </w:t>
      </w:r>
      <w:r w:rsidR="00B9608A" w:rsidRPr="00B9608A">
        <w:rPr>
          <w:rFonts w:ascii="Times New Roman" w:eastAsia="Times New Roman" w:hAnsi="Times New Roman" w:cs="Times New Roman"/>
          <w:lang w:val="sr-Latn-ME"/>
        </w:rPr>
        <w:t>hidrohlorida</w:t>
      </w:r>
      <w:r w:rsidRPr="00643CB3">
        <w:rPr>
          <w:rFonts w:ascii="Times New Roman" w:eastAsia="Times New Roman" w:hAnsi="Times New Roman" w:cs="Times New Roman"/>
          <w:lang w:val="sr-Latn-ME"/>
        </w:rPr>
        <w:t xml:space="preserve">/360 mg </w:t>
      </w:r>
      <w:r w:rsidR="00B9608A" w:rsidRPr="00B9608A">
        <w:rPr>
          <w:rFonts w:ascii="Times New Roman" w:eastAsia="Times New Roman" w:hAnsi="Times New Roman" w:cs="Times New Roman"/>
          <w:lang w:val="sr-Latn-ME"/>
        </w:rPr>
        <w:t>bupropion</w:t>
      </w:r>
      <w:r w:rsidR="006030A1">
        <w:rPr>
          <w:rFonts w:ascii="Times New Roman" w:eastAsia="Times New Roman" w:hAnsi="Times New Roman" w:cs="Times New Roman"/>
          <w:lang w:val="sr-Latn-ME"/>
        </w:rPr>
        <w:t xml:space="preserve"> </w:t>
      </w:r>
      <w:r w:rsidR="00B9608A" w:rsidRPr="00B9608A">
        <w:rPr>
          <w:rFonts w:ascii="Times New Roman" w:eastAsia="Times New Roman" w:hAnsi="Times New Roman" w:cs="Times New Roman"/>
          <w:lang w:val="sr-Latn-ME"/>
        </w:rPr>
        <w:t>hidrohlorida</w:t>
      </w:r>
      <w:r w:rsidRPr="00643CB3">
        <w:rPr>
          <w:rFonts w:ascii="Times New Roman" w:eastAsia="Times New Roman" w:hAnsi="Times New Roman" w:cs="Times New Roman"/>
          <w:lang w:val="sr-Latn-ME"/>
        </w:rPr>
        <w:t xml:space="preserve">, </w:t>
      </w:r>
      <w:r w:rsidR="00BD1C5F">
        <w:rPr>
          <w:rFonts w:ascii="Times New Roman" w:eastAsia="Times New Roman" w:hAnsi="Times New Roman" w:cs="Times New Roman"/>
          <w:lang w:val="sr-Latn-ME"/>
        </w:rPr>
        <w:t xml:space="preserve">što je vjerovatno </w:t>
      </w:r>
      <w:r w:rsidRPr="00643CB3">
        <w:rPr>
          <w:rFonts w:ascii="Times New Roman" w:eastAsia="Times New Roman" w:hAnsi="Times New Roman" w:cs="Times New Roman"/>
          <w:lang w:val="sr-Latn-ME"/>
        </w:rPr>
        <w:t xml:space="preserve">usljed viših koncentracija njihovih aktivnih metabolita u plazmi. Vrste događaja podnošljivosti su bile slične događajima uočenim kod pacijenata sa normalnom funkcijom bubrega (vidjeti </w:t>
      </w:r>
      <w:r w:rsidR="00840DEF">
        <w:rPr>
          <w:rFonts w:ascii="Times New Roman" w:eastAsia="Times New Roman" w:hAnsi="Times New Roman" w:cs="Times New Roman"/>
          <w:lang w:val="sr-Latn-ME"/>
        </w:rPr>
        <w:t>djelove</w:t>
      </w:r>
      <w:r w:rsidRPr="00643CB3">
        <w:rPr>
          <w:rFonts w:ascii="Times New Roman" w:eastAsia="Times New Roman" w:hAnsi="Times New Roman" w:cs="Times New Roman"/>
          <w:lang w:val="sr-Latn-ME"/>
        </w:rPr>
        <w:t xml:space="preserve"> 4.2, 4.4 i 5.2).</w:t>
      </w:r>
    </w:p>
    <w:p w14:paraId="794E1A77" w14:textId="77777777" w:rsidR="00BD1C5F" w:rsidRPr="00643CB3" w:rsidRDefault="00BD1C5F"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28E8A311" w14:textId="77777777" w:rsidR="00C53D31" w:rsidRPr="00C53D31" w:rsidRDefault="00C53D31" w:rsidP="00C53D31">
      <w:pPr>
        <w:spacing w:after="200" w:line="276" w:lineRule="auto"/>
        <w:rPr>
          <w:rFonts w:ascii="Times New Roman" w:eastAsia="Calibri" w:hAnsi="Times New Roman" w:cs="Times New Roman"/>
          <w:u w:val="single"/>
          <w:lang w:val="sr-Latn-RS"/>
        </w:rPr>
      </w:pPr>
      <w:r w:rsidRPr="00C53D31">
        <w:rPr>
          <w:rFonts w:ascii="Times New Roman" w:eastAsia="Calibri" w:hAnsi="Times New Roman" w:cs="Times New Roman"/>
          <w:u w:val="single"/>
          <w:lang w:val="sr-Latn-RS"/>
        </w:rPr>
        <w:t>Prijavljivanje sumnji na neželjena dejstva</w:t>
      </w:r>
    </w:p>
    <w:p w14:paraId="7FC49691" w14:textId="77777777" w:rsidR="00C53D31" w:rsidRPr="00C53D31" w:rsidRDefault="00C53D31" w:rsidP="00C53D31">
      <w:pPr>
        <w:spacing w:after="20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3D13F40" w14:textId="77777777" w:rsidR="00C53D31" w:rsidRPr="00C53D31" w:rsidRDefault="00C53D31" w:rsidP="00C53D31">
      <w:pPr>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 xml:space="preserve">Institut za ljekove i medicinska sredstva </w:t>
      </w:r>
    </w:p>
    <w:p w14:paraId="7D74366A" w14:textId="77777777" w:rsidR="00C53D31" w:rsidRPr="00C53D31" w:rsidRDefault="00C53D31" w:rsidP="00C53D31">
      <w:pPr>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Odjeljenje za farmakovigilancu</w:t>
      </w:r>
    </w:p>
    <w:p w14:paraId="6E587B3D" w14:textId="77777777" w:rsidR="00C53D31" w:rsidRPr="00C53D31" w:rsidRDefault="00C53D31" w:rsidP="00C53D31">
      <w:pPr>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Bulevar Ivana Crnojevića 64a, 81000 Podgorica</w:t>
      </w:r>
    </w:p>
    <w:p w14:paraId="537CC161" w14:textId="77777777" w:rsidR="00C53D31" w:rsidRPr="00C53D31" w:rsidRDefault="00C53D31" w:rsidP="00C53D31">
      <w:pPr>
        <w:spacing w:after="0" w:line="240" w:lineRule="auto"/>
        <w:rPr>
          <w:rFonts w:ascii="Times New Roman" w:eastAsia="Calibri" w:hAnsi="Times New Roman" w:cs="Times New Roman"/>
          <w:lang w:val="sr-Latn-RS"/>
        </w:rPr>
      </w:pPr>
    </w:p>
    <w:p w14:paraId="74138791" w14:textId="77777777" w:rsidR="00C53D31" w:rsidRPr="00C53D31" w:rsidRDefault="00C53D31" w:rsidP="00C53D31">
      <w:pPr>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tel: +382 (0) 20 310 280</w:t>
      </w:r>
    </w:p>
    <w:p w14:paraId="2C44C402" w14:textId="77777777" w:rsidR="00C53D31" w:rsidRPr="00C53D31" w:rsidRDefault="00C53D31" w:rsidP="00C53D31">
      <w:pPr>
        <w:tabs>
          <w:tab w:val="left" w:pos="6720"/>
        </w:tabs>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fax: +382 (0) 20 310 581</w:t>
      </w:r>
      <w:r w:rsidRPr="00C53D31">
        <w:rPr>
          <w:rFonts w:ascii="Times New Roman" w:eastAsia="Calibri" w:hAnsi="Times New Roman" w:cs="Times New Roman"/>
          <w:lang w:val="sr-Latn-RS"/>
        </w:rPr>
        <w:tab/>
      </w:r>
    </w:p>
    <w:p w14:paraId="65203DCB" w14:textId="77777777" w:rsidR="00C53D31" w:rsidRPr="00C53D31" w:rsidRDefault="00A679EE" w:rsidP="00C53D31">
      <w:pPr>
        <w:spacing w:after="0" w:line="240" w:lineRule="auto"/>
        <w:jc w:val="both"/>
        <w:rPr>
          <w:rFonts w:ascii="Times New Roman" w:eastAsia="Calibri" w:hAnsi="Times New Roman" w:cs="Times New Roman"/>
          <w:lang w:val="sr-Latn-RS"/>
        </w:rPr>
      </w:pPr>
      <w:hyperlink r:id="rId9" w:history="1">
        <w:r w:rsidR="00C53D31" w:rsidRPr="00C53D31">
          <w:rPr>
            <w:rFonts w:ascii="Times New Roman" w:eastAsia="Calibri" w:hAnsi="Times New Roman" w:cs="Times New Roman"/>
            <w:color w:val="0563C1" w:themeColor="hyperlink"/>
            <w:u w:val="single"/>
            <w:lang w:val="sr-Latn-RS"/>
          </w:rPr>
          <w:t>www.cinmed.me</w:t>
        </w:r>
      </w:hyperlink>
    </w:p>
    <w:p w14:paraId="20EF7003" w14:textId="77777777" w:rsidR="00C53D31" w:rsidRPr="00C53D31" w:rsidRDefault="00A679EE" w:rsidP="00C53D31">
      <w:pPr>
        <w:spacing w:after="0" w:line="240" w:lineRule="auto"/>
        <w:jc w:val="both"/>
        <w:rPr>
          <w:rFonts w:ascii="Times New Roman" w:eastAsia="Calibri" w:hAnsi="Times New Roman" w:cs="Times New Roman"/>
          <w:color w:val="0000FF"/>
          <w:u w:val="single"/>
          <w:lang w:val="sr-Latn-RS"/>
        </w:rPr>
      </w:pPr>
      <w:hyperlink r:id="rId10" w:history="1">
        <w:r w:rsidR="00C53D31" w:rsidRPr="00C53D31">
          <w:rPr>
            <w:rFonts w:ascii="Times New Roman" w:eastAsia="Calibri" w:hAnsi="Times New Roman" w:cs="Times New Roman"/>
            <w:color w:val="0563C1" w:themeColor="hyperlink"/>
            <w:u w:val="single"/>
            <w:lang w:val="sr-Latn-RS"/>
          </w:rPr>
          <w:t>nezeljenadejstva@cinmed.me</w:t>
        </w:r>
      </w:hyperlink>
    </w:p>
    <w:p w14:paraId="1CA8DFB6" w14:textId="77777777" w:rsidR="00C53D31" w:rsidRPr="00C53D31" w:rsidRDefault="00C53D31" w:rsidP="00C53D31">
      <w:pPr>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putem IS zdravstvene zaštite</w:t>
      </w:r>
    </w:p>
    <w:p w14:paraId="159AFA93" w14:textId="77777777" w:rsidR="00C53D31" w:rsidRPr="00C53D31" w:rsidRDefault="00C53D31" w:rsidP="00C53D31">
      <w:pPr>
        <w:spacing w:after="0" w:line="240" w:lineRule="auto"/>
        <w:jc w:val="both"/>
        <w:rPr>
          <w:rFonts w:ascii="Times New Roman" w:eastAsia="Calibri" w:hAnsi="Times New Roman" w:cs="Times New Roman"/>
          <w:lang w:val="sr-Latn-RS"/>
        </w:rPr>
      </w:pPr>
      <w:r w:rsidRPr="00C53D31">
        <w:rPr>
          <w:rFonts w:ascii="Times New Roman" w:eastAsia="Calibri" w:hAnsi="Times New Roman" w:cs="Times New Roman"/>
          <w:lang w:val="sr-Latn-RS"/>
        </w:rPr>
        <w:t>QR kod za online prijavu sumnje na neželjeno dejstvo lijeka:</w:t>
      </w:r>
    </w:p>
    <w:p w14:paraId="758B8861" w14:textId="77777777" w:rsidR="00C53D31" w:rsidRPr="00C53D31" w:rsidRDefault="00C53D31" w:rsidP="00C53D31">
      <w:pPr>
        <w:spacing w:after="0" w:line="240" w:lineRule="auto"/>
        <w:jc w:val="both"/>
        <w:rPr>
          <w:rFonts w:ascii="Times New Roman" w:eastAsia="Calibri" w:hAnsi="Times New Roman" w:cs="Times New Roman"/>
          <w:lang w:val="sr-Latn-RS"/>
        </w:rPr>
      </w:pPr>
    </w:p>
    <w:p w14:paraId="04FBED2C" w14:textId="77777777" w:rsidR="00C53D31" w:rsidRPr="00C53D31" w:rsidRDefault="00C53D31" w:rsidP="00C53D31">
      <w:pPr>
        <w:spacing w:after="0" w:line="240" w:lineRule="auto"/>
        <w:rPr>
          <w:rFonts w:ascii="Times New Roman" w:eastAsia="Calibri" w:hAnsi="Times New Roman" w:cs="Times New Roman"/>
          <w:lang w:val="sr-Latn-RS"/>
        </w:rPr>
      </w:pPr>
      <w:r w:rsidRPr="00C53D31">
        <w:rPr>
          <w:rFonts w:ascii="Times New Roman" w:eastAsia="Times New Roman" w:hAnsi="Times New Roman" w:cs="Times New Roman"/>
          <w:noProof/>
          <w:sz w:val="24"/>
          <w:szCs w:val="24"/>
        </w:rPr>
        <w:drawing>
          <wp:inline distT="0" distB="0" distL="0" distR="0" wp14:anchorId="4FC6753E" wp14:editId="0B8CB793">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4274779"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71ED925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4.9. </w:t>
      </w:r>
      <w:r w:rsidRPr="00643CB3">
        <w:rPr>
          <w:rFonts w:ascii="Times New Roman" w:eastAsia="Times New Roman" w:hAnsi="Times New Roman" w:cs="Times New Roman"/>
          <w:b/>
          <w:bCs/>
          <w:lang w:val="sr-Latn-ME"/>
        </w:rPr>
        <w:tab/>
        <w:t xml:space="preserve">Predoziranje </w:t>
      </w:r>
    </w:p>
    <w:p w14:paraId="42142C4F"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1AF4B3BC"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Iskustvo u vezi predoziranja kod ljudi</w:t>
      </w:r>
    </w:p>
    <w:p w14:paraId="389FEF6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lastRenderedPageBreak/>
        <w:t>Nema kliničkih iskustava u predoziranju sa kombinovanom primjenom bupropiona i naltreksona. Maksimalna dnevna doza kombinovane upotrebe bupropiona i naltreksona primijenjena u kliničkim studijama je sadržala 50 mg naltrekson hidrohlorida i 400 mg bupropion hidrohlorida. Najozbiljnije kliničke implikacije kombinovane primjene prekomjerne doze bupropiona i naltreksona vjerovatno su povezane sa bupropionom.</w:t>
      </w:r>
    </w:p>
    <w:p w14:paraId="6AAF9CBA"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6E1C7DC2" w14:textId="77777777"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3248FD">
        <w:rPr>
          <w:rFonts w:ascii="Times New Roman" w:eastAsia="Times New Roman" w:hAnsi="Times New Roman" w:cs="Times New Roman"/>
          <w:i/>
          <w:u w:val="single"/>
          <w:lang w:val="sr-Latn-ME"/>
        </w:rPr>
        <w:t>Bupropion</w:t>
      </w:r>
    </w:p>
    <w:p w14:paraId="561174C9"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Opisano je akutno uzimanje doza koje su 10 puta veće od maksimalne terapijske doze bupropiona (što odgovara približno 8 puta većoj od preporučene dnevne doze fiksne kombinacije naltrekson/bupropion). Epileptični napadi su prijavljeni kod približno jedne trećine prijavljenih slučajeva predoziranja. Ostale ozbiljne reakcije prijavljene usljed predoziranja samim bupropionom uključuju halucinacije, gubitak svijesti, sinusnu tahikardiju i promjene u EKG-u, kao što su poremećaji provodljivosti (uključujući i produženje QRS intervala) ili aritmije. Povišena tjelesna temperatura, ukočenost mišića, rabdomioliza, hipotenzija, stupor, koma i respiratorna insuficijencija su prijavljeni uglavnom kad je bupropion bio dio predoziranja sa više ljekova.</w:t>
      </w:r>
    </w:p>
    <w:p w14:paraId="76BA1FDA"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D64F06B" w14:textId="35C50AE3"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Iako se najveći broj pacijenata oporavio bez posljedica, prijavljeni su i smrtni ishodi udruženi sa predoziranjem samo bupropionom kod ispitanika koji su uzeli velike doze lijeka.</w:t>
      </w:r>
      <w:r w:rsidR="008360BA" w:rsidRPr="008360BA">
        <w:rPr>
          <w:lang w:val="sr-Latn-ME"/>
        </w:rPr>
        <w:t xml:space="preserve"> </w:t>
      </w:r>
      <w:r w:rsidR="008360BA" w:rsidRPr="00453836">
        <w:rPr>
          <w:rFonts w:ascii="Times New Roman" w:eastAsia="Times New Roman" w:hAnsi="Times New Roman" w:cs="Times New Roman"/>
          <w:lang w:val="sr-Latn-ME"/>
        </w:rPr>
        <w:t>Takođe je zabilježen serotoninski sindrom.</w:t>
      </w:r>
    </w:p>
    <w:p w14:paraId="04682D63"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2BA1F3C0" w14:textId="77777777"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3248FD">
        <w:rPr>
          <w:rFonts w:ascii="Times New Roman" w:eastAsia="Times New Roman" w:hAnsi="Times New Roman" w:cs="Times New Roman"/>
          <w:i/>
          <w:u w:val="single"/>
          <w:lang w:val="sr-Latn-ME"/>
        </w:rPr>
        <w:t>Naltrekson</w:t>
      </w:r>
    </w:p>
    <w:p w14:paraId="7F10DCD8" w14:textId="1E9FC85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Postoji ograničeno iskustvo sa predoziranjem naltreksonom u monoterapiji kod ljudi. U jednoj studiji, ispitanici su primali 800 mg naltrekson hidrohlorida dnevno (što odgovara 25 puta </w:t>
      </w:r>
      <w:r w:rsidR="00977E06">
        <w:rPr>
          <w:rFonts w:ascii="Times New Roman" w:eastAsia="Times New Roman" w:hAnsi="Times New Roman" w:cs="Times New Roman"/>
          <w:lang w:val="sr-Latn-ME"/>
        </w:rPr>
        <w:t xml:space="preserve">većoj dozi </w:t>
      </w:r>
      <w:r w:rsidRPr="00643CB3">
        <w:rPr>
          <w:rFonts w:ascii="Times New Roman" w:eastAsia="Times New Roman" w:hAnsi="Times New Roman" w:cs="Times New Roman"/>
          <w:lang w:val="sr-Latn-ME"/>
        </w:rPr>
        <w:t>od preporučene dnevne doze fiksne kombinacije naltrekson/bupropion), u trajanju do jedne nedjelje i nijesu pokazali znake toksičnosti.</w:t>
      </w:r>
    </w:p>
    <w:p w14:paraId="44F55157"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23E4EA6"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Liječenje predoziranja</w:t>
      </w:r>
    </w:p>
    <w:p w14:paraId="7B5BFA30"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Potrebno je obezbijediti odgovarajuću prohodnost disajnih puteva, oksigenaciju i ventilaciju disajnih puteva. Potrebno je pratiti srčani ritam i vitalne znake. Preporučuje se takođe i praćenje EKG-a prvih 48 sati poslije ingestije. Takođe, preporučene su opšte suportivne i simptomatske mjere. Indukcija povraćanja se ne preporučuje.</w:t>
      </w:r>
    </w:p>
    <w:p w14:paraId="1299F302"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370C5909" w14:textId="3C1F1490"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Preporučuje se primjena aktivnog uglja. Ne postoji iskustvo sa primjenom forsirane diureze, dijalize, hemoperfuzije ili zamjenske transfuzije u liječenju predoziranja kod kombinovane upotrebe bupropiona i naltreksona. Ni</w:t>
      </w:r>
      <w:r w:rsidR="006030A1">
        <w:rPr>
          <w:rFonts w:ascii="Times New Roman" w:eastAsia="Times New Roman" w:hAnsi="Times New Roman" w:cs="Times New Roman"/>
          <w:lang w:val="sr-Latn-ME"/>
        </w:rPr>
        <w:t>je</w:t>
      </w:r>
      <w:r w:rsidRPr="00643CB3">
        <w:rPr>
          <w:rFonts w:ascii="Times New Roman" w:eastAsia="Times New Roman" w:hAnsi="Times New Roman" w:cs="Times New Roman"/>
          <w:lang w:val="sr-Latn-ME"/>
        </w:rPr>
        <w:t>su poznati specifični antidoti kod kombinovane upotrebe bupropiona i naltreksona.</w:t>
      </w:r>
    </w:p>
    <w:p w14:paraId="6FC088C8"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484C4AA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lang w:val="sr-Latn-ME"/>
        </w:rPr>
        <w:t>Zbog dozno zavisnog rizika od epileptičnih napada kod predoziranja bupropionom, potrebno je razmotriti hospitalizaciju nakon sumnje na predoziranje fiksnom kombinacijom naltrekson/bupropion. Na osnovu ispitivanja na životinjama, preporučuje se da se epileptični napadi liječe intravenskom primjenom benzodiazepina i po potrebi primjenom drugih suportivnih mjera.</w:t>
      </w:r>
    </w:p>
    <w:p w14:paraId="31D9CFF3" w14:textId="77777777" w:rsid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0C0B75D9" w14:textId="77777777" w:rsidR="00C416C3" w:rsidRPr="00643CB3" w:rsidRDefault="00C416C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2EB4ADC5"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5. </w:t>
      </w:r>
      <w:r w:rsidRPr="00643CB3">
        <w:rPr>
          <w:rFonts w:ascii="Times New Roman" w:eastAsia="Times New Roman" w:hAnsi="Times New Roman" w:cs="Times New Roman"/>
          <w:b/>
          <w:bCs/>
          <w:lang w:val="sr-Latn-ME"/>
        </w:rPr>
        <w:tab/>
        <w:t>FARMAKOLOŠKI PODACI</w:t>
      </w:r>
    </w:p>
    <w:p w14:paraId="647B3149"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651EABB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5.1. </w:t>
      </w:r>
      <w:r w:rsidRPr="00643CB3">
        <w:rPr>
          <w:rFonts w:ascii="Times New Roman" w:eastAsia="Times New Roman" w:hAnsi="Times New Roman" w:cs="Times New Roman"/>
          <w:b/>
          <w:bCs/>
          <w:lang w:val="sr-Latn-ME"/>
        </w:rPr>
        <w:tab/>
        <w:t xml:space="preserve">Farmakodinamski podaci </w:t>
      </w:r>
    </w:p>
    <w:p w14:paraId="64AF52E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350CD25F" w14:textId="3416B801"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Farmakoterapijska grupa: </w:t>
      </w:r>
      <w:r w:rsidR="00106952">
        <w:rPr>
          <w:rFonts w:ascii="Times New Roman" w:eastAsia="Times New Roman" w:hAnsi="Times New Roman" w:cs="Times New Roman"/>
          <w:bCs/>
          <w:lang w:val="sr-Latn-ME"/>
        </w:rPr>
        <w:t>ljekovi</w:t>
      </w:r>
      <w:r w:rsidR="00106952"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 xml:space="preserve">protiv gojaznosti, isključujući dijetetske proizvode; </w:t>
      </w:r>
      <w:r w:rsidR="00106952">
        <w:rPr>
          <w:rFonts w:ascii="Times New Roman" w:eastAsia="Times New Roman" w:hAnsi="Times New Roman" w:cs="Times New Roman"/>
          <w:bCs/>
          <w:lang w:val="sr-Latn-ME"/>
        </w:rPr>
        <w:t xml:space="preserve">ljekovi </w:t>
      </w:r>
      <w:r w:rsidR="00106952"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protiv gojaznosti sa centralnim djelovanjem</w:t>
      </w:r>
    </w:p>
    <w:p w14:paraId="47EF478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198B92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ATC kod:</w:t>
      </w:r>
      <w:r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bCs/>
          <w:lang w:val="sr-Latn-ME"/>
        </w:rPr>
        <w:t>A08AA62</w:t>
      </w:r>
    </w:p>
    <w:p w14:paraId="1B04BBBB"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1FA2BA3F" w14:textId="442ECD21"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Mehanizam dejstva i farmakodinamska dejstva</w:t>
      </w:r>
    </w:p>
    <w:p w14:paraId="528049D9" w14:textId="77777777" w:rsidR="00106952" w:rsidRPr="00643CB3" w:rsidRDefault="00106952"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40CFB709" w14:textId="31F0D378"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lastRenderedPageBreak/>
        <w:t xml:space="preserve">Tačna neurohemijska dejstva fiksne kombinacije naltrekson/bupropion na suzbijanje apetita nijesu u potpunosti razjašnjena. Lijek sadrži dvije aktivne supstance: naltrekson, </w:t>
      </w:r>
      <w:r w:rsidR="00106952">
        <w:rPr>
          <w:rFonts w:ascii="Times New Roman" w:eastAsia="Times New Roman" w:hAnsi="Times New Roman" w:cs="Times New Roman"/>
          <w:lang w:val="sr-Latn-ME"/>
        </w:rPr>
        <w:t>mu</w:t>
      </w:r>
      <w:r w:rsidRPr="00643CB3">
        <w:rPr>
          <w:rFonts w:ascii="Times New Roman" w:eastAsia="Times New Roman" w:hAnsi="Times New Roman" w:cs="Times New Roman"/>
          <w:lang w:val="sr-Latn-ME"/>
        </w:rPr>
        <w:t>-opioidni antagonist i bupropion, slabi inhibitor ponovnog preuzimanja dopamina i norepinefrina u neuronima. Ove aktivne supstance utiču na dva glavna područja u mozgu, a posebno na arkuatno jezgro hipotalamusa i mezolimbički dopaminergički sistem nagrađivanja.</w:t>
      </w:r>
    </w:p>
    <w:p w14:paraId="7BADBE4A"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36A1DE9" w14:textId="3380A144"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U arkuatnom jezgru hipotalamusa, bupropion stimuliše neurone pro-opiomelanokortina (engl. </w:t>
      </w:r>
      <w:r w:rsidRPr="00643CB3">
        <w:rPr>
          <w:rFonts w:ascii="Times New Roman" w:eastAsia="Times New Roman" w:hAnsi="Times New Roman" w:cs="Times New Roman"/>
          <w:i/>
          <w:lang w:val="sr-Latn-ME"/>
        </w:rPr>
        <w:t>pro-opiomelanocortin</w:t>
      </w:r>
      <w:r w:rsidRPr="00643CB3">
        <w:rPr>
          <w:rFonts w:ascii="Times New Roman" w:eastAsia="Times New Roman" w:hAnsi="Times New Roman" w:cs="Times New Roman"/>
          <w:lang w:val="sr-Latn-ME"/>
        </w:rPr>
        <w:t xml:space="preserve">, POMC) koji otpuštaju alfa-hormon koji stimuliše melanocite (engl. </w:t>
      </w:r>
      <w:r w:rsidRPr="00643CB3">
        <w:rPr>
          <w:rFonts w:ascii="Times New Roman" w:eastAsia="Times New Roman" w:hAnsi="Times New Roman" w:cs="Times New Roman"/>
          <w:i/>
          <w:lang w:val="sr-Latn-ME"/>
        </w:rPr>
        <w:t>alpha melanocyte stimulating hormone</w:t>
      </w:r>
      <w:r w:rsidRPr="00643CB3">
        <w:rPr>
          <w:rFonts w:ascii="Times New Roman" w:eastAsia="Times New Roman" w:hAnsi="Times New Roman" w:cs="Times New Roman"/>
          <w:lang w:val="sr-Latn-ME"/>
        </w:rPr>
        <w:t xml:space="preserve">, α-MSH), koji se zatim vezuje za melanokortin 4 receptore i stimuliše ih (engl. </w:t>
      </w:r>
      <w:r w:rsidRPr="00643CB3">
        <w:rPr>
          <w:rFonts w:ascii="Times New Roman" w:eastAsia="Times New Roman" w:hAnsi="Times New Roman" w:cs="Times New Roman"/>
          <w:i/>
          <w:lang w:val="sr-Latn-ME"/>
        </w:rPr>
        <w:t>melanocortin 4 receptors</w:t>
      </w:r>
      <w:r w:rsidRPr="00643CB3">
        <w:rPr>
          <w:rFonts w:ascii="Times New Roman" w:eastAsia="Times New Roman" w:hAnsi="Times New Roman" w:cs="Times New Roman"/>
          <w:lang w:val="sr-Latn-ME"/>
        </w:rPr>
        <w:t xml:space="preserve">, MC4-R). Kad se α-MSH otpušta, POMC neuroni istovremeno otpuštaju β-endorfin, koji je endogeni agonist </w:t>
      </w:r>
      <w:r w:rsidR="001160FA">
        <w:rPr>
          <w:rFonts w:ascii="Times New Roman" w:eastAsia="Times New Roman" w:hAnsi="Times New Roman" w:cs="Times New Roman"/>
          <w:lang w:val="sr-Latn-ME"/>
        </w:rPr>
        <w:t>mu</w:t>
      </w:r>
      <w:r w:rsidRPr="00643CB3">
        <w:rPr>
          <w:rFonts w:ascii="Times New Roman" w:eastAsia="Times New Roman" w:hAnsi="Times New Roman" w:cs="Times New Roman"/>
          <w:lang w:val="sr-Latn-ME"/>
        </w:rPr>
        <w:t xml:space="preserve">-opioidnih receptora. Vezivanje β-endorfina za </w:t>
      </w:r>
      <w:r w:rsidR="001160FA">
        <w:rPr>
          <w:rFonts w:ascii="Times New Roman" w:eastAsia="Times New Roman" w:hAnsi="Times New Roman" w:cs="Times New Roman"/>
          <w:lang w:val="sr-Latn-ME"/>
        </w:rPr>
        <w:t>mu</w:t>
      </w:r>
      <w:r w:rsidRPr="00643CB3">
        <w:rPr>
          <w:rFonts w:ascii="Times New Roman" w:eastAsia="Times New Roman" w:hAnsi="Times New Roman" w:cs="Times New Roman"/>
          <w:lang w:val="sr-Latn-ME"/>
        </w:rPr>
        <w:t>-opioidne receptore na POMC neuronima posreduje u negativnoj povratnoj sprezi na POMC neurone i dovodi do smanjenja otpuštanja α-MSH. Smatra se da blokiranje ove inhibitorne povratne sprege naltreksonom omogućava potentniju i dugotrajniju aktivaciju POMC neurona, čime se pojačava dejstvo bupropiona na energetsku ravnotežu. Pretklinički podaci ukazuju na to da naltrekson i bupropion imaju više nego aditivni efekat u ovom području na smanjenje unosa hrane kada se daju zajedno.</w:t>
      </w:r>
    </w:p>
    <w:p w14:paraId="290A4565"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0A14EDB1" w14:textId="16FD0EFC" w:rsid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Klinička efikasnost i bezbjednost</w:t>
      </w:r>
    </w:p>
    <w:p w14:paraId="053495A5" w14:textId="77777777" w:rsidR="001160FA" w:rsidRPr="00643CB3" w:rsidRDefault="001160FA"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p>
    <w:p w14:paraId="5FEF430A" w14:textId="77777777" w:rsid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Efikasnost fiksne kombinacije naltrekson/bupropion na gubitak tjelesne mase, održavanje tjelesne mase, obim struka, sastav tijela, markere povezane sa gojaznošću za kardiovaskularne i metaboličke parametre i procjene koje prijavljuju pacijenti su ispitani u dvostruko slijepoj, placebo kontrolisanoj studiji gojaznosti faze II i faze III (BMI raspon 27-45 kg/m</w:t>
      </w:r>
      <w:r w:rsidRPr="00643CB3">
        <w:rPr>
          <w:rFonts w:ascii="Times New Roman" w:eastAsia="Times New Roman" w:hAnsi="Times New Roman" w:cs="Times New Roman"/>
          <w:vertAlign w:val="superscript"/>
          <w:lang w:val="sr-Latn-ME"/>
        </w:rPr>
        <w:t>2</w:t>
      </w:r>
      <w:r w:rsidRPr="00643CB3">
        <w:rPr>
          <w:rFonts w:ascii="Times New Roman" w:eastAsia="Times New Roman" w:hAnsi="Times New Roman" w:cs="Times New Roman"/>
          <w:lang w:val="sr-Latn-ME"/>
        </w:rPr>
        <w:t>) sa trajanjem ispitivanja od 16 do 56 nedjelja, randomizovano na naltrekson hidrohlorid (16 do 50 mg/dan) i/ili bupropion hidrohlorid (300 do 400 mg/dan) ili placebo.</w:t>
      </w:r>
    </w:p>
    <w:p w14:paraId="3177288C"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1E50FB2" w14:textId="06A47A76" w:rsidR="001160FA" w:rsidRPr="003248FD"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3248FD">
        <w:rPr>
          <w:rFonts w:ascii="Times New Roman" w:eastAsia="Times New Roman" w:hAnsi="Times New Roman" w:cs="Times New Roman"/>
          <w:i/>
          <w:u w:val="single"/>
          <w:lang w:val="sr-Latn-ME"/>
        </w:rPr>
        <w:t>Uticaj na gubitak tjelesne mase i održavanje tjelesne mase</w:t>
      </w:r>
    </w:p>
    <w:p w14:paraId="1F1D7D73"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Četiri multicentrične, dvostruko slijepe, placebo kontrolisane studije faze III (NB-301, NB-302, NB-303 i NB-304) sprovedene su kako bi se procijenio uticaj fiksne kombinacije naltrekson/bupropion u liječenju gojaznosti uz promjene stila života kod 4536 ispitanika koji su primali fiksnu kombinaciju naltrekson/bupropion ili placebo. Liječenje je započeto sa periodom eskalacije doze. U tri studije (NB-301, NB-302 i NB-304) je postignut primarni parametar praćenja efikasnosti u 56. nedjelji, a u jednoj studiji (NB-303) u 28. nedjelji, ali je nastavljena do 56 nedjelja. U toku sprovođenja studija NB-301, NB-303 i NB-304 periodično su bile uključivane instrukcije iz ispitnog centra o smanjenju unosa kalorija i povećanju fizičke aktivnosti, dok je u studiju NB-302 bio uključen program intenzivne promjene ponašanja koji se sastojao od 28 sesija grupnog savjetovanja tokom 56 nedjelja, kao i propisane rigorozne dijete i režimi vježbanja. U studiji NB-304 su procjenjivani ispitanici sa dijabetesom tip 2 koji nijesu postigli glikemijski cilj od HbA1c &lt; 7% (53 mmol/mol) sa oralnim antidijabeticima ili samo dijetom ili vježbama. Studija NB-303 je uključila ponovnu zaslijepljenu (engl. </w:t>
      </w:r>
      <w:r w:rsidRPr="00643CB3">
        <w:rPr>
          <w:rFonts w:ascii="Times New Roman" w:eastAsia="Times New Roman" w:hAnsi="Times New Roman" w:cs="Times New Roman"/>
          <w:i/>
          <w:lang w:val="sr-Latn-ME"/>
        </w:rPr>
        <w:t>blinded</w:t>
      </w:r>
      <w:r w:rsidRPr="00643CB3">
        <w:rPr>
          <w:rFonts w:ascii="Times New Roman" w:eastAsia="Times New Roman" w:hAnsi="Times New Roman" w:cs="Times New Roman"/>
          <w:lang w:val="sr-Latn-ME"/>
        </w:rPr>
        <w:t>) randomizaciju pacijenata i dodatak veće doze naltreksona (naltrekson hidrohlorida 48 mg/bupropion hidrohlorida 360 mg) u 28. nedjelji polovini kohorte ispitanika u grupi koja se aktivno liječila, a koji nijesu odgovarali na liječenje na odgovarajući način, tako da je primarni parametar praćenja efikasnosti koji upoređuje promjenu tjelesne mase sa 32 mg naltrekson hidrohlorida/360 mg bupropion hidrohlorida u odnosu na placebo procijenjen u 28. nedjelji.</w:t>
      </w:r>
    </w:p>
    <w:p w14:paraId="49625E3F"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DC67CF0" w14:textId="4985B702"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Od ukupne populacije od 4536 ispitanika u studijama faze III sa fiksnom kombinacijom naltrekson/bupropion, 25% je imalo hipertenziju, 33% je imalo koncentraciju glukoze u stanju gladovanja ≥ 100 mg/d</w:t>
      </w:r>
      <w:r w:rsidR="006B446A">
        <w:rPr>
          <w:rFonts w:ascii="Times New Roman" w:eastAsia="Times New Roman" w:hAnsi="Times New Roman" w:cs="Times New Roman"/>
          <w:lang w:val="sr-Latn-ME"/>
        </w:rPr>
        <w:t>l</w:t>
      </w:r>
      <w:r w:rsidRPr="00643CB3">
        <w:rPr>
          <w:rFonts w:ascii="Times New Roman" w:eastAsia="Times New Roman" w:hAnsi="Times New Roman" w:cs="Times New Roman"/>
          <w:lang w:val="sr-Latn-ME"/>
        </w:rPr>
        <w:t xml:space="preserve"> (5,6 mmol/</w:t>
      </w:r>
      <w:r w:rsidR="006B446A">
        <w:rPr>
          <w:rFonts w:ascii="Times New Roman" w:eastAsia="Times New Roman" w:hAnsi="Times New Roman" w:cs="Times New Roman"/>
          <w:lang w:val="sr-Latn-ME"/>
        </w:rPr>
        <w:t>l</w:t>
      </w:r>
      <w:r w:rsidRPr="00643CB3">
        <w:rPr>
          <w:rFonts w:ascii="Times New Roman" w:eastAsia="Times New Roman" w:hAnsi="Times New Roman" w:cs="Times New Roman"/>
          <w:lang w:val="sr-Latn-ME"/>
        </w:rPr>
        <w:t>) na početku, 54% je imalo dislipidemiju pri uključivanju u ispitivanje i 11% je imalo dijabetes tip 2.</w:t>
      </w:r>
    </w:p>
    <w:p w14:paraId="22B3EC2A"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6B77CD17" w14:textId="56DA4CE9"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U kombinovanim studijama faze III, prosječna starost ispitanika je bila 46 godina, 83% su bile žene, a 77% su bili ispitanici bijele rase, 18% su bili ispitanici crne rase, a 5% ispitanika je bilo drugih rasa. Srednja vrijednost početnog BMI je bila 36 kg/m</w:t>
      </w:r>
      <w:r w:rsidRPr="00643CB3">
        <w:rPr>
          <w:rFonts w:ascii="Times New Roman" w:eastAsia="Times New Roman" w:hAnsi="Times New Roman" w:cs="Times New Roman"/>
          <w:vertAlign w:val="superscript"/>
          <w:lang w:val="sr-Latn-ME"/>
        </w:rPr>
        <w:t>2</w:t>
      </w:r>
      <w:r w:rsidRPr="00643CB3">
        <w:rPr>
          <w:rFonts w:ascii="Times New Roman" w:eastAsia="Times New Roman" w:hAnsi="Times New Roman" w:cs="Times New Roman"/>
          <w:lang w:val="sr-Latn-ME"/>
        </w:rPr>
        <w:t xml:space="preserve">, a srednja vrijednost obima struka je bila 110 cm. Dva koprimarna parametra praćenja efikasnosti su procentualna promjena u odnosu na početnu tjelesnu masu i procenat ispitanika kod </w:t>
      </w:r>
      <w:r w:rsidRPr="00643CB3">
        <w:rPr>
          <w:rFonts w:ascii="Times New Roman" w:eastAsia="Times New Roman" w:hAnsi="Times New Roman" w:cs="Times New Roman"/>
          <w:lang w:val="sr-Latn-ME"/>
        </w:rPr>
        <w:lastRenderedPageBreak/>
        <w:t xml:space="preserve">kojih je ukupna tjelesna masa smanjena ≥ 5%. Sumarni podaci srednjih vrijednosti promjene tjelesne mase se odnose na populaciju predviđenu za liječenje (engl. </w:t>
      </w:r>
      <w:r w:rsidRPr="00643CB3">
        <w:rPr>
          <w:rFonts w:ascii="Times New Roman" w:eastAsia="Times New Roman" w:hAnsi="Times New Roman" w:cs="Times New Roman"/>
          <w:i/>
          <w:lang w:val="sr-Latn-ME"/>
        </w:rPr>
        <w:t>Intent-to-Treat</w:t>
      </w:r>
      <w:r w:rsidRPr="00643CB3">
        <w:rPr>
          <w:rFonts w:ascii="Times New Roman" w:eastAsia="Times New Roman" w:hAnsi="Times New Roman" w:cs="Times New Roman"/>
          <w:lang w:val="sr-Latn-ME"/>
        </w:rPr>
        <w:t xml:space="preserve">, ITT), definisanu kao ispitanici koji su bili randomizovani i koji su imali mjerenje tjelesne mase na početku i bar jedno mjerenje tjelesne mase nakon početnog mjerenja tokom definisane faze terapije, pomoću LOCF analize (engl. </w:t>
      </w:r>
      <w:r w:rsidRPr="00643CB3">
        <w:rPr>
          <w:rFonts w:ascii="Times New Roman" w:eastAsia="Times New Roman" w:hAnsi="Times New Roman" w:cs="Times New Roman"/>
          <w:i/>
          <w:lang w:val="sr-Latn-ME"/>
        </w:rPr>
        <w:t>last observation carried forward</w:t>
      </w:r>
      <w:r w:rsidRPr="00643CB3">
        <w:rPr>
          <w:rFonts w:ascii="Times New Roman" w:eastAsia="Times New Roman" w:hAnsi="Times New Roman" w:cs="Times New Roman"/>
          <w:lang w:val="sr-Latn-ME"/>
        </w:rPr>
        <w:t xml:space="preserve">, LOCF) kao i analizu onih koji su završili ispitivanje. Sažeci udjela ispitanika koji su postigli smanjenje tjelesne </w:t>
      </w:r>
      <w:r w:rsidR="001160FA">
        <w:rPr>
          <w:rFonts w:ascii="Times New Roman" w:eastAsia="Times New Roman" w:hAnsi="Times New Roman" w:cs="Times New Roman"/>
          <w:lang w:val="sr-Latn-ME"/>
        </w:rPr>
        <w:t>mas</w:t>
      </w:r>
      <w:r w:rsidR="001160FA" w:rsidRPr="00643CB3">
        <w:rPr>
          <w:rFonts w:ascii="Times New Roman" w:eastAsia="Times New Roman" w:hAnsi="Times New Roman" w:cs="Times New Roman"/>
          <w:lang w:val="sr-Latn-ME"/>
        </w:rPr>
        <w:t xml:space="preserve">e </w:t>
      </w:r>
      <w:r w:rsidRPr="00643CB3">
        <w:rPr>
          <w:rFonts w:ascii="Times New Roman" w:eastAsia="Times New Roman" w:hAnsi="Times New Roman" w:cs="Times New Roman"/>
          <w:lang w:val="sr-Latn-ME"/>
        </w:rPr>
        <w:t xml:space="preserve">≥ 5% ili ≥ 10% koriste analizu početnog posmatranja prenesenog dalje (engl. </w:t>
      </w:r>
      <w:r w:rsidRPr="00643CB3">
        <w:rPr>
          <w:rFonts w:ascii="Times New Roman" w:eastAsia="Times New Roman" w:hAnsi="Times New Roman" w:cs="Times New Roman"/>
          <w:i/>
          <w:lang w:val="sr-Latn-ME"/>
        </w:rPr>
        <w:t>baseline observation carried forward</w:t>
      </w:r>
      <w:r w:rsidRPr="00643CB3">
        <w:rPr>
          <w:rFonts w:ascii="Times New Roman" w:eastAsia="Times New Roman" w:hAnsi="Times New Roman" w:cs="Times New Roman"/>
          <w:lang w:val="sr-Latn-ME"/>
        </w:rPr>
        <w:t xml:space="preserve">, BOCF) svih randomizovanih ispitanika. Ukupna adherenca (aktivan pristup pacijenta sprovođenju terapije) je bila slična između studija i slična između liječenih grupa. Stope </w:t>
      </w:r>
      <w:r w:rsidR="001160FA">
        <w:rPr>
          <w:rFonts w:ascii="Times New Roman" w:eastAsia="Times New Roman" w:hAnsi="Times New Roman" w:cs="Times New Roman"/>
          <w:lang w:val="sr-Latn-ME"/>
        </w:rPr>
        <w:t>prdržavanja</w:t>
      </w:r>
      <w:r w:rsidR="001160FA"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liječenja za integrisane studije faze III su bile: 67% NB prema 74% placebo u 16. nedjelji, 63% NB prema 65% placebo u 26. nedjelji, 55% NB prema 55% placebo u 52. nedjelji.</w:t>
      </w:r>
    </w:p>
    <w:p w14:paraId="6E03D048"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235A4DC6" w14:textId="23E47B4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Kao što je prikazano u Tabeli 2, ispitanici studije NB-301 imali su srednju vrijednost gubitka tjelesne mase -5,4% dok su primali fiksnu kombinaciju naltrekson/bupropion u odnosu na -1,3% kod ispitanika koji su primali placebo. Gubitak tjelesne mase od najmanje 5% od početne tjelesne mase mnogo češće je zabilježen kod ispitanika na terapiji fiksnom kombinacijom naltrekson/bupropion (31%) u poređenju sa placebom (12%) (Tabela 3). Izraženiji gubitak tjelesne mase zabilježen je u kohorti ispitanika koji su bili 56 nedjelja na terapiji fiksnom kombinacijom naltrekson/bupropion (-8,1%) u odnosu na placebo (-1,8%). Slični rezultati su zabilježeni u studiji NB-303, koja je bila sličnog dizajna, sa značajnim gubitkom zabilježenim kod ispitanika koji su primali fiksnu kombinaciju naltrekson/bupropion u poređenju sa placebom za primarni parametar praćenja efikasnosti u 28. nedjelji, a održao se tokom 56 nedjelja od početka ispitivanja (Tabela 3).</w:t>
      </w:r>
    </w:p>
    <w:p w14:paraId="5A6662E5"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24ECCD59"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Fiksna kombinacija naltrekson/bupropion takođe je procijenjena u kombinaciji sa intenzivnim savjetovanjem promjene ponašanja u studiji NB-302. Shodno tome, zabilježena je veća srednja vrijednost gubitka tjelesne mase u odnosu na početne vrijednosti za terapiju fiksnom kombinacijom naltrekson/bupropion (-8,1%) u poređenju sa studijom NB-301 (-5,4%) u 56. nedjelji, a za placebo (-4,9%) u poređenju sa studijom NB-301 (-1,3%).</w:t>
      </w:r>
    </w:p>
    <w:p w14:paraId="2B8EA739"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1AB21205"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Efekti liječenja uočeni kod gojaznih ispitanika i ispitanika sa prekomjernom tjelesnom masom i dijabetes melitusom tip 2 (studija NB-304) bili su nešto manje izraženi od onih uočenih u drugim studijama faze III. Fiksna kombinacija naltrekson/bupropion (-3,7%) je bila značajno (p &lt; 0,001) efikasnija kod te populacije nego placebo (-1,7%).</w:t>
      </w:r>
    </w:p>
    <w:p w14:paraId="3C6A1B44"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4DA4C430" w14:textId="1D5E738E"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 xml:space="preserve">Tabela </w:t>
      </w:r>
      <w:r w:rsidR="00B9608A" w:rsidRPr="003248FD">
        <w:rPr>
          <w:rFonts w:ascii="Times New Roman" w:eastAsia="Times New Roman" w:hAnsi="Times New Roman" w:cs="Times New Roman"/>
          <w:b/>
          <w:lang w:val="sr-Latn-ME"/>
        </w:rPr>
        <w:t>3</w:t>
      </w:r>
      <w:r w:rsidRPr="003248FD">
        <w:rPr>
          <w:rFonts w:ascii="Times New Roman" w:eastAsia="Times New Roman" w:hAnsi="Times New Roman" w:cs="Times New Roman"/>
          <w:b/>
          <w:lang w:val="sr-Latn-ME"/>
        </w:rPr>
        <w:t>.</w:t>
      </w:r>
    </w:p>
    <w:p w14:paraId="45074007" w14:textId="4FB733AB"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Srednja vrijednost gubitka tjelesne mase (% promjene) od početne vrijednosti do 56. nedjelje u studijama faze III sa fiksnom kombinacijom naltrekson/bupropion (NB) NB-301, NB-302 i NB-304 i od početne vrijednosti do 28. nedjelje u studiji faze III NB-303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67"/>
        <w:gridCol w:w="1134"/>
        <w:gridCol w:w="1134"/>
        <w:gridCol w:w="1134"/>
        <w:gridCol w:w="1134"/>
        <w:gridCol w:w="1134"/>
        <w:gridCol w:w="1134"/>
        <w:gridCol w:w="675"/>
      </w:tblGrid>
      <w:tr w:rsidR="00643CB3" w:rsidRPr="00643CB3" w14:paraId="5C5CF25A" w14:textId="77777777" w:rsidTr="003248FD">
        <w:tc>
          <w:tcPr>
            <w:tcW w:w="1188" w:type="dxa"/>
            <w:vMerge w:val="restart"/>
          </w:tcPr>
          <w:p w14:paraId="4230172C"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6637" w:type="dxa"/>
            <w:gridSpan w:val="6"/>
          </w:tcPr>
          <w:p w14:paraId="49F5C987" w14:textId="77777777" w:rsidR="00643CB3" w:rsidRPr="00643CB3" w:rsidRDefault="00643CB3" w:rsidP="00C416C3">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Podaci za 56 nedjelja</w:t>
            </w:r>
          </w:p>
        </w:tc>
        <w:tc>
          <w:tcPr>
            <w:tcW w:w="1809" w:type="dxa"/>
            <w:gridSpan w:val="2"/>
          </w:tcPr>
          <w:p w14:paraId="75411203" w14:textId="77777777" w:rsidR="00643CB3" w:rsidRPr="00643CB3" w:rsidRDefault="00643CB3" w:rsidP="00C416C3">
            <w:pPr>
              <w:tabs>
                <w:tab w:val="center" w:pos="4536"/>
                <w:tab w:val="right" w:pos="9072"/>
              </w:tabs>
              <w:spacing w:after="0" w:line="240" w:lineRule="auto"/>
              <w:ind w:right="-108"/>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Podaci za 28 nedjelja</w:t>
            </w:r>
          </w:p>
        </w:tc>
      </w:tr>
      <w:tr w:rsidR="00643CB3" w:rsidRPr="00643CB3" w14:paraId="313C60ED" w14:textId="77777777" w:rsidTr="003248FD">
        <w:tc>
          <w:tcPr>
            <w:tcW w:w="1188" w:type="dxa"/>
            <w:vMerge/>
          </w:tcPr>
          <w:p w14:paraId="74CA4ADF"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2101" w:type="dxa"/>
            <w:gridSpan w:val="2"/>
          </w:tcPr>
          <w:p w14:paraId="0FA74799" w14:textId="77777777" w:rsidR="00643CB3" w:rsidRPr="00643CB3" w:rsidRDefault="00643CB3" w:rsidP="00C416C3">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NB-301</w:t>
            </w:r>
          </w:p>
        </w:tc>
        <w:tc>
          <w:tcPr>
            <w:tcW w:w="2268" w:type="dxa"/>
            <w:gridSpan w:val="2"/>
          </w:tcPr>
          <w:p w14:paraId="1F72725B"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NB-302</w:t>
            </w:r>
          </w:p>
        </w:tc>
        <w:tc>
          <w:tcPr>
            <w:tcW w:w="2268" w:type="dxa"/>
            <w:gridSpan w:val="2"/>
          </w:tcPr>
          <w:p w14:paraId="0499C243"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NB-304</w:t>
            </w:r>
          </w:p>
        </w:tc>
        <w:tc>
          <w:tcPr>
            <w:tcW w:w="1809" w:type="dxa"/>
            <w:gridSpan w:val="2"/>
          </w:tcPr>
          <w:p w14:paraId="19BE3678"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NB-303</w:t>
            </w:r>
          </w:p>
        </w:tc>
      </w:tr>
      <w:tr w:rsidR="00643CB3" w:rsidRPr="00643CB3" w14:paraId="167D79B2" w14:textId="77777777" w:rsidTr="003248FD">
        <w:tc>
          <w:tcPr>
            <w:tcW w:w="1188" w:type="dxa"/>
            <w:vMerge/>
          </w:tcPr>
          <w:p w14:paraId="745F3AF0"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967" w:type="dxa"/>
          </w:tcPr>
          <w:p w14:paraId="0464F709" w14:textId="77777777" w:rsidR="00643CB3" w:rsidRPr="00643CB3" w:rsidRDefault="00643CB3" w:rsidP="00C416C3">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134" w:type="dxa"/>
          </w:tcPr>
          <w:p w14:paraId="3065D2D6"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134" w:type="dxa"/>
          </w:tcPr>
          <w:p w14:paraId="4D5628EB"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134" w:type="dxa"/>
          </w:tcPr>
          <w:p w14:paraId="7D6C9CA7"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134" w:type="dxa"/>
          </w:tcPr>
          <w:p w14:paraId="4AC2B857"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134" w:type="dxa"/>
          </w:tcPr>
          <w:p w14:paraId="2B26BD3F"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134" w:type="dxa"/>
          </w:tcPr>
          <w:p w14:paraId="0836D2FC"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675" w:type="dxa"/>
          </w:tcPr>
          <w:p w14:paraId="3A48D0C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r>
      <w:tr w:rsidR="00643CB3" w:rsidRPr="00643CB3" w14:paraId="64F17B4C" w14:textId="77777777" w:rsidTr="003248FD">
        <w:tc>
          <w:tcPr>
            <w:tcW w:w="9634" w:type="dxa"/>
            <w:gridSpan w:val="9"/>
          </w:tcPr>
          <w:p w14:paraId="66B2659F" w14:textId="77777777" w:rsidR="00643CB3" w:rsidRPr="00643CB3" w:rsidRDefault="00643CB3" w:rsidP="00643CB3">
            <w:pPr>
              <w:tabs>
                <w:tab w:val="right" w:pos="9072"/>
              </w:tabs>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Analitički set za ispitanike predviđene za liječenje</w:t>
            </w:r>
            <w:r w:rsidRPr="00643CB3">
              <w:rPr>
                <w:rFonts w:ascii="Times New Roman" w:eastAsia="Calibri" w:hAnsi="Times New Roman" w:cs="Times New Roman"/>
                <w:lang w:val="sr-Latn-ME"/>
              </w:rPr>
              <w:t xml:space="preserve"> </w:t>
            </w:r>
            <w:r w:rsidRPr="00643CB3">
              <w:rPr>
                <w:rFonts w:ascii="Times New Roman" w:eastAsia="Calibri" w:hAnsi="Times New Roman" w:cs="Times New Roman"/>
                <w:b/>
                <w:lang w:val="sr-Latn-ME"/>
              </w:rPr>
              <w:t>(ITT)</w:t>
            </w:r>
            <w:r w:rsidRPr="00643CB3">
              <w:rPr>
                <w:rFonts w:ascii="Times New Roman" w:eastAsia="Calibri" w:hAnsi="Times New Roman" w:cs="Times New Roman"/>
                <w:lang w:val="sr-Latn-ME"/>
              </w:rPr>
              <w:t xml:space="preserve"> </w:t>
            </w:r>
            <w:r w:rsidRPr="00643CB3">
              <w:rPr>
                <w:rFonts w:ascii="Times New Roman" w:eastAsia="Calibri" w:hAnsi="Times New Roman" w:cs="Times New Roman"/>
                <w:b/>
                <w:vertAlign w:val="superscript"/>
                <w:lang w:val="sr-Latn-ME"/>
              </w:rPr>
              <w:t>+</w:t>
            </w:r>
          </w:p>
        </w:tc>
      </w:tr>
      <w:tr w:rsidR="00643CB3" w:rsidRPr="00643CB3" w14:paraId="7F7C6A64" w14:textId="77777777" w:rsidTr="003248FD">
        <w:tc>
          <w:tcPr>
            <w:tcW w:w="1188" w:type="dxa"/>
            <w:tcBorders>
              <w:right w:val="double" w:sz="4" w:space="0" w:color="auto"/>
            </w:tcBorders>
          </w:tcPr>
          <w:p w14:paraId="1F13FA16"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N</w:t>
            </w:r>
          </w:p>
        </w:tc>
        <w:tc>
          <w:tcPr>
            <w:tcW w:w="967" w:type="dxa"/>
            <w:tcBorders>
              <w:left w:val="double" w:sz="4" w:space="0" w:color="auto"/>
            </w:tcBorders>
          </w:tcPr>
          <w:p w14:paraId="5C6DF1E9"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538</w:t>
            </w:r>
          </w:p>
        </w:tc>
        <w:tc>
          <w:tcPr>
            <w:tcW w:w="1134" w:type="dxa"/>
          </w:tcPr>
          <w:p w14:paraId="00E66246"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536</w:t>
            </w:r>
          </w:p>
        </w:tc>
        <w:tc>
          <w:tcPr>
            <w:tcW w:w="1134" w:type="dxa"/>
          </w:tcPr>
          <w:p w14:paraId="2154B6C0"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565</w:t>
            </w:r>
          </w:p>
        </w:tc>
        <w:tc>
          <w:tcPr>
            <w:tcW w:w="1134" w:type="dxa"/>
          </w:tcPr>
          <w:p w14:paraId="49F3BABE"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196</w:t>
            </w:r>
          </w:p>
        </w:tc>
        <w:tc>
          <w:tcPr>
            <w:tcW w:w="1134" w:type="dxa"/>
          </w:tcPr>
          <w:p w14:paraId="264FEBF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321</w:t>
            </w:r>
          </w:p>
        </w:tc>
        <w:tc>
          <w:tcPr>
            <w:tcW w:w="1134" w:type="dxa"/>
            <w:tcBorders>
              <w:right w:val="double" w:sz="4" w:space="0" w:color="auto"/>
            </w:tcBorders>
          </w:tcPr>
          <w:p w14:paraId="631B67B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166</w:t>
            </w:r>
          </w:p>
        </w:tc>
        <w:tc>
          <w:tcPr>
            <w:tcW w:w="1134" w:type="dxa"/>
            <w:tcBorders>
              <w:left w:val="double" w:sz="4" w:space="0" w:color="auto"/>
            </w:tcBorders>
          </w:tcPr>
          <w:p w14:paraId="2D660E2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943</w:t>
            </w:r>
          </w:p>
        </w:tc>
        <w:tc>
          <w:tcPr>
            <w:tcW w:w="675" w:type="dxa"/>
          </w:tcPr>
          <w:p w14:paraId="3F38C22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474</w:t>
            </w:r>
          </w:p>
        </w:tc>
      </w:tr>
      <w:tr w:rsidR="00643CB3" w:rsidRPr="00643CB3" w14:paraId="7AF25B79" w14:textId="77777777" w:rsidTr="003248FD">
        <w:tc>
          <w:tcPr>
            <w:tcW w:w="1188" w:type="dxa"/>
            <w:tcBorders>
              <w:right w:val="double" w:sz="4" w:space="0" w:color="auto"/>
            </w:tcBorders>
          </w:tcPr>
          <w:p w14:paraId="630A6893"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Početna vrijednost (kg)</w:t>
            </w:r>
          </w:p>
        </w:tc>
        <w:tc>
          <w:tcPr>
            <w:tcW w:w="967" w:type="dxa"/>
            <w:tcBorders>
              <w:left w:val="double" w:sz="4" w:space="0" w:color="auto"/>
            </w:tcBorders>
            <w:vAlign w:val="center"/>
          </w:tcPr>
          <w:p w14:paraId="215ABF1F"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99,8</w:t>
            </w:r>
          </w:p>
        </w:tc>
        <w:tc>
          <w:tcPr>
            <w:tcW w:w="1134" w:type="dxa"/>
            <w:vAlign w:val="center"/>
          </w:tcPr>
          <w:p w14:paraId="3162DB6F"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99,5</w:t>
            </w:r>
          </w:p>
        </w:tc>
        <w:tc>
          <w:tcPr>
            <w:tcW w:w="1134" w:type="dxa"/>
            <w:vAlign w:val="center"/>
          </w:tcPr>
          <w:p w14:paraId="3888FCA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100,3</w:t>
            </w:r>
          </w:p>
        </w:tc>
        <w:tc>
          <w:tcPr>
            <w:tcW w:w="1134" w:type="dxa"/>
            <w:vAlign w:val="center"/>
          </w:tcPr>
          <w:p w14:paraId="7A507504"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101,8</w:t>
            </w:r>
          </w:p>
        </w:tc>
        <w:tc>
          <w:tcPr>
            <w:tcW w:w="1134" w:type="dxa"/>
            <w:vAlign w:val="center"/>
          </w:tcPr>
          <w:p w14:paraId="7BA6140F"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104,2</w:t>
            </w:r>
          </w:p>
        </w:tc>
        <w:tc>
          <w:tcPr>
            <w:tcW w:w="1134" w:type="dxa"/>
            <w:tcBorders>
              <w:right w:val="double" w:sz="4" w:space="0" w:color="auto"/>
            </w:tcBorders>
            <w:vAlign w:val="center"/>
          </w:tcPr>
          <w:p w14:paraId="2D5C7C29"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105,3</w:t>
            </w:r>
          </w:p>
        </w:tc>
        <w:tc>
          <w:tcPr>
            <w:tcW w:w="1134" w:type="dxa"/>
            <w:tcBorders>
              <w:left w:val="double" w:sz="4" w:space="0" w:color="auto"/>
            </w:tcBorders>
            <w:vAlign w:val="center"/>
          </w:tcPr>
          <w:p w14:paraId="5013FC59"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100,4</w:t>
            </w:r>
          </w:p>
        </w:tc>
        <w:tc>
          <w:tcPr>
            <w:tcW w:w="675" w:type="dxa"/>
            <w:vAlign w:val="center"/>
          </w:tcPr>
          <w:p w14:paraId="29C4B8CD"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99,4</w:t>
            </w:r>
          </w:p>
        </w:tc>
      </w:tr>
      <w:tr w:rsidR="00643CB3" w:rsidRPr="00643CB3" w14:paraId="56A2C984" w14:textId="77777777" w:rsidTr="003248FD">
        <w:tc>
          <w:tcPr>
            <w:tcW w:w="1188" w:type="dxa"/>
            <w:tcBorders>
              <w:right w:val="double" w:sz="4" w:space="0" w:color="auto"/>
            </w:tcBorders>
          </w:tcPr>
          <w:p w14:paraId="3EAC2A57" w14:textId="77777777" w:rsidR="00643CB3" w:rsidRPr="00643CB3" w:rsidRDefault="00643CB3" w:rsidP="00C416C3">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LS srednja vrijednost (95% CI) % promjene </w:t>
            </w:r>
            <w:r w:rsidRPr="00643CB3">
              <w:rPr>
                <w:rFonts w:ascii="Times New Roman" w:eastAsia="Calibri" w:hAnsi="Times New Roman" w:cs="Times New Roman"/>
                <w:lang w:val="sr-Latn-ME"/>
              </w:rPr>
              <w:lastRenderedPageBreak/>
              <w:t>od početne vrijednosti</w:t>
            </w:r>
          </w:p>
        </w:tc>
        <w:tc>
          <w:tcPr>
            <w:tcW w:w="967" w:type="dxa"/>
            <w:tcBorders>
              <w:left w:val="double" w:sz="4" w:space="0" w:color="auto"/>
            </w:tcBorders>
            <w:vAlign w:val="center"/>
          </w:tcPr>
          <w:p w14:paraId="6DE12F55"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lastRenderedPageBreak/>
              <w:t>-5,4*</w:t>
            </w:r>
          </w:p>
          <w:p w14:paraId="72E1C703"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(-6,0, -4,8)</w:t>
            </w:r>
          </w:p>
        </w:tc>
        <w:tc>
          <w:tcPr>
            <w:tcW w:w="1134" w:type="dxa"/>
            <w:vAlign w:val="center"/>
          </w:tcPr>
          <w:p w14:paraId="5A9CB719"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-1,3</w:t>
            </w:r>
          </w:p>
          <w:p w14:paraId="49292168"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(-1,9, -0,7)</w:t>
            </w:r>
          </w:p>
        </w:tc>
        <w:tc>
          <w:tcPr>
            <w:tcW w:w="1134" w:type="dxa"/>
            <w:vAlign w:val="center"/>
          </w:tcPr>
          <w:p w14:paraId="49F37F2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-8,1*</w:t>
            </w:r>
          </w:p>
          <w:p w14:paraId="1D60E17E"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(-8,8, -7,4)</w:t>
            </w:r>
          </w:p>
        </w:tc>
        <w:tc>
          <w:tcPr>
            <w:tcW w:w="1134" w:type="dxa"/>
            <w:vAlign w:val="center"/>
          </w:tcPr>
          <w:p w14:paraId="28B763B6"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-4,9</w:t>
            </w:r>
          </w:p>
          <w:p w14:paraId="1E78F4CB"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(-6,1, -3,7)</w:t>
            </w:r>
          </w:p>
        </w:tc>
        <w:tc>
          <w:tcPr>
            <w:tcW w:w="1134" w:type="dxa"/>
            <w:vAlign w:val="center"/>
          </w:tcPr>
          <w:p w14:paraId="2153C1A7"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-3,7*</w:t>
            </w:r>
          </w:p>
          <w:p w14:paraId="2538D619"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(-4,3, -3,1)</w:t>
            </w:r>
          </w:p>
        </w:tc>
        <w:tc>
          <w:tcPr>
            <w:tcW w:w="1134" w:type="dxa"/>
            <w:tcBorders>
              <w:right w:val="double" w:sz="4" w:space="0" w:color="auto"/>
            </w:tcBorders>
            <w:vAlign w:val="center"/>
          </w:tcPr>
          <w:p w14:paraId="107A39ED"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w:t>
            </w:r>
          </w:p>
          <w:p w14:paraId="3C0CFF75"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(-2,5, -0,9)</w:t>
            </w:r>
          </w:p>
        </w:tc>
        <w:tc>
          <w:tcPr>
            <w:tcW w:w="1134" w:type="dxa"/>
            <w:tcBorders>
              <w:left w:val="double" w:sz="4" w:space="0" w:color="auto"/>
            </w:tcBorders>
            <w:vAlign w:val="center"/>
          </w:tcPr>
          <w:p w14:paraId="59B0F47C"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-5,7*</w:t>
            </w:r>
          </w:p>
          <w:p w14:paraId="74A00FBC"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(-6,1, -5,3)</w:t>
            </w:r>
          </w:p>
        </w:tc>
        <w:tc>
          <w:tcPr>
            <w:tcW w:w="675" w:type="dxa"/>
            <w:vAlign w:val="center"/>
          </w:tcPr>
          <w:p w14:paraId="3B88A59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-1,9</w:t>
            </w:r>
          </w:p>
          <w:p w14:paraId="044498B3" w14:textId="77777777" w:rsidR="00643CB3" w:rsidRPr="00643CB3" w:rsidRDefault="00643CB3" w:rsidP="00C416C3">
            <w:pPr>
              <w:tabs>
                <w:tab w:val="center" w:pos="4536"/>
                <w:tab w:val="right" w:pos="9072"/>
              </w:tabs>
              <w:spacing w:after="0" w:line="240" w:lineRule="auto"/>
              <w:ind w:right="-108"/>
              <w:jc w:val="center"/>
              <w:rPr>
                <w:rFonts w:ascii="Times New Roman" w:eastAsia="Calibri" w:hAnsi="Times New Roman" w:cs="Times New Roman"/>
                <w:lang w:val="sr-Latn-ME"/>
              </w:rPr>
            </w:pPr>
            <w:r w:rsidRPr="00643CB3">
              <w:rPr>
                <w:rFonts w:ascii="Times New Roman" w:eastAsia="Calibri" w:hAnsi="Times New Roman" w:cs="Times New Roman"/>
                <w:lang w:val="sr-Latn-ME"/>
              </w:rPr>
              <w:t>(-2,4, -1,4)</w:t>
            </w:r>
          </w:p>
        </w:tc>
      </w:tr>
      <w:tr w:rsidR="00643CB3" w:rsidRPr="00643CB3" w14:paraId="7BEF2B15" w14:textId="77777777" w:rsidTr="003248FD">
        <w:tc>
          <w:tcPr>
            <w:tcW w:w="9634" w:type="dxa"/>
            <w:gridSpan w:val="9"/>
          </w:tcPr>
          <w:p w14:paraId="3E19B986"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 xml:space="preserve">Analitički set za ispitanike koji su završili studiju </w:t>
            </w:r>
            <w:r w:rsidRPr="00643CB3">
              <w:rPr>
                <w:rFonts w:ascii="Times New Roman" w:eastAsia="Calibri" w:hAnsi="Times New Roman" w:cs="Times New Roman"/>
                <w:b/>
                <w:vertAlign w:val="superscript"/>
                <w:lang w:val="sr-Latn-ME"/>
              </w:rPr>
              <w:t>++</w:t>
            </w:r>
          </w:p>
        </w:tc>
      </w:tr>
      <w:tr w:rsidR="00643CB3" w:rsidRPr="00643CB3" w14:paraId="6A071ECE" w14:textId="77777777" w:rsidTr="003248FD">
        <w:tc>
          <w:tcPr>
            <w:tcW w:w="1188" w:type="dxa"/>
            <w:tcBorders>
              <w:right w:val="double" w:sz="4" w:space="0" w:color="auto"/>
            </w:tcBorders>
          </w:tcPr>
          <w:p w14:paraId="2154C9EE"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N</w:t>
            </w:r>
          </w:p>
        </w:tc>
        <w:tc>
          <w:tcPr>
            <w:tcW w:w="967" w:type="dxa"/>
            <w:tcBorders>
              <w:left w:val="double" w:sz="4" w:space="0" w:color="auto"/>
            </w:tcBorders>
            <w:vAlign w:val="center"/>
          </w:tcPr>
          <w:p w14:paraId="4CD36855"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296</w:t>
            </w:r>
          </w:p>
        </w:tc>
        <w:tc>
          <w:tcPr>
            <w:tcW w:w="1134" w:type="dxa"/>
            <w:vAlign w:val="center"/>
          </w:tcPr>
          <w:p w14:paraId="6556598C"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290</w:t>
            </w:r>
          </w:p>
        </w:tc>
        <w:tc>
          <w:tcPr>
            <w:tcW w:w="1134" w:type="dxa"/>
            <w:vAlign w:val="center"/>
          </w:tcPr>
          <w:p w14:paraId="3CB6337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301</w:t>
            </w:r>
          </w:p>
        </w:tc>
        <w:tc>
          <w:tcPr>
            <w:tcW w:w="1134" w:type="dxa"/>
            <w:vAlign w:val="center"/>
          </w:tcPr>
          <w:p w14:paraId="34E038E3"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106</w:t>
            </w:r>
          </w:p>
        </w:tc>
        <w:tc>
          <w:tcPr>
            <w:tcW w:w="1134" w:type="dxa"/>
            <w:vAlign w:val="center"/>
          </w:tcPr>
          <w:p w14:paraId="18F33735"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175</w:t>
            </w:r>
          </w:p>
        </w:tc>
        <w:tc>
          <w:tcPr>
            <w:tcW w:w="1134" w:type="dxa"/>
            <w:tcBorders>
              <w:right w:val="double" w:sz="4" w:space="0" w:color="auto"/>
            </w:tcBorders>
            <w:vAlign w:val="center"/>
          </w:tcPr>
          <w:p w14:paraId="45999E75"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w:t>
            </w:r>
          </w:p>
        </w:tc>
        <w:tc>
          <w:tcPr>
            <w:tcW w:w="1134" w:type="dxa"/>
            <w:tcBorders>
              <w:left w:val="double" w:sz="4" w:space="0" w:color="auto"/>
            </w:tcBorders>
            <w:vAlign w:val="center"/>
          </w:tcPr>
          <w:p w14:paraId="3160BCCE"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619</w:t>
            </w:r>
          </w:p>
        </w:tc>
        <w:tc>
          <w:tcPr>
            <w:tcW w:w="675" w:type="dxa"/>
            <w:vAlign w:val="center"/>
          </w:tcPr>
          <w:p w14:paraId="6737FD8E"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319</w:t>
            </w:r>
          </w:p>
        </w:tc>
      </w:tr>
      <w:tr w:rsidR="00643CB3" w:rsidRPr="00643CB3" w14:paraId="4AB29A37" w14:textId="77777777" w:rsidTr="003248FD">
        <w:tc>
          <w:tcPr>
            <w:tcW w:w="1188" w:type="dxa"/>
            <w:tcBorders>
              <w:right w:val="double" w:sz="4" w:space="0" w:color="auto"/>
            </w:tcBorders>
          </w:tcPr>
          <w:p w14:paraId="2E35A618" w14:textId="77777777" w:rsidR="00643CB3" w:rsidRPr="00643CB3" w:rsidRDefault="00643CB3" w:rsidP="00C416C3">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Početna vrijednost (kg)</w:t>
            </w:r>
          </w:p>
        </w:tc>
        <w:tc>
          <w:tcPr>
            <w:tcW w:w="967" w:type="dxa"/>
            <w:tcBorders>
              <w:left w:val="double" w:sz="4" w:space="0" w:color="auto"/>
            </w:tcBorders>
            <w:vAlign w:val="center"/>
          </w:tcPr>
          <w:p w14:paraId="5B31B7B7"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99,8</w:t>
            </w:r>
          </w:p>
        </w:tc>
        <w:tc>
          <w:tcPr>
            <w:tcW w:w="1134" w:type="dxa"/>
            <w:vAlign w:val="center"/>
          </w:tcPr>
          <w:p w14:paraId="1D61CEE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99,2</w:t>
            </w:r>
          </w:p>
        </w:tc>
        <w:tc>
          <w:tcPr>
            <w:tcW w:w="1134" w:type="dxa"/>
            <w:vAlign w:val="center"/>
          </w:tcPr>
          <w:p w14:paraId="4C4A810D"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101,2</w:t>
            </w:r>
          </w:p>
        </w:tc>
        <w:tc>
          <w:tcPr>
            <w:tcW w:w="1134" w:type="dxa"/>
            <w:vAlign w:val="center"/>
          </w:tcPr>
          <w:p w14:paraId="6145BE77"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100,4</w:t>
            </w:r>
          </w:p>
        </w:tc>
        <w:tc>
          <w:tcPr>
            <w:tcW w:w="1134" w:type="dxa"/>
            <w:vAlign w:val="center"/>
          </w:tcPr>
          <w:p w14:paraId="4BA8C6E7"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107,0</w:t>
            </w:r>
          </w:p>
        </w:tc>
        <w:tc>
          <w:tcPr>
            <w:tcW w:w="1134" w:type="dxa"/>
            <w:tcBorders>
              <w:right w:val="double" w:sz="4" w:space="0" w:color="auto"/>
            </w:tcBorders>
            <w:vAlign w:val="center"/>
          </w:tcPr>
          <w:p w14:paraId="24E3666F"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105,1</w:t>
            </w:r>
          </w:p>
        </w:tc>
        <w:tc>
          <w:tcPr>
            <w:tcW w:w="1134" w:type="dxa"/>
            <w:tcBorders>
              <w:left w:val="double" w:sz="4" w:space="0" w:color="auto"/>
            </w:tcBorders>
            <w:vAlign w:val="center"/>
          </w:tcPr>
          <w:p w14:paraId="42DD73FC"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101,2</w:t>
            </w:r>
          </w:p>
        </w:tc>
        <w:tc>
          <w:tcPr>
            <w:tcW w:w="675" w:type="dxa"/>
            <w:vAlign w:val="center"/>
          </w:tcPr>
          <w:p w14:paraId="44B76536"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99,0</w:t>
            </w:r>
          </w:p>
        </w:tc>
      </w:tr>
      <w:tr w:rsidR="00643CB3" w:rsidRPr="00643CB3" w14:paraId="1AA2CF75" w14:textId="77777777" w:rsidTr="003248FD">
        <w:tc>
          <w:tcPr>
            <w:tcW w:w="1188" w:type="dxa"/>
            <w:tcBorders>
              <w:right w:val="double" w:sz="4" w:space="0" w:color="auto"/>
            </w:tcBorders>
          </w:tcPr>
          <w:p w14:paraId="40D30267" w14:textId="77777777" w:rsidR="00643CB3" w:rsidRPr="00643CB3" w:rsidRDefault="00643CB3" w:rsidP="00C416C3">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LS srednja vrijednost (95% CI) % promjene od početne</w:t>
            </w:r>
          </w:p>
          <w:p w14:paraId="7A0FFBC3" w14:textId="77777777" w:rsidR="00643CB3" w:rsidRPr="00643CB3" w:rsidRDefault="00643CB3" w:rsidP="00C416C3">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vrijednosti</w:t>
            </w:r>
          </w:p>
        </w:tc>
        <w:tc>
          <w:tcPr>
            <w:tcW w:w="967" w:type="dxa"/>
            <w:tcBorders>
              <w:left w:val="double" w:sz="4" w:space="0" w:color="auto"/>
            </w:tcBorders>
            <w:vAlign w:val="center"/>
          </w:tcPr>
          <w:p w14:paraId="523A5995"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-8,1</w:t>
            </w:r>
          </w:p>
          <w:p w14:paraId="238B78C8"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(-9,0, -7,2)</w:t>
            </w:r>
          </w:p>
        </w:tc>
        <w:tc>
          <w:tcPr>
            <w:tcW w:w="1134" w:type="dxa"/>
            <w:vAlign w:val="center"/>
          </w:tcPr>
          <w:p w14:paraId="38A5475B"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-1,8</w:t>
            </w:r>
          </w:p>
          <w:p w14:paraId="37AF3877"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(-2,7, -0,9)</w:t>
            </w:r>
          </w:p>
        </w:tc>
        <w:tc>
          <w:tcPr>
            <w:tcW w:w="1134" w:type="dxa"/>
            <w:vAlign w:val="center"/>
          </w:tcPr>
          <w:p w14:paraId="5815EEDE"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-11,5</w:t>
            </w:r>
          </w:p>
          <w:p w14:paraId="5C7998FB" w14:textId="77777777" w:rsidR="00643CB3" w:rsidRPr="00643CB3" w:rsidRDefault="00643CB3" w:rsidP="00C416C3">
            <w:pPr>
              <w:tabs>
                <w:tab w:val="right" w:pos="9072"/>
              </w:tabs>
              <w:spacing w:after="0" w:line="240" w:lineRule="auto"/>
              <w:ind w:right="-108"/>
              <w:jc w:val="center"/>
              <w:rPr>
                <w:rFonts w:ascii="Times New Roman" w:eastAsia="Calibri" w:hAnsi="Times New Roman" w:cs="Times New Roman"/>
                <w:lang w:val="sr-Latn-ME"/>
              </w:rPr>
            </w:pPr>
            <w:r w:rsidRPr="00643CB3">
              <w:rPr>
                <w:rFonts w:ascii="Times New Roman" w:eastAsia="Calibri" w:hAnsi="Times New Roman" w:cs="Times New Roman"/>
                <w:lang w:val="sr-Latn-ME"/>
              </w:rPr>
              <w:t>(-12,6, -10,4)</w:t>
            </w:r>
          </w:p>
        </w:tc>
        <w:tc>
          <w:tcPr>
            <w:tcW w:w="1134" w:type="dxa"/>
            <w:vAlign w:val="center"/>
          </w:tcPr>
          <w:p w14:paraId="3FEEC953"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-7,3</w:t>
            </w:r>
          </w:p>
          <w:p w14:paraId="46AE3D75"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(-9,0, -5,6)</w:t>
            </w:r>
          </w:p>
        </w:tc>
        <w:tc>
          <w:tcPr>
            <w:tcW w:w="1134" w:type="dxa"/>
            <w:vAlign w:val="center"/>
          </w:tcPr>
          <w:p w14:paraId="25789636"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-5,9</w:t>
            </w:r>
          </w:p>
          <w:p w14:paraId="1E274DE4"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(-6,8, -5,0)</w:t>
            </w:r>
          </w:p>
        </w:tc>
        <w:tc>
          <w:tcPr>
            <w:tcW w:w="1134" w:type="dxa"/>
            <w:tcBorders>
              <w:right w:val="double" w:sz="4" w:space="0" w:color="auto"/>
            </w:tcBorders>
            <w:vAlign w:val="center"/>
          </w:tcPr>
          <w:p w14:paraId="64E3E71D"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-2,2</w:t>
            </w:r>
          </w:p>
          <w:p w14:paraId="162621B9"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(-3,4, -1,0)</w:t>
            </w:r>
          </w:p>
        </w:tc>
        <w:tc>
          <w:tcPr>
            <w:tcW w:w="1134" w:type="dxa"/>
            <w:tcBorders>
              <w:left w:val="double" w:sz="4" w:space="0" w:color="auto"/>
            </w:tcBorders>
            <w:vAlign w:val="center"/>
          </w:tcPr>
          <w:p w14:paraId="4FE8760C"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-7,8</w:t>
            </w:r>
          </w:p>
          <w:p w14:paraId="24057AE9"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(-8,3, -7,3)</w:t>
            </w:r>
          </w:p>
        </w:tc>
        <w:tc>
          <w:tcPr>
            <w:tcW w:w="675" w:type="dxa"/>
            <w:vAlign w:val="center"/>
          </w:tcPr>
          <w:p w14:paraId="0148FA3D" w14:textId="77777777" w:rsidR="00643CB3" w:rsidRPr="00643CB3" w:rsidRDefault="00643CB3" w:rsidP="00C416C3">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-2,4</w:t>
            </w:r>
          </w:p>
          <w:p w14:paraId="67B4B579" w14:textId="77777777" w:rsidR="00643CB3" w:rsidRPr="00643CB3" w:rsidRDefault="00643CB3" w:rsidP="00C416C3">
            <w:pPr>
              <w:tabs>
                <w:tab w:val="center" w:pos="4536"/>
                <w:tab w:val="right" w:pos="9072"/>
              </w:tabs>
              <w:spacing w:after="0" w:line="240" w:lineRule="auto"/>
              <w:ind w:right="-108"/>
              <w:jc w:val="center"/>
              <w:rPr>
                <w:rFonts w:ascii="Times New Roman" w:eastAsia="Calibri" w:hAnsi="Times New Roman" w:cs="Times New Roman"/>
                <w:lang w:val="sr-Latn-ME"/>
              </w:rPr>
            </w:pPr>
            <w:r w:rsidRPr="00643CB3">
              <w:rPr>
                <w:rFonts w:ascii="Times New Roman" w:eastAsia="Calibri" w:hAnsi="Times New Roman" w:cs="Times New Roman"/>
                <w:lang w:val="sr-Latn-ME"/>
              </w:rPr>
              <w:t>(-3,0, -1,8)</w:t>
            </w:r>
          </w:p>
        </w:tc>
      </w:tr>
    </w:tbl>
    <w:p w14:paraId="72FD7B0A"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CI, Interval pouzdanosti; LS (engl. </w:t>
      </w:r>
      <w:r w:rsidRPr="00643CB3">
        <w:rPr>
          <w:rFonts w:ascii="Times New Roman" w:eastAsia="Times New Roman" w:hAnsi="Times New Roman" w:cs="Times New Roman"/>
          <w:i/>
          <w:lang w:val="sr-Latn-ME"/>
        </w:rPr>
        <w:t>Least Squares</w:t>
      </w:r>
      <w:r w:rsidRPr="00643CB3">
        <w:rPr>
          <w:rFonts w:ascii="Times New Roman" w:eastAsia="Times New Roman" w:hAnsi="Times New Roman" w:cs="Times New Roman"/>
          <w:lang w:val="sr-Latn-ME"/>
        </w:rPr>
        <w:t>), najmanji kvadrati.</w:t>
      </w:r>
    </w:p>
    <w:p w14:paraId="0166300A"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95% intervala pouzdanosti izračunato kao srednja vrijednost LS ± 1,96 x standardna greška.</w:t>
      </w:r>
    </w:p>
    <w:p w14:paraId="484D976B"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vertAlign w:val="superscript"/>
          <w:lang w:val="sr-Latn-ME"/>
        </w:rPr>
        <w:t>+</w:t>
      </w:r>
      <w:r w:rsidRPr="00643CB3">
        <w:rPr>
          <w:rFonts w:ascii="Times New Roman" w:eastAsia="Times New Roman" w:hAnsi="Times New Roman" w:cs="Times New Roman"/>
          <w:lang w:val="sr-Latn-ME"/>
        </w:rPr>
        <w:tab/>
        <w:t>Ispitanici koji su randomizovani, imali su mjerenje tjelesne mase na početku, i najmanje jedno mjerenje tjelesne mase nakon početnog tokom definisane faze liječenja. Rezultati se zasnivaju na LOCF analizi.</w:t>
      </w:r>
    </w:p>
    <w:p w14:paraId="63B6CF05"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vertAlign w:val="superscript"/>
          <w:lang w:val="sr-Latn-ME"/>
        </w:rPr>
        <w:t>++</w:t>
      </w:r>
      <w:r w:rsidRPr="00643CB3">
        <w:rPr>
          <w:rFonts w:ascii="Times New Roman" w:eastAsia="Times New Roman" w:hAnsi="Times New Roman" w:cs="Times New Roman"/>
          <w:lang w:val="sr-Latn-ME"/>
        </w:rPr>
        <w:tab/>
        <w:t>Ispitanici kojima je mjerena početna i tjelesna masa nakon početne i koji su završili liječenje u trajanju od 56 nedjelja (studije NB-301, NB-302 i NB-304) ili 28 nedjelja (NB-303).</w:t>
      </w:r>
    </w:p>
    <w:p w14:paraId="7730CE60"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Razlika u odnosu na placebo &lt; 0,001.</w:t>
      </w:r>
    </w:p>
    <w:p w14:paraId="266A37BB"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Studije NB-301, NB-302 i NB-303 su sprovedene kod ispitanika koji su bili gojazni, ili sa prekomjernom tjelesnom masom, ili gojazni sa pratećim bolestima. Studija NB-302 je imala intenzivniji program promjene ponašanja, dok je primarni parametar praćenja efikasnosti studije NB-303 bio u 28. nedjelji kako bi se omogućila rerandomizacija na druge doze u kasnijem dijelu studije. Studija NB-304 je bila sprovedena kod ispitanika koji su imali prekomjernu tjelesnu masu ili koji su bili gojazni i imali dijabetes melitus tip 2.</w:t>
      </w:r>
    </w:p>
    <w:p w14:paraId="53E8C857"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245A8F6B" w14:textId="118344FB"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Procenat ispitanika sa gubitkom tjelesne mase ≥ 5% ili ≥ 10% od početne vrijednosti bio je veći sa fiksnom kombinacijom naltrekson/bupropion u poređenju sa placebom u sva četiri ispitivanja gojaznosti faze III (Tabela </w:t>
      </w:r>
      <w:r w:rsidR="00B9608A">
        <w:rPr>
          <w:rFonts w:ascii="Times New Roman" w:eastAsia="Times New Roman" w:hAnsi="Times New Roman" w:cs="Times New Roman"/>
          <w:lang w:val="sr-Latn-ME"/>
        </w:rPr>
        <w:t>4</w:t>
      </w:r>
      <w:r w:rsidRPr="00643CB3">
        <w:rPr>
          <w:rFonts w:ascii="Times New Roman" w:eastAsia="Times New Roman" w:hAnsi="Times New Roman" w:cs="Times New Roman"/>
          <w:lang w:val="sr-Latn-ME"/>
        </w:rPr>
        <w:t>).</w:t>
      </w:r>
    </w:p>
    <w:p w14:paraId="413CBF3B"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52811F96" w14:textId="2C57D246"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 xml:space="preserve">Tabela </w:t>
      </w:r>
      <w:r w:rsidR="00B9608A" w:rsidRPr="003248FD">
        <w:rPr>
          <w:rFonts w:ascii="Times New Roman" w:eastAsia="Times New Roman" w:hAnsi="Times New Roman" w:cs="Times New Roman"/>
          <w:b/>
          <w:lang w:val="sr-Latn-ME"/>
        </w:rPr>
        <w:t>4</w:t>
      </w:r>
      <w:r w:rsidRPr="003248FD">
        <w:rPr>
          <w:rFonts w:ascii="Times New Roman" w:eastAsia="Times New Roman" w:hAnsi="Times New Roman" w:cs="Times New Roman"/>
          <w:b/>
          <w:lang w:val="sr-Latn-ME"/>
        </w:rPr>
        <w:t>.</w:t>
      </w:r>
    </w:p>
    <w:p w14:paraId="3EA59F93" w14:textId="77777777"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Procenat (%) ispitanika sa gubitkom tjelesne mase ≥ 5% i ≥ 10% od početne vrijednosti do 56. nedjelje u studijama faze 3 NB-301, NB-302 i NB-304, i od početne vrijednosti do 28. nedjelje u studiji faze III NB-303.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049"/>
        <w:gridCol w:w="1134"/>
        <w:gridCol w:w="1134"/>
        <w:gridCol w:w="1134"/>
        <w:gridCol w:w="1134"/>
        <w:gridCol w:w="1134"/>
        <w:gridCol w:w="1134"/>
        <w:gridCol w:w="675"/>
      </w:tblGrid>
      <w:tr w:rsidR="00643CB3" w:rsidRPr="00643CB3" w14:paraId="4BA7788D" w14:textId="77777777" w:rsidTr="003248FD">
        <w:tc>
          <w:tcPr>
            <w:tcW w:w="1106" w:type="dxa"/>
            <w:vMerge w:val="restart"/>
            <w:tcBorders>
              <w:right w:val="double" w:sz="4" w:space="0" w:color="auto"/>
            </w:tcBorders>
          </w:tcPr>
          <w:p w14:paraId="72E79B52"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6719" w:type="dxa"/>
            <w:gridSpan w:val="6"/>
            <w:tcBorders>
              <w:left w:val="double" w:sz="4" w:space="0" w:color="auto"/>
              <w:right w:val="double" w:sz="4" w:space="0" w:color="auto"/>
            </w:tcBorders>
          </w:tcPr>
          <w:p w14:paraId="3A3E9F96" w14:textId="77777777" w:rsidR="00643CB3" w:rsidRPr="00643CB3" w:rsidRDefault="00643CB3" w:rsidP="00C416C3">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Podaci za 56 nedjelja</w:t>
            </w:r>
          </w:p>
        </w:tc>
        <w:tc>
          <w:tcPr>
            <w:tcW w:w="1809" w:type="dxa"/>
            <w:gridSpan w:val="2"/>
            <w:tcBorders>
              <w:left w:val="double" w:sz="4" w:space="0" w:color="auto"/>
            </w:tcBorders>
          </w:tcPr>
          <w:p w14:paraId="0F7D0EA5" w14:textId="77777777" w:rsidR="00643CB3" w:rsidRPr="00643CB3" w:rsidRDefault="00643CB3" w:rsidP="00C416C3">
            <w:pPr>
              <w:tabs>
                <w:tab w:val="center" w:pos="4536"/>
                <w:tab w:val="right" w:pos="9072"/>
              </w:tabs>
              <w:spacing w:after="0" w:line="240" w:lineRule="auto"/>
              <w:ind w:right="-108"/>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Podaci za 28 nedjelja</w:t>
            </w:r>
          </w:p>
        </w:tc>
      </w:tr>
      <w:tr w:rsidR="00643CB3" w:rsidRPr="00643CB3" w14:paraId="7DCBF74C" w14:textId="77777777" w:rsidTr="003248FD">
        <w:tc>
          <w:tcPr>
            <w:tcW w:w="1106" w:type="dxa"/>
            <w:vMerge/>
          </w:tcPr>
          <w:p w14:paraId="72C8A44B"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2183" w:type="dxa"/>
            <w:gridSpan w:val="2"/>
          </w:tcPr>
          <w:p w14:paraId="1653C0BE" w14:textId="77777777" w:rsidR="00643CB3" w:rsidRPr="00643CB3" w:rsidRDefault="00643CB3" w:rsidP="00C416C3">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NB-301</w:t>
            </w:r>
          </w:p>
        </w:tc>
        <w:tc>
          <w:tcPr>
            <w:tcW w:w="2268" w:type="dxa"/>
            <w:gridSpan w:val="2"/>
          </w:tcPr>
          <w:p w14:paraId="2615F74A"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NB-302</w:t>
            </w:r>
          </w:p>
        </w:tc>
        <w:tc>
          <w:tcPr>
            <w:tcW w:w="2268" w:type="dxa"/>
            <w:gridSpan w:val="2"/>
          </w:tcPr>
          <w:p w14:paraId="33BCA98D"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NB-304</w:t>
            </w:r>
          </w:p>
        </w:tc>
        <w:tc>
          <w:tcPr>
            <w:tcW w:w="1809" w:type="dxa"/>
            <w:gridSpan w:val="2"/>
          </w:tcPr>
          <w:p w14:paraId="67C14DA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NB-303</w:t>
            </w:r>
          </w:p>
        </w:tc>
      </w:tr>
      <w:tr w:rsidR="00643CB3" w:rsidRPr="00643CB3" w14:paraId="4921276A" w14:textId="77777777" w:rsidTr="003248FD">
        <w:tc>
          <w:tcPr>
            <w:tcW w:w="1106" w:type="dxa"/>
            <w:vMerge/>
          </w:tcPr>
          <w:p w14:paraId="14DB0856"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1049" w:type="dxa"/>
          </w:tcPr>
          <w:p w14:paraId="31DB8A1C" w14:textId="77777777" w:rsidR="00643CB3" w:rsidRPr="00643CB3" w:rsidRDefault="00643CB3" w:rsidP="00C416C3">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134" w:type="dxa"/>
          </w:tcPr>
          <w:p w14:paraId="4E4E16DC"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134" w:type="dxa"/>
          </w:tcPr>
          <w:p w14:paraId="24CFC2BA"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134" w:type="dxa"/>
          </w:tcPr>
          <w:p w14:paraId="516E1403"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134" w:type="dxa"/>
          </w:tcPr>
          <w:p w14:paraId="0702AB02"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134" w:type="dxa"/>
          </w:tcPr>
          <w:p w14:paraId="0C671F2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134" w:type="dxa"/>
          </w:tcPr>
          <w:p w14:paraId="6B21FFB1"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675" w:type="dxa"/>
          </w:tcPr>
          <w:p w14:paraId="125B06D0" w14:textId="77777777" w:rsidR="00643CB3" w:rsidRPr="00643CB3" w:rsidRDefault="00643CB3" w:rsidP="00C416C3">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r>
      <w:tr w:rsidR="00643CB3" w:rsidRPr="00643CB3" w14:paraId="34AFC53D" w14:textId="77777777" w:rsidTr="003248FD">
        <w:tc>
          <w:tcPr>
            <w:tcW w:w="9634" w:type="dxa"/>
            <w:gridSpan w:val="9"/>
            <w:tcBorders>
              <w:left w:val="double" w:sz="4" w:space="0" w:color="auto"/>
            </w:tcBorders>
          </w:tcPr>
          <w:p w14:paraId="17F1DCC9" w14:textId="77777777" w:rsidR="00643CB3" w:rsidRPr="00643CB3" w:rsidRDefault="00643CB3" w:rsidP="00643CB3">
            <w:pPr>
              <w:tabs>
                <w:tab w:val="right" w:pos="9072"/>
              </w:tabs>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 xml:space="preserve">Randomizovana populacija </w:t>
            </w:r>
            <w:r w:rsidRPr="00643CB3">
              <w:rPr>
                <w:rFonts w:ascii="Times New Roman" w:eastAsia="Calibri" w:hAnsi="Times New Roman" w:cs="Times New Roman"/>
                <w:b/>
                <w:vertAlign w:val="superscript"/>
                <w:lang w:val="sr-Latn-ME"/>
              </w:rPr>
              <w:t>+</w:t>
            </w:r>
          </w:p>
        </w:tc>
      </w:tr>
      <w:tr w:rsidR="00643CB3" w:rsidRPr="00643CB3" w14:paraId="7700447A" w14:textId="77777777" w:rsidTr="003248FD">
        <w:tc>
          <w:tcPr>
            <w:tcW w:w="1106" w:type="dxa"/>
            <w:tcBorders>
              <w:right w:val="double" w:sz="4" w:space="0" w:color="auto"/>
            </w:tcBorders>
          </w:tcPr>
          <w:p w14:paraId="562E942B"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N</w:t>
            </w:r>
          </w:p>
        </w:tc>
        <w:tc>
          <w:tcPr>
            <w:tcW w:w="1049" w:type="dxa"/>
            <w:tcBorders>
              <w:left w:val="double" w:sz="4" w:space="0" w:color="auto"/>
            </w:tcBorders>
          </w:tcPr>
          <w:p w14:paraId="53F71BBF"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583</w:t>
            </w:r>
          </w:p>
        </w:tc>
        <w:tc>
          <w:tcPr>
            <w:tcW w:w="1134" w:type="dxa"/>
          </w:tcPr>
          <w:p w14:paraId="49F05E5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581</w:t>
            </w:r>
          </w:p>
        </w:tc>
        <w:tc>
          <w:tcPr>
            <w:tcW w:w="1134" w:type="dxa"/>
          </w:tcPr>
          <w:p w14:paraId="255FA498"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591</w:t>
            </w:r>
          </w:p>
        </w:tc>
        <w:tc>
          <w:tcPr>
            <w:tcW w:w="1134" w:type="dxa"/>
          </w:tcPr>
          <w:p w14:paraId="613A1A28"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202</w:t>
            </w:r>
          </w:p>
        </w:tc>
        <w:tc>
          <w:tcPr>
            <w:tcW w:w="1134" w:type="dxa"/>
          </w:tcPr>
          <w:p w14:paraId="0D0A608D"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335</w:t>
            </w:r>
          </w:p>
        </w:tc>
        <w:tc>
          <w:tcPr>
            <w:tcW w:w="1134" w:type="dxa"/>
            <w:tcBorders>
              <w:right w:val="double" w:sz="4" w:space="0" w:color="auto"/>
            </w:tcBorders>
          </w:tcPr>
          <w:p w14:paraId="6226C9E7"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170</w:t>
            </w:r>
          </w:p>
        </w:tc>
        <w:tc>
          <w:tcPr>
            <w:tcW w:w="1134" w:type="dxa"/>
            <w:tcBorders>
              <w:left w:val="double" w:sz="4" w:space="0" w:color="auto"/>
            </w:tcBorders>
          </w:tcPr>
          <w:p w14:paraId="051C841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1001</w:t>
            </w:r>
          </w:p>
        </w:tc>
        <w:tc>
          <w:tcPr>
            <w:tcW w:w="675" w:type="dxa"/>
          </w:tcPr>
          <w:p w14:paraId="3204A37A"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495</w:t>
            </w:r>
          </w:p>
        </w:tc>
      </w:tr>
      <w:tr w:rsidR="00643CB3" w:rsidRPr="00643CB3" w14:paraId="470B7882" w14:textId="77777777" w:rsidTr="003248FD">
        <w:tc>
          <w:tcPr>
            <w:tcW w:w="1106" w:type="dxa"/>
            <w:tcBorders>
              <w:right w:val="double" w:sz="4" w:space="0" w:color="auto"/>
            </w:tcBorders>
          </w:tcPr>
          <w:p w14:paraId="604FEF42"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gubitak tjelesne mase </w:t>
            </w:r>
          </w:p>
          <w:p w14:paraId="759AA964"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5%</w:t>
            </w:r>
          </w:p>
        </w:tc>
        <w:tc>
          <w:tcPr>
            <w:tcW w:w="1049" w:type="dxa"/>
            <w:tcBorders>
              <w:left w:val="double" w:sz="4" w:space="0" w:color="auto"/>
            </w:tcBorders>
            <w:vAlign w:val="center"/>
          </w:tcPr>
          <w:p w14:paraId="4961492E"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31*</w:t>
            </w:r>
          </w:p>
        </w:tc>
        <w:tc>
          <w:tcPr>
            <w:tcW w:w="1134" w:type="dxa"/>
            <w:vAlign w:val="center"/>
          </w:tcPr>
          <w:p w14:paraId="34413A4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12</w:t>
            </w:r>
          </w:p>
        </w:tc>
        <w:tc>
          <w:tcPr>
            <w:tcW w:w="1134" w:type="dxa"/>
            <w:vAlign w:val="center"/>
          </w:tcPr>
          <w:p w14:paraId="4564D9E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46**</w:t>
            </w:r>
          </w:p>
        </w:tc>
        <w:tc>
          <w:tcPr>
            <w:tcW w:w="1134" w:type="dxa"/>
            <w:vAlign w:val="center"/>
          </w:tcPr>
          <w:p w14:paraId="4909652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34</w:t>
            </w:r>
          </w:p>
        </w:tc>
        <w:tc>
          <w:tcPr>
            <w:tcW w:w="1134" w:type="dxa"/>
            <w:vAlign w:val="center"/>
          </w:tcPr>
          <w:p w14:paraId="0879DC37"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28*</w:t>
            </w:r>
          </w:p>
        </w:tc>
        <w:tc>
          <w:tcPr>
            <w:tcW w:w="1134" w:type="dxa"/>
            <w:tcBorders>
              <w:right w:val="double" w:sz="4" w:space="0" w:color="auto"/>
            </w:tcBorders>
            <w:vAlign w:val="center"/>
          </w:tcPr>
          <w:p w14:paraId="4601DE0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14</w:t>
            </w:r>
          </w:p>
        </w:tc>
        <w:tc>
          <w:tcPr>
            <w:tcW w:w="1134" w:type="dxa"/>
            <w:tcBorders>
              <w:left w:val="double" w:sz="4" w:space="0" w:color="auto"/>
            </w:tcBorders>
            <w:vAlign w:val="center"/>
          </w:tcPr>
          <w:p w14:paraId="50B0A22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42*</w:t>
            </w:r>
          </w:p>
        </w:tc>
        <w:tc>
          <w:tcPr>
            <w:tcW w:w="675" w:type="dxa"/>
            <w:vAlign w:val="center"/>
          </w:tcPr>
          <w:p w14:paraId="23491DDD"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14</w:t>
            </w:r>
          </w:p>
        </w:tc>
      </w:tr>
      <w:tr w:rsidR="00643CB3" w:rsidRPr="00643CB3" w14:paraId="0666AFC5" w14:textId="77777777" w:rsidTr="003248FD">
        <w:tc>
          <w:tcPr>
            <w:tcW w:w="1106" w:type="dxa"/>
            <w:tcBorders>
              <w:right w:val="double" w:sz="4" w:space="0" w:color="auto"/>
            </w:tcBorders>
          </w:tcPr>
          <w:p w14:paraId="1E1AE92C"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gubitak tjelesne mase </w:t>
            </w:r>
          </w:p>
          <w:p w14:paraId="096FFD94"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10%</w:t>
            </w:r>
          </w:p>
        </w:tc>
        <w:tc>
          <w:tcPr>
            <w:tcW w:w="1049" w:type="dxa"/>
            <w:tcBorders>
              <w:left w:val="double" w:sz="4" w:space="0" w:color="auto"/>
            </w:tcBorders>
            <w:vAlign w:val="center"/>
          </w:tcPr>
          <w:p w14:paraId="285FB9E9"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w:t>
            </w:r>
          </w:p>
        </w:tc>
        <w:tc>
          <w:tcPr>
            <w:tcW w:w="1134" w:type="dxa"/>
            <w:vAlign w:val="center"/>
          </w:tcPr>
          <w:p w14:paraId="7B6BDA6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w:t>
            </w:r>
          </w:p>
        </w:tc>
        <w:tc>
          <w:tcPr>
            <w:tcW w:w="1134" w:type="dxa"/>
            <w:vAlign w:val="center"/>
          </w:tcPr>
          <w:p w14:paraId="73A5F16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30*</w:t>
            </w:r>
          </w:p>
        </w:tc>
        <w:tc>
          <w:tcPr>
            <w:tcW w:w="1134" w:type="dxa"/>
            <w:vAlign w:val="center"/>
          </w:tcPr>
          <w:p w14:paraId="402A52AF"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w:t>
            </w:r>
          </w:p>
        </w:tc>
        <w:tc>
          <w:tcPr>
            <w:tcW w:w="1134" w:type="dxa"/>
            <w:vAlign w:val="center"/>
          </w:tcPr>
          <w:p w14:paraId="32B2D6D2"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13**</w:t>
            </w:r>
          </w:p>
        </w:tc>
        <w:tc>
          <w:tcPr>
            <w:tcW w:w="1134" w:type="dxa"/>
            <w:tcBorders>
              <w:right w:val="double" w:sz="4" w:space="0" w:color="auto"/>
            </w:tcBorders>
            <w:vAlign w:val="center"/>
          </w:tcPr>
          <w:p w14:paraId="11E80890"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w:t>
            </w:r>
          </w:p>
        </w:tc>
        <w:tc>
          <w:tcPr>
            <w:tcW w:w="1134" w:type="dxa"/>
            <w:tcBorders>
              <w:left w:val="double" w:sz="4" w:space="0" w:color="auto"/>
            </w:tcBorders>
            <w:vAlign w:val="center"/>
          </w:tcPr>
          <w:p w14:paraId="0D9D40BA"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22*</w:t>
            </w:r>
          </w:p>
        </w:tc>
        <w:tc>
          <w:tcPr>
            <w:tcW w:w="675" w:type="dxa"/>
            <w:vAlign w:val="center"/>
          </w:tcPr>
          <w:p w14:paraId="64C8CCD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w:t>
            </w:r>
          </w:p>
        </w:tc>
      </w:tr>
      <w:tr w:rsidR="00643CB3" w:rsidRPr="009B39C8" w14:paraId="2420BA02" w14:textId="77777777" w:rsidTr="003248FD">
        <w:tc>
          <w:tcPr>
            <w:tcW w:w="9634" w:type="dxa"/>
            <w:gridSpan w:val="9"/>
          </w:tcPr>
          <w:p w14:paraId="2C71C85F"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 xml:space="preserve">Ispitanici koji su završili studiju </w:t>
            </w:r>
            <w:r w:rsidRPr="00643CB3">
              <w:rPr>
                <w:rFonts w:ascii="Times New Roman" w:eastAsia="Calibri" w:hAnsi="Times New Roman" w:cs="Times New Roman"/>
                <w:b/>
                <w:vertAlign w:val="superscript"/>
                <w:lang w:val="sr-Latn-ME"/>
              </w:rPr>
              <w:t>++</w:t>
            </w:r>
          </w:p>
        </w:tc>
      </w:tr>
      <w:tr w:rsidR="00643CB3" w:rsidRPr="00643CB3" w14:paraId="04FAA40C" w14:textId="77777777" w:rsidTr="003248FD">
        <w:tc>
          <w:tcPr>
            <w:tcW w:w="1106" w:type="dxa"/>
            <w:tcBorders>
              <w:right w:val="double" w:sz="4" w:space="0" w:color="auto"/>
            </w:tcBorders>
          </w:tcPr>
          <w:p w14:paraId="168C9BDF"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lastRenderedPageBreak/>
              <w:t>N</w:t>
            </w:r>
          </w:p>
        </w:tc>
        <w:tc>
          <w:tcPr>
            <w:tcW w:w="1049" w:type="dxa"/>
            <w:tcBorders>
              <w:left w:val="double" w:sz="4" w:space="0" w:color="auto"/>
            </w:tcBorders>
            <w:vAlign w:val="center"/>
          </w:tcPr>
          <w:p w14:paraId="2B4475E2"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296</w:t>
            </w:r>
          </w:p>
        </w:tc>
        <w:tc>
          <w:tcPr>
            <w:tcW w:w="1134" w:type="dxa"/>
            <w:vAlign w:val="center"/>
          </w:tcPr>
          <w:p w14:paraId="7C6B1798"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290</w:t>
            </w:r>
          </w:p>
        </w:tc>
        <w:tc>
          <w:tcPr>
            <w:tcW w:w="1134" w:type="dxa"/>
            <w:vAlign w:val="center"/>
          </w:tcPr>
          <w:p w14:paraId="337520C6"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301</w:t>
            </w:r>
          </w:p>
        </w:tc>
        <w:tc>
          <w:tcPr>
            <w:tcW w:w="1134" w:type="dxa"/>
            <w:vAlign w:val="center"/>
          </w:tcPr>
          <w:p w14:paraId="2F771DD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106</w:t>
            </w:r>
          </w:p>
        </w:tc>
        <w:tc>
          <w:tcPr>
            <w:tcW w:w="1134" w:type="dxa"/>
            <w:vAlign w:val="center"/>
          </w:tcPr>
          <w:p w14:paraId="07C015F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175</w:t>
            </w:r>
          </w:p>
        </w:tc>
        <w:tc>
          <w:tcPr>
            <w:tcW w:w="1134" w:type="dxa"/>
            <w:tcBorders>
              <w:right w:val="double" w:sz="4" w:space="0" w:color="auto"/>
            </w:tcBorders>
            <w:vAlign w:val="center"/>
          </w:tcPr>
          <w:p w14:paraId="6F16CD2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w:t>
            </w:r>
          </w:p>
        </w:tc>
        <w:tc>
          <w:tcPr>
            <w:tcW w:w="1134" w:type="dxa"/>
            <w:tcBorders>
              <w:left w:val="double" w:sz="4" w:space="0" w:color="auto"/>
            </w:tcBorders>
            <w:vAlign w:val="center"/>
          </w:tcPr>
          <w:p w14:paraId="58C8AAF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619</w:t>
            </w:r>
          </w:p>
        </w:tc>
        <w:tc>
          <w:tcPr>
            <w:tcW w:w="675" w:type="dxa"/>
            <w:vAlign w:val="center"/>
          </w:tcPr>
          <w:p w14:paraId="25533A9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319</w:t>
            </w:r>
          </w:p>
        </w:tc>
      </w:tr>
      <w:tr w:rsidR="00643CB3" w:rsidRPr="00643CB3" w14:paraId="0EE0B4F6" w14:textId="77777777" w:rsidTr="003248FD">
        <w:tc>
          <w:tcPr>
            <w:tcW w:w="1106" w:type="dxa"/>
            <w:tcBorders>
              <w:right w:val="double" w:sz="4" w:space="0" w:color="auto"/>
            </w:tcBorders>
          </w:tcPr>
          <w:p w14:paraId="1E740BE5"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gubitak tjelesne mase </w:t>
            </w:r>
          </w:p>
          <w:p w14:paraId="64F9181F"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5%</w:t>
            </w:r>
          </w:p>
        </w:tc>
        <w:tc>
          <w:tcPr>
            <w:tcW w:w="1049" w:type="dxa"/>
            <w:tcBorders>
              <w:left w:val="double" w:sz="4" w:space="0" w:color="auto"/>
            </w:tcBorders>
            <w:vAlign w:val="center"/>
          </w:tcPr>
          <w:p w14:paraId="431F457D"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62</w:t>
            </w:r>
          </w:p>
        </w:tc>
        <w:tc>
          <w:tcPr>
            <w:tcW w:w="1134" w:type="dxa"/>
            <w:vAlign w:val="center"/>
          </w:tcPr>
          <w:p w14:paraId="21B9994A"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23</w:t>
            </w:r>
          </w:p>
        </w:tc>
        <w:tc>
          <w:tcPr>
            <w:tcW w:w="1134" w:type="dxa"/>
            <w:vAlign w:val="center"/>
          </w:tcPr>
          <w:p w14:paraId="683A6D4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80</w:t>
            </w:r>
          </w:p>
        </w:tc>
        <w:tc>
          <w:tcPr>
            <w:tcW w:w="1134" w:type="dxa"/>
            <w:vAlign w:val="center"/>
          </w:tcPr>
          <w:p w14:paraId="247FC60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60</w:t>
            </w:r>
          </w:p>
        </w:tc>
        <w:tc>
          <w:tcPr>
            <w:tcW w:w="1134" w:type="dxa"/>
            <w:vAlign w:val="center"/>
          </w:tcPr>
          <w:p w14:paraId="54DD47C5"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53</w:t>
            </w:r>
          </w:p>
        </w:tc>
        <w:tc>
          <w:tcPr>
            <w:tcW w:w="1134" w:type="dxa"/>
            <w:tcBorders>
              <w:right w:val="double" w:sz="4" w:space="0" w:color="auto"/>
            </w:tcBorders>
            <w:vAlign w:val="center"/>
          </w:tcPr>
          <w:p w14:paraId="48173E1D"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24</w:t>
            </w:r>
          </w:p>
        </w:tc>
        <w:tc>
          <w:tcPr>
            <w:tcW w:w="1134" w:type="dxa"/>
            <w:tcBorders>
              <w:left w:val="double" w:sz="4" w:space="0" w:color="auto"/>
            </w:tcBorders>
            <w:vAlign w:val="center"/>
          </w:tcPr>
          <w:p w14:paraId="3EB6A77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69</w:t>
            </w:r>
          </w:p>
        </w:tc>
        <w:tc>
          <w:tcPr>
            <w:tcW w:w="675" w:type="dxa"/>
            <w:vAlign w:val="center"/>
          </w:tcPr>
          <w:p w14:paraId="004269C7"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22</w:t>
            </w:r>
          </w:p>
        </w:tc>
      </w:tr>
      <w:tr w:rsidR="00643CB3" w:rsidRPr="00643CB3" w14:paraId="514C3240" w14:textId="77777777" w:rsidTr="003248FD">
        <w:tc>
          <w:tcPr>
            <w:tcW w:w="1106" w:type="dxa"/>
            <w:tcBorders>
              <w:right w:val="double" w:sz="4" w:space="0" w:color="auto"/>
            </w:tcBorders>
          </w:tcPr>
          <w:p w14:paraId="5D8B07A6"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xml:space="preserve">gubitak tjelesne mase </w:t>
            </w:r>
          </w:p>
          <w:p w14:paraId="39B1620C"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10%</w:t>
            </w:r>
          </w:p>
        </w:tc>
        <w:tc>
          <w:tcPr>
            <w:tcW w:w="1049" w:type="dxa"/>
            <w:tcBorders>
              <w:left w:val="double" w:sz="4" w:space="0" w:color="auto"/>
            </w:tcBorders>
            <w:vAlign w:val="center"/>
          </w:tcPr>
          <w:p w14:paraId="650B443E"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34</w:t>
            </w:r>
          </w:p>
        </w:tc>
        <w:tc>
          <w:tcPr>
            <w:tcW w:w="1134" w:type="dxa"/>
            <w:vAlign w:val="center"/>
          </w:tcPr>
          <w:p w14:paraId="7C45EF36"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11</w:t>
            </w:r>
          </w:p>
        </w:tc>
        <w:tc>
          <w:tcPr>
            <w:tcW w:w="1134" w:type="dxa"/>
            <w:vAlign w:val="center"/>
          </w:tcPr>
          <w:p w14:paraId="21F6F20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55</w:t>
            </w:r>
          </w:p>
        </w:tc>
        <w:tc>
          <w:tcPr>
            <w:tcW w:w="1134" w:type="dxa"/>
            <w:vAlign w:val="center"/>
          </w:tcPr>
          <w:p w14:paraId="19AF3FA0"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30</w:t>
            </w:r>
          </w:p>
        </w:tc>
        <w:tc>
          <w:tcPr>
            <w:tcW w:w="1134" w:type="dxa"/>
            <w:vAlign w:val="center"/>
          </w:tcPr>
          <w:p w14:paraId="73288B21"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26</w:t>
            </w:r>
          </w:p>
        </w:tc>
        <w:tc>
          <w:tcPr>
            <w:tcW w:w="1134" w:type="dxa"/>
            <w:tcBorders>
              <w:right w:val="double" w:sz="4" w:space="0" w:color="auto"/>
            </w:tcBorders>
            <w:vAlign w:val="center"/>
          </w:tcPr>
          <w:p w14:paraId="756E5F0E"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w:t>
            </w:r>
          </w:p>
        </w:tc>
        <w:tc>
          <w:tcPr>
            <w:tcW w:w="1134" w:type="dxa"/>
            <w:tcBorders>
              <w:left w:val="double" w:sz="4" w:space="0" w:color="auto"/>
            </w:tcBorders>
            <w:vAlign w:val="center"/>
          </w:tcPr>
          <w:p w14:paraId="264195D9"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36</w:t>
            </w:r>
          </w:p>
        </w:tc>
        <w:tc>
          <w:tcPr>
            <w:tcW w:w="675" w:type="dxa"/>
            <w:vAlign w:val="center"/>
          </w:tcPr>
          <w:p w14:paraId="3D1E5FC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9</w:t>
            </w:r>
          </w:p>
        </w:tc>
      </w:tr>
    </w:tbl>
    <w:p w14:paraId="7330917F"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vertAlign w:val="superscript"/>
          <w:lang w:val="sr-Latn-ME"/>
        </w:rPr>
        <w:t>+</w:t>
      </w:r>
      <w:r w:rsidRPr="00643CB3">
        <w:rPr>
          <w:rFonts w:ascii="Times New Roman" w:eastAsia="Times New Roman" w:hAnsi="Times New Roman" w:cs="Times New Roman"/>
          <w:lang w:val="sr-Latn-ME"/>
        </w:rPr>
        <w:tab/>
        <w:t>pomoću analize početnog posmatranja prenesenog dalje (BOCF)</w:t>
      </w:r>
    </w:p>
    <w:p w14:paraId="294AA395"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vertAlign w:val="superscript"/>
          <w:lang w:val="sr-Latn-ME"/>
        </w:rPr>
        <w:t>++</w:t>
      </w:r>
      <w:r w:rsidRPr="00643CB3">
        <w:rPr>
          <w:rFonts w:ascii="Times New Roman" w:eastAsia="Times New Roman" w:hAnsi="Times New Roman" w:cs="Times New Roman"/>
          <w:lang w:val="sr-Latn-ME"/>
        </w:rPr>
        <w:tab/>
        <w:t>Ispitanici kojima je mjerena početna i tjelesna masa nakon početne i koji su završili liječenje u trajanju od 56 nedjelja (studije NB-301, NB-302 i NB-304) ili 28 nedjelja (NB-303).</w:t>
      </w:r>
    </w:p>
    <w:p w14:paraId="2F725B14"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Razlika u odnosu na placebo, p &lt; 0,001</w:t>
      </w:r>
    </w:p>
    <w:p w14:paraId="511CE0D6"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Razlika u odnosu na placebo, p &lt; 0,01</w:t>
      </w:r>
    </w:p>
    <w:p w14:paraId="5BEA5206"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Studije NB-301, NB-302 i NB-303 su sprovedene kod ispitanika koji su bili gojazni, ili imali prekomjernu tjelesnu masu ili su bili gojazni sa pratećim bolestima. Studija NB-302 je imala intenzivniji program promjene ponašanja, dok je primarni parametar praćenja efikasnosti studije NB-303 bio 28. nedjelja kako bi se omogućila ponovna randomizacija na druge doze u kasnijem dijelu studije. Studija NB-304 je bila sprovedena kod ispitanika koji su imali prekomjernu tjelesnu masu ili koji su bili gojazni i imali dijabetes melitus tip 2.</w:t>
      </w:r>
    </w:p>
    <w:p w14:paraId="475999AE"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53697875" w14:textId="77777777" w:rsidR="00643CB3" w:rsidRPr="00643CB3"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Uvidom u rezultate ispitanika u 16. nedjelji četiri kliničke studije faze III, 50,8% ispitanika liječenih fiksnom kombinacijom naltrekson/bupropion izgubilo je ≥ 5% svoje početne tjelesne mase, u poređenju sa 19,3% kod ispitanika koji su primali placebo (koji su odgovorili na liječenje u 16. nedjelji). Za godinu dana, prosječan gubitak tjelesne mase (koristeći LOCF metodologiju) među ispitanicima koji su odgovorili na liječenje u 16. nedjelji i koji su primali fiksnu kombinaciju naltrekson/bupropion bio je 11,3%, od kojih je 55% izgubilo ≥ 10% tjelesne mase. Osim toga, ispitanici koji su odgovorili na liječenje u 16. nedjelji i koji su primili fiksnu kombinaciju naltrekson/bupropion su imali visoku stopu zadržavanja u studiji, pri čemu je 87% završilo jednu godinu liječenja. Prag gubitka tjelesne mase od ≥ 5% u 16. nedjelji je imao pozitivnu prediktivnu vrijednost od 86,4% i negativnu prediktivnu vrijednost od 84,8% za određivanje da li bi ispitanik koji je primao fiksnu kombinaciju naltrekson/bupropion postigao gubitak tjelesne mase od minimum 5% u 56. nedjelji. Kod pacijenata koji nijesu zadovoljili kriterijum ranog odgovora, utvrđeno je da nemaju povećane probleme sa podnošljivošću ili bezbjednošću u odnosu na pacijente koji su imali povoljan rani odgovor.</w:t>
      </w:r>
    </w:p>
    <w:p w14:paraId="103F0EF4" w14:textId="77777777" w:rsidR="00643CB3" w:rsidRPr="00643CB3"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5E2D5013" w14:textId="77777777" w:rsidR="00643CB3" w:rsidRPr="003248FD"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i/>
          <w:iCs/>
          <w:u w:val="single"/>
          <w:lang w:val="sr-Latn-ME"/>
        </w:rPr>
      </w:pPr>
      <w:r w:rsidRPr="003248FD">
        <w:rPr>
          <w:rFonts w:ascii="Times New Roman" w:eastAsia="Times New Roman" w:hAnsi="Times New Roman" w:cs="Times New Roman"/>
          <w:i/>
          <w:iCs/>
          <w:u w:val="single"/>
          <w:lang w:val="sr-Latn-ME"/>
        </w:rPr>
        <w:t>Uticaj na kardiovaskularne i metaboličke parametre</w:t>
      </w:r>
    </w:p>
    <w:p w14:paraId="0B65D3E7" w14:textId="669665DC" w:rsidR="00643CB3" w:rsidRPr="00643CB3"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Zabilježeno je poboljšanje vrijednosti obima struka (uključujući i ispitanike sa dijabetesom tip 2), vrijednosti triglicerida, HDL-holesterola i LDL-holesterol/HDL-holesterol odnosa za ispitanike na terapiji fiksnom kombincijom naltrekson/bupropion u odnosu na placebo u svim studijama faze III (Tabela </w:t>
      </w:r>
      <w:r w:rsidR="00B9608A">
        <w:rPr>
          <w:rFonts w:ascii="Times New Roman" w:eastAsia="Times New Roman" w:hAnsi="Times New Roman" w:cs="Times New Roman"/>
          <w:lang w:val="sr-Latn-ME"/>
        </w:rPr>
        <w:t>5</w:t>
      </w:r>
      <w:r w:rsidRPr="00643CB3">
        <w:rPr>
          <w:rFonts w:ascii="Times New Roman" w:eastAsia="Times New Roman" w:hAnsi="Times New Roman" w:cs="Times New Roman"/>
          <w:lang w:val="sr-Latn-ME"/>
        </w:rPr>
        <w:t>). Poboljšanja u vrijednos</w:t>
      </w:r>
      <w:r w:rsidR="00B16F99">
        <w:rPr>
          <w:rFonts w:ascii="Times New Roman" w:eastAsia="Times New Roman" w:hAnsi="Times New Roman" w:cs="Times New Roman"/>
          <w:lang w:val="sr-Latn-ME"/>
        </w:rPr>
        <w:t>t</w:t>
      </w:r>
      <w:r w:rsidRPr="00643CB3">
        <w:rPr>
          <w:rFonts w:ascii="Times New Roman" w:eastAsia="Times New Roman" w:hAnsi="Times New Roman" w:cs="Times New Roman"/>
          <w:lang w:val="sr-Latn-ME"/>
        </w:rPr>
        <w:t xml:space="preserve">i triglicerida, HDL-holesterola i odnosa LDL-holesterola/HDL-holesterola zabilježeni su kod ispitanika na terapiji fiksnom kombinacijom naltrekson/bupropion kod kojih je dijagnostikovana osnovna dislipidemija bez obzira na liječenje dislipidemije. Promjene u srednjoj vrijednosti krvnog pritiska opisane su u </w:t>
      </w:r>
      <w:r w:rsidR="00840DEF">
        <w:rPr>
          <w:rFonts w:ascii="Times New Roman" w:eastAsia="Times New Roman" w:hAnsi="Times New Roman" w:cs="Times New Roman"/>
          <w:lang w:val="sr-Latn-ME"/>
        </w:rPr>
        <w:t>dijelu</w:t>
      </w:r>
      <w:r w:rsidRPr="00643CB3">
        <w:rPr>
          <w:rFonts w:ascii="Times New Roman" w:eastAsia="Times New Roman" w:hAnsi="Times New Roman" w:cs="Times New Roman"/>
          <w:lang w:val="sr-Latn-ME"/>
        </w:rPr>
        <w:t xml:space="preserve"> 4.4. Pored toga, kod ispitanika koji nijesu imali dijabetes tip 2, a primali su fiksnu kombinaciju naltrekson/bupropion, bilo je smanjenja vrijednosti insulina u stanju gladovanja i HOMA-IR, mjere insulinske rezistencije.</w:t>
      </w:r>
    </w:p>
    <w:p w14:paraId="5C7F0714" w14:textId="77777777" w:rsidR="00643CB3" w:rsidRPr="00643CB3"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103F7305" w14:textId="77777777" w:rsidR="00643CB3" w:rsidRPr="003248FD"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i/>
          <w:iCs/>
          <w:u w:val="single"/>
          <w:lang w:val="sr-Latn-ME"/>
        </w:rPr>
      </w:pPr>
      <w:r w:rsidRPr="003248FD">
        <w:rPr>
          <w:rFonts w:ascii="Times New Roman" w:eastAsia="Times New Roman" w:hAnsi="Times New Roman" w:cs="Times New Roman"/>
          <w:i/>
          <w:iCs/>
          <w:u w:val="single"/>
          <w:lang w:val="sr-Latn-ME"/>
        </w:rPr>
        <w:t>Uticaj na kontrolu glikemije kod gojaznih ispitanika sa dijabetesom tip 2</w:t>
      </w:r>
    </w:p>
    <w:p w14:paraId="6D2C37BE" w14:textId="7DDD8BC8" w:rsidR="00643CB3" w:rsidRPr="00643CB3" w:rsidRDefault="00643CB3" w:rsidP="00643CB3">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Nakon 56 nedjelja terapije kod ispitanika sa dijabetesom tip 2 (NB-304), fiksna kombinacija naltrekson/bupropion je dovela do poboljšanja parametara kontrole glikemije u poređenju sa placebom (Tabela </w:t>
      </w:r>
      <w:r w:rsidR="00B9608A">
        <w:rPr>
          <w:rFonts w:ascii="Times New Roman" w:eastAsia="Times New Roman" w:hAnsi="Times New Roman" w:cs="Times New Roman"/>
          <w:lang w:val="sr-Latn-ME"/>
        </w:rPr>
        <w:t>5</w:t>
      </w:r>
      <w:r w:rsidRPr="00643CB3">
        <w:rPr>
          <w:rFonts w:ascii="Times New Roman" w:eastAsia="Times New Roman" w:hAnsi="Times New Roman" w:cs="Times New Roman"/>
          <w:lang w:val="sr-Latn-ME"/>
        </w:rPr>
        <w:t xml:space="preserve">). Veće poboljšanje HbA1c u odnosu na placebo uočeno je u prvom mjerenju nakon početnog (16. nedjelja, p &lt; 0,001). Srednja vrijednost promjene HbA1c od početnog nivoa 56. nedjelje je bila -0,63% kod ispitanika na terapiji fiksnom kombinacijom naltrekson/bupropion u odnosu na ispitanike na placebu -0,14% (p &lt; 0,001). Kod ispitanika sa početnim HbA1c &gt; 8% (64 mmol/mol), promjene HbA1c pri ishodu bile su -1,1% odnosno </w:t>
      </w:r>
      <w:r w:rsidRPr="00643CB3">
        <w:rPr>
          <w:rFonts w:ascii="Times New Roman" w:eastAsia="Times New Roman" w:hAnsi="Times New Roman" w:cs="Times New Roman"/>
          <w:lang w:val="sr-Latn-ME"/>
        </w:rPr>
        <w:lastRenderedPageBreak/>
        <w:t>0,5% za fiksnu kombinaciju naltrekson/bupropion u odnosu na placebo. Poboljšanja su zabilježena za koncentraciju glukoze i insulina natašte, vrijednost insulina u stanju gladovanja, HOMA-IR i udio ispitanika (izraženo u procentima) kojima je bilo potrebno hitno liječenje dijabetesa ljekovima, a koji su primali fiksnu kombinaciju naltrekson/bupropion u odnosu na placebo.</w:t>
      </w:r>
    </w:p>
    <w:p w14:paraId="04CA106A" w14:textId="77777777" w:rsidR="00180A80" w:rsidRPr="00643CB3" w:rsidRDefault="00180A80" w:rsidP="00643CB3">
      <w:pPr>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56E474E5" w14:textId="134627E3"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 xml:space="preserve">Tabela </w:t>
      </w:r>
      <w:r w:rsidR="00B9608A" w:rsidRPr="003248FD">
        <w:rPr>
          <w:rFonts w:ascii="Times New Roman" w:eastAsia="Times New Roman" w:hAnsi="Times New Roman" w:cs="Times New Roman"/>
          <w:b/>
          <w:lang w:val="sr-Latn-ME"/>
        </w:rPr>
        <w:t>5</w:t>
      </w:r>
      <w:r w:rsidRPr="003248FD">
        <w:rPr>
          <w:rFonts w:ascii="Times New Roman" w:eastAsia="Times New Roman" w:hAnsi="Times New Roman" w:cs="Times New Roman"/>
          <w:b/>
          <w:lang w:val="sr-Latn-ME"/>
        </w:rPr>
        <w:t>.</w:t>
      </w:r>
    </w:p>
    <w:p w14:paraId="15654C7C" w14:textId="77777777"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b/>
          <w:lang w:val="sr-Latn-ME"/>
        </w:rPr>
      </w:pPr>
      <w:r w:rsidRPr="003248FD">
        <w:rPr>
          <w:rFonts w:ascii="Times New Roman" w:eastAsia="Times New Roman" w:hAnsi="Times New Roman" w:cs="Times New Roman"/>
          <w:b/>
          <w:lang w:val="sr-Latn-ME"/>
        </w:rPr>
        <w:t>Promjene kardiovaskularnih i metaboličkih parametara od početne vrijednosti do 56. nedjelje u studijama faze III NB-301, NB-302 i NB-304, i od početne vrijednosti do 28. nedjelje u studiji faze III NB-303.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885"/>
        <w:gridCol w:w="119"/>
        <w:gridCol w:w="909"/>
        <w:gridCol w:w="95"/>
        <w:gridCol w:w="933"/>
        <w:gridCol w:w="71"/>
        <w:gridCol w:w="957"/>
        <w:gridCol w:w="992"/>
        <w:gridCol w:w="1063"/>
        <w:gridCol w:w="1028"/>
        <w:gridCol w:w="710"/>
      </w:tblGrid>
      <w:tr w:rsidR="00643CB3" w:rsidRPr="00643CB3" w14:paraId="1E7971B0" w14:textId="77777777" w:rsidTr="003248FD">
        <w:tc>
          <w:tcPr>
            <w:tcW w:w="1872" w:type="dxa"/>
            <w:vMerge w:val="restart"/>
            <w:tcBorders>
              <w:right w:val="double" w:sz="4" w:space="0" w:color="auto"/>
            </w:tcBorders>
          </w:tcPr>
          <w:p w14:paraId="6A33FBF9"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6024" w:type="dxa"/>
            <w:gridSpan w:val="9"/>
            <w:tcBorders>
              <w:left w:val="double" w:sz="4" w:space="0" w:color="auto"/>
              <w:right w:val="double" w:sz="4" w:space="0" w:color="auto"/>
            </w:tcBorders>
          </w:tcPr>
          <w:p w14:paraId="675671DF" w14:textId="77777777" w:rsidR="00643CB3" w:rsidRPr="00643CB3" w:rsidRDefault="00643CB3" w:rsidP="00180A80">
            <w:pPr>
              <w:tabs>
                <w:tab w:val="center" w:pos="4536"/>
                <w:tab w:val="right" w:pos="9072"/>
              </w:tabs>
              <w:spacing w:after="0" w:line="240" w:lineRule="auto"/>
              <w:ind w:right="-108"/>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Podaci za 56 nedjelja</w:t>
            </w:r>
          </w:p>
        </w:tc>
        <w:tc>
          <w:tcPr>
            <w:tcW w:w="1738" w:type="dxa"/>
            <w:gridSpan w:val="2"/>
            <w:tcBorders>
              <w:left w:val="double" w:sz="4" w:space="0" w:color="auto"/>
            </w:tcBorders>
          </w:tcPr>
          <w:p w14:paraId="7A5B5FDC" w14:textId="77777777" w:rsidR="00643CB3" w:rsidRPr="00643CB3" w:rsidRDefault="00643CB3" w:rsidP="00180A80">
            <w:pPr>
              <w:tabs>
                <w:tab w:val="center" w:pos="4536"/>
                <w:tab w:val="right" w:pos="9072"/>
              </w:tabs>
              <w:spacing w:after="0" w:line="240" w:lineRule="auto"/>
              <w:ind w:right="-108"/>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Podaci za 28 nedjelja</w:t>
            </w:r>
          </w:p>
        </w:tc>
      </w:tr>
      <w:tr w:rsidR="00643CB3" w:rsidRPr="00643CB3" w14:paraId="0589BDD2" w14:textId="77777777" w:rsidTr="003248FD">
        <w:tc>
          <w:tcPr>
            <w:tcW w:w="1872" w:type="dxa"/>
            <w:vMerge/>
          </w:tcPr>
          <w:p w14:paraId="340B1CAB"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1913" w:type="dxa"/>
            <w:gridSpan w:val="3"/>
          </w:tcPr>
          <w:p w14:paraId="29579AA6" w14:textId="77777777" w:rsidR="00643CB3" w:rsidRPr="00643CB3" w:rsidRDefault="00643CB3" w:rsidP="00180A80">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NB-301</w:t>
            </w:r>
          </w:p>
        </w:tc>
        <w:tc>
          <w:tcPr>
            <w:tcW w:w="2056" w:type="dxa"/>
            <w:gridSpan w:val="4"/>
          </w:tcPr>
          <w:p w14:paraId="20D49392"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NB-302</w:t>
            </w:r>
          </w:p>
        </w:tc>
        <w:tc>
          <w:tcPr>
            <w:tcW w:w="2055" w:type="dxa"/>
            <w:gridSpan w:val="2"/>
          </w:tcPr>
          <w:p w14:paraId="162E0389"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NB-304</w:t>
            </w:r>
          </w:p>
        </w:tc>
        <w:tc>
          <w:tcPr>
            <w:tcW w:w="1738" w:type="dxa"/>
            <w:gridSpan w:val="2"/>
          </w:tcPr>
          <w:p w14:paraId="7E4A5AC9"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NB-303</w:t>
            </w:r>
          </w:p>
        </w:tc>
      </w:tr>
      <w:tr w:rsidR="00643CB3" w:rsidRPr="00643CB3" w14:paraId="4A4900FE" w14:textId="77777777" w:rsidTr="003248FD">
        <w:tc>
          <w:tcPr>
            <w:tcW w:w="1872" w:type="dxa"/>
            <w:vMerge/>
          </w:tcPr>
          <w:p w14:paraId="1043CAE1"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p>
        </w:tc>
        <w:tc>
          <w:tcPr>
            <w:tcW w:w="885" w:type="dxa"/>
          </w:tcPr>
          <w:p w14:paraId="13CAC5F3" w14:textId="77777777" w:rsidR="00643CB3" w:rsidRPr="00643CB3" w:rsidRDefault="00643CB3" w:rsidP="00180A80">
            <w:pPr>
              <w:tabs>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028" w:type="dxa"/>
            <w:gridSpan w:val="2"/>
          </w:tcPr>
          <w:p w14:paraId="6518B532"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028" w:type="dxa"/>
            <w:gridSpan w:val="2"/>
          </w:tcPr>
          <w:p w14:paraId="7FEC28A9"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028" w:type="dxa"/>
            <w:gridSpan w:val="2"/>
          </w:tcPr>
          <w:p w14:paraId="21E0D202"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992" w:type="dxa"/>
          </w:tcPr>
          <w:p w14:paraId="48E55EE2"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1063" w:type="dxa"/>
          </w:tcPr>
          <w:p w14:paraId="2275DADF"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c>
          <w:tcPr>
            <w:tcW w:w="1028" w:type="dxa"/>
          </w:tcPr>
          <w:p w14:paraId="1E5A5D87"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NB</w:t>
            </w:r>
          </w:p>
        </w:tc>
        <w:tc>
          <w:tcPr>
            <w:tcW w:w="710" w:type="dxa"/>
          </w:tcPr>
          <w:p w14:paraId="0BC2C695"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b/>
                <w:lang w:val="sr-Latn-ME"/>
              </w:rPr>
            </w:pPr>
            <w:r w:rsidRPr="00643CB3">
              <w:rPr>
                <w:rFonts w:ascii="Times New Roman" w:eastAsia="Calibri" w:hAnsi="Times New Roman" w:cs="Times New Roman"/>
                <w:b/>
                <w:lang w:val="sr-Latn-ME"/>
              </w:rPr>
              <w:t>PBO</w:t>
            </w:r>
          </w:p>
        </w:tc>
      </w:tr>
      <w:tr w:rsidR="00643CB3" w:rsidRPr="00643CB3" w14:paraId="45E4B1F4" w14:textId="77777777" w:rsidTr="003248FD">
        <w:tc>
          <w:tcPr>
            <w:tcW w:w="9634" w:type="dxa"/>
            <w:gridSpan w:val="12"/>
          </w:tcPr>
          <w:p w14:paraId="6DB7F952" w14:textId="77777777" w:rsidR="00643CB3" w:rsidRPr="00643CB3" w:rsidRDefault="00643CB3" w:rsidP="00643CB3">
            <w:pPr>
              <w:tabs>
                <w:tab w:val="right" w:pos="9072"/>
              </w:tabs>
              <w:spacing w:after="0" w:line="240" w:lineRule="auto"/>
              <w:jc w:val="both"/>
              <w:rPr>
                <w:rFonts w:ascii="Times New Roman" w:eastAsia="Calibri" w:hAnsi="Times New Roman" w:cs="Times New Roman"/>
                <w:b/>
                <w:lang w:val="sr-Latn-ME"/>
              </w:rPr>
            </w:pPr>
            <w:r w:rsidRPr="00643CB3">
              <w:rPr>
                <w:rFonts w:ascii="Times New Roman" w:eastAsia="Calibri" w:hAnsi="Times New Roman" w:cs="Times New Roman"/>
                <w:b/>
                <w:lang w:val="sr-Latn-ME"/>
              </w:rPr>
              <w:t>Potpun analitički set</w:t>
            </w:r>
            <w:r w:rsidRPr="00643CB3">
              <w:rPr>
                <w:rFonts w:ascii="Times New Roman" w:eastAsia="Calibri" w:hAnsi="Times New Roman" w:cs="Times New Roman"/>
                <w:b/>
                <w:vertAlign w:val="superscript"/>
                <w:lang w:val="sr-Latn-ME"/>
              </w:rPr>
              <w:t xml:space="preserve"> +</w:t>
            </w:r>
          </w:p>
        </w:tc>
      </w:tr>
      <w:tr w:rsidR="00643CB3" w:rsidRPr="00643CB3" w14:paraId="31528E3D" w14:textId="77777777" w:rsidTr="003248FD">
        <w:tc>
          <w:tcPr>
            <w:tcW w:w="1872" w:type="dxa"/>
            <w:tcBorders>
              <w:right w:val="double" w:sz="4" w:space="0" w:color="auto"/>
            </w:tcBorders>
          </w:tcPr>
          <w:p w14:paraId="718BBE85"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N</w:t>
            </w:r>
          </w:p>
        </w:tc>
        <w:tc>
          <w:tcPr>
            <w:tcW w:w="1004" w:type="dxa"/>
            <w:gridSpan w:val="2"/>
            <w:tcBorders>
              <w:left w:val="double" w:sz="4" w:space="0" w:color="auto"/>
            </w:tcBorders>
          </w:tcPr>
          <w:p w14:paraId="1918EF34"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471</w:t>
            </w:r>
          </w:p>
        </w:tc>
        <w:tc>
          <w:tcPr>
            <w:tcW w:w="1004" w:type="dxa"/>
            <w:gridSpan w:val="2"/>
          </w:tcPr>
          <w:p w14:paraId="6C9D4D2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511</w:t>
            </w:r>
          </w:p>
        </w:tc>
        <w:tc>
          <w:tcPr>
            <w:tcW w:w="1004" w:type="dxa"/>
            <w:gridSpan w:val="2"/>
          </w:tcPr>
          <w:p w14:paraId="69A65C0F"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482</w:t>
            </w:r>
          </w:p>
        </w:tc>
        <w:tc>
          <w:tcPr>
            <w:tcW w:w="957" w:type="dxa"/>
          </w:tcPr>
          <w:p w14:paraId="2E26ABF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193</w:t>
            </w:r>
          </w:p>
        </w:tc>
        <w:tc>
          <w:tcPr>
            <w:tcW w:w="992" w:type="dxa"/>
          </w:tcPr>
          <w:p w14:paraId="1C9F76D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265</w:t>
            </w:r>
          </w:p>
        </w:tc>
        <w:tc>
          <w:tcPr>
            <w:tcW w:w="1063" w:type="dxa"/>
            <w:tcBorders>
              <w:right w:val="double" w:sz="4" w:space="0" w:color="auto"/>
            </w:tcBorders>
          </w:tcPr>
          <w:p w14:paraId="2C9E458F"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159</w:t>
            </w:r>
          </w:p>
        </w:tc>
        <w:tc>
          <w:tcPr>
            <w:tcW w:w="1028" w:type="dxa"/>
            <w:tcBorders>
              <w:left w:val="double" w:sz="4" w:space="0" w:color="auto"/>
            </w:tcBorders>
          </w:tcPr>
          <w:p w14:paraId="4EDF4EAC"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825</w:t>
            </w:r>
          </w:p>
        </w:tc>
        <w:tc>
          <w:tcPr>
            <w:tcW w:w="710" w:type="dxa"/>
          </w:tcPr>
          <w:p w14:paraId="67DA008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456</w:t>
            </w:r>
          </w:p>
        </w:tc>
      </w:tr>
      <w:tr w:rsidR="00643CB3" w:rsidRPr="00643CB3" w14:paraId="2B900363" w14:textId="77777777" w:rsidTr="003248FD">
        <w:tc>
          <w:tcPr>
            <w:tcW w:w="1872" w:type="dxa"/>
            <w:tcBorders>
              <w:right w:val="double" w:sz="4" w:space="0" w:color="auto"/>
            </w:tcBorders>
          </w:tcPr>
          <w:p w14:paraId="47277C2C"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Obim struka, cm</w:t>
            </w:r>
          </w:p>
        </w:tc>
        <w:tc>
          <w:tcPr>
            <w:tcW w:w="1004" w:type="dxa"/>
            <w:gridSpan w:val="2"/>
            <w:tcBorders>
              <w:left w:val="double" w:sz="4" w:space="0" w:color="auto"/>
            </w:tcBorders>
            <w:vAlign w:val="center"/>
          </w:tcPr>
          <w:p w14:paraId="50D37ECC"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-6,2*</w:t>
            </w:r>
          </w:p>
        </w:tc>
        <w:tc>
          <w:tcPr>
            <w:tcW w:w="1004" w:type="dxa"/>
            <w:gridSpan w:val="2"/>
            <w:vAlign w:val="center"/>
          </w:tcPr>
          <w:p w14:paraId="5CB437A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-2,5</w:t>
            </w:r>
          </w:p>
        </w:tc>
        <w:tc>
          <w:tcPr>
            <w:tcW w:w="1004" w:type="dxa"/>
            <w:gridSpan w:val="2"/>
            <w:vAlign w:val="center"/>
          </w:tcPr>
          <w:p w14:paraId="08C77F20"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-10,0*</w:t>
            </w:r>
          </w:p>
        </w:tc>
        <w:tc>
          <w:tcPr>
            <w:tcW w:w="957" w:type="dxa"/>
            <w:vAlign w:val="center"/>
          </w:tcPr>
          <w:p w14:paraId="68649B5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-6,8</w:t>
            </w:r>
          </w:p>
        </w:tc>
        <w:tc>
          <w:tcPr>
            <w:tcW w:w="992" w:type="dxa"/>
            <w:vAlign w:val="center"/>
          </w:tcPr>
          <w:p w14:paraId="76A8DCC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-5,0*</w:t>
            </w:r>
          </w:p>
        </w:tc>
        <w:tc>
          <w:tcPr>
            <w:tcW w:w="1063" w:type="dxa"/>
            <w:tcBorders>
              <w:right w:val="double" w:sz="4" w:space="0" w:color="auto"/>
            </w:tcBorders>
            <w:vAlign w:val="center"/>
          </w:tcPr>
          <w:p w14:paraId="4729CB2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-2,9</w:t>
            </w:r>
          </w:p>
        </w:tc>
        <w:tc>
          <w:tcPr>
            <w:tcW w:w="1028" w:type="dxa"/>
            <w:tcBorders>
              <w:left w:val="double" w:sz="4" w:space="0" w:color="auto"/>
            </w:tcBorders>
            <w:vAlign w:val="center"/>
          </w:tcPr>
          <w:p w14:paraId="296283F0"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-6,2*</w:t>
            </w:r>
          </w:p>
        </w:tc>
        <w:tc>
          <w:tcPr>
            <w:tcW w:w="710" w:type="dxa"/>
            <w:vAlign w:val="center"/>
          </w:tcPr>
          <w:p w14:paraId="436C4496"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-2,7</w:t>
            </w:r>
          </w:p>
        </w:tc>
      </w:tr>
      <w:tr w:rsidR="00643CB3" w:rsidRPr="00643CB3" w14:paraId="335F8FB2" w14:textId="77777777" w:rsidTr="003248FD">
        <w:tc>
          <w:tcPr>
            <w:tcW w:w="1872" w:type="dxa"/>
            <w:tcBorders>
              <w:right w:val="double" w:sz="4" w:space="0" w:color="auto"/>
            </w:tcBorders>
          </w:tcPr>
          <w:p w14:paraId="4EDEBF16"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Trigliceridi,</w:t>
            </w:r>
          </w:p>
          <w:p w14:paraId="52558BD4"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promjene</w:t>
            </w:r>
          </w:p>
        </w:tc>
        <w:tc>
          <w:tcPr>
            <w:tcW w:w="1004" w:type="dxa"/>
            <w:gridSpan w:val="2"/>
            <w:tcBorders>
              <w:left w:val="double" w:sz="4" w:space="0" w:color="auto"/>
            </w:tcBorders>
            <w:vAlign w:val="center"/>
          </w:tcPr>
          <w:p w14:paraId="36E21FE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-12,7*</w:t>
            </w:r>
          </w:p>
        </w:tc>
        <w:tc>
          <w:tcPr>
            <w:tcW w:w="1004" w:type="dxa"/>
            <w:gridSpan w:val="2"/>
            <w:vAlign w:val="center"/>
          </w:tcPr>
          <w:p w14:paraId="1BEDC8B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-3,1</w:t>
            </w:r>
          </w:p>
        </w:tc>
        <w:tc>
          <w:tcPr>
            <w:tcW w:w="1004" w:type="dxa"/>
            <w:gridSpan w:val="2"/>
            <w:vAlign w:val="center"/>
          </w:tcPr>
          <w:p w14:paraId="0C3AD7E0"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-16,6*</w:t>
            </w:r>
          </w:p>
        </w:tc>
        <w:tc>
          <w:tcPr>
            <w:tcW w:w="957" w:type="dxa"/>
            <w:vAlign w:val="center"/>
          </w:tcPr>
          <w:p w14:paraId="48785E5A"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-8,5</w:t>
            </w:r>
          </w:p>
        </w:tc>
        <w:tc>
          <w:tcPr>
            <w:tcW w:w="992" w:type="dxa"/>
            <w:vAlign w:val="center"/>
          </w:tcPr>
          <w:p w14:paraId="4CC8827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-11,2*</w:t>
            </w:r>
          </w:p>
        </w:tc>
        <w:tc>
          <w:tcPr>
            <w:tcW w:w="1063" w:type="dxa"/>
            <w:tcBorders>
              <w:right w:val="double" w:sz="4" w:space="0" w:color="auto"/>
            </w:tcBorders>
            <w:vAlign w:val="center"/>
          </w:tcPr>
          <w:p w14:paraId="43417B3A"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-0,8</w:t>
            </w:r>
          </w:p>
        </w:tc>
        <w:tc>
          <w:tcPr>
            <w:tcW w:w="1028" w:type="dxa"/>
            <w:tcBorders>
              <w:left w:val="double" w:sz="4" w:space="0" w:color="auto"/>
            </w:tcBorders>
            <w:vAlign w:val="center"/>
          </w:tcPr>
          <w:p w14:paraId="422126C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-7,3*</w:t>
            </w:r>
          </w:p>
        </w:tc>
        <w:tc>
          <w:tcPr>
            <w:tcW w:w="710" w:type="dxa"/>
            <w:vAlign w:val="center"/>
          </w:tcPr>
          <w:p w14:paraId="0CDA724C"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-1,4</w:t>
            </w:r>
          </w:p>
        </w:tc>
      </w:tr>
      <w:tr w:rsidR="00643CB3" w:rsidRPr="00643CB3" w14:paraId="4C98AB5D" w14:textId="77777777" w:rsidTr="003248FD">
        <w:tc>
          <w:tcPr>
            <w:tcW w:w="1872" w:type="dxa"/>
            <w:tcBorders>
              <w:right w:val="double" w:sz="4" w:space="0" w:color="auto"/>
            </w:tcBorders>
          </w:tcPr>
          <w:p w14:paraId="74188171" w14:textId="515F9418"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HDL-holesterol, mg/d</w:t>
            </w:r>
            <w:r w:rsidR="00DB602B">
              <w:rPr>
                <w:rFonts w:ascii="Times New Roman" w:eastAsia="Calibri" w:hAnsi="Times New Roman" w:cs="Times New Roman"/>
                <w:lang w:val="sr-Latn-ME"/>
              </w:rPr>
              <w:t>l</w:t>
            </w:r>
          </w:p>
        </w:tc>
        <w:tc>
          <w:tcPr>
            <w:tcW w:w="1004" w:type="dxa"/>
            <w:gridSpan w:val="2"/>
            <w:tcBorders>
              <w:left w:val="double" w:sz="4" w:space="0" w:color="auto"/>
            </w:tcBorders>
            <w:vAlign w:val="center"/>
          </w:tcPr>
          <w:p w14:paraId="6B2ACDD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3,4*</w:t>
            </w:r>
          </w:p>
        </w:tc>
        <w:tc>
          <w:tcPr>
            <w:tcW w:w="1004" w:type="dxa"/>
            <w:gridSpan w:val="2"/>
            <w:vAlign w:val="center"/>
          </w:tcPr>
          <w:p w14:paraId="6427089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-0,1</w:t>
            </w:r>
          </w:p>
        </w:tc>
        <w:tc>
          <w:tcPr>
            <w:tcW w:w="1004" w:type="dxa"/>
            <w:gridSpan w:val="2"/>
            <w:vAlign w:val="center"/>
          </w:tcPr>
          <w:p w14:paraId="488098B0"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4,1*</w:t>
            </w:r>
          </w:p>
        </w:tc>
        <w:tc>
          <w:tcPr>
            <w:tcW w:w="957" w:type="dxa"/>
            <w:vAlign w:val="center"/>
          </w:tcPr>
          <w:p w14:paraId="086E750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0,9</w:t>
            </w:r>
          </w:p>
        </w:tc>
        <w:tc>
          <w:tcPr>
            <w:tcW w:w="992" w:type="dxa"/>
            <w:vAlign w:val="center"/>
          </w:tcPr>
          <w:p w14:paraId="108B4B68"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3,0*</w:t>
            </w:r>
          </w:p>
        </w:tc>
        <w:tc>
          <w:tcPr>
            <w:tcW w:w="1063" w:type="dxa"/>
            <w:tcBorders>
              <w:right w:val="double" w:sz="4" w:space="0" w:color="auto"/>
            </w:tcBorders>
            <w:vAlign w:val="center"/>
          </w:tcPr>
          <w:p w14:paraId="4AD8966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-0,3</w:t>
            </w:r>
          </w:p>
        </w:tc>
        <w:tc>
          <w:tcPr>
            <w:tcW w:w="1028" w:type="dxa"/>
            <w:tcBorders>
              <w:left w:val="double" w:sz="4" w:space="0" w:color="auto"/>
            </w:tcBorders>
            <w:vAlign w:val="center"/>
          </w:tcPr>
          <w:p w14:paraId="720F6534"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1,2*</w:t>
            </w:r>
          </w:p>
        </w:tc>
        <w:tc>
          <w:tcPr>
            <w:tcW w:w="710" w:type="dxa"/>
            <w:vAlign w:val="center"/>
          </w:tcPr>
          <w:p w14:paraId="53AA7007"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-1,4</w:t>
            </w:r>
          </w:p>
        </w:tc>
      </w:tr>
      <w:tr w:rsidR="00643CB3" w:rsidRPr="00643CB3" w14:paraId="212BD82F" w14:textId="77777777" w:rsidTr="003248FD">
        <w:tc>
          <w:tcPr>
            <w:tcW w:w="1872" w:type="dxa"/>
            <w:tcBorders>
              <w:right w:val="double" w:sz="4" w:space="0" w:color="auto"/>
            </w:tcBorders>
          </w:tcPr>
          <w:p w14:paraId="17F2DB11"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LDL</w:t>
            </w:r>
            <w:r w:rsidR="00B9608A">
              <w:rPr>
                <w:rFonts w:ascii="Times New Roman" w:eastAsia="Calibri" w:hAnsi="Times New Roman" w:cs="Times New Roman"/>
                <w:lang w:val="sr-Latn-ME"/>
              </w:rPr>
              <w:t>-</w:t>
            </w:r>
            <w:r w:rsidRPr="00643CB3">
              <w:rPr>
                <w:rFonts w:ascii="Times New Roman" w:eastAsia="Calibri" w:hAnsi="Times New Roman" w:cs="Times New Roman"/>
                <w:lang w:val="sr-Latn-ME"/>
              </w:rPr>
              <w:t>holesterol/</w:t>
            </w:r>
          </w:p>
          <w:p w14:paraId="5ACACB34"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HDL-holesterol odnos</w:t>
            </w:r>
          </w:p>
        </w:tc>
        <w:tc>
          <w:tcPr>
            <w:tcW w:w="1004" w:type="dxa"/>
            <w:gridSpan w:val="2"/>
            <w:tcBorders>
              <w:left w:val="double" w:sz="4" w:space="0" w:color="auto"/>
            </w:tcBorders>
            <w:vAlign w:val="center"/>
          </w:tcPr>
          <w:p w14:paraId="30E2744A"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-0,21*</w:t>
            </w:r>
          </w:p>
        </w:tc>
        <w:tc>
          <w:tcPr>
            <w:tcW w:w="1004" w:type="dxa"/>
            <w:gridSpan w:val="2"/>
            <w:vAlign w:val="center"/>
          </w:tcPr>
          <w:p w14:paraId="7A941205"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-0,05</w:t>
            </w:r>
          </w:p>
        </w:tc>
        <w:tc>
          <w:tcPr>
            <w:tcW w:w="1004" w:type="dxa"/>
            <w:gridSpan w:val="2"/>
            <w:vAlign w:val="center"/>
          </w:tcPr>
          <w:p w14:paraId="1D845389"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-0,05*</w:t>
            </w:r>
          </w:p>
        </w:tc>
        <w:tc>
          <w:tcPr>
            <w:tcW w:w="957" w:type="dxa"/>
            <w:vAlign w:val="center"/>
          </w:tcPr>
          <w:p w14:paraId="78858336"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0,12</w:t>
            </w:r>
          </w:p>
        </w:tc>
        <w:tc>
          <w:tcPr>
            <w:tcW w:w="992" w:type="dxa"/>
            <w:vAlign w:val="center"/>
          </w:tcPr>
          <w:p w14:paraId="3507A3A8"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-0,15*</w:t>
            </w:r>
          </w:p>
        </w:tc>
        <w:tc>
          <w:tcPr>
            <w:tcW w:w="1063" w:type="dxa"/>
            <w:tcBorders>
              <w:right w:val="double" w:sz="4" w:space="0" w:color="auto"/>
            </w:tcBorders>
            <w:vAlign w:val="center"/>
          </w:tcPr>
          <w:p w14:paraId="011E3362"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0,04</w:t>
            </w:r>
          </w:p>
        </w:tc>
        <w:tc>
          <w:tcPr>
            <w:tcW w:w="1028" w:type="dxa"/>
            <w:tcBorders>
              <w:left w:val="double" w:sz="4" w:space="0" w:color="auto"/>
              <w:bottom w:val="single" w:sz="4" w:space="0" w:color="auto"/>
            </w:tcBorders>
            <w:vAlign w:val="center"/>
          </w:tcPr>
          <w:p w14:paraId="7EA5F7C9"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-0,15*</w:t>
            </w:r>
          </w:p>
        </w:tc>
        <w:tc>
          <w:tcPr>
            <w:tcW w:w="710" w:type="dxa"/>
            <w:tcBorders>
              <w:bottom w:val="single" w:sz="4" w:space="0" w:color="auto"/>
            </w:tcBorders>
            <w:vAlign w:val="center"/>
          </w:tcPr>
          <w:p w14:paraId="401FDB46"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0,07</w:t>
            </w:r>
          </w:p>
        </w:tc>
      </w:tr>
      <w:tr w:rsidR="00643CB3" w:rsidRPr="00643CB3" w14:paraId="4ED077F2" w14:textId="77777777" w:rsidTr="003248FD">
        <w:tc>
          <w:tcPr>
            <w:tcW w:w="1872" w:type="dxa"/>
            <w:tcBorders>
              <w:right w:val="double" w:sz="4" w:space="0" w:color="auto"/>
            </w:tcBorders>
          </w:tcPr>
          <w:p w14:paraId="2A114F0E"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HbA1c, %</w:t>
            </w:r>
          </w:p>
        </w:tc>
        <w:tc>
          <w:tcPr>
            <w:tcW w:w="3969" w:type="dxa"/>
            <w:gridSpan w:val="7"/>
            <w:tcBorders>
              <w:left w:val="double" w:sz="4" w:space="0" w:color="auto"/>
            </w:tcBorders>
            <w:vAlign w:val="center"/>
          </w:tcPr>
          <w:p w14:paraId="7512869A"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Nije primjenljivo</w:t>
            </w:r>
          </w:p>
        </w:tc>
        <w:tc>
          <w:tcPr>
            <w:tcW w:w="992" w:type="dxa"/>
            <w:vAlign w:val="center"/>
          </w:tcPr>
          <w:p w14:paraId="62C2BCD3"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-0,6*</w:t>
            </w:r>
          </w:p>
        </w:tc>
        <w:tc>
          <w:tcPr>
            <w:tcW w:w="1063" w:type="dxa"/>
            <w:tcBorders>
              <w:right w:val="double" w:sz="4" w:space="0" w:color="auto"/>
            </w:tcBorders>
            <w:vAlign w:val="center"/>
          </w:tcPr>
          <w:p w14:paraId="63D2E6A8"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-0,1</w:t>
            </w:r>
          </w:p>
        </w:tc>
        <w:tc>
          <w:tcPr>
            <w:tcW w:w="1738" w:type="dxa"/>
            <w:gridSpan w:val="2"/>
            <w:tcBorders>
              <w:left w:val="double" w:sz="4" w:space="0" w:color="auto"/>
            </w:tcBorders>
            <w:vAlign w:val="center"/>
          </w:tcPr>
          <w:p w14:paraId="2CE7AC79" w14:textId="77777777" w:rsidR="00643CB3" w:rsidRPr="00643CB3" w:rsidRDefault="00643CB3" w:rsidP="00643CB3">
            <w:pPr>
              <w:tabs>
                <w:tab w:val="center" w:pos="4536"/>
                <w:tab w:val="right" w:pos="9072"/>
              </w:tabs>
              <w:spacing w:after="0" w:line="240" w:lineRule="auto"/>
              <w:jc w:val="both"/>
              <w:rPr>
                <w:rFonts w:ascii="Times New Roman" w:eastAsia="Calibri" w:hAnsi="Times New Roman" w:cs="Times New Roman"/>
                <w:lang w:val="sr-Latn-ME"/>
              </w:rPr>
            </w:pPr>
            <w:r w:rsidRPr="00643CB3">
              <w:rPr>
                <w:rFonts w:ascii="Times New Roman" w:eastAsia="Calibri" w:hAnsi="Times New Roman" w:cs="Times New Roman"/>
                <w:lang w:val="sr-Latn-ME"/>
              </w:rPr>
              <w:t>Nije primjenljivo</w:t>
            </w:r>
          </w:p>
        </w:tc>
      </w:tr>
      <w:tr w:rsidR="00643CB3" w:rsidRPr="00643CB3" w14:paraId="58D43BE4" w14:textId="77777777" w:rsidTr="003248FD">
        <w:tc>
          <w:tcPr>
            <w:tcW w:w="1872" w:type="dxa"/>
            <w:tcBorders>
              <w:right w:val="double" w:sz="4" w:space="0" w:color="auto"/>
            </w:tcBorders>
          </w:tcPr>
          <w:p w14:paraId="2E965E86" w14:textId="1F4DA46E"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Koncentracija glukoze u stanju gladovanja, mg/d</w:t>
            </w:r>
            <w:r w:rsidR="00DB602B">
              <w:rPr>
                <w:rFonts w:ascii="Times New Roman" w:eastAsia="Calibri" w:hAnsi="Times New Roman" w:cs="Times New Roman"/>
                <w:lang w:val="sr-Latn-ME"/>
              </w:rPr>
              <w:t>l</w:t>
            </w:r>
          </w:p>
        </w:tc>
        <w:tc>
          <w:tcPr>
            <w:tcW w:w="1004" w:type="dxa"/>
            <w:gridSpan w:val="2"/>
            <w:tcBorders>
              <w:left w:val="double" w:sz="4" w:space="0" w:color="auto"/>
            </w:tcBorders>
            <w:vAlign w:val="center"/>
          </w:tcPr>
          <w:p w14:paraId="59B50BD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-3,2*</w:t>
            </w:r>
          </w:p>
        </w:tc>
        <w:tc>
          <w:tcPr>
            <w:tcW w:w="1004" w:type="dxa"/>
            <w:gridSpan w:val="2"/>
            <w:vAlign w:val="center"/>
          </w:tcPr>
          <w:p w14:paraId="119392F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-1,3</w:t>
            </w:r>
          </w:p>
        </w:tc>
        <w:tc>
          <w:tcPr>
            <w:tcW w:w="1004" w:type="dxa"/>
            <w:gridSpan w:val="2"/>
            <w:vAlign w:val="center"/>
          </w:tcPr>
          <w:p w14:paraId="657ADEF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-2,4</w:t>
            </w:r>
          </w:p>
        </w:tc>
        <w:tc>
          <w:tcPr>
            <w:tcW w:w="957" w:type="dxa"/>
            <w:vAlign w:val="center"/>
          </w:tcPr>
          <w:p w14:paraId="35C932A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-1,1</w:t>
            </w:r>
          </w:p>
        </w:tc>
        <w:tc>
          <w:tcPr>
            <w:tcW w:w="992" w:type="dxa"/>
            <w:vAlign w:val="center"/>
          </w:tcPr>
          <w:p w14:paraId="02A9FB7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-11,9</w:t>
            </w:r>
          </w:p>
        </w:tc>
        <w:tc>
          <w:tcPr>
            <w:tcW w:w="1063" w:type="dxa"/>
            <w:tcBorders>
              <w:right w:val="double" w:sz="4" w:space="0" w:color="auto"/>
            </w:tcBorders>
            <w:vAlign w:val="center"/>
          </w:tcPr>
          <w:p w14:paraId="4E214EFC"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-4,0</w:t>
            </w:r>
          </w:p>
        </w:tc>
        <w:tc>
          <w:tcPr>
            <w:tcW w:w="1028" w:type="dxa"/>
            <w:tcBorders>
              <w:left w:val="double" w:sz="4" w:space="0" w:color="auto"/>
            </w:tcBorders>
            <w:vAlign w:val="center"/>
          </w:tcPr>
          <w:p w14:paraId="6EE0075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-2,1</w:t>
            </w:r>
          </w:p>
        </w:tc>
        <w:tc>
          <w:tcPr>
            <w:tcW w:w="710" w:type="dxa"/>
            <w:vAlign w:val="center"/>
          </w:tcPr>
          <w:p w14:paraId="2385A33E"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w:t>
            </w:r>
          </w:p>
        </w:tc>
      </w:tr>
      <w:tr w:rsidR="00643CB3" w:rsidRPr="00643CB3" w14:paraId="13068CE9" w14:textId="77777777" w:rsidTr="003248FD">
        <w:tc>
          <w:tcPr>
            <w:tcW w:w="1872" w:type="dxa"/>
            <w:tcBorders>
              <w:right w:val="double" w:sz="4" w:space="0" w:color="auto"/>
            </w:tcBorders>
          </w:tcPr>
          <w:p w14:paraId="610A86C6"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Vrijednost insulina u stanju gladovanja,</w:t>
            </w:r>
          </w:p>
          <w:p w14:paraId="6BE137D0"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promjene</w:t>
            </w:r>
          </w:p>
        </w:tc>
        <w:tc>
          <w:tcPr>
            <w:tcW w:w="1004" w:type="dxa"/>
            <w:gridSpan w:val="2"/>
            <w:tcBorders>
              <w:left w:val="double" w:sz="4" w:space="0" w:color="auto"/>
            </w:tcBorders>
            <w:vAlign w:val="center"/>
          </w:tcPr>
          <w:p w14:paraId="3A27174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-17,1*</w:t>
            </w:r>
          </w:p>
        </w:tc>
        <w:tc>
          <w:tcPr>
            <w:tcW w:w="1004" w:type="dxa"/>
            <w:gridSpan w:val="2"/>
            <w:vAlign w:val="center"/>
          </w:tcPr>
          <w:p w14:paraId="08B3F9A6"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-4,6</w:t>
            </w:r>
          </w:p>
        </w:tc>
        <w:tc>
          <w:tcPr>
            <w:tcW w:w="1004" w:type="dxa"/>
            <w:gridSpan w:val="2"/>
            <w:vAlign w:val="center"/>
          </w:tcPr>
          <w:p w14:paraId="7B7D1165"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-28,0*</w:t>
            </w:r>
          </w:p>
        </w:tc>
        <w:tc>
          <w:tcPr>
            <w:tcW w:w="957" w:type="dxa"/>
            <w:vAlign w:val="center"/>
          </w:tcPr>
          <w:p w14:paraId="08114376"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-15,5</w:t>
            </w:r>
          </w:p>
        </w:tc>
        <w:tc>
          <w:tcPr>
            <w:tcW w:w="992" w:type="dxa"/>
            <w:vAlign w:val="center"/>
          </w:tcPr>
          <w:p w14:paraId="1955AB69"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-13,5</w:t>
            </w:r>
          </w:p>
        </w:tc>
        <w:tc>
          <w:tcPr>
            <w:tcW w:w="1063" w:type="dxa"/>
            <w:tcBorders>
              <w:right w:val="double" w:sz="4" w:space="0" w:color="auto"/>
            </w:tcBorders>
            <w:vAlign w:val="center"/>
          </w:tcPr>
          <w:p w14:paraId="069D8EB3"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-10,4</w:t>
            </w:r>
          </w:p>
        </w:tc>
        <w:tc>
          <w:tcPr>
            <w:tcW w:w="1028" w:type="dxa"/>
            <w:tcBorders>
              <w:left w:val="double" w:sz="4" w:space="0" w:color="auto"/>
            </w:tcBorders>
            <w:vAlign w:val="center"/>
          </w:tcPr>
          <w:p w14:paraId="65781B4D"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-14,1*</w:t>
            </w:r>
          </w:p>
        </w:tc>
        <w:tc>
          <w:tcPr>
            <w:tcW w:w="710" w:type="dxa"/>
            <w:vAlign w:val="center"/>
          </w:tcPr>
          <w:p w14:paraId="4BBC549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-0,5</w:t>
            </w:r>
          </w:p>
        </w:tc>
      </w:tr>
      <w:tr w:rsidR="00643CB3" w:rsidRPr="00643CB3" w14:paraId="702FE2FE" w14:textId="77777777" w:rsidTr="003248FD">
        <w:tc>
          <w:tcPr>
            <w:tcW w:w="1872" w:type="dxa"/>
            <w:tcBorders>
              <w:right w:val="double" w:sz="4" w:space="0" w:color="auto"/>
            </w:tcBorders>
          </w:tcPr>
          <w:p w14:paraId="7D588EDF"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HOMA-IR,</w:t>
            </w:r>
          </w:p>
          <w:p w14:paraId="496E051C" w14:textId="77777777" w:rsidR="00643CB3" w:rsidRPr="00643CB3" w:rsidRDefault="00643CB3" w:rsidP="00180A80">
            <w:pPr>
              <w:tabs>
                <w:tab w:val="center" w:pos="4536"/>
                <w:tab w:val="right" w:pos="9072"/>
              </w:tabs>
              <w:spacing w:after="0" w:line="240" w:lineRule="auto"/>
              <w:rPr>
                <w:rFonts w:ascii="Times New Roman" w:eastAsia="Calibri" w:hAnsi="Times New Roman" w:cs="Times New Roman"/>
                <w:lang w:val="sr-Latn-ME"/>
              </w:rPr>
            </w:pPr>
            <w:r w:rsidRPr="00643CB3">
              <w:rPr>
                <w:rFonts w:ascii="Times New Roman" w:eastAsia="Calibri" w:hAnsi="Times New Roman" w:cs="Times New Roman"/>
                <w:lang w:val="sr-Latn-ME"/>
              </w:rPr>
              <w:t>% promjene</w:t>
            </w:r>
          </w:p>
        </w:tc>
        <w:tc>
          <w:tcPr>
            <w:tcW w:w="1004" w:type="dxa"/>
            <w:gridSpan w:val="2"/>
            <w:tcBorders>
              <w:left w:val="double" w:sz="4" w:space="0" w:color="auto"/>
            </w:tcBorders>
            <w:vAlign w:val="center"/>
          </w:tcPr>
          <w:p w14:paraId="1CC6E601"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-20,2*</w:t>
            </w:r>
          </w:p>
        </w:tc>
        <w:tc>
          <w:tcPr>
            <w:tcW w:w="1004" w:type="dxa"/>
            <w:gridSpan w:val="2"/>
            <w:vAlign w:val="center"/>
          </w:tcPr>
          <w:p w14:paraId="15727E3F"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-5,9</w:t>
            </w:r>
          </w:p>
        </w:tc>
        <w:tc>
          <w:tcPr>
            <w:tcW w:w="1004" w:type="dxa"/>
            <w:gridSpan w:val="2"/>
            <w:vAlign w:val="center"/>
          </w:tcPr>
          <w:p w14:paraId="6461EE1B"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-29,9*</w:t>
            </w:r>
          </w:p>
        </w:tc>
        <w:tc>
          <w:tcPr>
            <w:tcW w:w="957" w:type="dxa"/>
            <w:vAlign w:val="center"/>
          </w:tcPr>
          <w:p w14:paraId="1BF87CFE"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-16,6</w:t>
            </w:r>
          </w:p>
        </w:tc>
        <w:tc>
          <w:tcPr>
            <w:tcW w:w="992" w:type="dxa"/>
            <w:vAlign w:val="center"/>
          </w:tcPr>
          <w:p w14:paraId="26DFE76E"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-20,6</w:t>
            </w:r>
          </w:p>
        </w:tc>
        <w:tc>
          <w:tcPr>
            <w:tcW w:w="1063" w:type="dxa"/>
            <w:tcBorders>
              <w:right w:val="double" w:sz="4" w:space="0" w:color="auto"/>
            </w:tcBorders>
            <w:vAlign w:val="center"/>
          </w:tcPr>
          <w:p w14:paraId="76BE218D"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-14,7</w:t>
            </w:r>
          </w:p>
        </w:tc>
        <w:tc>
          <w:tcPr>
            <w:tcW w:w="1028" w:type="dxa"/>
            <w:tcBorders>
              <w:left w:val="double" w:sz="4" w:space="0" w:color="auto"/>
            </w:tcBorders>
            <w:vAlign w:val="center"/>
          </w:tcPr>
          <w:p w14:paraId="771A2012" w14:textId="77777777" w:rsidR="00643CB3" w:rsidRPr="00643CB3" w:rsidRDefault="00643CB3" w:rsidP="00180A80">
            <w:pPr>
              <w:tabs>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-16,4*</w:t>
            </w:r>
          </w:p>
        </w:tc>
        <w:tc>
          <w:tcPr>
            <w:tcW w:w="710" w:type="dxa"/>
            <w:vAlign w:val="center"/>
          </w:tcPr>
          <w:p w14:paraId="404D4A80" w14:textId="77777777" w:rsidR="00643CB3" w:rsidRPr="00643CB3" w:rsidRDefault="00643CB3" w:rsidP="00180A80">
            <w:pPr>
              <w:tabs>
                <w:tab w:val="center" w:pos="4536"/>
                <w:tab w:val="right" w:pos="9072"/>
              </w:tabs>
              <w:spacing w:after="0" w:line="240" w:lineRule="auto"/>
              <w:jc w:val="center"/>
              <w:rPr>
                <w:rFonts w:ascii="Times New Roman" w:eastAsia="Calibri" w:hAnsi="Times New Roman" w:cs="Times New Roman"/>
                <w:lang w:val="sr-Latn-ME"/>
              </w:rPr>
            </w:pPr>
            <w:r w:rsidRPr="00643CB3">
              <w:rPr>
                <w:rFonts w:ascii="Times New Roman" w:eastAsia="Calibri" w:hAnsi="Times New Roman" w:cs="Times New Roman"/>
                <w:lang w:val="sr-Latn-ME"/>
              </w:rPr>
              <w:t>-4,2</w:t>
            </w:r>
          </w:p>
        </w:tc>
      </w:tr>
    </w:tbl>
    <w:p w14:paraId="782429F3" w14:textId="7D8A4E02"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r>
      <w:r w:rsidR="00A2523F">
        <w:rPr>
          <w:rFonts w:ascii="Times New Roman" w:eastAsia="Times New Roman" w:hAnsi="Times New Roman" w:cs="Times New Roman"/>
          <w:lang w:val="sr-Latn-ME"/>
        </w:rPr>
        <w:t>na osnovu</w:t>
      </w:r>
      <w:r w:rsidR="00A2523F"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LOCF analize</w:t>
      </w:r>
      <w:r w:rsidR="00A2523F">
        <w:rPr>
          <w:rFonts w:ascii="Times New Roman" w:eastAsia="Times New Roman" w:hAnsi="Times New Roman" w:cs="Times New Roman"/>
          <w:lang w:val="sr-Latn-ME"/>
        </w:rPr>
        <w:t xml:space="preserve"> sa zadnjim zapažanjem na lijeku prenesenim dalje.</w:t>
      </w:r>
    </w:p>
    <w:p w14:paraId="1E6A3CE6"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w:t>
      </w:r>
      <w:r w:rsidRPr="00643CB3">
        <w:rPr>
          <w:rFonts w:ascii="Times New Roman" w:eastAsia="Times New Roman" w:hAnsi="Times New Roman" w:cs="Times New Roman"/>
          <w:lang w:val="sr-Latn-ME"/>
        </w:rPr>
        <w:tab/>
        <w:t>P-vrijednost &lt; 0,05 (nominalna vrijednost) poređena sa grupom na placebu.</w:t>
      </w:r>
    </w:p>
    <w:p w14:paraId="6CAF1380" w14:textId="77777777" w:rsidR="00643CB3" w:rsidRPr="00643CB3" w:rsidRDefault="00643CB3" w:rsidP="00643CB3">
      <w:pPr>
        <w:tabs>
          <w:tab w:val="left" w:pos="318"/>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Studije NB-301, NB-302 i NB-303 sprovedene kod ispitanika koji su bili gojazni, ili su imali prekomjernu tjelesnu masu, ili su bili gojazni sa pratećim bolestima. Studija NB-302 je imala intenzivniji program promjene ponašanja, dok je primarni parametar praćenja efikasnosti studije NB-303 bio u 28. nedjelji kako bi se omogućila ponovna randomizacija na druge doze u kasnijem dijelu studije. Studija NB-304 je bila sprovedena kod ispitanika koji su imali prekomjernu tjelesnu masu ili koji su bili gojazni i imali dijabetes melitus tip 2.</w:t>
      </w:r>
    </w:p>
    <w:p w14:paraId="138C0E70" w14:textId="77777777" w:rsidR="00643CB3" w:rsidRPr="00643CB3" w:rsidRDefault="00643CB3" w:rsidP="00643CB3">
      <w:pPr>
        <w:tabs>
          <w:tab w:val="left" w:pos="284"/>
        </w:tabs>
        <w:spacing w:after="0" w:line="240" w:lineRule="auto"/>
        <w:jc w:val="both"/>
        <w:rPr>
          <w:rFonts w:ascii="Times New Roman" w:eastAsia="Times New Roman" w:hAnsi="Times New Roman" w:cs="Times New Roman"/>
          <w:lang w:val="sr-Latn-ME"/>
        </w:rPr>
      </w:pPr>
    </w:p>
    <w:p w14:paraId="7F1298C1" w14:textId="77777777" w:rsidR="00643CB3" w:rsidRPr="003248FD" w:rsidRDefault="00643CB3" w:rsidP="00643CB3">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3248FD">
        <w:rPr>
          <w:rFonts w:ascii="Times New Roman" w:eastAsia="Times New Roman" w:hAnsi="Times New Roman" w:cs="Times New Roman"/>
          <w:i/>
          <w:u w:val="single"/>
          <w:lang w:val="sr-Latn-ME"/>
        </w:rPr>
        <w:t>Uticaj na sastav tijela</w:t>
      </w:r>
    </w:p>
    <w:p w14:paraId="077B1B8E" w14:textId="17D6B1D8"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U podgrupi ispitanika, sastav tijela je mjeren koristeći dvoenergetsku rendgensku apsorpciometriju (engl. </w:t>
      </w:r>
      <w:r w:rsidRPr="00643CB3">
        <w:rPr>
          <w:rFonts w:ascii="Times New Roman" w:eastAsia="Times New Roman" w:hAnsi="Times New Roman" w:cs="Times New Roman"/>
          <w:i/>
          <w:lang w:val="sr-Latn-ME"/>
        </w:rPr>
        <w:t>dual energy X ray absorptiometry</w:t>
      </w:r>
      <w:r w:rsidRPr="00643CB3">
        <w:rPr>
          <w:rFonts w:ascii="Times New Roman" w:eastAsia="Times New Roman" w:hAnsi="Times New Roman" w:cs="Times New Roman"/>
          <w:lang w:val="sr-Latn-ME"/>
        </w:rPr>
        <w:t>, DEXA) (naltrekson/bupropion = 79 ispitanika i placebo = 45 ispitanika) i</w:t>
      </w:r>
      <w:r w:rsidR="009B1D64">
        <w:rPr>
          <w:rFonts w:ascii="Times New Roman" w:eastAsia="Times New Roman" w:hAnsi="Times New Roman" w:cs="Times New Roman"/>
          <w:lang w:val="sr-Latn-ME"/>
        </w:rPr>
        <w:t xml:space="preserve"> </w:t>
      </w:r>
      <w:r w:rsidRPr="00643CB3">
        <w:rPr>
          <w:rFonts w:ascii="Times New Roman" w:eastAsia="Times New Roman" w:hAnsi="Times New Roman" w:cs="Times New Roman"/>
          <w:lang w:val="sr-Latn-ME"/>
        </w:rPr>
        <w:t xml:space="preserve">primjenom višeslojne kompjuterizovane tomografije (engl. </w:t>
      </w:r>
      <w:r w:rsidRPr="00643CB3">
        <w:rPr>
          <w:rFonts w:ascii="Times New Roman" w:eastAsia="Times New Roman" w:hAnsi="Times New Roman" w:cs="Times New Roman"/>
          <w:i/>
          <w:lang w:val="sr-Latn-ME"/>
        </w:rPr>
        <w:t>computed tomography</w:t>
      </w:r>
      <w:r w:rsidRPr="00643CB3">
        <w:rPr>
          <w:rFonts w:ascii="Times New Roman" w:eastAsia="Times New Roman" w:hAnsi="Times New Roman" w:cs="Times New Roman"/>
          <w:lang w:val="sr-Latn-ME"/>
        </w:rPr>
        <w:t xml:space="preserve">, CT), (naltrekson/bupropion = 34 ispitanika i placebo = 24 ispitanika). DEXA procjena je pokazala da je terapija fiksnom kombinacijom naltrekson/bupropion povezana sa većim smanjenjima od početnih vrijednosti ukupne tjelesne masti i visceralnog masnog tkiva u odnosu na placebo. Kao što se očekivalo, ispitanici na terapiji fiksnom kombinacijom naltrekson/bupropion imali su veću srednju vrijednost povećanja od početnih vrijednosti ukupne tjelesne bezmasne mase u poređenju sa ispitanicima koji su primali placebo. Ovi rezultati </w:t>
      </w:r>
      <w:r w:rsidRPr="00643CB3">
        <w:rPr>
          <w:rFonts w:ascii="Times New Roman" w:eastAsia="Times New Roman" w:hAnsi="Times New Roman" w:cs="Times New Roman"/>
          <w:lang w:val="sr-Latn-ME"/>
        </w:rPr>
        <w:lastRenderedPageBreak/>
        <w:t>upućuju na to da se većina ukupnog gubitka tjelesne mase može pripisati smanjenju masnog tkiva, uključujući i visceralno masno tkivo.</w:t>
      </w:r>
    </w:p>
    <w:p w14:paraId="18DCB862"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p>
    <w:p w14:paraId="669A3801" w14:textId="77777777"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u w:val="single"/>
          <w:lang w:val="sr-Latn-ME"/>
        </w:rPr>
      </w:pPr>
      <w:r w:rsidRPr="00643CB3">
        <w:rPr>
          <w:rFonts w:ascii="Times New Roman" w:eastAsia="Times New Roman" w:hAnsi="Times New Roman" w:cs="Times New Roman"/>
          <w:u w:val="single"/>
          <w:lang w:val="sr-Latn-ME"/>
        </w:rPr>
        <w:t>Pedijatrijska populacija</w:t>
      </w:r>
    </w:p>
    <w:p w14:paraId="4563653D" w14:textId="5037E2DE" w:rsidR="00643CB3" w:rsidRPr="00643CB3" w:rsidRDefault="00643CB3" w:rsidP="00643CB3">
      <w:pPr>
        <w:tabs>
          <w:tab w:val="center" w:pos="4536"/>
          <w:tab w:val="right" w:pos="9072"/>
        </w:tabs>
        <w:spacing w:after="0" w:line="240" w:lineRule="auto"/>
        <w:jc w:val="both"/>
        <w:rPr>
          <w:rFonts w:ascii="Times New Roman" w:eastAsia="Times New Roman" w:hAnsi="Times New Roman" w:cs="Times New Roman"/>
          <w:lang w:val="sr-Latn-ME"/>
        </w:rPr>
      </w:pPr>
      <w:r w:rsidRPr="00643CB3">
        <w:rPr>
          <w:rFonts w:ascii="Times New Roman" w:eastAsia="Times New Roman" w:hAnsi="Times New Roman" w:cs="Times New Roman"/>
          <w:lang w:val="sr-Latn-ME"/>
        </w:rPr>
        <w:t xml:space="preserve">Evropska agencija za ljekove je odložila obavezu podnošenja rezultata ispitivanja lijeka Mysimba u jednoj ili više podgrupa pedijatrijske populacije sa gojaznošću (vidjeti </w:t>
      </w:r>
      <w:r w:rsidR="00840DEF">
        <w:rPr>
          <w:rFonts w:ascii="Times New Roman" w:eastAsia="Times New Roman" w:hAnsi="Times New Roman" w:cs="Times New Roman"/>
          <w:lang w:val="sr-Latn-ME"/>
        </w:rPr>
        <w:t>dio</w:t>
      </w:r>
      <w:r w:rsidRPr="00643CB3">
        <w:rPr>
          <w:rFonts w:ascii="Times New Roman" w:eastAsia="Times New Roman" w:hAnsi="Times New Roman" w:cs="Times New Roman"/>
          <w:lang w:val="sr-Latn-ME"/>
        </w:rPr>
        <w:t xml:space="preserve"> 4.2 za informacije o pedijatrijskoj primjeni). Fiksna kombinacija naltrekson/bupropion ne smije da se primjenjuje kod djece i adolescenata.</w:t>
      </w:r>
    </w:p>
    <w:p w14:paraId="112FBE1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6F9B2AA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5.2. </w:t>
      </w:r>
      <w:r w:rsidRPr="00643CB3">
        <w:rPr>
          <w:rFonts w:ascii="Times New Roman" w:eastAsia="Times New Roman" w:hAnsi="Times New Roman" w:cs="Times New Roman"/>
          <w:b/>
          <w:bCs/>
          <w:lang w:val="sr-Latn-ME"/>
        </w:rPr>
        <w:tab/>
        <w:t xml:space="preserve">Farmakokinetički podaci </w:t>
      </w:r>
    </w:p>
    <w:p w14:paraId="2EC117E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0BE9F8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Rezultati ispitivanja relativne bioraspoloživosti pojedinačne doze kod zdravih ispitanika pokazali su da su tablete fiksne kombinacije naltrekson/bupropion, kada su doze prilagođene, bioekvivalentne na osnovu srednje vrijednosti odnosa PIK</w:t>
      </w:r>
      <w:r w:rsidRPr="00643CB3">
        <w:rPr>
          <w:rFonts w:ascii="Times New Roman" w:eastAsia="Times New Roman" w:hAnsi="Times New Roman" w:cs="Times New Roman"/>
          <w:bCs/>
          <w:vertAlign w:val="subscript"/>
          <w:lang w:val="sr-Latn-ME"/>
        </w:rPr>
        <w:t>0-∞</w:t>
      </w:r>
      <w:r w:rsidRPr="00643CB3">
        <w:rPr>
          <w:rFonts w:ascii="Times New Roman" w:eastAsia="Times New Roman" w:hAnsi="Times New Roman" w:cs="Times New Roman"/>
          <w:bCs/>
          <w:lang w:val="sr-Latn-ME"/>
        </w:rPr>
        <w:t xml:space="preserve"> i 90% intervala pouzdanosti, sa naltreksonom sa trenutnim oslobađanjem (engl. </w:t>
      </w:r>
      <w:r w:rsidRPr="00643CB3">
        <w:rPr>
          <w:rFonts w:ascii="Times New Roman" w:eastAsia="Times New Roman" w:hAnsi="Times New Roman" w:cs="Times New Roman"/>
          <w:bCs/>
          <w:i/>
          <w:lang w:val="sr-Latn-ME"/>
        </w:rPr>
        <w:t>immediate release</w:t>
      </w:r>
      <w:r w:rsidRPr="00643CB3">
        <w:rPr>
          <w:rFonts w:ascii="Times New Roman" w:eastAsia="Times New Roman" w:hAnsi="Times New Roman" w:cs="Times New Roman"/>
          <w:bCs/>
          <w:lang w:val="sr-Latn-ME"/>
        </w:rPr>
        <w:t xml:space="preserve">, IR) ili bupropionom sa produženim oslobađanjem (engl. </w:t>
      </w:r>
      <w:r w:rsidRPr="00643CB3">
        <w:rPr>
          <w:rFonts w:ascii="Times New Roman" w:eastAsia="Times New Roman" w:hAnsi="Times New Roman" w:cs="Times New Roman"/>
          <w:bCs/>
          <w:i/>
          <w:lang w:val="sr-Latn-ME"/>
        </w:rPr>
        <w:t>prolonged release</w:t>
      </w:r>
      <w:r w:rsidRPr="00643CB3">
        <w:rPr>
          <w:rFonts w:ascii="Times New Roman" w:eastAsia="Times New Roman" w:hAnsi="Times New Roman" w:cs="Times New Roman"/>
          <w:bCs/>
          <w:lang w:val="sr-Latn-ME"/>
        </w:rPr>
        <w:t>, PR) primijenjenih pojedinačno.</w:t>
      </w:r>
    </w:p>
    <w:p w14:paraId="6BFA069B" w14:textId="77777777"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71DC53FA" w14:textId="61680C1D" w:rsidR="00643CB3" w:rsidRDefault="00643CB3"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248FD">
        <w:rPr>
          <w:rFonts w:ascii="Times New Roman" w:eastAsia="Times New Roman" w:hAnsi="Times New Roman" w:cs="Times New Roman"/>
          <w:bCs/>
          <w:i/>
          <w:u w:val="single"/>
          <w:lang w:val="sr-Latn-ME"/>
        </w:rPr>
        <w:t>Resorpcija:</w:t>
      </w:r>
    </w:p>
    <w:p w14:paraId="6FA5A992" w14:textId="77777777" w:rsidR="009B1D64" w:rsidRPr="009B1D64" w:rsidRDefault="009B1D64"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2C8E9EC6" w14:textId="646A7A1D"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Nakon </w:t>
      </w:r>
      <w:r w:rsidR="009B1D64">
        <w:rPr>
          <w:rFonts w:ascii="Times New Roman" w:eastAsia="Times New Roman" w:hAnsi="Times New Roman" w:cs="Times New Roman"/>
          <w:bCs/>
          <w:lang w:val="sr-Latn-ME"/>
        </w:rPr>
        <w:t>pojedinačne</w:t>
      </w:r>
      <w:r w:rsidR="009B1D64"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oralne primjene tablete fiksne kombinacije naltrekson/bupropion kod zdravih ispitanika, maksimalne koncentracije naltreksona i bupropiona su postignute oko 2, odnosno 3 sata nakon primjene fiksne kombinacije naltrekson/bupropion. Na osnovu mjerenja vrijednost PIK, nije bilo razlike u bioraspoloživosti naltreksona ili bupropiona kada su primijenjeni u kombinaciji u odnosu na to kada su primijenjeni pojedinačno. Međutim, s obzirom na prirodu produženog oslobađanja lijeka za fiksnu kombinaciju naltrekson/bupropion, vrijednost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za naltrekson je bila značajno smanjena u odnosu na 50 mg naltrekson hidrohlorida IR primijenjenog pojedinačno (nakon prilagođavanja doze razlika je bila dvostruka). Vrijednost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bupropiona iz fiksne kombinacije naltrekson/bupropion (180 mg bupropion hidrohlorida) je odgovarala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bupropiona PR (150 mg bupropion hidrohlorida), pokazujući da je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bupropiona postignuta sa fiksnom kombinacijom naltrekson/bupropion (360 mg bupropion hidrohlorida/dan) uporediva sa vrijednošću postignutom sa komercijalno dostupnim bupropionom PR (300 mg bupropion hidrohlorida/dan) primijenjenim samostalno.</w:t>
      </w:r>
    </w:p>
    <w:p w14:paraId="766DDCA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FB6105C" w14:textId="6F8B02FB"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Naltrekson i bupropion se dobro resorbuju iz gastrointestinalnog trakta (&gt; 90%), međutim, naltrekson ima značajan efekat prvog prolaska čime </w:t>
      </w:r>
      <w:r w:rsidR="009B1D64">
        <w:rPr>
          <w:rFonts w:ascii="Times New Roman" w:eastAsia="Times New Roman" w:hAnsi="Times New Roman" w:cs="Times New Roman"/>
          <w:bCs/>
          <w:lang w:val="sr-Latn-ME"/>
        </w:rPr>
        <w:t>se ograničava</w:t>
      </w:r>
      <w:r w:rsidRPr="00643CB3">
        <w:rPr>
          <w:rFonts w:ascii="Times New Roman" w:eastAsia="Times New Roman" w:hAnsi="Times New Roman" w:cs="Times New Roman"/>
          <w:bCs/>
          <w:lang w:val="sr-Latn-ME"/>
        </w:rPr>
        <w:t xml:space="preserve"> </w:t>
      </w:r>
      <w:r w:rsidR="009B1D64">
        <w:rPr>
          <w:rFonts w:ascii="Times New Roman" w:eastAsia="Times New Roman" w:hAnsi="Times New Roman" w:cs="Times New Roman"/>
          <w:bCs/>
          <w:lang w:val="sr-Latn-ME"/>
        </w:rPr>
        <w:t>sistemska</w:t>
      </w:r>
      <w:r w:rsidR="009B1D64"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bioraspoloživost na samo 5-6% (intaktnog oblika).</w:t>
      </w:r>
    </w:p>
    <w:p w14:paraId="369E8DA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BAC7590" w14:textId="2DD6B52C" w:rsidR="00643CB3" w:rsidRDefault="00643CB3"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248FD">
        <w:rPr>
          <w:rFonts w:ascii="Times New Roman" w:eastAsia="Times New Roman" w:hAnsi="Times New Roman" w:cs="Times New Roman"/>
          <w:bCs/>
          <w:i/>
          <w:u w:val="single"/>
          <w:lang w:val="sr-Latn-ME"/>
        </w:rPr>
        <w:t>Uticaj hrane:</w:t>
      </w:r>
    </w:p>
    <w:p w14:paraId="20F11AA0" w14:textId="77777777" w:rsidR="009B1D64" w:rsidRPr="003248FD" w:rsidRDefault="009B1D64"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2226FCD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Kada je fiksna kombinacija naltrekson/bupropion data uz obrok sa visokim sadržajem masti, PIK i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za naltrekson su se povećale 2,1 puta odnosno 3,7 puta, a PIK i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za bupropion su se povećali 1,4 puta odnosno 1,8 puta. U ravnotežnom stanju, efekat hrane je imao za rezultat povišenje vrijednosti PIK i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od 1,7 odnosno 1,9 puta za naltrekson, i od 1,1 odnosno 1,3 puta za bupropion. Kliničko iskustvo uključuje različite uslove obroka i podržava primjenu tableta fiksne kombinacije naltrekson/bupropion sa hranom.</w:t>
      </w:r>
    </w:p>
    <w:p w14:paraId="4CBF855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A6A8F3A" w14:textId="2FD52D2F" w:rsidR="00643CB3" w:rsidRDefault="00643CB3"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248FD">
        <w:rPr>
          <w:rFonts w:ascii="Times New Roman" w:eastAsia="Times New Roman" w:hAnsi="Times New Roman" w:cs="Times New Roman"/>
          <w:bCs/>
          <w:i/>
          <w:u w:val="single"/>
          <w:lang w:val="sr-Latn-ME"/>
        </w:rPr>
        <w:t>Distribucija:</w:t>
      </w:r>
    </w:p>
    <w:p w14:paraId="20332BA2" w14:textId="77777777" w:rsidR="009B1D64" w:rsidRPr="003248FD" w:rsidRDefault="009B1D64"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15058841" w14:textId="04CA8D40"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Srednja vrijednost volumena distribucije u stanju </w:t>
      </w:r>
      <w:r w:rsidR="009B1D64">
        <w:rPr>
          <w:rFonts w:ascii="Times New Roman" w:eastAsia="Times New Roman" w:hAnsi="Times New Roman" w:cs="Times New Roman"/>
          <w:bCs/>
          <w:lang w:val="sr-Latn-ME"/>
        </w:rPr>
        <w:t xml:space="preserve">dinamičke ravnoteže </w:t>
      </w:r>
      <w:r w:rsidRPr="00643CB3">
        <w:rPr>
          <w:rFonts w:ascii="Times New Roman" w:eastAsia="Times New Roman" w:hAnsi="Times New Roman" w:cs="Times New Roman"/>
          <w:bCs/>
          <w:lang w:val="sr-Latn-ME"/>
        </w:rPr>
        <w:t>naltreksona i bupropiona datih oralno kao fiksna kombinacija naltrekson/bupropion, V</w:t>
      </w:r>
      <w:r w:rsidRPr="00643CB3">
        <w:rPr>
          <w:rFonts w:ascii="Times New Roman" w:eastAsia="Times New Roman" w:hAnsi="Times New Roman" w:cs="Times New Roman"/>
          <w:bCs/>
          <w:vertAlign w:val="subscript"/>
          <w:lang w:val="sr-Latn-ME"/>
        </w:rPr>
        <w:t>ss</w:t>
      </w:r>
      <w:r w:rsidRPr="00643CB3">
        <w:rPr>
          <w:rFonts w:ascii="Times New Roman" w:eastAsia="Times New Roman" w:hAnsi="Times New Roman" w:cs="Times New Roman"/>
          <w:bCs/>
          <w:lang w:val="sr-Latn-ME"/>
        </w:rPr>
        <w:t>/F, bila je 5697 litara, odnosno 880 litara.</w:t>
      </w:r>
    </w:p>
    <w:p w14:paraId="54E582BA" w14:textId="25E68814" w:rsid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Vezivanje za proteine plazme nije obimno za naltrekson (21%) ili bupropion (84%), što ukazuje na mali potencijal za interakcije lijeka istiskivanjem.</w:t>
      </w:r>
    </w:p>
    <w:p w14:paraId="03D4F523"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1BCCF1D8" w14:textId="77777777"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248FD">
        <w:rPr>
          <w:rFonts w:ascii="Times New Roman" w:eastAsia="Times New Roman" w:hAnsi="Times New Roman" w:cs="Times New Roman"/>
          <w:bCs/>
          <w:i/>
          <w:u w:val="single"/>
          <w:lang w:val="sr-Latn-ME"/>
        </w:rPr>
        <w:t>Biotransformacija i eliminacija:</w:t>
      </w:r>
    </w:p>
    <w:p w14:paraId="2066B2CE" w14:textId="423F1101"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lastRenderedPageBreak/>
        <w:t xml:space="preserve">Nakon </w:t>
      </w:r>
      <w:r w:rsidR="009B1D64">
        <w:rPr>
          <w:rFonts w:ascii="Times New Roman" w:eastAsia="Times New Roman" w:hAnsi="Times New Roman" w:cs="Times New Roman"/>
          <w:bCs/>
          <w:lang w:val="sr-Latn-ME"/>
        </w:rPr>
        <w:t>pojedinačne</w:t>
      </w:r>
      <w:r w:rsidR="009B1D64"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oralne primjene tableta fiksne kombinacije naltrekson/bupropion zdravim ispitanicima, srednja vrijednost poluvremena eliminacije T</w:t>
      </w:r>
      <w:r w:rsidRPr="00643CB3">
        <w:rPr>
          <w:rFonts w:ascii="Times New Roman" w:eastAsia="Times New Roman" w:hAnsi="Times New Roman" w:cs="Times New Roman"/>
          <w:bCs/>
          <w:vertAlign w:val="subscript"/>
          <w:lang w:val="sr-Latn-ME"/>
        </w:rPr>
        <w:t>½</w:t>
      </w:r>
      <w:r w:rsidRPr="00643CB3">
        <w:rPr>
          <w:rFonts w:ascii="Times New Roman" w:eastAsia="Times New Roman" w:hAnsi="Times New Roman" w:cs="Times New Roman"/>
          <w:bCs/>
          <w:lang w:val="sr-Latn-ME"/>
        </w:rPr>
        <w:t xml:space="preserve"> je bila oko 5 sati za naltrekson i 21 sat za bupropion.</w:t>
      </w:r>
    </w:p>
    <w:p w14:paraId="1EE6395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1319FE9" w14:textId="77777777"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248FD">
        <w:rPr>
          <w:rFonts w:ascii="Times New Roman" w:eastAsia="Times New Roman" w:hAnsi="Times New Roman" w:cs="Times New Roman"/>
          <w:bCs/>
          <w:i/>
          <w:u w:val="single"/>
          <w:lang w:val="sr-Latn-ME"/>
        </w:rPr>
        <w:t>Naltrekson</w:t>
      </w:r>
    </w:p>
    <w:p w14:paraId="67D06C0F" w14:textId="244A274A"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Glavni metabolit naltreksona je 6-beta-naltreksol. Iako slabije </w:t>
      </w:r>
      <w:r w:rsidR="009B1D64">
        <w:rPr>
          <w:rFonts w:ascii="Times New Roman" w:eastAsia="Times New Roman" w:hAnsi="Times New Roman" w:cs="Times New Roman"/>
          <w:bCs/>
          <w:lang w:val="sr-Latn-ME"/>
        </w:rPr>
        <w:t xml:space="preserve">efikasan </w:t>
      </w:r>
      <w:r w:rsidRPr="00643CB3">
        <w:rPr>
          <w:rFonts w:ascii="Times New Roman" w:eastAsia="Times New Roman" w:hAnsi="Times New Roman" w:cs="Times New Roman"/>
          <w:bCs/>
          <w:lang w:val="sr-Latn-ME"/>
        </w:rPr>
        <w:t xml:space="preserve">od naltreksona, 6-beta-naltreksol se eliminiše sporije i stoga cirkuliše pri mnogo većim koncentracijama od naltreksona. Naltrekson i 6-beta-naltreksol se ne metabolišu putem enzima citohroma P450 i </w:t>
      </w:r>
      <w:r w:rsidRPr="00643CB3">
        <w:rPr>
          <w:rFonts w:ascii="Times New Roman" w:eastAsia="Times New Roman" w:hAnsi="Times New Roman" w:cs="Times New Roman"/>
          <w:bCs/>
          <w:i/>
          <w:lang w:val="sr-Latn-ME"/>
        </w:rPr>
        <w:t>in vitro</w:t>
      </w:r>
      <w:r w:rsidRPr="00643CB3">
        <w:rPr>
          <w:rFonts w:ascii="Times New Roman" w:eastAsia="Times New Roman" w:hAnsi="Times New Roman" w:cs="Times New Roman"/>
          <w:bCs/>
          <w:lang w:val="sr-Latn-ME"/>
        </w:rPr>
        <w:t xml:space="preserve"> ispitivanja pokazuju da ne postoji mogućnost za inhibiciju ili indukciju važnih izoenzima. Naltrekson se prvenstveno metaboliše u 6-beta-naltreksol pomoću dihidrodiol dehidrogenaza (DD1, DD2 i DD4). Drugi glavni metabolitički putevi su stvaranje metabolita 2-hidroksi-3-O-metil naltreksona i 2-hidroksi-3-O-metil-6-beta-naltreksola, vjerovatno posredstvom katehol-O-metil transferaze (COMT), i glukuronidacijom, vjerovatno posredstvom UGT1A1 i UGT2B7.</w:t>
      </w:r>
    </w:p>
    <w:p w14:paraId="41CE610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56E20B7" w14:textId="04FA0B49"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Naltrekson i njegovi metaboliti izlučuju se prvenstveno preko bubrega (37 do 60% doze). Izvedena vrijednost za izlučivanje naltreksona preko bubrega nakon oralne primjene, uz korekciju zbog vezivanja za proteine plazme iznosi 89 m</w:t>
      </w:r>
      <w:r w:rsidR="004F2001">
        <w:rPr>
          <w:rFonts w:ascii="Times New Roman" w:eastAsia="Times New Roman" w:hAnsi="Times New Roman" w:cs="Times New Roman"/>
          <w:bCs/>
          <w:lang w:val="sr-Latn-ME"/>
        </w:rPr>
        <w:t>l</w:t>
      </w:r>
      <w:r w:rsidRPr="00643CB3">
        <w:rPr>
          <w:rFonts w:ascii="Times New Roman" w:eastAsia="Times New Roman" w:hAnsi="Times New Roman" w:cs="Times New Roman"/>
          <w:bCs/>
          <w:lang w:val="sr-Latn-ME"/>
        </w:rPr>
        <w:t xml:space="preserve">/min. Enzim koji je odgovoran za glavni put eliminacije nije poznat. Eliminacija putem fecesa je neznatnog obima. </w:t>
      </w:r>
    </w:p>
    <w:p w14:paraId="0CE9E307"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3B72F28" w14:textId="77777777"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248FD">
        <w:rPr>
          <w:rFonts w:ascii="Times New Roman" w:eastAsia="Times New Roman" w:hAnsi="Times New Roman" w:cs="Times New Roman"/>
          <w:bCs/>
          <w:i/>
          <w:u w:val="single"/>
          <w:lang w:val="sr-Latn-ME"/>
        </w:rPr>
        <w:t>Bupropion</w:t>
      </w:r>
    </w:p>
    <w:p w14:paraId="2598BA1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Bupropion se u velikoj mjeri metaboliše u tri aktivna metabolita: hidroksibupropion, treohidrobupropion i eritrohidrobupropion. Metaboliti imaju duže poluvrijeme eliminacije od bupropiona i akumuliraju se u većoj mjeri. </w:t>
      </w:r>
      <w:r w:rsidRPr="00643CB3">
        <w:rPr>
          <w:rFonts w:ascii="Times New Roman" w:eastAsia="Times New Roman" w:hAnsi="Times New Roman" w:cs="Times New Roman"/>
          <w:bCs/>
          <w:i/>
          <w:lang w:val="sr-Latn-ME"/>
        </w:rPr>
        <w:t>In vitro</w:t>
      </w:r>
      <w:r w:rsidRPr="00643CB3">
        <w:rPr>
          <w:rFonts w:ascii="Times New Roman" w:eastAsia="Times New Roman" w:hAnsi="Times New Roman" w:cs="Times New Roman"/>
          <w:bCs/>
          <w:lang w:val="sr-Latn-ME"/>
        </w:rPr>
        <w:t xml:space="preserve"> rezultati ukazuju na to da je CYP2B6 glavni izoenzim koji učestvuje u stvaranju hidroksibupropiona, a CYP1A2, 2A6, 2C9, 3A4 i 2E1 su manje uključeni. Nasuprot tome, stvaranje treohidrobupropiona je prema podacima uz literature posredovano 11-beta-hidroksisteroid dehidrogenazom 1. Metabolički put odgovoran za stvaranje eritrohidrobupropiona nije poznat.</w:t>
      </w:r>
    </w:p>
    <w:p w14:paraId="6F270247"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68F516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Bupropion i njegovi metaboliti inhibiraju CYP2D6. Bupropion i hidroksibupropiona se vezuju za proteine plazme u istoj mjeri (84%), dok se druga dva metabolita, treohidrobupropion i eritrohidrobupropion, vezuju za proteine plazme u približno duplo manjem stepenu.</w:t>
      </w:r>
    </w:p>
    <w:p w14:paraId="0332E71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2D8FF54" w14:textId="585160BB"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Nakon oralne primjene 200 mg </w:t>
      </w:r>
      <w:r w:rsidRPr="00643CB3">
        <w:rPr>
          <w:rFonts w:ascii="Times New Roman" w:eastAsia="Times New Roman" w:hAnsi="Times New Roman" w:cs="Times New Roman"/>
          <w:bCs/>
          <w:vertAlign w:val="superscript"/>
          <w:lang w:val="sr-Latn-ME"/>
        </w:rPr>
        <w:t>14</w:t>
      </w:r>
      <w:r w:rsidRPr="00643CB3">
        <w:rPr>
          <w:rFonts w:ascii="Times New Roman" w:eastAsia="Times New Roman" w:hAnsi="Times New Roman" w:cs="Times New Roman"/>
          <w:bCs/>
          <w:lang w:val="sr-Latn-ME"/>
        </w:rPr>
        <w:t>C-bupropion</w:t>
      </w:r>
      <w:r w:rsidR="006D21BC">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hidrohlorida kod ljudi, 87% i 10% radioaktivne doze su pronađene u urinu odnosno fecesu. Frakcija oralne doze bupropiona od 0,5% izlučuje se u nepromijenjenom obliku, što je u skladu sa obimnim metabolizmom bupropiona.</w:t>
      </w:r>
    </w:p>
    <w:p w14:paraId="69C8116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3B50B619" w14:textId="4E5698D4" w:rsid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3248FD">
        <w:rPr>
          <w:rFonts w:ascii="Times New Roman" w:eastAsia="Times New Roman" w:hAnsi="Times New Roman" w:cs="Times New Roman"/>
          <w:bCs/>
          <w:u w:val="single"/>
          <w:lang w:val="sr-Latn-ME"/>
        </w:rPr>
        <w:t>Akumulacija:</w:t>
      </w:r>
    </w:p>
    <w:p w14:paraId="6B31D893" w14:textId="77777777" w:rsidR="006D21BC" w:rsidRPr="003248FD" w:rsidRDefault="006D21BC"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266A577" w14:textId="4B2D8D40"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Nakon primjene fiksne kombinacije naltrekson/bupropion dva puta dnevno, naltrekson se ne akumulira, dok se 6-betanaltreksol akumulira tokom vremena. Na osnovu poluvremena eliminacije, procjenjuje se da 6-beta-naltreksol dostiže stanje </w:t>
      </w:r>
      <w:r w:rsidR="006D21BC">
        <w:rPr>
          <w:rFonts w:ascii="Times New Roman" w:eastAsia="Times New Roman" w:hAnsi="Times New Roman" w:cs="Times New Roman"/>
          <w:bCs/>
          <w:lang w:val="sr-Latn-ME"/>
        </w:rPr>
        <w:t xml:space="preserve">dinamičke ravnoteže </w:t>
      </w:r>
      <w:r w:rsidRPr="00643CB3">
        <w:rPr>
          <w:rFonts w:ascii="Times New Roman" w:eastAsia="Times New Roman" w:hAnsi="Times New Roman" w:cs="Times New Roman"/>
          <w:bCs/>
          <w:lang w:val="sr-Latn-ME"/>
        </w:rPr>
        <w:t xml:space="preserve">za oko 3 dana. Metaboliti bupropiona (i u manjoj mjeri nemetabolisan bupropion) se akumuliraju i dostižu stanje </w:t>
      </w:r>
      <w:r w:rsidR="006D21BC">
        <w:rPr>
          <w:rFonts w:ascii="Times New Roman" w:eastAsia="Times New Roman" w:hAnsi="Times New Roman" w:cs="Times New Roman"/>
          <w:bCs/>
          <w:lang w:val="sr-Latn-ME"/>
        </w:rPr>
        <w:t xml:space="preserve">dinamičke ravnoteže </w:t>
      </w:r>
      <w:r w:rsidRPr="00643CB3">
        <w:rPr>
          <w:rFonts w:ascii="Times New Roman" w:eastAsia="Times New Roman" w:hAnsi="Times New Roman" w:cs="Times New Roman"/>
          <w:bCs/>
          <w:lang w:val="sr-Latn-ME"/>
        </w:rPr>
        <w:t>za oko nedjelju dana. Nije sprovedeno ispitivanje koje upoređuje vrijednosti PIK ili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xml:space="preserve"> tableta sa produženim oslobađanjem fiksne kombinacije naltrekson/bupropion i bupropiona PR ili naltreksona IR primijenjenih pojedinačno, u okviru </w:t>
      </w:r>
      <w:r w:rsidR="006D21BC">
        <w:rPr>
          <w:rFonts w:ascii="Times New Roman" w:eastAsia="Times New Roman" w:hAnsi="Times New Roman" w:cs="Times New Roman"/>
          <w:bCs/>
          <w:lang w:val="sr-Latn-ME"/>
        </w:rPr>
        <w:t>ponovljenog</w:t>
      </w:r>
      <w:r w:rsidR="006D21BC" w:rsidRPr="00643CB3">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doziranja (tj. u uslovima stanja</w:t>
      </w:r>
      <w:r w:rsidR="006D21BC">
        <w:rPr>
          <w:rFonts w:ascii="Times New Roman" w:eastAsia="Times New Roman" w:hAnsi="Times New Roman" w:cs="Times New Roman"/>
          <w:bCs/>
          <w:lang w:val="sr-Latn-ME"/>
        </w:rPr>
        <w:t xml:space="preserve"> dinamičke ravnoteže</w:t>
      </w:r>
      <w:r w:rsidRPr="00643CB3">
        <w:rPr>
          <w:rFonts w:ascii="Times New Roman" w:eastAsia="Times New Roman" w:hAnsi="Times New Roman" w:cs="Times New Roman"/>
          <w:bCs/>
          <w:lang w:val="sr-Latn-ME"/>
        </w:rPr>
        <w:t>).</w:t>
      </w:r>
    </w:p>
    <w:p w14:paraId="56E68B8A"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58407A5"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Posebne populacije</w:t>
      </w:r>
    </w:p>
    <w:p w14:paraId="15262EF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4E4946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3248FD">
        <w:rPr>
          <w:rFonts w:ascii="Times New Roman" w:eastAsia="Times New Roman" w:hAnsi="Times New Roman" w:cs="Times New Roman"/>
          <w:bCs/>
          <w:i/>
          <w:u w:val="single"/>
          <w:lang w:val="sr-Latn-ME"/>
        </w:rPr>
        <w:t>Pol i rasa</w:t>
      </w:r>
      <w:r w:rsidRPr="00643CB3">
        <w:rPr>
          <w:rFonts w:ascii="Times New Roman" w:eastAsia="Times New Roman" w:hAnsi="Times New Roman" w:cs="Times New Roman"/>
          <w:bCs/>
          <w:i/>
          <w:lang w:val="sr-Latn-ME"/>
        </w:rPr>
        <w:t>:</w:t>
      </w:r>
      <w:r w:rsidRPr="00643CB3">
        <w:rPr>
          <w:rFonts w:ascii="Times New Roman" w:eastAsia="Times New Roman" w:hAnsi="Times New Roman" w:cs="Times New Roman"/>
          <w:bCs/>
          <w:lang w:val="sr-Latn-ME"/>
        </w:rPr>
        <w:t xml:space="preserve"> Objedinjeni podaci analize fiksne kombinacije naltrekson/bupropion su pokazali da nema značajnih razlika u vezi sa polom ili rasom u farmakokinetičkim parametrima bupropiona ili naltreksona. Međutim, opsežna ispitivanja su sprovedena samo kod ispitanika bijele i crne rase. Nije potrebno prilagođavanje doze na osnovu pola ili rase.</w:t>
      </w:r>
    </w:p>
    <w:p w14:paraId="001DB84B"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F33C16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3248FD">
        <w:rPr>
          <w:rFonts w:ascii="Times New Roman" w:eastAsia="Times New Roman" w:hAnsi="Times New Roman" w:cs="Times New Roman"/>
          <w:bCs/>
          <w:i/>
          <w:u w:val="single"/>
          <w:lang w:val="sr-Latn-ME"/>
        </w:rPr>
        <w:lastRenderedPageBreak/>
        <w:t>Starije osobe</w:t>
      </w:r>
      <w:r w:rsidRPr="00643CB3">
        <w:rPr>
          <w:rFonts w:ascii="Times New Roman" w:eastAsia="Times New Roman" w:hAnsi="Times New Roman" w:cs="Times New Roman"/>
          <w:bCs/>
          <w:i/>
          <w:lang w:val="sr-Latn-ME"/>
        </w:rPr>
        <w:t>:</w:t>
      </w:r>
      <w:r w:rsidRPr="00643CB3">
        <w:rPr>
          <w:rFonts w:ascii="Times New Roman" w:eastAsia="Times New Roman" w:hAnsi="Times New Roman" w:cs="Times New Roman"/>
          <w:bCs/>
          <w:lang w:val="sr-Latn-ME"/>
        </w:rPr>
        <w:t xml:space="preserve"> Farmakokinetika fiksne kombinacije naltrekson/bupropion nije procijenjena kod starije populacije. S obzirom na to da se produkti metabolizma naltreksona i bupropiona izlučuju urinom, a kod starijih ljudi postoji veća vjerovatnoća smanjenja funkcije bubrega, treba pažljivo odrediti dozu, a može biti korisno praćenje bubrežne funkcije. Ne preporučuje se davanje fiksne kombinacije naltrekson/bupropion pacijentima starosti preko 75 godina.</w:t>
      </w:r>
    </w:p>
    <w:p w14:paraId="4F8E7F8E" w14:textId="77777777"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8C0403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3248FD">
        <w:rPr>
          <w:rFonts w:ascii="Times New Roman" w:eastAsia="Times New Roman" w:hAnsi="Times New Roman" w:cs="Times New Roman"/>
          <w:bCs/>
          <w:i/>
          <w:u w:val="single"/>
          <w:lang w:val="sr-Latn-ME"/>
        </w:rPr>
        <w:t>Pušači</w:t>
      </w:r>
      <w:r w:rsidRPr="00643CB3">
        <w:rPr>
          <w:rFonts w:ascii="Times New Roman" w:eastAsia="Times New Roman" w:hAnsi="Times New Roman" w:cs="Times New Roman"/>
          <w:bCs/>
          <w:i/>
          <w:lang w:val="sr-Latn-ME"/>
        </w:rPr>
        <w:t>:</w:t>
      </w:r>
      <w:r w:rsidRPr="00643CB3">
        <w:rPr>
          <w:rFonts w:ascii="Times New Roman" w:eastAsia="Times New Roman" w:hAnsi="Times New Roman" w:cs="Times New Roman"/>
          <w:bCs/>
          <w:lang w:val="sr-Latn-ME"/>
        </w:rPr>
        <w:t xml:space="preserve"> Objedinjeni podaci analize fiksne kombinacije naltrekson/bupropion nijesu otkrili značajne razlike u koncentracijama u plazmi bupropiona ili naltreksona kod pušača u poređenju sa nepušačima. Efekti pušenja cigareta na farmakokinetiku bupropiona su ispitivani kod 34 zdravih dobrovoljaca oba pola; 17 su bili hronični pušači cigareta, a 17 nepušači. Nakon oralne primjene jedne doze od 150 mg bupropion hidrohlorida, nije bilo statistički značajne razlike u C</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poluvremenu, T</w:t>
      </w:r>
      <w:r w:rsidRPr="00643CB3">
        <w:rPr>
          <w:rFonts w:ascii="Times New Roman" w:eastAsia="Times New Roman" w:hAnsi="Times New Roman" w:cs="Times New Roman"/>
          <w:bCs/>
          <w:vertAlign w:val="subscript"/>
          <w:lang w:val="sr-Latn-ME"/>
        </w:rPr>
        <w:t>max</w:t>
      </w:r>
      <w:r w:rsidRPr="00643CB3">
        <w:rPr>
          <w:rFonts w:ascii="Times New Roman" w:eastAsia="Times New Roman" w:hAnsi="Times New Roman" w:cs="Times New Roman"/>
          <w:bCs/>
          <w:lang w:val="sr-Latn-ME"/>
        </w:rPr>
        <w:t>, PIK ili klirensu bupropiona ili njegovim aktivnim metabolitima između pušača i nepušača.</w:t>
      </w:r>
    </w:p>
    <w:p w14:paraId="726C2A8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3AA9B313" w14:textId="4EF1EF85"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3248FD">
        <w:rPr>
          <w:rFonts w:ascii="Times New Roman" w:eastAsia="Times New Roman" w:hAnsi="Times New Roman" w:cs="Times New Roman"/>
          <w:bCs/>
          <w:i/>
          <w:u w:val="single"/>
          <w:lang w:val="sr-Latn-ME"/>
        </w:rPr>
        <w:t>Oštećenje funkcije jetre:</w:t>
      </w:r>
      <w:r w:rsidRPr="00643CB3">
        <w:rPr>
          <w:rFonts w:ascii="Times New Roman" w:eastAsia="Times New Roman" w:hAnsi="Times New Roman" w:cs="Times New Roman"/>
          <w:bCs/>
          <w:lang w:val="sr-Latn-ME"/>
        </w:rPr>
        <w:t xml:space="preserve"> </w:t>
      </w:r>
      <w:r w:rsidR="008B7224" w:rsidRPr="008B7224">
        <w:rPr>
          <w:rFonts w:ascii="Times New Roman" w:eastAsia="Times New Roman" w:hAnsi="Times New Roman" w:cs="Times New Roman"/>
          <w:bCs/>
        </w:rPr>
        <w:t>Sprovedeno</w:t>
      </w:r>
      <w:r w:rsidR="008B7224" w:rsidRPr="00A8419E">
        <w:rPr>
          <w:rFonts w:ascii="Times New Roman" w:eastAsia="Times New Roman" w:hAnsi="Times New Roman" w:cs="Times New Roman"/>
          <w:bCs/>
          <w:lang w:val="sr-Latn-ME"/>
        </w:rPr>
        <w:t xml:space="preserve"> </w:t>
      </w:r>
      <w:r w:rsidR="008B7224" w:rsidRPr="008B7224">
        <w:rPr>
          <w:rFonts w:ascii="Times New Roman" w:eastAsia="Times New Roman" w:hAnsi="Times New Roman" w:cs="Times New Roman"/>
          <w:bCs/>
        </w:rPr>
        <w:t>je</w:t>
      </w:r>
      <w:r w:rsidR="008B7224" w:rsidRPr="00A8419E">
        <w:rPr>
          <w:rFonts w:ascii="Times New Roman" w:eastAsia="Times New Roman" w:hAnsi="Times New Roman" w:cs="Times New Roman"/>
          <w:bCs/>
          <w:lang w:val="sr-Latn-ME"/>
        </w:rPr>
        <w:t xml:space="preserve"> </w:t>
      </w:r>
      <w:r w:rsidR="008B7224" w:rsidRPr="008B7224">
        <w:rPr>
          <w:rFonts w:ascii="Times New Roman" w:eastAsia="Times New Roman" w:hAnsi="Times New Roman" w:cs="Times New Roman"/>
          <w:bCs/>
        </w:rPr>
        <w:t>farmakokineti</w:t>
      </w:r>
      <w:r w:rsidR="008B7224" w:rsidRPr="00A8419E">
        <w:rPr>
          <w:rFonts w:ascii="Times New Roman" w:eastAsia="Times New Roman" w:hAnsi="Times New Roman" w:cs="Times New Roman"/>
          <w:bCs/>
          <w:lang w:val="sr-Latn-ME"/>
        </w:rPr>
        <w:t>č</w:t>
      </w:r>
      <w:r w:rsidR="008B7224" w:rsidRPr="008B7224">
        <w:rPr>
          <w:rFonts w:ascii="Times New Roman" w:eastAsia="Times New Roman" w:hAnsi="Times New Roman" w:cs="Times New Roman"/>
          <w:bCs/>
        </w:rPr>
        <w:t>ko</w:t>
      </w:r>
      <w:r w:rsidR="008B7224" w:rsidRPr="00A8419E">
        <w:rPr>
          <w:rFonts w:ascii="Times New Roman" w:eastAsia="Times New Roman" w:hAnsi="Times New Roman" w:cs="Times New Roman"/>
          <w:bCs/>
          <w:lang w:val="sr-Latn-ME"/>
        </w:rPr>
        <w:t xml:space="preserve"> </w:t>
      </w:r>
      <w:r w:rsidR="008B7224" w:rsidRPr="008B7224">
        <w:rPr>
          <w:rFonts w:ascii="Times New Roman" w:eastAsia="Times New Roman" w:hAnsi="Times New Roman" w:cs="Times New Roman"/>
          <w:bCs/>
        </w:rPr>
        <w:t>ispitivanje</w:t>
      </w:r>
      <w:r w:rsidR="008B7224" w:rsidRPr="00A8419E">
        <w:rPr>
          <w:rFonts w:ascii="Times New Roman" w:eastAsia="Times New Roman" w:hAnsi="Times New Roman" w:cs="Times New Roman"/>
          <w:bCs/>
          <w:lang w:val="sr-Latn-ME"/>
        </w:rPr>
        <w:t xml:space="preserve"> </w:t>
      </w:r>
      <w:r w:rsidR="008B7224" w:rsidRPr="008B7224">
        <w:rPr>
          <w:rFonts w:ascii="Times New Roman" w:eastAsia="Times New Roman" w:hAnsi="Times New Roman" w:cs="Times New Roman"/>
          <w:bCs/>
        </w:rPr>
        <w:t>pojedina</w:t>
      </w:r>
      <w:r w:rsidR="008B7224" w:rsidRPr="00A8419E">
        <w:rPr>
          <w:rFonts w:ascii="Times New Roman" w:eastAsia="Times New Roman" w:hAnsi="Times New Roman" w:cs="Times New Roman"/>
          <w:bCs/>
          <w:lang w:val="sr-Latn-ME"/>
        </w:rPr>
        <w:t>č</w:t>
      </w:r>
      <w:r w:rsidR="008B7224" w:rsidRPr="008B7224">
        <w:rPr>
          <w:rFonts w:ascii="Times New Roman" w:eastAsia="Times New Roman" w:hAnsi="Times New Roman" w:cs="Times New Roman"/>
          <w:bCs/>
        </w:rPr>
        <w:t>ne</w:t>
      </w:r>
      <w:r w:rsidR="008B7224" w:rsidRPr="00A8419E">
        <w:rPr>
          <w:rFonts w:ascii="Times New Roman" w:eastAsia="Times New Roman" w:hAnsi="Times New Roman" w:cs="Times New Roman"/>
          <w:bCs/>
          <w:lang w:val="sr-Latn-ME"/>
        </w:rPr>
        <w:t xml:space="preserve"> </w:t>
      </w:r>
      <w:r w:rsidR="008B7224" w:rsidRPr="008B7224">
        <w:rPr>
          <w:rFonts w:ascii="Times New Roman" w:eastAsia="Times New Roman" w:hAnsi="Times New Roman" w:cs="Times New Roman"/>
          <w:bCs/>
        </w:rPr>
        <w:t>doze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fiksne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kombinacije</w:t>
      </w:r>
      <w:r w:rsidR="00B9608A" w:rsidRPr="00A8419E">
        <w:rPr>
          <w:rFonts w:ascii="Times New Roman" w:eastAsia="Times New Roman" w:hAnsi="Times New Roman" w:cs="Times New Roman"/>
          <w:bCs/>
          <w:lang w:val="sr-Latn-ME"/>
        </w:rPr>
        <w:t xml:space="preserve"> </w:t>
      </w:r>
      <w:bookmarkStart w:id="10" w:name="_Hlk41637651"/>
      <w:r w:rsidR="00816C1B" w:rsidRPr="00816C1B">
        <w:rPr>
          <w:rFonts w:ascii="Times New Roman" w:eastAsia="Times New Roman" w:hAnsi="Times New Roman" w:cs="Times New Roman"/>
          <w:bCs/>
        </w:rPr>
        <w:t>naltrekson</w:t>
      </w:r>
      <w:r w:rsidR="00816C1B" w:rsidRPr="00A8419E">
        <w:rPr>
          <w:rFonts w:ascii="Times New Roman" w:eastAsia="Times New Roman" w:hAnsi="Times New Roman" w:cs="Times New Roman"/>
          <w:bCs/>
          <w:lang w:val="sr-Latn-ME"/>
        </w:rPr>
        <w:t>/</w:t>
      </w:r>
      <w:r w:rsidR="00816C1B" w:rsidRPr="00816C1B">
        <w:rPr>
          <w:rFonts w:ascii="Times New Roman" w:eastAsia="Times New Roman" w:hAnsi="Times New Roman" w:cs="Times New Roman"/>
          <w:bCs/>
        </w:rPr>
        <w:t>bupropion</w:t>
      </w:r>
      <w:r w:rsidR="00816C1B" w:rsidRPr="00A8419E">
        <w:rPr>
          <w:rFonts w:ascii="Times New Roman" w:eastAsia="Times New Roman" w:hAnsi="Times New Roman" w:cs="Times New Roman"/>
          <w:bCs/>
          <w:lang w:val="sr-Latn-ME"/>
        </w:rPr>
        <w:t xml:space="preserve"> </w:t>
      </w:r>
      <w:bookmarkEnd w:id="10"/>
      <w:r w:rsidR="00B9608A" w:rsidRPr="00B9608A">
        <w:rPr>
          <w:rFonts w:ascii="Times New Roman" w:eastAsia="Times New Roman" w:hAnsi="Times New Roman" w:cs="Times New Roman"/>
          <w:bCs/>
        </w:rPr>
        <w:t>kod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pacijenata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enjem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Rezultati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ovog</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ispitivanja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pokazali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su</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da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pacijenata</w:t>
      </w:r>
      <w:r w:rsidR="00B9608A" w:rsidRPr="00A8419E">
        <w:rPr>
          <w:rFonts w:ascii="Times New Roman" w:eastAsia="Times New Roman" w:hAnsi="Times New Roman" w:cs="Times New Roman"/>
          <w:bCs/>
          <w:lang w:val="sr-Latn-ME"/>
        </w:rPr>
        <w:t xml:space="preserve"> </w:t>
      </w:r>
      <w:proofErr w:type="gramStart"/>
      <w:r w:rsidR="00B9608A" w:rsidRPr="00B9608A">
        <w:rPr>
          <w:rFonts w:ascii="Times New Roman" w:eastAsia="Times New Roman" w:hAnsi="Times New Roman" w:cs="Times New Roman"/>
          <w:bCs/>
        </w:rPr>
        <w:t>sa</w:t>
      </w:r>
      <w:proofErr w:type="gramEnd"/>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blagim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enjem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Child</w:t>
      </w:r>
      <w:r w:rsidR="00B9608A" w:rsidRPr="00A8419E">
        <w:rPr>
          <w:rFonts w:ascii="Times New Roman" w:eastAsia="Times New Roman" w:hAnsi="Times New Roman" w:cs="Times New Roman"/>
          <w:bCs/>
          <w:lang w:val="sr-Latn-ME"/>
        </w:rPr>
        <w:t>-</w:t>
      </w:r>
      <w:r w:rsidR="00B9608A" w:rsidRPr="00B9608A">
        <w:rPr>
          <w:rFonts w:ascii="Times New Roman" w:eastAsia="Times New Roman" w:hAnsi="Times New Roman" w:cs="Times New Roman"/>
          <w:bCs/>
        </w:rPr>
        <w:t>Pugh</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rezultat</w:t>
      </w:r>
      <w:r w:rsidR="00B9608A" w:rsidRPr="00A8419E">
        <w:rPr>
          <w:rFonts w:ascii="Times New Roman" w:eastAsia="Times New Roman" w:hAnsi="Times New Roman" w:cs="Times New Roman"/>
          <w:bCs/>
          <w:lang w:val="sr-Latn-ME"/>
        </w:rPr>
        <w:t xml:space="preserve"> 5-6 [</w:t>
      </w:r>
      <w:r w:rsidR="00B9608A" w:rsidRPr="00B9608A">
        <w:rPr>
          <w:rFonts w:ascii="Times New Roman" w:eastAsia="Times New Roman" w:hAnsi="Times New Roman" w:cs="Times New Roman"/>
          <w:bCs/>
        </w:rPr>
        <w:t>stadijum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postojao</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blagi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porast</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koncentracija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naltreksona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dok</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su</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koncentracije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bupropiona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ve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ine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ostalih</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metabolita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uglavnom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bile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uporedive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vi</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nego</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dvostruko</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ve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odnosu</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one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pacijenata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normalnom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funkcijom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pacijenata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um</w:t>
      </w:r>
      <w:r w:rsidR="00730410">
        <w:rPr>
          <w:rFonts w:ascii="Times New Roman" w:eastAsia="Times New Roman" w:hAnsi="Times New Roman" w:cs="Times New Roman"/>
          <w:bCs/>
        </w:rPr>
        <w:t>j</w:t>
      </w:r>
      <w:r w:rsidR="00B9608A" w:rsidRPr="00B9608A">
        <w:rPr>
          <w:rFonts w:ascii="Times New Roman" w:eastAsia="Times New Roman" w:hAnsi="Times New Roman" w:cs="Times New Roman"/>
          <w:bCs/>
        </w:rPr>
        <w:t>erenim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enjem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Child</w:t>
      </w:r>
      <w:r w:rsidR="00B9608A" w:rsidRPr="00A8419E">
        <w:rPr>
          <w:rFonts w:ascii="Times New Roman" w:eastAsia="Times New Roman" w:hAnsi="Times New Roman" w:cs="Times New Roman"/>
          <w:bCs/>
          <w:lang w:val="sr-Latn-ME"/>
        </w:rPr>
        <w:t>-</w:t>
      </w:r>
      <w:r w:rsidR="00B9608A" w:rsidRPr="00B9608A">
        <w:rPr>
          <w:rFonts w:ascii="Times New Roman" w:eastAsia="Times New Roman" w:hAnsi="Times New Roman" w:cs="Times New Roman"/>
          <w:bCs/>
        </w:rPr>
        <w:t>Pugh</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rezultat</w:t>
      </w:r>
      <w:r w:rsidR="00B9608A" w:rsidRPr="00A8419E">
        <w:rPr>
          <w:rFonts w:ascii="Times New Roman" w:eastAsia="Times New Roman" w:hAnsi="Times New Roman" w:cs="Times New Roman"/>
          <w:bCs/>
          <w:lang w:val="sr-Latn-ME"/>
        </w:rPr>
        <w:t xml:space="preserve"> 7-9 [</w:t>
      </w:r>
      <w:r w:rsidR="00B9608A" w:rsidRPr="00B9608A">
        <w:rPr>
          <w:rFonts w:ascii="Times New Roman" w:eastAsia="Times New Roman" w:hAnsi="Times New Roman" w:cs="Times New Roman"/>
          <w:bCs/>
        </w:rPr>
        <w:t>stadijum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kim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enjem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Child</w:t>
      </w:r>
      <w:r w:rsidR="00B9608A" w:rsidRPr="00A8419E">
        <w:rPr>
          <w:rFonts w:ascii="Times New Roman" w:eastAsia="Times New Roman" w:hAnsi="Times New Roman" w:cs="Times New Roman"/>
          <w:bCs/>
          <w:lang w:val="sr-Latn-ME"/>
        </w:rPr>
        <w:t>-</w:t>
      </w:r>
      <w:r w:rsidR="00B9608A" w:rsidRPr="00B9608A">
        <w:rPr>
          <w:rFonts w:ascii="Times New Roman" w:eastAsia="Times New Roman" w:hAnsi="Times New Roman" w:cs="Times New Roman"/>
          <w:bCs/>
        </w:rPr>
        <w:t>Pugh</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rezultat</w:t>
      </w:r>
      <w:r w:rsidR="00B9608A" w:rsidRPr="00A8419E">
        <w:rPr>
          <w:rFonts w:ascii="Times New Roman" w:eastAsia="Times New Roman" w:hAnsi="Times New Roman" w:cs="Times New Roman"/>
          <w:bCs/>
          <w:lang w:val="sr-Latn-ME"/>
        </w:rPr>
        <w:t xml:space="preserve"> 10 </w:t>
      </w:r>
      <w:r w:rsidR="00B9608A" w:rsidRPr="00B9608A">
        <w:rPr>
          <w:rFonts w:ascii="Times New Roman" w:eastAsia="Times New Roman" w:hAnsi="Times New Roman" w:cs="Times New Roman"/>
          <w:bCs/>
        </w:rPr>
        <w:t>ili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vi</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i</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stadijum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C</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porast</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maksimalne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koncentracije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naltreksona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od</w:t>
      </w:r>
      <w:r w:rsidR="00B9608A" w:rsidRPr="00A8419E">
        <w:rPr>
          <w:rFonts w:ascii="Times New Roman" w:eastAsia="Times New Roman" w:hAnsi="Times New Roman" w:cs="Times New Roman"/>
          <w:bCs/>
          <w:lang w:val="sr-Latn-ME"/>
        </w:rPr>
        <w:t xml:space="preserve"> ~6 </w:t>
      </w:r>
      <w:r w:rsidR="00B9608A" w:rsidRPr="00B9608A">
        <w:rPr>
          <w:rFonts w:ascii="Times New Roman" w:eastAsia="Times New Roman" w:hAnsi="Times New Roman" w:cs="Times New Roman"/>
          <w:bCs/>
        </w:rPr>
        <w:t>i</w:t>
      </w:r>
      <w:r w:rsidR="00B9608A" w:rsidRPr="00A8419E">
        <w:rPr>
          <w:rFonts w:ascii="Times New Roman" w:eastAsia="Times New Roman" w:hAnsi="Times New Roman" w:cs="Times New Roman"/>
          <w:bCs/>
          <w:lang w:val="sr-Latn-ME"/>
        </w:rPr>
        <w:t xml:space="preserve"> ~30 </w:t>
      </w:r>
      <w:r w:rsidR="00B9608A" w:rsidRPr="00B9608A">
        <w:rPr>
          <w:rFonts w:ascii="Times New Roman" w:eastAsia="Times New Roman" w:hAnsi="Times New Roman" w:cs="Times New Roman"/>
          <w:bCs/>
        </w:rPr>
        <w:t>puta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uo</w:t>
      </w:r>
      <w:r w:rsidR="00B9608A" w:rsidRPr="00A8419E">
        <w:rPr>
          <w:rFonts w:ascii="Times New Roman" w:eastAsia="Times New Roman" w:hAnsi="Times New Roman" w:cs="Times New Roman"/>
          <w:bCs/>
          <w:lang w:val="sr-Latn-ME"/>
        </w:rPr>
        <w:t>č</w:t>
      </w:r>
      <w:r w:rsidR="00B9608A" w:rsidRPr="00B9608A">
        <w:rPr>
          <w:rFonts w:ascii="Times New Roman" w:eastAsia="Times New Roman" w:hAnsi="Times New Roman" w:cs="Times New Roman"/>
          <w:bCs/>
        </w:rPr>
        <w:t>en</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pacijenata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um</w:t>
      </w:r>
      <w:r w:rsidR="00BE7E92">
        <w:rPr>
          <w:rFonts w:ascii="Times New Roman" w:eastAsia="Times New Roman" w:hAnsi="Times New Roman" w:cs="Times New Roman"/>
          <w:bCs/>
        </w:rPr>
        <w:t>j</w:t>
      </w:r>
      <w:r w:rsidR="00B9608A" w:rsidRPr="00B9608A">
        <w:rPr>
          <w:rFonts w:ascii="Times New Roman" w:eastAsia="Times New Roman" w:hAnsi="Times New Roman" w:cs="Times New Roman"/>
          <w:bCs/>
        </w:rPr>
        <w:t>erenim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odnosno</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kim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enjem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dok</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porast</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koncentracije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bupropiona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bio</w:t>
      </w:r>
      <w:r w:rsidR="00B9608A" w:rsidRPr="00A8419E">
        <w:rPr>
          <w:rFonts w:ascii="Times New Roman" w:eastAsia="Times New Roman" w:hAnsi="Times New Roman" w:cs="Times New Roman"/>
          <w:bCs/>
          <w:lang w:val="sr-Latn-ME"/>
        </w:rPr>
        <w:t xml:space="preserve"> ~2 </w:t>
      </w:r>
      <w:r w:rsidR="00B9608A" w:rsidRPr="00B9608A">
        <w:rPr>
          <w:rFonts w:ascii="Times New Roman" w:eastAsia="Times New Roman" w:hAnsi="Times New Roman" w:cs="Times New Roman"/>
          <w:bCs/>
        </w:rPr>
        <w:t>puta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ob</w:t>
      </w:r>
      <w:r w:rsidR="00BE7E92">
        <w:rPr>
          <w:rFonts w:ascii="Times New Roman" w:eastAsia="Times New Roman" w:hAnsi="Times New Roman" w:cs="Times New Roman"/>
          <w:bCs/>
        </w:rPr>
        <w:t>j</w:t>
      </w:r>
      <w:r w:rsidR="00B9608A" w:rsidRPr="00B9608A">
        <w:rPr>
          <w:rFonts w:ascii="Times New Roman" w:eastAsia="Times New Roman" w:hAnsi="Times New Roman" w:cs="Times New Roman"/>
          <w:bCs/>
        </w:rPr>
        <w:t>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grupe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Porast</w:t>
      </w:r>
      <w:r w:rsidR="00B9608A" w:rsidRPr="00A8419E">
        <w:rPr>
          <w:rFonts w:ascii="Times New Roman" w:eastAsia="Times New Roman" w:hAnsi="Times New Roman" w:cs="Times New Roman"/>
          <w:bCs/>
          <w:lang w:val="sr-Latn-ME"/>
        </w:rPr>
        <w:t xml:space="preserve"> </w:t>
      </w:r>
      <w:proofErr w:type="gramStart"/>
      <w:r w:rsidR="00B9608A" w:rsidRPr="00B9608A">
        <w:rPr>
          <w:rFonts w:ascii="Times New Roman" w:eastAsia="Times New Roman" w:hAnsi="Times New Roman" w:cs="Times New Roman"/>
          <w:bCs/>
        </w:rPr>
        <w:t>od</w:t>
      </w:r>
      <w:proofErr w:type="gramEnd"/>
      <w:r w:rsidR="00B9608A" w:rsidRPr="00A8419E">
        <w:rPr>
          <w:rFonts w:ascii="Times New Roman" w:eastAsia="Times New Roman" w:hAnsi="Times New Roman" w:cs="Times New Roman"/>
          <w:bCs/>
          <w:lang w:val="sr-Latn-ME"/>
        </w:rPr>
        <w:t xml:space="preserve"> ~2 </w:t>
      </w:r>
      <w:r w:rsidR="00B9608A" w:rsidRPr="00B9608A">
        <w:rPr>
          <w:rFonts w:ascii="Times New Roman" w:eastAsia="Times New Roman" w:hAnsi="Times New Roman" w:cs="Times New Roman"/>
          <w:bCs/>
        </w:rPr>
        <w:t>i</w:t>
      </w:r>
      <w:r w:rsidR="00B9608A" w:rsidRPr="00A8419E">
        <w:rPr>
          <w:rFonts w:ascii="Times New Roman" w:eastAsia="Times New Roman" w:hAnsi="Times New Roman" w:cs="Times New Roman"/>
          <w:bCs/>
          <w:lang w:val="sr-Latn-ME"/>
        </w:rPr>
        <w:t xml:space="preserve"> ~4 </w:t>
      </w:r>
      <w:r w:rsidR="00B9608A" w:rsidRPr="00B9608A">
        <w:rPr>
          <w:rFonts w:ascii="Times New Roman" w:eastAsia="Times New Roman" w:hAnsi="Times New Roman" w:cs="Times New Roman"/>
          <w:bCs/>
        </w:rPr>
        <w:t>puta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za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povr</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inu</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ispod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krive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za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bupropion</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uo</w:t>
      </w:r>
      <w:r w:rsidR="00B9608A" w:rsidRPr="00A8419E">
        <w:rPr>
          <w:rFonts w:ascii="Times New Roman" w:eastAsia="Times New Roman" w:hAnsi="Times New Roman" w:cs="Times New Roman"/>
          <w:bCs/>
          <w:lang w:val="sr-Latn-ME"/>
        </w:rPr>
        <w:t>č</w:t>
      </w:r>
      <w:r w:rsidR="00B9608A" w:rsidRPr="00B9608A">
        <w:rPr>
          <w:rFonts w:ascii="Times New Roman" w:eastAsia="Times New Roman" w:hAnsi="Times New Roman" w:cs="Times New Roman"/>
          <w:bCs/>
        </w:rPr>
        <w:t>en</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kod</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pacijenata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um</w:t>
      </w:r>
      <w:r w:rsidR="00BE7E92">
        <w:rPr>
          <w:rFonts w:ascii="Times New Roman" w:eastAsia="Times New Roman" w:hAnsi="Times New Roman" w:cs="Times New Roman"/>
          <w:bCs/>
        </w:rPr>
        <w:t>j</w:t>
      </w:r>
      <w:r w:rsidR="00B9608A" w:rsidRPr="00B9608A">
        <w:rPr>
          <w:rFonts w:ascii="Times New Roman" w:eastAsia="Times New Roman" w:hAnsi="Times New Roman" w:cs="Times New Roman"/>
          <w:bCs/>
        </w:rPr>
        <w:t>erenim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odnosno</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kim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enjem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bilo</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konzistentnih</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prom</w:t>
      </w:r>
      <w:r w:rsidR="00BE7E92">
        <w:rPr>
          <w:rFonts w:ascii="Times New Roman" w:eastAsia="Times New Roman" w:hAnsi="Times New Roman" w:cs="Times New Roman"/>
          <w:bCs/>
        </w:rPr>
        <w:t>j</w:t>
      </w:r>
      <w:r w:rsidR="00B9608A" w:rsidRPr="00B9608A">
        <w:rPr>
          <w:rFonts w:ascii="Times New Roman" w:eastAsia="Times New Roman" w:hAnsi="Times New Roman" w:cs="Times New Roman"/>
          <w:bCs/>
        </w:rPr>
        <w:t>ena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metabolita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naltreksona</w:t>
      </w:r>
      <w:r w:rsidR="00B9608A" w:rsidRPr="00A8419E">
        <w:rPr>
          <w:rFonts w:ascii="Times New Roman" w:eastAsia="Times New Roman" w:hAnsi="Times New Roman" w:cs="Times New Roman"/>
          <w:bCs/>
          <w:lang w:val="sr-Latn-ME"/>
        </w:rPr>
        <w:t xml:space="preserve"> </w:t>
      </w:r>
      <w:proofErr w:type="gramStart"/>
      <w:r w:rsidR="00B9608A" w:rsidRPr="00B9608A">
        <w:rPr>
          <w:rFonts w:ascii="Times New Roman" w:eastAsia="Times New Roman" w:hAnsi="Times New Roman" w:cs="Times New Roman"/>
          <w:bCs/>
        </w:rPr>
        <w:t>ili</w:t>
      </w:r>
      <w:proofErr w:type="gramEnd"/>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bupropiona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povezanih</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razli</w:t>
      </w:r>
      <w:r w:rsidR="00B9608A" w:rsidRPr="00A8419E">
        <w:rPr>
          <w:rFonts w:ascii="Times New Roman" w:eastAsia="Times New Roman" w:hAnsi="Times New Roman" w:cs="Times New Roman"/>
          <w:bCs/>
          <w:lang w:val="sr-Latn-ME"/>
        </w:rPr>
        <w:t>č</w:t>
      </w:r>
      <w:r w:rsidR="00B9608A" w:rsidRPr="00B9608A">
        <w:rPr>
          <w:rFonts w:ascii="Times New Roman" w:eastAsia="Times New Roman" w:hAnsi="Times New Roman" w:cs="Times New Roman"/>
          <w:bCs/>
        </w:rPr>
        <w:t>itim</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stepenima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o</w:t>
      </w:r>
      <w:r w:rsidR="00B9608A" w:rsidRPr="00A8419E">
        <w:rPr>
          <w:rFonts w:ascii="Times New Roman" w:eastAsia="Times New Roman" w:hAnsi="Times New Roman" w:cs="Times New Roman"/>
          <w:bCs/>
          <w:lang w:val="sr-Latn-ME"/>
        </w:rPr>
        <w:t>š</w:t>
      </w:r>
      <w:r w:rsidR="00B9608A" w:rsidRPr="00B9608A">
        <w:rPr>
          <w:rFonts w:ascii="Times New Roman" w:eastAsia="Times New Roman" w:hAnsi="Times New Roman" w:cs="Times New Roman"/>
          <w:bCs/>
        </w:rPr>
        <w:t>te</w:t>
      </w:r>
      <w:r w:rsidR="00B9608A" w:rsidRPr="00A8419E">
        <w:rPr>
          <w:rFonts w:ascii="Times New Roman" w:eastAsia="Times New Roman" w:hAnsi="Times New Roman" w:cs="Times New Roman"/>
          <w:bCs/>
          <w:lang w:val="sr-Latn-ME"/>
        </w:rPr>
        <w:t>ć</w:t>
      </w:r>
      <w:r w:rsidR="00B9608A" w:rsidRPr="00B9608A">
        <w:rPr>
          <w:rFonts w:ascii="Times New Roman" w:eastAsia="Times New Roman" w:hAnsi="Times New Roman" w:cs="Times New Roman"/>
          <w:bCs/>
        </w:rPr>
        <w:t>enja</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funkcije</w:t>
      </w:r>
      <w:r w:rsidR="00B9608A" w:rsidRPr="00A8419E">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rPr>
        <w:t>jetre</w:t>
      </w:r>
      <w:r w:rsidR="00B9608A" w:rsidRPr="00A8419E">
        <w:rPr>
          <w:rFonts w:ascii="Times New Roman" w:eastAsia="Times New Roman" w:hAnsi="Times New Roman" w:cs="Times New Roman"/>
          <w:bCs/>
          <w:lang w:val="sr-Latn-ME"/>
        </w:rPr>
        <w:t xml:space="preserve">. </w:t>
      </w:r>
      <w:r w:rsidRPr="00643CB3">
        <w:rPr>
          <w:rFonts w:ascii="Times New Roman" w:eastAsia="Times New Roman" w:hAnsi="Times New Roman" w:cs="Times New Roman"/>
          <w:bCs/>
          <w:lang w:val="sr-Latn-ME"/>
        </w:rPr>
        <w:t>Fiksna kombinacija naltrekson/bupropion je kontraindikovana kod pacijenata sa teškim oštećenjem funkcije jetre</w:t>
      </w:r>
      <w:r w:rsidR="00B9608A">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lang w:val="sr-Latn-ME"/>
        </w:rPr>
        <w:t>(vid</w:t>
      </w:r>
      <w:r w:rsidR="00BE7E92">
        <w:rPr>
          <w:rFonts w:ascii="Times New Roman" w:eastAsia="Times New Roman" w:hAnsi="Times New Roman" w:cs="Times New Roman"/>
          <w:bCs/>
          <w:lang w:val="sr-Latn-ME"/>
        </w:rPr>
        <w:t>j</w:t>
      </w:r>
      <w:r w:rsidR="00B9608A" w:rsidRPr="00B9608A">
        <w:rPr>
          <w:rFonts w:ascii="Times New Roman" w:eastAsia="Times New Roman" w:hAnsi="Times New Roman" w:cs="Times New Roman"/>
          <w:bCs/>
          <w:lang w:val="sr-Latn-ME"/>
        </w:rPr>
        <w:t xml:space="preserve">eti </w:t>
      </w:r>
      <w:r w:rsidR="00840DEF">
        <w:rPr>
          <w:rFonts w:ascii="Times New Roman" w:eastAsia="Times New Roman" w:hAnsi="Times New Roman" w:cs="Times New Roman"/>
          <w:bCs/>
          <w:lang w:val="sr-Latn-ME"/>
        </w:rPr>
        <w:t>dio</w:t>
      </w:r>
      <w:r w:rsidR="00B9608A" w:rsidRPr="00B9608A">
        <w:rPr>
          <w:rFonts w:ascii="Times New Roman" w:eastAsia="Times New Roman" w:hAnsi="Times New Roman" w:cs="Times New Roman"/>
          <w:bCs/>
          <w:lang w:val="sr-Latn-ME"/>
        </w:rPr>
        <w:t xml:space="preserve"> 4.3)</w:t>
      </w:r>
      <w:r w:rsidRPr="00643CB3">
        <w:rPr>
          <w:rFonts w:ascii="Times New Roman" w:eastAsia="Times New Roman" w:hAnsi="Times New Roman" w:cs="Times New Roman"/>
          <w:bCs/>
          <w:lang w:val="sr-Latn-ME"/>
        </w:rPr>
        <w:t>, i ne preporučuje se kod pacijenata sa umjerenim oštećenjem funkcije jetre</w:t>
      </w:r>
      <w:r w:rsidR="00B9608A">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lang w:val="sr-Latn-ME"/>
        </w:rPr>
        <w:t>(vid</w:t>
      </w:r>
      <w:r w:rsidR="00BE7E92">
        <w:rPr>
          <w:rFonts w:ascii="Times New Roman" w:eastAsia="Times New Roman" w:hAnsi="Times New Roman" w:cs="Times New Roman"/>
          <w:bCs/>
          <w:lang w:val="sr-Latn-ME"/>
        </w:rPr>
        <w:t>j</w:t>
      </w:r>
      <w:r w:rsidR="00B9608A" w:rsidRPr="00B9608A">
        <w:rPr>
          <w:rFonts w:ascii="Times New Roman" w:eastAsia="Times New Roman" w:hAnsi="Times New Roman" w:cs="Times New Roman"/>
          <w:bCs/>
          <w:lang w:val="sr-Latn-ME"/>
        </w:rPr>
        <w:t xml:space="preserve">eti </w:t>
      </w:r>
      <w:r w:rsidR="00840DEF">
        <w:rPr>
          <w:rFonts w:ascii="Times New Roman" w:eastAsia="Times New Roman" w:hAnsi="Times New Roman" w:cs="Times New Roman"/>
          <w:bCs/>
          <w:lang w:val="sr-Latn-ME"/>
        </w:rPr>
        <w:t>dio</w:t>
      </w:r>
      <w:r w:rsidR="00B9608A" w:rsidRPr="00B9608A">
        <w:rPr>
          <w:rFonts w:ascii="Times New Roman" w:eastAsia="Times New Roman" w:hAnsi="Times New Roman" w:cs="Times New Roman"/>
          <w:bCs/>
          <w:lang w:val="sr-Latn-ME"/>
        </w:rPr>
        <w:t xml:space="preserve"> 4.4)</w:t>
      </w:r>
      <w:r w:rsidRPr="00643CB3">
        <w:rPr>
          <w:rFonts w:ascii="Times New Roman" w:eastAsia="Times New Roman" w:hAnsi="Times New Roman" w:cs="Times New Roman"/>
          <w:bCs/>
          <w:lang w:val="sr-Latn-ME"/>
        </w:rPr>
        <w:t>.</w:t>
      </w:r>
      <w:r w:rsidR="00B9608A">
        <w:rPr>
          <w:rFonts w:ascii="Times New Roman" w:eastAsia="Times New Roman" w:hAnsi="Times New Roman" w:cs="Times New Roman"/>
          <w:bCs/>
          <w:lang w:val="sr-Latn-ME"/>
        </w:rPr>
        <w:t xml:space="preserve"> </w:t>
      </w:r>
      <w:r w:rsidR="00B9608A" w:rsidRPr="00B9608A">
        <w:rPr>
          <w:rFonts w:ascii="Times New Roman" w:eastAsia="Times New Roman" w:hAnsi="Times New Roman" w:cs="Times New Roman"/>
          <w:bCs/>
          <w:lang w:val="sr-Latn-ME"/>
        </w:rPr>
        <w:t xml:space="preserve">Kod pacijenata sa blagim oštećenjem funkcije jetre preporučena najviša dnevna doza fiksne kombinacije </w:t>
      </w:r>
      <w:r w:rsidR="00BD6CB0" w:rsidRPr="00BD6CB0">
        <w:rPr>
          <w:rFonts w:ascii="Times New Roman" w:eastAsia="Times New Roman" w:hAnsi="Times New Roman" w:cs="Times New Roman"/>
          <w:bCs/>
          <w:lang w:val="sr-Latn-ME"/>
        </w:rPr>
        <w:t xml:space="preserve">naltrekson/bupropion </w:t>
      </w:r>
      <w:r w:rsidR="00B9608A" w:rsidRPr="00B9608A">
        <w:rPr>
          <w:rFonts w:ascii="Times New Roman" w:eastAsia="Times New Roman" w:hAnsi="Times New Roman" w:cs="Times New Roman"/>
          <w:bCs/>
          <w:lang w:val="sr-Latn-ME"/>
        </w:rPr>
        <w:t>mora da se smanji (vid</w:t>
      </w:r>
      <w:r w:rsidR="00BE7E92">
        <w:rPr>
          <w:rFonts w:ascii="Times New Roman" w:eastAsia="Times New Roman" w:hAnsi="Times New Roman" w:cs="Times New Roman"/>
          <w:bCs/>
          <w:lang w:val="sr-Latn-ME"/>
        </w:rPr>
        <w:t>j</w:t>
      </w:r>
      <w:r w:rsidR="00B9608A" w:rsidRPr="00B9608A">
        <w:rPr>
          <w:rFonts w:ascii="Times New Roman" w:eastAsia="Times New Roman" w:hAnsi="Times New Roman" w:cs="Times New Roman"/>
          <w:bCs/>
          <w:lang w:val="sr-Latn-ME"/>
        </w:rPr>
        <w:t xml:space="preserve">eti </w:t>
      </w:r>
      <w:r w:rsidR="00840DEF">
        <w:rPr>
          <w:rFonts w:ascii="Times New Roman" w:eastAsia="Times New Roman" w:hAnsi="Times New Roman" w:cs="Times New Roman"/>
          <w:bCs/>
          <w:lang w:val="sr-Latn-ME"/>
        </w:rPr>
        <w:t>dio</w:t>
      </w:r>
      <w:r w:rsidR="00B9608A" w:rsidRPr="00B9608A">
        <w:rPr>
          <w:rFonts w:ascii="Times New Roman" w:eastAsia="Times New Roman" w:hAnsi="Times New Roman" w:cs="Times New Roman"/>
          <w:bCs/>
          <w:lang w:val="sr-Latn-ME"/>
        </w:rPr>
        <w:t xml:space="preserve"> 4.2).</w:t>
      </w:r>
    </w:p>
    <w:p w14:paraId="1B47B4F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8F587F9" w14:textId="65EEDB6E"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3248FD">
        <w:rPr>
          <w:rFonts w:ascii="Times New Roman" w:eastAsia="Times New Roman" w:hAnsi="Times New Roman" w:cs="Times New Roman"/>
          <w:bCs/>
          <w:i/>
          <w:u w:val="single"/>
          <w:lang w:val="sr-Latn-ME"/>
        </w:rPr>
        <w:t>Oštećenje funkcije bubrega:</w:t>
      </w:r>
      <w:r w:rsidRPr="00643CB3">
        <w:rPr>
          <w:rFonts w:ascii="Times New Roman" w:eastAsia="Times New Roman" w:hAnsi="Times New Roman" w:cs="Times New Roman"/>
          <w:bCs/>
          <w:lang w:val="sr-Latn-ME"/>
        </w:rPr>
        <w:t xml:space="preserve"> </w:t>
      </w:r>
      <w:bookmarkStart w:id="11" w:name="_Hlk41569837"/>
      <w:r w:rsidRPr="00643CB3">
        <w:rPr>
          <w:rFonts w:ascii="Times New Roman" w:eastAsia="Times New Roman" w:hAnsi="Times New Roman" w:cs="Times New Roman"/>
          <w:bCs/>
          <w:lang w:val="sr-Latn-ME"/>
        </w:rPr>
        <w:t>Sprovedeno je farmakokinetičko ispitivanje pojedinačne doze</w:t>
      </w:r>
      <w:bookmarkEnd w:id="11"/>
      <w:r w:rsidRPr="00643CB3">
        <w:rPr>
          <w:rFonts w:ascii="Times New Roman" w:eastAsia="Times New Roman" w:hAnsi="Times New Roman" w:cs="Times New Roman"/>
          <w:bCs/>
          <w:lang w:val="sr-Latn-ME"/>
        </w:rPr>
        <w:t xml:space="preserve"> za fiksnu kombinaciju naltrekson/bupropion kod ispitanika sa blagim, umjerenim i teškim oštećenjem funkcije bubrega</w:t>
      </w:r>
      <w:r w:rsidR="00A54DFF">
        <w:rPr>
          <w:rFonts w:ascii="Times New Roman" w:eastAsia="Times New Roman" w:hAnsi="Times New Roman" w:cs="Times New Roman"/>
          <w:bCs/>
          <w:lang w:val="sr-Latn-ME"/>
        </w:rPr>
        <w:t xml:space="preserve"> u odnosu na ispitanike sa </w:t>
      </w:r>
      <w:r w:rsidR="00DD238D">
        <w:rPr>
          <w:rFonts w:ascii="Times New Roman" w:eastAsia="Times New Roman" w:hAnsi="Times New Roman" w:cs="Times New Roman"/>
          <w:bCs/>
          <w:lang w:val="sr-Latn-ME"/>
        </w:rPr>
        <w:t>normalnom funkcijom bubrega</w:t>
      </w:r>
      <w:r w:rsidRPr="00643CB3">
        <w:rPr>
          <w:rFonts w:ascii="Times New Roman" w:eastAsia="Times New Roman" w:hAnsi="Times New Roman" w:cs="Times New Roman"/>
          <w:bCs/>
          <w:lang w:val="sr-Latn-ME"/>
        </w:rPr>
        <w:t xml:space="preserve">. Rezultati ovog ispitivanja su pokazali da je površina ispod krive za bupropion i metabolite u plazmi i za naltrekson i metabolite u plazmi povećana manje od dva puta kod pacijenata sa umjerenim i teškim oštećenjem bubrega, dok su kod pacijenata sa blagim oštećenjem bubrega zabilježena manja povećanja. Na osnovu ovih rezultata, prilagođavanje doza za pacijente sa blagim oštećenjem bubrega se ne preporučuje. Kod pacijenata sa umjerenim do teškim oštećenjem funkcije bubrega preporučena maksimalna dnevna doza fiksne kombinacije naltrekson/bupropion treba da se smanji (vidjeti </w:t>
      </w:r>
      <w:r w:rsidR="00840DEF">
        <w:rPr>
          <w:rFonts w:ascii="Times New Roman" w:eastAsia="Times New Roman" w:hAnsi="Times New Roman" w:cs="Times New Roman"/>
          <w:bCs/>
          <w:lang w:val="sr-Latn-ME"/>
        </w:rPr>
        <w:t>dio</w:t>
      </w:r>
      <w:r w:rsidRPr="00643CB3">
        <w:rPr>
          <w:rFonts w:ascii="Times New Roman" w:eastAsia="Times New Roman" w:hAnsi="Times New Roman" w:cs="Times New Roman"/>
          <w:bCs/>
          <w:lang w:val="sr-Latn-ME"/>
        </w:rPr>
        <w:t xml:space="preserve"> 4.2). Fiksna kombinacija naltrekson/bupropion je kontraindikovana kod pacijenata sa insuficijencijom bubrega u terminalnoj fazi (vidjeti </w:t>
      </w:r>
      <w:r w:rsidR="00840DEF">
        <w:rPr>
          <w:rFonts w:ascii="Times New Roman" w:eastAsia="Times New Roman" w:hAnsi="Times New Roman" w:cs="Times New Roman"/>
          <w:bCs/>
          <w:lang w:val="sr-Latn-ME"/>
        </w:rPr>
        <w:t>dio</w:t>
      </w:r>
      <w:r w:rsidRPr="00643CB3">
        <w:rPr>
          <w:rFonts w:ascii="Times New Roman" w:eastAsia="Times New Roman" w:hAnsi="Times New Roman" w:cs="Times New Roman"/>
          <w:bCs/>
          <w:lang w:val="sr-Latn-ME"/>
        </w:rPr>
        <w:t xml:space="preserve"> 4.3).</w:t>
      </w:r>
    </w:p>
    <w:p w14:paraId="6E6E300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14363F5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5.3. </w:t>
      </w:r>
      <w:r w:rsidRPr="00643CB3">
        <w:rPr>
          <w:rFonts w:ascii="Times New Roman" w:eastAsia="Times New Roman" w:hAnsi="Times New Roman" w:cs="Times New Roman"/>
          <w:b/>
          <w:bCs/>
          <w:lang w:val="sr-Latn-ME"/>
        </w:rPr>
        <w:tab/>
        <w:t xml:space="preserve">Pretklinički podaci o bezbjednosti </w:t>
      </w:r>
    </w:p>
    <w:p w14:paraId="00288D3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EBDB7E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Efekti kombinovane upotrebe bupropiona i naltreksona nijesu ispitivani kod životinja.</w:t>
      </w:r>
    </w:p>
    <w:p w14:paraId="3F4481EB"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238DF4D" w14:textId="6832EC9F"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Pretklinički podaci </w:t>
      </w:r>
      <w:r w:rsidR="006D21BC">
        <w:rPr>
          <w:rFonts w:ascii="Times New Roman" w:eastAsia="Times New Roman" w:hAnsi="Times New Roman" w:cs="Times New Roman"/>
          <w:bCs/>
          <w:lang w:val="sr-Latn-ME"/>
        </w:rPr>
        <w:t xml:space="preserve">o pojedinačnim supstancama </w:t>
      </w:r>
      <w:r w:rsidRPr="00643CB3">
        <w:rPr>
          <w:rFonts w:ascii="Times New Roman" w:eastAsia="Times New Roman" w:hAnsi="Times New Roman" w:cs="Times New Roman"/>
          <w:bCs/>
          <w:lang w:val="sr-Latn-ME"/>
        </w:rPr>
        <w:t xml:space="preserve">dobijeni na osnovu konvencionalnih studija bezbjednosne farmakologije, toksičnosti ponovljenih doza, genotoksičnosti i karcinogenog potencijala ne ukazuju na posebne rizike pri primjeni lijeka kod ljudi. U pretkliničkim ispitivanjima zabilježena su dejstva samo pri izloženosti dozama koje su znatno veće od maksimalno dozvoljenih kod ljudi, što ukazuje na njihov mali značaj za kliničku primjenu. Međutim, postoje neki dokazi o hepatotoksičnosti sa povećanjem doze, budući da je pri terapijskim i većim dozama zabilježen reverzibilni porast enzima jetre kod ljudi (vidjeti </w:t>
      </w:r>
      <w:r w:rsidR="00840DEF">
        <w:rPr>
          <w:rFonts w:ascii="Times New Roman" w:eastAsia="Times New Roman" w:hAnsi="Times New Roman" w:cs="Times New Roman"/>
          <w:bCs/>
          <w:lang w:val="sr-Latn-ME"/>
        </w:rPr>
        <w:t>djelove</w:t>
      </w:r>
      <w:r w:rsidRPr="00643CB3">
        <w:rPr>
          <w:rFonts w:ascii="Times New Roman" w:eastAsia="Times New Roman" w:hAnsi="Times New Roman" w:cs="Times New Roman"/>
          <w:bCs/>
          <w:lang w:val="sr-Latn-ME"/>
        </w:rPr>
        <w:t xml:space="preserve"> 4.4 i 4.8). Promjene na jetri su primijećene u ispitivanjima bupropiona na životinjama, ali one odražavaju djelovanje </w:t>
      </w:r>
      <w:r w:rsidRPr="00643CB3">
        <w:rPr>
          <w:rFonts w:ascii="Times New Roman" w:eastAsia="Times New Roman" w:hAnsi="Times New Roman" w:cs="Times New Roman"/>
          <w:bCs/>
          <w:lang w:val="sr-Latn-ME"/>
        </w:rPr>
        <w:lastRenderedPageBreak/>
        <w:t>induktora enzima jetre. U preporučenim dozama kod ljudi, bupropion ne indukuje sopstveni metabolizam. To ukazuje da nalazi jetre kod laboratorijskih životinja imaju samo ograničen značaj u procjeni i ocjeni rizika bupropiona.</w:t>
      </w:r>
    </w:p>
    <w:p w14:paraId="1ADB5907" w14:textId="77777777" w:rsidR="00643CB3" w:rsidRPr="00B03D92"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BF32307" w14:textId="199354ED"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3248FD">
        <w:rPr>
          <w:rFonts w:ascii="Times New Roman" w:eastAsia="Times New Roman" w:hAnsi="Times New Roman" w:cs="Times New Roman"/>
          <w:bCs/>
          <w:u w:val="single"/>
          <w:lang w:val="sr-Latn-ME"/>
        </w:rPr>
        <w:t>Reproduktivna toksičnost:</w:t>
      </w:r>
    </w:p>
    <w:p w14:paraId="442DC34B" w14:textId="77777777" w:rsidR="006D21BC" w:rsidRPr="003248FD" w:rsidRDefault="006D21BC"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6993BA4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Naltrekson (100 mg/kg/dan, oko 30 puta veća doza od doze naltreksona u fiksnoj kombinaciji naltrekson/bupropion na osnovu mg/m</w:t>
      </w:r>
      <w:r w:rsidRPr="00643CB3">
        <w:rPr>
          <w:rFonts w:ascii="Times New Roman" w:eastAsia="Times New Roman" w:hAnsi="Times New Roman" w:cs="Times New Roman"/>
          <w:bCs/>
          <w:vertAlign w:val="superscript"/>
          <w:lang w:val="sr-Latn-ME"/>
        </w:rPr>
        <w:t>2</w:t>
      </w:r>
      <w:r w:rsidRPr="00643CB3">
        <w:rPr>
          <w:rFonts w:ascii="Times New Roman" w:eastAsia="Times New Roman" w:hAnsi="Times New Roman" w:cs="Times New Roman"/>
          <w:bCs/>
          <w:lang w:val="sr-Latn-ME"/>
        </w:rPr>
        <w:t>) uzrokuje značajno povećanje pseudotrudnoće kod ženki pacova. Takođe je došlo do smanjenja stope trudnoće parenih ženki pacova. Nije bilo efekta na plodnost mužjaka pri takvom doziranju. Važnost tih opažanja za ljudsku plodnost nije poznata.</w:t>
      </w:r>
    </w:p>
    <w:p w14:paraId="635F186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239027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Pokazano je da naltrekson ima embriocidno dejstvo kod pacova kod kojih je primijenjena doza od 100 mg/kg/dan naltreksona (30 puta veća doza od doze u fiksnoj kombinaciji naltrekson/bupropion) prije i tokom trudnoće, i kod kunića liječenih sa 60 mg/kg/dan naltreksona (36 puta veća doza od doze u fiksnoj kombinaciji naltrekson/bupropion) tokom perioda organogeneze.</w:t>
      </w:r>
    </w:p>
    <w:p w14:paraId="702136A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53B4657"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Ispitivanjem uticaja bupropiona na plodnost kod pacova pri dozama do 300 mg/kg/dan, ili 8 puta veće doze od doze bupropiona u fiksnoj kombinaciji naltrekson/bupropion nije potvrđeno smanjenje plodnosti.</w:t>
      </w:r>
    </w:p>
    <w:p w14:paraId="0E065A24" w14:textId="77777777" w:rsidR="00643CB3" w:rsidRPr="00B03D92"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4BCC516" w14:textId="3699D8FF" w:rsidR="00643CB3" w:rsidRPr="003248FD"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3248FD">
        <w:rPr>
          <w:rFonts w:ascii="Times New Roman" w:eastAsia="Times New Roman" w:hAnsi="Times New Roman" w:cs="Times New Roman"/>
          <w:bCs/>
          <w:u w:val="single"/>
          <w:lang w:val="sr-Latn-ME"/>
        </w:rPr>
        <w:t>Genotoksičnost:</w:t>
      </w:r>
    </w:p>
    <w:p w14:paraId="47267F2F" w14:textId="77777777" w:rsidR="00B03D92" w:rsidRPr="00643CB3" w:rsidRDefault="00B03D92" w:rsidP="00643CB3">
      <w:pPr>
        <w:tabs>
          <w:tab w:val="left" w:pos="540"/>
          <w:tab w:val="left" w:pos="569"/>
        </w:tabs>
        <w:spacing w:after="0" w:line="240" w:lineRule="auto"/>
        <w:jc w:val="both"/>
        <w:rPr>
          <w:rFonts w:ascii="Times New Roman" w:eastAsia="Times New Roman" w:hAnsi="Times New Roman" w:cs="Times New Roman"/>
          <w:bCs/>
          <w:i/>
          <w:u w:val="single"/>
          <w:lang w:val="sr-Latn-ME"/>
        </w:rPr>
      </w:pPr>
    </w:p>
    <w:p w14:paraId="78E1A4B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 xml:space="preserve">Naltrekson je bio negativan u sljedećim </w:t>
      </w:r>
      <w:r w:rsidRPr="00643CB3">
        <w:rPr>
          <w:rFonts w:ascii="Times New Roman" w:eastAsia="Times New Roman" w:hAnsi="Times New Roman" w:cs="Times New Roman"/>
          <w:bCs/>
          <w:i/>
          <w:lang w:val="sr-Latn-ME"/>
        </w:rPr>
        <w:t>in vitro</w:t>
      </w:r>
      <w:r w:rsidRPr="00643CB3">
        <w:rPr>
          <w:rFonts w:ascii="Times New Roman" w:eastAsia="Times New Roman" w:hAnsi="Times New Roman" w:cs="Times New Roman"/>
          <w:bCs/>
          <w:lang w:val="sr-Latn-ME"/>
        </w:rPr>
        <w:t xml:space="preserve"> ispitivanjima genotoksičnosti: ispitivanje bakterijske reverzne mutacije (Amesov test), test nasljedne translokacije, test izmjene sestrinskih hromatida u ćelijama jajnika kineskog hrčka, test mutacije gena mišjeg limfoma. Naltrekson je bio negativan u </w:t>
      </w:r>
      <w:r w:rsidRPr="00643CB3">
        <w:rPr>
          <w:rFonts w:ascii="Times New Roman" w:eastAsia="Times New Roman" w:hAnsi="Times New Roman" w:cs="Times New Roman"/>
          <w:bCs/>
          <w:i/>
          <w:lang w:val="sr-Latn-ME"/>
        </w:rPr>
        <w:t>in vivo</w:t>
      </w:r>
      <w:r w:rsidRPr="00643CB3">
        <w:rPr>
          <w:rFonts w:ascii="Times New Roman" w:eastAsia="Times New Roman" w:hAnsi="Times New Roman" w:cs="Times New Roman"/>
          <w:bCs/>
          <w:lang w:val="sr-Latn-ME"/>
        </w:rPr>
        <w:t xml:space="preserve"> testu mišjeg mikronukleusa. Nasuprot tome, naltrekson je bio pozitivan u sljedećim testovima: test učestalosti recesivne smrtnosti kod vinske mušice, nespecifična DNK oštećenja u testovima repariranja sa </w:t>
      </w:r>
      <w:r w:rsidRPr="00643CB3">
        <w:rPr>
          <w:rFonts w:ascii="Times New Roman" w:eastAsia="Times New Roman" w:hAnsi="Times New Roman" w:cs="Times New Roman"/>
          <w:bCs/>
          <w:i/>
          <w:lang w:val="sr-Latn-ME"/>
        </w:rPr>
        <w:t>E. coli</w:t>
      </w:r>
      <w:r w:rsidRPr="00643CB3">
        <w:rPr>
          <w:rFonts w:ascii="Times New Roman" w:eastAsia="Times New Roman" w:hAnsi="Times New Roman" w:cs="Times New Roman"/>
          <w:bCs/>
          <w:lang w:val="sr-Latn-ME"/>
        </w:rPr>
        <w:t xml:space="preserve"> i WI-38 ćelija, i analiza urina na ostatke metilovanog histidina. Klinički značaj ovih dvosmislenih nalaza nije poznat.</w:t>
      </w:r>
    </w:p>
    <w:p w14:paraId="03783A5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3663419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Podaci o genotoksičnosti ukazuju na to da je bupropion slab bakterijski mutagen, ali nije mutagen sisara, tako da nema zabrinutosti da je genotoksičan za ljude. Ispitivanja na miševima i pacovima potvrđuju odsustvo karcinogenosti kod ovih vrsta.</w:t>
      </w:r>
    </w:p>
    <w:p w14:paraId="18D764B2" w14:textId="77777777" w:rsid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1A3EAE4C"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71B164D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 </w:t>
      </w:r>
      <w:r w:rsidRPr="00643CB3">
        <w:rPr>
          <w:rFonts w:ascii="Times New Roman" w:eastAsia="Times New Roman" w:hAnsi="Times New Roman" w:cs="Times New Roman"/>
          <w:b/>
          <w:bCs/>
          <w:lang w:val="sr-Latn-ME"/>
        </w:rPr>
        <w:tab/>
        <w:t>FARMACEUTSKI PODACI</w:t>
      </w:r>
    </w:p>
    <w:p w14:paraId="3D764DAB"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E8E708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6.1. </w:t>
      </w:r>
      <w:r w:rsidRPr="00643CB3">
        <w:rPr>
          <w:rFonts w:ascii="Times New Roman" w:eastAsia="Times New Roman" w:hAnsi="Times New Roman" w:cs="Times New Roman"/>
          <w:b/>
          <w:bCs/>
          <w:lang w:val="sr-Latn-ME"/>
        </w:rPr>
        <w:tab/>
        <w:t>Lista pomoćnih supstanci (ekscipijenasa)</w:t>
      </w:r>
    </w:p>
    <w:p w14:paraId="39811D2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94931A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Jezgro tablete:</w:t>
      </w:r>
    </w:p>
    <w:p w14:paraId="780363A8" w14:textId="12CE6D21" w:rsidR="00643CB3" w:rsidRPr="00643CB3" w:rsidRDefault="00934775" w:rsidP="00643CB3">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L-</w:t>
      </w:r>
      <w:r w:rsidR="00643CB3" w:rsidRPr="00643CB3">
        <w:rPr>
          <w:rFonts w:ascii="Times New Roman" w:eastAsia="Times New Roman" w:hAnsi="Times New Roman" w:cs="Times New Roman"/>
          <w:bCs/>
          <w:lang w:val="sr-Latn-ME"/>
        </w:rPr>
        <w:t xml:space="preserve">cistein hidrohlorid; </w:t>
      </w:r>
    </w:p>
    <w:p w14:paraId="35130B8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celuloza, mikrokristalna;</w:t>
      </w:r>
    </w:p>
    <w:p w14:paraId="36AD4E39"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hidroksipropil celuloza;</w:t>
      </w:r>
    </w:p>
    <w:p w14:paraId="319EABF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magnezijum stearat;</w:t>
      </w:r>
    </w:p>
    <w:p w14:paraId="2F36D7C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laktoza, bezvodna;</w:t>
      </w:r>
    </w:p>
    <w:p w14:paraId="65FFB81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laktoza, monohidrat;</w:t>
      </w:r>
    </w:p>
    <w:p w14:paraId="1E4728C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krospovidon tip A;</w:t>
      </w:r>
    </w:p>
    <w:p w14:paraId="2AF4E20B" w14:textId="798D7510" w:rsidR="00643CB3" w:rsidRPr="00643CB3" w:rsidRDefault="00934775" w:rsidP="00643CB3">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FD&amp;C Blue #2 Aluminium Lake</w:t>
      </w:r>
      <w:r w:rsidR="00643CB3" w:rsidRPr="00643CB3">
        <w:rPr>
          <w:rFonts w:ascii="Times New Roman" w:eastAsia="Times New Roman" w:hAnsi="Times New Roman" w:cs="Times New Roman"/>
          <w:bCs/>
          <w:lang w:val="sr-Latn-ME"/>
        </w:rPr>
        <w:t xml:space="preserve"> (E 132);</w:t>
      </w:r>
    </w:p>
    <w:p w14:paraId="0F9081D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hipromeloza;</w:t>
      </w:r>
    </w:p>
    <w:p w14:paraId="35D2A1C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dinatrijum edetat;</w:t>
      </w:r>
    </w:p>
    <w:p w14:paraId="6C95F6E2" w14:textId="552D54A3"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silicijum dioksid, koloidni</w:t>
      </w:r>
      <w:r w:rsidR="00840DEF">
        <w:rPr>
          <w:rFonts w:ascii="Times New Roman" w:eastAsia="Times New Roman" w:hAnsi="Times New Roman" w:cs="Times New Roman"/>
          <w:bCs/>
          <w:lang w:val="sr-Latn-ME"/>
        </w:rPr>
        <w:t>.</w:t>
      </w:r>
    </w:p>
    <w:p w14:paraId="109043B5" w14:textId="77777777" w:rsidR="00840DEF" w:rsidRDefault="00840DEF"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02D2BE5" w14:textId="659B4418" w:rsidR="00643CB3" w:rsidRDefault="00643CB3"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sidRPr="00643CB3">
        <w:rPr>
          <w:rFonts w:ascii="Times New Roman" w:eastAsia="Times New Roman" w:hAnsi="Times New Roman" w:cs="Times New Roman"/>
          <w:bCs/>
          <w:u w:val="single"/>
          <w:lang w:val="sr-Latn-ME"/>
        </w:rPr>
        <w:t>Film omotač:</w:t>
      </w:r>
    </w:p>
    <w:p w14:paraId="023D7ADB" w14:textId="60EC1D2B" w:rsidR="00934775" w:rsidRPr="00643CB3" w:rsidRDefault="00934775" w:rsidP="00643CB3">
      <w:pPr>
        <w:tabs>
          <w:tab w:val="left" w:pos="540"/>
          <w:tab w:val="left" w:pos="569"/>
        </w:tabs>
        <w:spacing w:after="0" w:line="240" w:lineRule="auto"/>
        <w:jc w:val="both"/>
        <w:rPr>
          <w:rFonts w:ascii="Times New Roman" w:eastAsia="Times New Roman" w:hAnsi="Times New Roman" w:cs="Times New Roman"/>
          <w:bCs/>
          <w:u w:val="single"/>
          <w:lang w:val="sr-Latn-ME"/>
        </w:rPr>
      </w:pPr>
      <w:r>
        <w:rPr>
          <w:rFonts w:ascii="Times New Roman" w:eastAsia="Times New Roman" w:hAnsi="Times New Roman" w:cs="Times New Roman"/>
          <w:bCs/>
          <w:u w:val="single"/>
          <w:lang w:val="sr-Latn-ME"/>
        </w:rPr>
        <w:lastRenderedPageBreak/>
        <w:t>Opadry II Blue 85F90663</w:t>
      </w:r>
    </w:p>
    <w:p w14:paraId="6FF9CA5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polivinil alkohol;</w:t>
      </w:r>
    </w:p>
    <w:p w14:paraId="5CD3E60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titan dioksid</w:t>
      </w:r>
      <w:r w:rsidRPr="00643CB3">
        <w:rPr>
          <w:rFonts w:ascii="Times New Roman" w:eastAsia="Times New Roman" w:hAnsi="Times New Roman" w:cs="Times New Roman"/>
          <w:lang w:val="sr-Latn-ME"/>
        </w:rPr>
        <w:t xml:space="preserve"> </w:t>
      </w:r>
      <w:r w:rsidRPr="00643CB3">
        <w:rPr>
          <w:rFonts w:ascii="Times New Roman" w:eastAsia="Times New Roman" w:hAnsi="Times New Roman" w:cs="Times New Roman"/>
          <w:bCs/>
          <w:lang w:val="sr-Latn-ME"/>
        </w:rPr>
        <w:t xml:space="preserve">(E171); </w:t>
      </w:r>
    </w:p>
    <w:p w14:paraId="482DBCD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makrogol 3350;</w:t>
      </w:r>
    </w:p>
    <w:p w14:paraId="1DB36E5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talk;</w:t>
      </w:r>
    </w:p>
    <w:p w14:paraId="079BA87D" w14:textId="42D0E8AA" w:rsidR="00643CB3" w:rsidRPr="00643CB3" w:rsidRDefault="00934775" w:rsidP="00643CB3">
      <w:pPr>
        <w:tabs>
          <w:tab w:val="left" w:pos="540"/>
          <w:tab w:val="left" w:pos="569"/>
        </w:tabs>
        <w:spacing w:after="0" w:line="240" w:lineRule="auto"/>
        <w:jc w:val="both"/>
        <w:rPr>
          <w:rFonts w:ascii="Times New Roman" w:eastAsia="Times New Roman" w:hAnsi="Times New Roman" w:cs="Times New Roman"/>
          <w:bCs/>
          <w:lang w:val="sr-Latn-ME"/>
        </w:rPr>
      </w:pPr>
      <w:r w:rsidRPr="00934775">
        <w:rPr>
          <w:rFonts w:ascii="Times New Roman" w:eastAsia="Times New Roman" w:hAnsi="Times New Roman" w:cs="Times New Roman"/>
          <w:bCs/>
          <w:lang w:val="sr-Latn-ME"/>
        </w:rPr>
        <w:t>FD&amp;C Blue #2 Aluminium Lake</w:t>
      </w:r>
      <w:r w:rsidR="00643CB3" w:rsidRPr="00643CB3">
        <w:rPr>
          <w:rFonts w:ascii="Times New Roman" w:eastAsia="Times New Roman" w:hAnsi="Times New Roman" w:cs="Times New Roman"/>
          <w:bCs/>
          <w:lang w:val="sr-Latn-ME"/>
        </w:rPr>
        <w:t xml:space="preserve"> (E 132)</w:t>
      </w:r>
      <w:r w:rsidR="00840DEF">
        <w:rPr>
          <w:rFonts w:ascii="Times New Roman" w:eastAsia="Times New Roman" w:hAnsi="Times New Roman" w:cs="Times New Roman"/>
          <w:bCs/>
          <w:lang w:val="sr-Latn-ME"/>
        </w:rPr>
        <w:t>.</w:t>
      </w:r>
    </w:p>
    <w:p w14:paraId="799B8A7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5F1AF26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6.2. </w:t>
      </w:r>
      <w:r w:rsidRPr="00643CB3">
        <w:rPr>
          <w:rFonts w:ascii="Times New Roman" w:eastAsia="Times New Roman" w:hAnsi="Times New Roman" w:cs="Times New Roman"/>
          <w:b/>
          <w:bCs/>
          <w:lang w:val="sr-Latn-ME"/>
        </w:rPr>
        <w:tab/>
        <w:t>Inkompatibilnosti</w:t>
      </w:r>
    </w:p>
    <w:p w14:paraId="27D171A5"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29018AD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Nije primj</w:t>
      </w:r>
      <w:bookmarkStart w:id="12" w:name="_GoBack"/>
      <w:bookmarkEnd w:id="12"/>
      <w:r w:rsidRPr="00643CB3">
        <w:rPr>
          <w:rFonts w:ascii="Times New Roman" w:eastAsia="Times New Roman" w:hAnsi="Times New Roman" w:cs="Times New Roman"/>
          <w:bCs/>
          <w:lang w:val="sr-Latn-ME"/>
        </w:rPr>
        <w:t>enljivo.</w:t>
      </w:r>
    </w:p>
    <w:p w14:paraId="3B37B039"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2703FF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6.3. </w:t>
      </w:r>
      <w:r w:rsidRPr="00643CB3">
        <w:rPr>
          <w:rFonts w:ascii="Times New Roman" w:eastAsia="Times New Roman" w:hAnsi="Times New Roman" w:cs="Times New Roman"/>
          <w:b/>
          <w:bCs/>
          <w:lang w:val="sr-Latn-ME"/>
        </w:rPr>
        <w:tab/>
        <w:t>Rok upotrebe</w:t>
      </w:r>
    </w:p>
    <w:p w14:paraId="0751D41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69428AD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30 mjeseci.</w:t>
      </w:r>
    </w:p>
    <w:p w14:paraId="38D61A9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8C64E86"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6.4. </w:t>
      </w:r>
      <w:r w:rsidRPr="00643CB3">
        <w:rPr>
          <w:rFonts w:ascii="Times New Roman" w:eastAsia="Times New Roman" w:hAnsi="Times New Roman" w:cs="Times New Roman"/>
          <w:b/>
          <w:bCs/>
          <w:lang w:val="sr-Latn-ME"/>
        </w:rPr>
        <w:tab/>
        <w:t>Posebne mjere upozorenja pri čuvanju lijeka</w:t>
      </w:r>
    </w:p>
    <w:p w14:paraId="3ABF2B5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2EE9F7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Čuvati na temperaturi do 30°C.</w:t>
      </w:r>
    </w:p>
    <w:p w14:paraId="27678F0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AE7361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6.5. </w:t>
      </w:r>
      <w:r w:rsidRPr="00643CB3">
        <w:rPr>
          <w:rFonts w:ascii="Times New Roman" w:eastAsia="Times New Roman" w:hAnsi="Times New Roman" w:cs="Times New Roman"/>
          <w:b/>
          <w:bCs/>
          <w:lang w:val="sr-Latn-ME"/>
        </w:rPr>
        <w:tab/>
        <w:t xml:space="preserve">Vrsta i sadržaj pakovanja </w:t>
      </w:r>
    </w:p>
    <w:p w14:paraId="2312164D"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7EE3F9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Unutrašnje pakovanje je PVC/PCTFE/PVC/ALU blister koji sadrži 28 tableta sa produženim oslobađanjem.</w:t>
      </w:r>
    </w:p>
    <w:p w14:paraId="5A099556" w14:textId="40E4FD89"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Spoljašnje pakovanje je složiva kartonska kutija u kojoj se nalazi 4 blistera</w:t>
      </w:r>
      <w:r w:rsidR="00196B5A">
        <w:rPr>
          <w:rFonts w:ascii="Times New Roman" w:eastAsia="Times New Roman" w:hAnsi="Times New Roman" w:cs="Times New Roman"/>
          <w:bCs/>
          <w:lang w:val="sr-Latn-ME"/>
        </w:rPr>
        <w:t xml:space="preserve"> sa po 28 tableta sa produženim oslobađanjem (ukuptno 112 tableta sa produženim oslobađanjem)</w:t>
      </w:r>
      <w:r w:rsidRPr="00643CB3">
        <w:rPr>
          <w:rFonts w:ascii="Times New Roman" w:eastAsia="Times New Roman" w:hAnsi="Times New Roman" w:cs="Times New Roman"/>
          <w:bCs/>
          <w:lang w:val="sr-Latn-ME"/>
        </w:rPr>
        <w:t xml:space="preserve"> i Uputstvo za lijek.</w:t>
      </w:r>
    </w:p>
    <w:p w14:paraId="502C61E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1B3D253"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6.6. </w:t>
      </w:r>
      <w:r w:rsidRPr="00643CB3">
        <w:rPr>
          <w:rFonts w:ascii="Times New Roman" w:eastAsia="Times New Roman" w:hAnsi="Times New Roman" w:cs="Times New Roman"/>
          <w:b/>
          <w:bCs/>
          <w:lang w:val="sr-Latn-ME"/>
        </w:rPr>
        <w:tab/>
      </w:r>
      <w:r w:rsidRPr="00643CB3">
        <w:rPr>
          <w:rFonts w:ascii="Times New Roman" w:eastAsia="Times New Roman" w:hAnsi="Times New Roman" w:cs="Times New Roman"/>
          <w:b/>
          <w:bCs/>
          <w:color w:val="000000"/>
          <w:lang w:val="sr-Latn-ME"/>
        </w:rPr>
        <w:t>Posebne mjere opreza pri odlaganju materijala koji treba odbaciti nakon primjene lijeka</w:t>
      </w:r>
      <w:r w:rsidRPr="00643CB3">
        <w:rPr>
          <w:rFonts w:ascii="Times New Roman" w:eastAsia="Times New Roman" w:hAnsi="Times New Roman" w:cs="Times New Roman"/>
          <w:b/>
          <w:bCs/>
          <w:lang w:val="sr-Latn-ME"/>
        </w:rPr>
        <w:t xml:space="preserve"> (i druga uputstva za rukovanje lijekom) </w:t>
      </w:r>
    </w:p>
    <w:p w14:paraId="7A988EF8"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p>
    <w:p w14:paraId="49B1B19C" w14:textId="6F47B23E" w:rsidR="00643CB3" w:rsidRPr="00643CB3" w:rsidRDefault="0090077F" w:rsidP="00643CB3">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Svu neiskorišćenu količinu lijeka ili otpadnog materijala nakon njegove upotrebe treba ukloniti u skladu sa važećim propisima.</w:t>
      </w:r>
    </w:p>
    <w:p w14:paraId="40F78EB4" w14:textId="77777777" w:rsid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42A71D8"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1B5E5F3C"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7. </w:t>
      </w:r>
      <w:r w:rsidRPr="00643CB3">
        <w:rPr>
          <w:rFonts w:ascii="Times New Roman" w:eastAsia="Times New Roman" w:hAnsi="Times New Roman" w:cs="Times New Roman"/>
          <w:b/>
          <w:bCs/>
          <w:lang w:val="sr-Latn-ME"/>
        </w:rPr>
        <w:tab/>
        <w:t xml:space="preserve">NOSILAC DOZVOLE </w:t>
      </w:r>
    </w:p>
    <w:p w14:paraId="0E784CB4"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382348F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PharmaSwiss - Montenegro, PharmaSwiss doo Beograd, dio stranog društva u Podgorici</w:t>
      </w:r>
    </w:p>
    <w:p w14:paraId="3CB21E31"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Cs/>
          <w:lang w:val="sr-Latn-ME"/>
        </w:rPr>
        <w:t>Rimski trg br. 16, Podgorica, Crna Gora</w:t>
      </w:r>
    </w:p>
    <w:p w14:paraId="183D1312" w14:textId="77777777" w:rsid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A116823"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8D4F55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8. </w:t>
      </w:r>
      <w:r w:rsidRPr="00643CB3">
        <w:rPr>
          <w:rFonts w:ascii="Times New Roman" w:eastAsia="Times New Roman" w:hAnsi="Times New Roman" w:cs="Times New Roman"/>
          <w:b/>
          <w:bCs/>
          <w:lang w:val="sr-Latn-ME"/>
        </w:rPr>
        <w:tab/>
        <w:t>BROJ DOZVOLE ZA STAVLJANJE LIJEKA U PROMET</w:t>
      </w:r>
    </w:p>
    <w:p w14:paraId="6CD3B56F"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10E44615" w14:textId="01CA7A57" w:rsidR="00643CB3" w:rsidRPr="00643CB3" w:rsidRDefault="00FA5D2D" w:rsidP="00643CB3">
      <w:pPr>
        <w:tabs>
          <w:tab w:val="left" w:pos="540"/>
          <w:tab w:val="left" w:pos="569"/>
        </w:tabs>
        <w:spacing w:after="0" w:line="240" w:lineRule="auto"/>
        <w:jc w:val="both"/>
        <w:rPr>
          <w:rFonts w:ascii="Times New Roman" w:eastAsia="Times New Roman" w:hAnsi="Times New Roman" w:cs="Times New Roman"/>
          <w:bCs/>
          <w:i/>
          <w:lang w:val="sr-Latn-ME"/>
        </w:rPr>
      </w:pPr>
      <w:r w:rsidRPr="00FA5D2D">
        <w:rPr>
          <w:rFonts w:ascii="Times New Roman" w:eastAsia="Times New Roman" w:hAnsi="Times New Roman" w:cs="Times New Roman"/>
          <w:bCs/>
          <w:lang w:val="sr-Latn-ME"/>
        </w:rPr>
        <w:t>2030/19/768 - 1115</w:t>
      </w:r>
    </w:p>
    <w:p w14:paraId="04E2E14F" w14:textId="77777777" w:rsidR="00180A80"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0EEA357F"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A12F98A"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
          <w:bCs/>
          <w:lang w:val="sr-Latn-ME"/>
        </w:rPr>
      </w:pPr>
      <w:r w:rsidRPr="00643CB3">
        <w:rPr>
          <w:rFonts w:ascii="Times New Roman" w:eastAsia="Times New Roman" w:hAnsi="Times New Roman" w:cs="Times New Roman"/>
          <w:b/>
          <w:bCs/>
          <w:lang w:val="sr-Latn-ME"/>
        </w:rPr>
        <w:t xml:space="preserve">9. </w:t>
      </w:r>
      <w:r w:rsidRPr="00643CB3">
        <w:rPr>
          <w:rFonts w:ascii="Times New Roman" w:eastAsia="Times New Roman" w:hAnsi="Times New Roman" w:cs="Times New Roman"/>
          <w:b/>
          <w:bCs/>
          <w:lang w:val="sr-Latn-ME"/>
        </w:rPr>
        <w:tab/>
        <w:t>DATUM PRVE DOZVOLE/OBNOVE DOZVOLE ZA STAVLJANJE LIJEKA U PROMET</w:t>
      </w:r>
    </w:p>
    <w:p w14:paraId="54FC0A02"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i/>
          <w:lang w:val="sr-Latn-ME"/>
        </w:rPr>
      </w:pPr>
    </w:p>
    <w:p w14:paraId="6418D7A0" w14:textId="7A94C9FD" w:rsidR="00643CB3" w:rsidRPr="00643CB3" w:rsidRDefault="00FA5D2D" w:rsidP="00643CB3">
      <w:pPr>
        <w:tabs>
          <w:tab w:val="left" w:pos="540"/>
          <w:tab w:val="left" w:pos="569"/>
        </w:tabs>
        <w:spacing w:after="0" w:line="240" w:lineRule="auto"/>
        <w:jc w:val="both"/>
        <w:rPr>
          <w:rFonts w:ascii="Times New Roman" w:eastAsia="Times New Roman" w:hAnsi="Times New Roman" w:cs="Times New Roman"/>
          <w:bCs/>
          <w:i/>
          <w:lang w:val="sr-Latn-ME"/>
        </w:rPr>
      </w:pPr>
      <w:r w:rsidRPr="00FA5D2D">
        <w:rPr>
          <w:rFonts w:ascii="Times New Roman" w:eastAsia="Times New Roman" w:hAnsi="Times New Roman" w:cs="Times New Roman"/>
          <w:bCs/>
          <w:lang w:val="sr-Latn-ME"/>
        </w:rPr>
        <w:t>31.10.2019. godine</w:t>
      </w:r>
    </w:p>
    <w:p w14:paraId="2814FA5B" w14:textId="77777777" w:rsid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47D537BF" w14:textId="77777777" w:rsidR="00180A80" w:rsidRPr="00643CB3" w:rsidRDefault="00180A80"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59C86730"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r w:rsidRPr="00643CB3">
        <w:rPr>
          <w:rFonts w:ascii="Times New Roman" w:eastAsia="Times New Roman" w:hAnsi="Times New Roman" w:cs="Times New Roman"/>
          <w:b/>
          <w:bCs/>
          <w:lang w:val="sr-Latn-ME"/>
        </w:rPr>
        <w:t xml:space="preserve">10. </w:t>
      </w:r>
      <w:r w:rsidRPr="00643CB3">
        <w:rPr>
          <w:rFonts w:ascii="Times New Roman" w:eastAsia="Times New Roman" w:hAnsi="Times New Roman" w:cs="Times New Roman"/>
          <w:b/>
          <w:bCs/>
          <w:lang w:val="sr-Latn-ME"/>
        </w:rPr>
        <w:tab/>
        <w:t xml:space="preserve">DATUM REVIZIJE TEKSTA </w:t>
      </w:r>
    </w:p>
    <w:p w14:paraId="782B7D3E" w14:textId="77777777" w:rsidR="00643CB3" w:rsidRPr="00643CB3" w:rsidRDefault="00643CB3" w:rsidP="00643CB3">
      <w:pPr>
        <w:tabs>
          <w:tab w:val="left" w:pos="540"/>
          <w:tab w:val="left" w:pos="569"/>
        </w:tabs>
        <w:spacing w:after="0" w:line="240" w:lineRule="auto"/>
        <w:jc w:val="both"/>
        <w:rPr>
          <w:rFonts w:ascii="Times New Roman" w:eastAsia="Times New Roman" w:hAnsi="Times New Roman" w:cs="Times New Roman"/>
          <w:bCs/>
          <w:lang w:val="sr-Latn-ME"/>
        </w:rPr>
      </w:pPr>
    </w:p>
    <w:p w14:paraId="77D44D86" w14:textId="164DC1D6" w:rsidR="00DA1FB0" w:rsidRPr="00643CB3" w:rsidRDefault="00860BEF" w:rsidP="00643CB3">
      <w:pPr>
        <w:spacing w:line="240" w:lineRule="auto"/>
        <w:jc w:val="both"/>
        <w:rPr>
          <w:rFonts w:ascii="Times New Roman" w:hAnsi="Times New Roman" w:cs="Times New Roman"/>
          <w:lang w:val="sr-Latn-ME"/>
        </w:rPr>
      </w:pPr>
      <w:r>
        <w:rPr>
          <w:rFonts w:ascii="Times New Roman" w:hAnsi="Times New Roman" w:cs="Times New Roman"/>
          <w:lang w:val="sr-Latn-ME"/>
        </w:rPr>
        <w:t>Mart</w:t>
      </w:r>
      <w:r w:rsidR="00840DEF">
        <w:rPr>
          <w:rFonts w:ascii="Times New Roman" w:hAnsi="Times New Roman" w:cs="Times New Roman"/>
          <w:lang w:val="sr-Latn-ME"/>
        </w:rPr>
        <w:t>, 2024. godine</w:t>
      </w:r>
    </w:p>
    <w:sectPr w:rsidR="00DA1FB0" w:rsidRPr="00643CB3" w:rsidSect="00B34AF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ABE4F" w14:textId="77777777" w:rsidR="00A679EE" w:rsidRDefault="00A679EE" w:rsidP="00FF2B5A">
      <w:pPr>
        <w:spacing w:after="0" w:line="240" w:lineRule="auto"/>
      </w:pPr>
      <w:r>
        <w:separator/>
      </w:r>
    </w:p>
  </w:endnote>
  <w:endnote w:type="continuationSeparator" w:id="0">
    <w:p w14:paraId="65F5564D" w14:textId="77777777" w:rsidR="00A679EE" w:rsidRDefault="00A679EE" w:rsidP="00FF2B5A">
      <w:pPr>
        <w:spacing w:after="0" w:line="240" w:lineRule="auto"/>
      </w:pPr>
      <w:r>
        <w:continuationSeparator/>
      </w:r>
    </w:p>
  </w:endnote>
  <w:endnote w:type="continuationNotice" w:id="1">
    <w:p w14:paraId="6E33C80E" w14:textId="77777777" w:rsidR="00A679EE" w:rsidRDefault="00A67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B501" w14:textId="108BE3FC" w:rsidR="00AE3A56" w:rsidRPr="009318B4" w:rsidRDefault="00AE3A56"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60BEF">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60BEF">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5C91" w14:textId="77777777" w:rsidR="00AE3A56" w:rsidRPr="00F1527C" w:rsidRDefault="00AE3A5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210DEF3" w14:textId="77777777" w:rsidR="00AE3A56" w:rsidRPr="00F1527C" w:rsidRDefault="00AE3A5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C45D391" w14:textId="77777777" w:rsidR="00AE3A56" w:rsidRPr="00F1527C" w:rsidRDefault="00AE3A5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DD21980" w14:textId="77777777" w:rsidR="00AE3A56" w:rsidRPr="00F1527C" w:rsidRDefault="00AE3A5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0290357" w14:textId="77777777" w:rsidR="00AE3A56" w:rsidRPr="00F1527C" w:rsidRDefault="00AE3A5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5071F127" w14:textId="77777777" w:rsidR="00AE3A56" w:rsidRPr="009318B4" w:rsidRDefault="00AE3A5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4B48" w14:textId="77777777" w:rsidR="00A679EE" w:rsidRDefault="00A679EE" w:rsidP="00FF2B5A">
      <w:pPr>
        <w:spacing w:after="0" w:line="240" w:lineRule="auto"/>
      </w:pPr>
      <w:r>
        <w:separator/>
      </w:r>
    </w:p>
  </w:footnote>
  <w:footnote w:type="continuationSeparator" w:id="0">
    <w:p w14:paraId="52073E6E" w14:textId="77777777" w:rsidR="00A679EE" w:rsidRDefault="00A679EE" w:rsidP="00FF2B5A">
      <w:pPr>
        <w:spacing w:after="0" w:line="240" w:lineRule="auto"/>
      </w:pPr>
      <w:r>
        <w:continuationSeparator/>
      </w:r>
    </w:p>
  </w:footnote>
  <w:footnote w:type="continuationNotice" w:id="1">
    <w:p w14:paraId="53AA64D7" w14:textId="77777777" w:rsidR="00A679EE" w:rsidRDefault="00A67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B149" w14:textId="77777777" w:rsidR="00AE3A56" w:rsidRDefault="00AE3A56" w:rsidP="009318B4">
    <w:pPr>
      <w:pStyle w:val="Header"/>
      <w:rPr>
        <w:sz w:val="16"/>
        <w:szCs w:val="16"/>
      </w:rPr>
    </w:pPr>
  </w:p>
  <w:p w14:paraId="35411BDB" w14:textId="77777777" w:rsidR="00AE3A56" w:rsidRDefault="00AE3A5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F0F56B0" wp14:editId="2A7D5204">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DD66E56" w14:textId="77777777" w:rsidR="00AE3A56" w:rsidRDefault="00AE3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4445DDE"/>
    <w:multiLevelType w:val="hybridMultilevel"/>
    <w:tmpl w:val="C1FA35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724422"/>
    <w:multiLevelType w:val="hybridMultilevel"/>
    <w:tmpl w:val="094040D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2"/>
  </w:num>
  <w:num w:numId="11">
    <w:abstractNumId w:val="5"/>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4E98"/>
    <w:rsid w:val="0002126A"/>
    <w:rsid w:val="000312BD"/>
    <w:rsid w:val="00045791"/>
    <w:rsid w:val="000503D1"/>
    <w:rsid w:val="0007145B"/>
    <w:rsid w:val="00091DF8"/>
    <w:rsid w:val="000B0874"/>
    <w:rsid w:val="000B4328"/>
    <w:rsid w:val="000C1A53"/>
    <w:rsid w:val="000F6AE5"/>
    <w:rsid w:val="00105563"/>
    <w:rsid w:val="00106935"/>
    <w:rsid w:val="00106952"/>
    <w:rsid w:val="001160FA"/>
    <w:rsid w:val="00116FE6"/>
    <w:rsid w:val="00157975"/>
    <w:rsid w:val="00170F48"/>
    <w:rsid w:val="00180A80"/>
    <w:rsid w:val="00196B5A"/>
    <w:rsid w:val="001975D6"/>
    <w:rsid w:val="00197806"/>
    <w:rsid w:val="001B132F"/>
    <w:rsid w:val="001C3B00"/>
    <w:rsid w:val="001D5818"/>
    <w:rsid w:val="001D6463"/>
    <w:rsid w:val="0020067D"/>
    <w:rsid w:val="00202714"/>
    <w:rsid w:val="002133C3"/>
    <w:rsid w:val="00236468"/>
    <w:rsid w:val="00246BA7"/>
    <w:rsid w:val="00252854"/>
    <w:rsid w:val="00284257"/>
    <w:rsid w:val="002B336F"/>
    <w:rsid w:val="002F5FD2"/>
    <w:rsid w:val="0031146A"/>
    <w:rsid w:val="003248FD"/>
    <w:rsid w:val="00347C9F"/>
    <w:rsid w:val="003547BA"/>
    <w:rsid w:val="003A0EB3"/>
    <w:rsid w:val="003E1FA0"/>
    <w:rsid w:val="00414DAF"/>
    <w:rsid w:val="00453836"/>
    <w:rsid w:val="00461135"/>
    <w:rsid w:val="00483BBE"/>
    <w:rsid w:val="00485D48"/>
    <w:rsid w:val="004958C0"/>
    <w:rsid w:val="004A0207"/>
    <w:rsid w:val="004A74B4"/>
    <w:rsid w:val="004E5103"/>
    <w:rsid w:val="004F2001"/>
    <w:rsid w:val="004F76F7"/>
    <w:rsid w:val="005029DA"/>
    <w:rsid w:val="00511765"/>
    <w:rsid w:val="005161EF"/>
    <w:rsid w:val="00521891"/>
    <w:rsid w:val="00521FAB"/>
    <w:rsid w:val="005370F1"/>
    <w:rsid w:val="005816A5"/>
    <w:rsid w:val="00592855"/>
    <w:rsid w:val="005A4A5B"/>
    <w:rsid w:val="005A53F5"/>
    <w:rsid w:val="005A6892"/>
    <w:rsid w:val="005C13BB"/>
    <w:rsid w:val="005C45BA"/>
    <w:rsid w:val="005D77C7"/>
    <w:rsid w:val="005F1878"/>
    <w:rsid w:val="006030A1"/>
    <w:rsid w:val="00617397"/>
    <w:rsid w:val="00621B18"/>
    <w:rsid w:val="006415E0"/>
    <w:rsid w:val="00641B5D"/>
    <w:rsid w:val="00643CB3"/>
    <w:rsid w:val="0064444B"/>
    <w:rsid w:val="00653D2F"/>
    <w:rsid w:val="00682469"/>
    <w:rsid w:val="00687A7A"/>
    <w:rsid w:val="006957E1"/>
    <w:rsid w:val="006A3997"/>
    <w:rsid w:val="006A6703"/>
    <w:rsid w:val="006B446A"/>
    <w:rsid w:val="006B4A85"/>
    <w:rsid w:val="006D21BC"/>
    <w:rsid w:val="006D48CC"/>
    <w:rsid w:val="006F07EC"/>
    <w:rsid w:val="007074A2"/>
    <w:rsid w:val="00723639"/>
    <w:rsid w:val="0072528C"/>
    <w:rsid w:val="00730410"/>
    <w:rsid w:val="00747C4B"/>
    <w:rsid w:val="007543E5"/>
    <w:rsid w:val="00766490"/>
    <w:rsid w:val="007B4013"/>
    <w:rsid w:val="007D7CDA"/>
    <w:rsid w:val="007E782C"/>
    <w:rsid w:val="00805838"/>
    <w:rsid w:val="008150AE"/>
    <w:rsid w:val="00816C1B"/>
    <w:rsid w:val="00831962"/>
    <w:rsid w:val="008360BA"/>
    <w:rsid w:val="00840DEF"/>
    <w:rsid w:val="008478C1"/>
    <w:rsid w:val="008554DF"/>
    <w:rsid w:val="00860BEF"/>
    <w:rsid w:val="00883AF2"/>
    <w:rsid w:val="0089543B"/>
    <w:rsid w:val="008B2EDD"/>
    <w:rsid w:val="008B7224"/>
    <w:rsid w:val="008D77DE"/>
    <w:rsid w:val="0090077F"/>
    <w:rsid w:val="00921122"/>
    <w:rsid w:val="009214DB"/>
    <w:rsid w:val="00922DD3"/>
    <w:rsid w:val="009318B4"/>
    <w:rsid w:val="00934541"/>
    <w:rsid w:val="00934775"/>
    <w:rsid w:val="00943A76"/>
    <w:rsid w:val="00952A35"/>
    <w:rsid w:val="00976273"/>
    <w:rsid w:val="00977E06"/>
    <w:rsid w:val="00985A8F"/>
    <w:rsid w:val="00993969"/>
    <w:rsid w:val="009B1D64"/>
    <w:rsid w:val="009B39C8"/>
    <w:rsid w:val="009C41D6"/>
    <w:rsid w:val="009C64A3"/>
    <w:rsid w:val="009F51E5"/>
    <w:rsid w:val="00A06058"/>
    <w:rsid w:val="00A2523F"/>
    <w:rsid w:val="00A54DFF"/>
    <w:rsid w:val="00A679EE"/>
    <w:rsid w:val="00A7259F"/>
    <w:rsid w:val="00A8419E"/>
    <w:rsid w:val="00AA5E50"/>
    <w:rsid w:val="00AB4BC7"/>
    <w:rsid w:val="00AC3A35"/>
    <w:rsid w:val="00AC795C"/>
    <w:rsid w:val="00AD01E4"/>
    <w:rsid w:val="00AE3A56"/>
    <w:rsid w:val="00AF30B1"/>
    <w:rsid w:val="00B03D92"/>
    <w:rsid w:val="00B100EB"/>
    <w:rsid w:val="00B16F99"/>
    <w:rsid w:val="00B234CE"/>
    <w:rsid w:val="00B33876"/>
    <w:rsid w:val="00B34AF2"/>
    <w:rsid w:val="00B65E09"/>
    <w:rsid w:val="00B7589A"/>
    <w:rsid w:val="00B83A7B"/>
    <w:rsid w:val="00B9608A"/>
    <w:rsid w:val="00BC7569"/>
    <w:rsid w:val="00BD1C5F"/>
    <w:rsid w:val="00BD3843"/>
    <w:rsid w:val="00BD38F3"/>
    <w:rsid w:val="00BD6CB0"/>
    <w:rsid w:val="00BD76C4"/>
    <w:rsid w:val="00BE01D5"/>
    <w:rsid w:val="00BE1B53"/>
    <w:rsid w:val="00BE2D00"/>
    <w:rsid w:val="00BE7E92"/>
    <w:rsid w:val="00C0182F"/>
    <w:rsid w:val="00C03255"/>
    <w:rsid w:val="00C416C3"/>
    <w:rsid w:val="00C4240B"/>
    <w:rsid w:val="00C52FD4"/>
    <w:rsid w:val="00C53D31"/>
    <w:rsid w:val="00C53EE1"/>
    <w:rsid w:val="00C606D3"/>
    <w:rsid w:val="00C6256C"/>
    <w:rsid w:val="00C76EBE"/>
    <w:rsid w:val="00C80FE4"/>
    <w:rsid w:val="00CB495E"/>
    <w:rsid w:val="00CC3EE8"/>
    <w:rsid w:val="00CD6407"/>
    <w:rsid w:val="00CD643D"/>
    <w:rsid w:val="00CE3215"/>
    <w:rsid w:val="00CF028C"/>
    <w:rsid w:val="00D0010B"/>
    <w:rsid w:val="00D30DBE"/>
    <w:rsid w:val="00D3601A"/>
    <w:rsid w:val="00D45AFE"/>
    <w:rsid w:val="00D646D3"/>
    <w:rsid w:val="00D81EA4"/>
    <w:rsid w:val="00D87781"/>
    <w:rsid w:val="00DA16E3"/>
    <w:rsid w:val="00DA1FB0"/>
    <w:rsid w:val="00DB4AA3"/>
    <w:rsid w:val="00DB602B"/>
    <w:rsid w:val="00DB603F"/>
    <w:rsid w:val="00DC0E38"/>
    <w:rsid w:val="00DD238D"/>
    <w:rsid w:val="00DE523F"/>
    <w:rsid w:val="00E0627A"/>
    <w:rsid w:val="00E074BE"/>
    <w:rsid w:val="00E21E63"/>
    <w:rsid w:val="00E33B1B"/>
    <w:rsid w:val="00E35685"/>
    <w:rsid w:val="00E67FEC"/>
    <w:rsid w:val="00E7510A"/>
    <w:rsid w:val="00EA1DBC"/>
    <w:rsid w:val="00EB2A93"/>
    <w:rsid w:val="00EC44E3"/>
    <w:rsid w:val="00F0236D"/>
    <w:rsid w:val="00F13FF0"/>
    <w:rsid w:val="00F1527C"/>
    <w:rsid w:val="00F15DA6"/>
    <w:rsid w:val="00F361A2"/>
    <w:rsid w:val="00F41200"/>
    <w:rsid w:val="00F4474A"/>
    <w:rsid w:val="00F65951"/>
    <w:rsid w:val="00FA4F77"/>
    <w:rsid w:val="00FA5D2D"/>
    <w:rsid w:val="00FE3ADA"/>
    <w:rsid w:val="00FE760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C2730"/>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43CB3"/>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43CB3"/>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643CB3"/>
  </w:style>
  <w:style w:type="character" w:styleId="PageNumber">
    <w:name w:val="page number"/>
    <w:basedOn w:val="DefaultParagraphFont"/>
    <w:rsid w:val="00643CB3"/>
  </w:style>
  <w:style w:type="numbering" w:styleId="111111">
    <w:name w:val="Outline List 2"/>
    <w:basedOn w:val="NoList"/>
    <w:rsid w:val="00643CB3"/>
    <w:pPr>
      <w:numPr>
        <w:numId w:val="3"/>
      </w:numPr>
    </w:pPr>
  </w:style>
  <w:style w:type="character" w:styleId="CommentReference">
    <w:name w:val="annotation reference"/>
    <w:semiHidden/>
    <w:rsid w:val="00643CB3"/>
    <w:rPr>
      <w:sz w:val="16"/>
      <w:szCs w:val="16"/>
    </w:rPr>
  </w:style>
  <w:style w:type="paragraph" w:styleId="CommentText">
    <w:name w:val="annotation text"/>
    <w:basedOn w:val="Normal"/>
    <w:link w:val="CommentTextChar"/>
    <w:semiHidden/>
    <w:rsid w:val="00643CB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43C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3CB3"/>
    <w:rPr>
      <w:b/>
      <w:bCs/>
    </w:rPr>
  </w:style>
  <w:style w:type="character" w:customStyle="1" w:styleId="CommentSubjectChar">
    <w:name w:val="Comment Subject Char"/>
    <w:basedOn w:val="CommentTextChar"/>
    <w:link w:val="CommentSubject"/>
    <w:semiHidden/>
    <w:rsid w:val="00643CB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43CB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3CB3"/>
    <w:rPr>
      <w:rFonts w:ascii="Tahoma" w:eastAsia="Times New Roman" w:hAnsi="Tahoma" w:cs="Tahoma"/>
      <w:sz w:val="16"/>
      <w:szCs w:val="16"/>
    </w:rPr>
  </w:style>
  <w:style w:type="paragraph" w:styleId="NoSpacing">
    <w:name w:val="No Spacing"/>
    <w:uiPriority w:val="1"/>
    <w:qFormat/>
    <w:rsid w:val="00643CB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3CB3"/>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A84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4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B91A-E1F9-4461-83C2-7314052EF7F3}">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12422</Words>
  <Characters>70810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3</cp:revision>
  <dcterms:created xsi:type="dcterms:W3CDTF">2024-03-05T07:01:00Z</dcterms:created>
  <dcterms:modified xsi:type="dcterms:W3CDTF">2024-03-09T08:42:00Z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4f55c2-b9e5-4e04-bcc7-ae1efcea4b57_Enabled">
    <vt:lpwstr>true</vt:lpwstr>
  </property>
  <property fmtid="{D5CDD505-2E9C-101B-9397-08002B2CF9AE}" pid="3" name="MSIP_Label_4c4f55c2-b9e5-4e04-bcc7-ae1efcea4b57_SetDate">
    <vt:lpwstr>2022-09-25T18:34:44Z</vt:lpwstr>
  </property>
  <property fmtid="{D5CDD505-2E9C-101B-9397-08002B2CF9AE}" pid="4" name="MSIP_Label_4c4f55c2-b9e5-4e04-bcc7-ae1efcea4b57_Method">
    <vt:lpwstr>Standard</vt:lpwstr>
  </property>
  <property fmtid="{D5CDD505-2E9C-101B-9397-08002B2CF9AE}" pid="5" name="MSIP_Label_4c4f55c2-b9e5-4e04-bcc7-ae1efcea4b57_Name">
    <vt:lpwstr>CORP Projects Information Label</vt:lpwstr>
  </property>
  <property fmtid="{D5CDD505-2E9C-101B-9397-08002B2CF9AE}" pid="6" name="MSIP_Label_4c4f55c2-b9e5-4e04-bcc7-ae1efcea4b57_SiteId">
    <vt:lpwstr>a72dda32-ee80-4da8-a3ac-ec0e9e41a50a</vt:lpwstr>
  </property>
  <property fmtid="{D5CDD505-2E9C-101B-9397-08002B2CF9AE}" pid="7" name="MSIP_Label_4c4f55c2-b9e5-4e04-bcc7-ae1efcea4b57_ActionId">
    <vt:lpwstr>fc0acf16-1680-486e-a9df-5959758d82d7</vt:lpwstr>
  </property>
  <property fmtid="{D5CDD505-2E9C-101B-9397-08002B2CF9AE}" pid="8" name="MSIP_Label_4c4f55c2-b9e5-4e04-bcc7-ae1efcea4b57_ContentBits">
    <vt:lpwstr>0</vt:lpwstr>
  </property>
</Properties>
</file>