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3B14B" w14:textId="77777777" w:rsidR="00DD2A82" w:rsidRPr="00DA0B15" w:rsidRDefault="00DD2A82" w:rsidP="00502D28">
      <w:pPr>
        <w:jc w:val="center"/>
        <w:rPr>
          <w:szCs w:val="22"/>
          <w:lang w:val="sr-Latn-ME"/>
        </w:rPr>
      </w:pPr>
      <w:bookmarkStart w:id="0" w:name="_GoBack"/>
      <w:bookmarkEnd w:id="0"/>
    </w:p>
    <w:p w14:paraId="2D257CBD" w14:textId="3F9743A6" w:rsidR="00CE09F3" w:rsidRPr="00DA0B15" w:rsidRDefault="00CE09F3" w:rsidP="00502D28">
      <w:pPr>
        <w:jc w:val="center"/>
        <w:rPr>
          <w:b/>
          <w:bCs/>
          <w:iCs/>
          <w:szCs w:val="22"/>
          <w:u w:val="single"/>
          <w:lang w:val="sr-Latn-ME"/>
        </w:rPr>
      </w:pPr>
      <w:r w:rsidRPr="00DA0B15">
        <w:rPr>
          <w:b/>
          <w:bCs/>
          <w:iCs/>
          <w:szCs w:val="22"/>
          <w:u w:val="single"/>
          <w:lang w:val="sr-Latn-ME"/>
        </w:rPr>
        <w:t>SAŽETAK KARAKTERISTIKA L</w:t>
      </w:r>
      <w:r w:rsidR="00184F91" w:rsidRPr="00DA0B15">
        <w:rPr>
          <w:b/>
          <w:bCs/>
          <w:iCs/>
          <w:szCs w:val="22"/>
          <w:u w:val="single"/>
          <w:lang w:val="sr-Latn-ME"/>
        </w:rPr>
        <w:t>IJ</w:t>
      </w:r>
      <w:r w:rsidRPr="00DA0B15">
        <w:rPr>
          <w:b/>
          <w:bCs/>
          <w:iCs/>
          <w:szCs w:val="22"/>
          <w:u w:val="single"/>
          <w:lang w:val="sr-Latn-ME"/>
        </w:rPr>
        <w:t>EKA</w:t>
      </w:r>
    </w:p>
    <w:p w14:paraId="73F8A642" w14:textId="77777777" w:rsidR="00472CB2" w:rsidRPr="00DA0B15" w:rsidRDefault="00472CB2" w:rsidP="00502D28">
      <w:pPr>
        <w:rPr>
          <w:szCs w:val="22"/>
          <w:lang w:val="sr-Latn-ME"/>
        </w:rPr>
      </w:pPr>
    </w:p>
    <w:p w14:paraId="35FC762D" w14:textId="77777777" w:rsidR="00CE09F3" w:rsidRPr="00DA0B15" w:rsidRDefault="00CE09F3" w:rsidP="00502D28">
      <w:pPr>
        <w:rPr>
          <w:b/>
          <w:bCs/>
          <w:szCs w:val="22"/>
          <w:lang w:val="sr-Latn-ME"/>
        </w:rPr>
      </w:pPr>
    </w:p>
    <w:p w14:paraId="314E72BE" w14:textId="7F71FCA3" w:rsidR="00CE09F3" w:rsidRPr="00DA0B15" w:rsidRDefault="0084014E" w:rsidP="00472CB2">
      <w:pPr>
        <w:pStyle w:val="NASLOV123"/>
        <w:spacing w:before="0" w:after="240"/>
        <w:jc w:val="both"/>
        <w:rPr>
          <w:lang w:val="sr-Latn-ME"/>
        </w:rPr>
      </w:pPr>
      <w:r w:rsidRPr="00DA0B15">
        <w:rPr>
          <w:bCs/>
          <w:lang w:val="sr-Latn-ME"/>
        </w:rPr>
        <w:t>1.</w:t>
      </w:r>
      <w:r w:rsidRPr="00DA0B15">
        <w:rPr>
          <w:bCs/>
          <w:lang w:val="sr-Latn-ME"/>
        </w:rPr>
        <w:tab/>
      </w:r>
      <w:r w:rsidR="00047642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 xml:space="preserve">NAZIV LIJEKA </w:t>
      </w:r>
    </w:p>
    <w:p w14:paraId="46D9C197" w14:textId="212333E7" w:rsidR="003A477D" w:rsidRPr="00DA0B1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szCs w:val="22"/>
          <w:lang w:val="sr-Latn-ME"/>
        </w:rPr>
        <w:t>Keppra, 250 mg, film tablet</w:t>
      </w:r>
      <w:r w:rsidR="000C1784" w:rsidRPr="00DA0B15">
        <w:rPr>
          <w:szCs w:val="22"/>
          <w:lang w:val="sr-Latn-ME"/>
        </w:rPr>
        <w:t>a</w:t>
      </w:r>
    </w:p>
    <w:p w14:paraId="200968EA" w14:textId="139BB3D9" w:rsidR="003A477D" w:rsidRPr="00DA0B1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szCs w:val="22"/>
          <w:lang w:val="sr-Latn-ME"/>
        </w:rPr>
        <w:t>Keppra, 500 mg, film tablet</w:t>
      </w:r>
      <w:r w:rsidR="000C1784" w:rsidRPr="00DA0B15">
        <w:rPr>
          <w:szCs w:val="22"/>
          <w:lang w:val="sr-Latn-ME"/>
        </w:rPr>
        <w:t>a</w:t>
      </w:r>
      <w:r w:rsidRPr="00DA0B15">
        <w:rPr>
          <w:szCs w:val="22"/>
          <w:lang w:val="sr-Latn-ME"/>
        </w:rPr>
        <w:t xml:space="preserve"> </w:t>
      </w:r>
    </w:p>
    <w:p w14:paraId="45B90BD4" w14:textId="0A5B08B2" w:rsidR="003A477D" w:rsidRPr="00DA0B1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szCs w:val="22"/>
          <w:lang w:val="sr-Latn-ME"/>
        </w:rPr>
        <w:t>Keppra</w:t>
      </w:r>
      <w:r w:rsidR="00EB6704" w:rsidRPr="00DA0B15">
        <w:rPr>
          <w:szCs w:val="22"/>
          <w:lang w:val="sr-Latn-ME"/>
        </w:rPr>
        <w:t xml:space="preserve">, </w:t>
      </w:r>
      <w:r w:rsidRPr="00DA0B15">
        <w:rPr>
          <w:szCs w:val="22"/>
          <w:lang w:val="sr-Latn-ME"/>
        </w:rPr>
        <w:t>1000 mg, film tablet</w:t>
      </w:r>
      <w:r w:rsidR="000C1784" w:rsidRPr="00DA0B15">
        <w:rPr>
          <w:szCs w:val="22"/>
          <w:lang w:val="sr-Latn-ME"/>
        </w:rPr>
        <w:t>a</w:t>
      </w:r>
    </w:p>
    <w:p w14:paraId="67079CE1" w14:textId="77777777" w:rsidR="00CE09F3" w:rsidRPr="00DA0B15" w:rsidRDefault="00CE09F3" w:rsidP="00502D28">
      <w:pPr>
        <w:rPr>
          <w:bCs/>
          <w:szCs w:val="22"/>
          <w:lang w:val="sr-Latn-ME"/>
        </w:rPr>
      </w:pPr>
    </w:p>
    <w:p w14:paraId="2A1A4DEA" w14:textId="77777777" w:rsidR="00CE09F3" w:rsidRPr="00DA0B15" w:rsidRDefault="00CE09F3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INN:</w:t>
      </w:r>
      <w:r w:rsidR="003A477D" w:rsidRPr="00DA0B15">
        <w:rPr>
          <w:szCs w:val="22"/>
          <w:lang w:val="sr-Latn-ME"/>
        </w:rPr>
        <w:t xml:space="preserve"> levetiracetam</w:t>
      </w:r>
    </w:p>
    <w:p w14:paraId="2274EF7A" w14:textId="77777777" w:rsidR="006A441F" w:rsidRPr="00DA0B15" w:rsidRDefault="006A441F" w:rsidP="00502D28">
      <w:pPr>
        <w:rPr>
          <w:szCs w:val="22"/>
          <w:lang w:val="sr-Latn-ME"/>
        </w:rPr>
      </w:pPr>
    </w:p>
    <w:p w14:paraId="4E2BCC3E" w14:textId="77777777" w:rsidR="00CE09F3" w:rsidRPr="00DA0B15" w:rsidRDefault="00CE09F3" w:rsidP="00502D28">
      <w:pPr>
        <w:rPr>
          <w:bCs/>
          <w:i/>
          <w:iCs/>
          <w:szCs w:val="22"/>
          <w:lang w:val="sr-Latn-ME"/>
        </w:rPr>
      </w:pPr>
    </w:p>
    <w:p w14:paraId="15D8BD74" w14:textId="71DD1841" w:rsidR="00710A03" w:rsidRPr="00DA0B15" w:rsidRDefault="00710A03" w:rsidP="001714E8">
      <w:pPr>
        <w:pStyle w:val="NASLOV123"/>
        <w:spacing w:before="0" w:after="240"/>
        <w:jc w:val="both"/>
        <w:rPr>
          <w:bCs/>
          <w:lang w:val="sr-Latn-ME"/>
        </w:rPr>
      </w:pPr>
      <w:r w:rsidRPr="00DA0B15">
        <w:rPr>
          <w:bCs/>
          <w:lang w:val="sr-Latn-ME"/>
        </w:rPr>
        <w:t xml:space="preserve">2. </w:t>
      </w:r>
      <w:r w:rsidRPr="00DA0B15">
        <w:rPr>
          <w:bCs/>
          <w:lang w:val="sr-Latn-ME"/>
        </w:rPr>
        <w:tab/>
      </w:r>
      <w:r w:rsidR="00047642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>KVALITATIVNI I KVANTITATIVNI SASTAV</w:t>
      </w:r>
    </w:p>
    <w:p w14:paraId="28C45BB2" w14:textId="77777777" w:rsidR="003A477D" w:rsidRPr="00DA0B15" w:rsidRDefault="00750F92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 xml:space="preserve">Jedna </w:t>
      </w:r>
      <w:r w:rsidR="003A477D" w:rsidRPr="00DA0B15">
        <w:rPr>
          <w:szCs w:val="22"/>
          <w:lang w:val="sr-Latn-ME"/>
        </w:rPr>
        <w:t>film tableta sadrži 250 mg levetiracetama.</w:t>
      </w:r>
    </w:p>
    <w:p w14:paraId="0FFE86F9" w14:textId="77777777" w:rsidR="003A477D" w:rsidRPr="00DA0B15" w:rsidRDefault="00750F92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Jedna</w:t>
      </w:r>
      <w:r w:rsidRPr="00DA0B15" w:rsidDel="00750F92">
        <w:rPr>
          <w:szCs w:val="22"/>
          <w:lang w:val="sr-Latn-ME"/>
        </w:rPr>
        <w:t xml:space="preserve"> </w:t>
      </w:r>
      <w:r w:rsidR="003A477D" w:rsidRPr="00DA0B15">
        <w:rPr>
          <w:szCs w:val="22"/>
          <w:lang w:val="sr-Latn-ME"/>
        </w:rPr>
        <w:t>film tableta sadrži 500 mg levetiracetama.</w:t>
      </w:r>
    </w:p>
    <w:p w14:paraId="328CAC21" w14:textId="77777777" w:rsidR="003A477D" w:rsidRPr="00DA0B15" w:rsidRDefault="00750F92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Jedna</w:t>
      </w:r>
      <w:r w:rsidRPr="00DA0B15" w:rsidDel="00750F92">
        <w:rPr>
          <w:szCs w:val="22"/>
          <w:lang w:val="sr-Latn-ME"/>
        </w:rPr>
        <w:t xml:space="preserve"> </w:t>
      </w:r>
      <w:r w:rsidR="003A477D" w:rsidRPr="00DA0B15">
        <w:rPr>
          <w:szCs w:val="22"/>
          <w:lang w:val="sr-Latn-ME"/>
        </w:rPr>
        <w:t>film tableta sadrži 1000 mg levetiracetama.</w:t>
      </w:r>
    </w:p>
    <w:p w14:paraId="59B42984" w14:textId="77777777" w:rsidR="003A477D" w:rsidRPr="00DA0B1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6FA9A5FF" w14:textId="1C22EA98" w:rsidR="003A477D" w:rsidRPr="00DA0B15" w:rsidRDefault="00303922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szCs w:val="22"/>
          <w:lang w:val="sr-Latn-ME"/>
        </w:rPr>
        <w:t xml:space="preserve">Za spisak svih ekscipijenasa, pogledati dio 6.1. </w:t>
      </w:r>
    </w:p>
    <w:p w14:paraId="47011A09" w14:textId="77777777" w:rsidR="00092413" w:rsidRPr="00DA0B15" w:rsidRDefault="00092413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021A067E" w14:textId="77777777" w:rsidR="00092413" w:rsidRPr="00DA0B15" w:rsidRDefault="00092413" w:rsidP="00502D28">
      <w:pPr>
        <w:pStyle w:val="Header"/>
        <w:tabs>
          <w:tab w:val="clear" w:pos="4536"/>
          <w:tab w:val="clear" w:pos="9072"/>
          <w:tab w:val="left" w:pos="284"/>
        </w:tabs>
        <w:rPr>
          <w:bCs/>
          <w:szCs w:val="22"/>
          <w:lang w:val="sr-Latn-ME"/>
        </w:rPr>
      </w:pPr>
    </w:p>
    <w:p w14:paraId="7CE91BA7" w14:textId="49F86C60" w:rsidR="00092413" w:rsidRPr="00DA0B15" w:rsidRDefault="00092413" w:rsidP="001714E8">
      <w:pPr>
        <w:pStyle w:val="NASLOV123"/>
        <w:spacing w:before="0" w:after="240"/>
        <w:jc w:val="both"/>
        <w:rPr>
          <w:bCs/>
          <w:lang w:val="sr-Latn-ME"/>
        </w:rPr>
      </w:pPr>
      <w:r w:rsidRPr="00DA0B15">
        <w:rPr>
          <w:bCs/>
          <w:lang w:val="sr-Latn-ME"/>
        </w:rPr>
        <w:t xml:space="preserve">3. </w:t>
      </w:r>
      <w:r w:rsidRPr="00DA0B15">
        <w:rPr>
          <w:bCs/>
          <w:lang w:val="sr-Latn-ME"/>
        </w:rPr>
        <w:tab/>
      </w:r>
      <w:r w:rsidR="00047642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 xml:space="preserve">FARMACEUTSKI OBLIK </w:t>
      </w:r>
    </w:p>
    <w:p w14:paraId="4CDF4483" w14:textId="77777777" w:rsidR="003A477D" w:rsidRPr="00DA0B15" w:rsidRDefault="003A477D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Film tableta.</w:t>
      </w:r>
    </w:p>
    <w:p w14:paraId="6E16DAE9" w14:textId="77777777" w:rsidR="00092413" w:rsidRPr="00DA0B15" w:rsidRDefault="00092413" w:rsidP="00502D28">
      <w:pPr>
        <w:rPr>
          <w:szCs w:val="22"/>
          <w:lang w:val="sr-Latn-ME"/>
        </w:rPr>
      </w:pPr>
    </w:p>
    <w:p w14:paraId="5EE35C73" w14:textId="77777777" w:rsidR="000356CE" w:rsidRPr="00DA0B1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bCs/>
          <w:szCs w:val="22"/>
          <w:lang w:val="sr-Latn-ME"/>
        </w:rPr>
        <w:t>Keppra, film tableta</w:t>
      </w:r>
      <w:r w:rsidRPr="00DA0B15">
        <w:rPr>
          <w:szCs w:val="22"/>
          <w:lang w:val="sr-Latn-ME"/>
        </w:rPr>
        <w:t xml:space="preserve">, 250 mg: </w:t>
      </w:r>
    </w:p>
    <w:p w14:paraId="2C5441DD" w14:textId="3EF5297C" w:rsidR="003A477D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DA0B15">
        <w:rPr>
          <w:szCs w:val="22"/>
          <w:lang w:val="sr-Latn-ME"/>
        </w:rPr>
        <w:t>Plava, duguljasta film tableta, sa pod</w:t>
      </w:r>
      <w:r w:rsidR="006A0FD4" w:rsidRPr="00DA0B15">
        <w:rPr>
          <w:szCs w:val="22"/>
          <w:lang w:val="sr-Latn-ME"/>
        </w:rPr>
        <w:t>i</w:t>
      </w:r>
      <w:r w:rsidRPr="00DA0B15">
        <w:rPr>
          <w:szCs w:val="22"/>
          <w:lang w:val="sr-Latn-ME"/>
        </w:rPr>
        <w:t xml:space="preserve">onom </w:t>
      </w:r>
      <w:r w:rsidR="000356CE" w:rsidRPr="00DA0B15">
        <w:rPr>
          <w:szCs w:val="22"/>
          <w:lang w:val="sr-Latn-ME"/>
        </w:rPr>
        <w:t>crtom</w:t>
      </w:r>
      <w:r w:rsidRPr="00DA0B15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i utisnutim oznakama ''ucb'' i ''250'' na jednoj strani.</w:t>
      </w:r>
    </w:p>
    <w:p w14:paraId="665D558F" w14:textId="676B1C70" w:rsidR="0098466C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>Pod</w:t>
      </w:r>
      <w:r w:rsidR="006A0FD4" w:rsidRPr="00744CB5">
        <w:rPr>
          <w:szCs w:val="22"/>
          <w:lang w:val="sr-Latn-ME"/>
        </w:rPr>
        <w:t>i</w:t>
      </w:r>
      <w:r w:rsidRPr="00744CB5">
        <w:rPr>
          <w:szCs w:val="22"/>
          <w:lang w:val="sr-Latn-ME"/>
        </w:rPr>
        <w:t xml:space="preserve">ona </w:t>
      </w:r>
      <w:r w:rsidR="0098466C" w:rsidRPr="00744CB5">
        <w:rPr>
          <w:szCs w:val="22"/>
          <w:lang w:val="sr-Latn-ME"/>
        </w:rPr>
        <w:t>crta</w:t>
      </w:r>
      <w:r w:rsidR="004C1B1D" w:rsidRPr="00744CB5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služi samo da olakša lo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>jenje da bi se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ek lakše progutao, a ne za pod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elu na jednake doze. </w:t>
      </w:r>
    </w:p>
    <w:p w14:paraId="376F80D2" w14:textId="4E7B2C3F" w:rsidR="003A477D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 xml:space="preserve"> </w:t>
      </w:r>
    </w:p>
    <w:p w14:paraId="7A9D3597" w14:textId="77777777" w:rsidR="0098466C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bCs/>
          <w:szCs w:val="22"/>
          <w:lang w:val="sr-Latn-ME"/>
        </w:rPr>
        <w:t>Keppra, film tableta</w:t>
      </w:r>
      <w:r w:rsidRPr="00744CB5">
        <w:rPr>
          <w:szCs w:val="22"/>
          <w:lang w:val="sr-Latn-ME"/>
        </w:rPr>
        <w:t xml:space="preserve">, 500 mg: </w:t>
      </w:r>
    </w:p>
    <w:p w14:paraId="5335B6F2" w14:textId="113CC80B" w:rsidR="0098466C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>Žuta, duguljasta film tableta, sa pod</w:t>
      </w:r>
      <w:r w:rsidR="006A0FD4" w:rsidRPr="00744CB5">
        <w:rPr>
          <w:szCs w:val="22"/>
          <w:lang w:val="sr-Latn-ME"/>
        </w:rPr>
        <w:t>i</w:t>
      </w:r>
      <w:r w:rsidRPr="00744CB5">
        <w:rPr>
          <w:szCs w:val="22"/>
          <w:lang w:val="sr-Latn-ME"/>
        </w:rPr>
        <w:t xml:space="preserve">onom </w:t>
      </w:r>
      <w:r w:rsidR="0098466C">
        <w:rPr>
          <w:szCs w:val="22"/>
          <w:lang w:val="sr-Latn-ME"/>
        </w:rPr>
        <w:t>crtom</w:t>
      </w:r>
      <w:r w:rsidR="00EE1DE8" w:rsidRPr="00744CB5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i utisnutim oznakama ''ucb'' i ''500'' na jednoj strani.</w:t>
      </w:r>
    </w:p>
    <w:p w14:paraId="6F1773C4" w14:textId="320A4949" w:rsidR="0098466C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>Pod</w:t>
      </w:r>
      <w:r w:rsidR="006A0FD4" w:rsidRPr="00744CB5">
        <w:rPr>
          <w:szCs w:val="22"/>
          <w:lang w:val="sr-Latn-ME"/>
        </w:rPr>
        <w:t>i</w:t>
      </w:r>
      <w:r w:rsidRPr="00744CB5">
        <w:rPr>
          <w:szCs w:val="22"/>
          <w:lang w:val="sr-Latn-ME"/>
        </w:rPr>
        <w:t xml:space="preserve">ona </w:t>
      </w:r>
      <w:r w:rsidR="0098466C">
        <w:rPr>
          <w:szCs w:val="22"/>
          <w:lang w:val="sr-Latn-ME"/>
        </w:rPr>
        <w:t xml:space="preserve">crta </w:t>
      </w:r>
      <w:r w:rsidRPr="00744CB5">
        <w:rPr>
          <w:szCs w:val="22"/>
          <w:lang w:val="sr-Latn-ME"/>
        </w:rPr>
        <w:t>služi samo da olakša lo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>jenje da bi se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ek lakše progutao, a ne za pod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elu na jednake doze.</w:t>
      </w:r>
    </w:p>
    <w:p w14:paraId="63DF2AA1" w14:textId="2CA5C8DC" w:rsidR="003A477D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 xml:space="preserve">  </w:t>
      </w:r>
    </w:p>
    <w:p w14:paraId="02634A94" w14:textId="77777777" w:rsidR="0098466C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bCs/>
          <w:szCs w:val="22"/>
          <w:lang w:val="sr-Latn-ME"/>
        </w:rPr>
        <w:t>Keppra, film tableta</w:t>
      </w:r>
      <w:r w:rsidRPr="00744CB5">
        <w:rPr>
          <w:szCs w:val="22"/>
          <w:lang w:val="sr-Latn-ME"/>
        </w:rPr>
        <w:t xml:space="preserve">, 1000 mg: </w:t>
      </w:r>
    </w:p>
    <w:p w14:paraId="03733E48" w14:textId="50D21CA4" w:rsidR="003A477D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>B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ela, duguljasta film tableta, sa pod</w:t>
      </w:r>
      <w:r w:rsidR="006A0FD4" w:rsidRPr="00744CB5">
        <w:rPr>
          <w:szCs w:val="22"/>
          <w:lang w:val="sr-Latn-ME"/>
        </w:rPr>
        <w:t>i</w:t>
      </w:r>
      <w:r w:rsidRPr="00744CB5">
        <w:rPr>
          <w:szCs w:val="22"/>
          <w:lang w:val="sr-Latn-ME"/>
        </w:rPr>
        <w:t xml:space="preserve">onom </w:t>
      </w:r>
      <w:r w:rsidR="0098466C">
        <w:rPr>
          <w:szCs w:val="22"/>
          <w:lang w:val="sr-Latn-ME"/>
        </w:rPr>
        <w:t>crtom</w:t>
      </w:r>
      <w:r w:rsidR="00EE1DE8" w:rsidRPr="00744CB5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i utisnutim oznakama ''ucb'' i ''1000'' na jednoj strani.</w:t>
      </w:r>
    </w:p>
    <w:p w14:paraId="7728F0D2" w14:textId="7BEF41E7" w:rsidR="003A477D" w:rsidRPr="00744CB5" w:rsidRDefault="003A477D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  <w:r w:rsidRPr="00744CB5">
        <w:rPr>
          <w:szCs w:val="22"/>
          <w:lang w:val="sr-Latn-ME"/>
        </w:rPr>
        <w:t>Pod</w:t>
      </w:r>
      <w:r w:rsidR="006A0FD4" w:rsidRPr="00744CB5">
        <w:rPr>
          <w:szCs w:val="22"/>
          <w:lang w:val="sr-Latn-ME"/>
        </w:rPr>
        <w:t>i</w:t>
      </w:r>
      <w:r w:rsidRPr="00744CB5">
        <w:rPr>
          <w:szCs w:val="22"/>
          <w:lang w:val="sr-Latn-ME"/>
        </w:rPr>
        <w:t xml:space="preserve">ona </w:t>
      </w:r>
      <w:r w:rsidR="0098466C">
        <w:rPr>
          <w:szCs w:val="22"/>
          <w:lang w:val="sr-Latn-ME"/>
        </w:rPr>
        <w:t>crta</w:t>
      </w:r>
      <w:r w:rsidR="004C1B1D" w:rsidRPr="00744CB5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služi samo da olakša lo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>jenje da bi se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ek lakše progutao, a ne za pod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elu na jednake doze.  </w:t>
      </w:r>
    </w:p>
    <w:p w14:paraId="3CFC0B5C" w14:textId="77777777" w:rsidR="001714E8" w:rsidRPr="00744CB5" w:rsidRDefault="001714E8" w:rsidP="00502D28">
      <w:pPr>
        <w:pStyle w:val="Header"/>
        <w:tabs>
          <w:tab w:val="clear" w:pos="4536"/>
          <w:tab w:val="clear" w:pos="9072"/>
          <w:tab w:val="left" w:pos="284"/>
        </w:tabs>
        <w:rPr>
          <w:szCs w:val="22"/>
          <w:lang w:val="sr-Latn-ME"/>
        </w:rPr>
      </w:pPr>
    </w:p>
    <w:p w14:paraId="78ABAFFB" w14:textId="77777777" w:rsidR="00CE09F3" w:rsidRPr="00744CB5" w:rsidRDefault="00CE09F3" w:rsidP="00502D28">
      <w:pPr>
        <w:rPr>
          <w:szCs w:val="22"/>
          <w:lang w:val="sr-Latn-ME"/>
        </w:rPr>
      </w:pPr>
    </w:p>
    <w:p w14:paraId="6D8B2E96" w14:textId="5A6274F7" w:rsidR="00CE09F3" w:rsidRPr="00744CB5" w:rsidRDefault="001714E8" w:rsidP="008D5CD8">
      <w:pPr>
        <w:pStyle w:val="NASLOV123"/>
        <w:spacing w:before="0" w:after="240"/>
        <w:jc w:val="both"/>
        <w:rPr>
          <w:lang w:val="sr-Latn-ME"/>
        </w:rPr>
      </w:pPr>
      <w:r w:rsidRPr="00744CB5">
        <w:rPr>
          <w:bCs/>
          <w:lang w:val="sr-Latn-ME"/>
        </w:rPr>
        <w:t xml:space="preserve">4. </w:t>
      </w:r>
      <w:r w:rsidRPr="00744CB5">
        <w:rPr>
          <w:bCs/>
          <w:lang w:val="sr-Latn-ME"/>
        </w:rPr>
        <w:tab/>
      </w:r>
      <w:r w:rsidR="00047642" w:rsidRPr="00744CB5">
        <w:rPr>
          <w:bCs/>
          <w:lang w:val="sr-Latn-ME"/>
        </w:rPr>
        <w:tab/>
      </w:r>
      <w:r w:rsidRPr="00744CB5">
        <w:rPr>
          <w:bCs/>
          <w:lang w:val="sr-Latn-ME"/>
        </w:rPr>
        <w:t>KLINIČKI PODACI</w:t>
      </w:r>
    </w:p>
    <w:p w14:paraId="0F871AD2" w14:textId="2641098F" w:rsidR="00CE09F3" w:rsidRPr="00744CB5" w:rsidRDefault="00F74944" w:rsidP="008D5CD8">
      <w:pPr>
        <w:rPr>
          <w:b/>
          <w:bCs/>
          <w:szCs w:val="22"/>
          <w:lang w:val="sr-Latn-ME"/>
        </w:rPr>
      </w:pPr>
      <w:r w:rsidRPr="00744CB5">
        <w:rPr>
          <w:b/>
          <w:bCs/>
          <w:szCs w:val="22"/>
          <w:lang w:val="sr-Latn-ME"/>
        </w:rPr>
        <w:t xml:space="preserve">4.1. </w:t>
      </w:r>
      <w:r w:rsidRPr="00744CB5">
        <w:rPr>
          <w:b/>
          <w:bCs/>
          <w:szCs w:val="22"/>
          <w:lang w:val="sr-Latn-ME"/>
        </w:rPr>
        <w:tab/>
        <w:t xml:space="preserve">Terapijske indikacije </w:t>
      </w:r>
    </w:p>
    <w:p w14:paraId="4D1C942C" w14:textId="77777777" w:rsidR="003A477D" w:rsidRPr="00744CB5" w:rsidRDefault="003A477D" w:rsidP="008D5CD8">
      <w:pPr>
        <w:rPr>
          <w:b/>
          <w:bCs/>
          <w:szCs w:val="22"/>
          <w:lang w:val="sr-Latn-ME"/>
        </w:rPr>
      </w:pPr>
    </w:p>
    <w:p w14:paraId="5C6D4A6D" w14:textId="551C340B" w:rsidR="003A477D" w:rsidRPr="00744CB5" w:rsidRDefault="003A477D" w:rsidP="008D5CD8">
      <w:pPr>
        <w:tabs>
          <w:tab w:val="left" w:pos="600"/>
        </w:tabs>
        <w:rPr>
          <w:bCs/>
          <w:szCs w:val="22"/>
          <w:lang w:val="sr-Latn-ME"/>
        </w:rPr>
      </w:pPr>
      <w:r w:rsidRPr="00744CB5">
        <w:rPr>
          <w:bCs/>
          <w:szCs w:val="22"/>
          <w:lang w:val="sr-Latn-ME"/>
        </w:rPr>
        <w:t>L</w:t>
      </w:r>
      <w:r w:rsidR="00F74944" w:rsidRPr="00744CB5">
        <w:rPr>
          <w:bCs/>
          <w:szCs w:val="22"/>
          <w:lang w:val="sr-Latn-ME"/>
        </w:rPr>
        <w:t>ij</w:t>
      </w:r>
      <w:r w:rsidRPr="00744CB5">
        <w:rPr>
          <w:bCs/>
          <w:szCs w:val="22"/>
          <w:lang w:val="sr-Latn-ME"/>
        </w:rPr>
        <w:t>ek Keppra je indikovan kao monoterapija u l</w:t>
      </w:r>
      <w:r w:rsidR="00F74944" w:rsidRPr="00744CB5">
        <w:rPr>
          <w:bCs/>
          <w:szCs w:val="22"/>
          <w:lang w:val="sr-Latn-ME"/>
        </w:rPr>
        <w:t>ij</w:t>
      </w:r>
      <w:r w:rsidRPr="00744CB5">
        <w:rPr>
          <w:bCs/>
          <w:szCs w:val="22"/>
          <w:lang w:val="sr-Latn-ME"/>
        </w:rPr>
        <w:t xml:space="preserve">ečenju parcijalnih iznenadnih napada sa </w:t>
      </w:r>
      <w:r w:rsidR="00E1069E" w:rsidRPr="00744CB5">
        <w:rPr>
          <w:color w:val="262626"/>
          <w:szCs w:val="22"/>
          <w:lang w:val="sr-Latn-ME"/>
        </w:rPr>
        <w:t xml:space="preserve">sekundarnom generalizacijom ili bez nje </w:t>
      </w:r>
      <w:r w:rsidRPr="00744CB5">
        <w:rPr>
          <w:bCs/>
          <w:szCs w:val="22"/>
          <w:lang w:val="sr-Latn-ME"/>
        </w:rPr>
        <w:t xml:space="preserve">kod odraslih i adolescenata </w:t>
      </w:r>
      <w:r w:rsidR="00E1069E" w:rsidRPr="00744CB5">
        <w:rPr>
          <w:color w:val="262626"/>
          <w:szCs w:val="22"/>
          <w:lang w:val="sr-Latn-ME"/>
        </w:rPr>
        <w:t xml:space="preserve">starijih od </w:t>
      </w:r>
      <w:r w:rsidRPr="00744CB5">
        <w:rPr>
          <w:bCs/>
          <w:szCs w:val="22"/>
          <w:lang w:val="sr-Latn-ME"/>
        </w:rPr>
        <w:t>16 godina sa novodijagnostikovanom epilepsijom.</w:t>
      </w:r>
    </w:p>
    <w:p w14:paraId="67CD2DC2" w14:textId="77777777" w:rsidR="003A477D" w:rsidRPr="00744CB5" w:rsidRDefault="003A477D" w:rsidP="008D5CD8">
      <w:pPr>
        <w:tabs>
          <w:tab w:val="left" w:pos="600"/>
        </w:tabs>
        <w:rPr>
          <w:bCs/>
          <w:szCs w:val="22"/>
          <w:lang w:val="sr-Latn-ME"/>
        </w:rPr>
      </w:pPr>
    </w:p>
    <w:p w14:paraId="45615679" w14:textId="1B4EE196" w:rsidR="003A477D" w:rsidRPr="00744CB5" w:rsidRDefault="003A477D" w:rsidP="008D5CD8">
      <w:pPr>
        <w:tabs>
          <w:tab w:val="left" w:pos="600"/>
        </w:tabs>
        <w:rPr>
          <w:szCs w:val="22"/>
          <w:lang w:val="sr-Latn-ME"/>
        </w:rPr>
      </w:pPr>
      <w:r w:rsidRPr="00744CB5">
        <w:rPr>
          <w:bCs/>
          <w:szCs w:val="22"/>
          <w:lang w:val="sr-Latn-ME"/>
        </w:rPr>
        <w:t>L</w:t>
      </w:r>
      <w:r w:rsidR="007E22F3" w:rsidRPr="00744CB5">
        <w:rPr>
          <w:bCs/>
          <w:szCs w:val="22"/>
          <w:lang w:val="sr-Latn-ME"/>
        </w:rPr>
        <w:t>ij</w:t>
      </w:r>
      <w:r w:rsidRPr="00744CB5">
        <w:rPr>
          <w:bCs/>
          <w:szCs w:val="22"/>
          <w:lang w:val="sr-Latn-ME"/>
        </w:rPr>
        <w:t>ek Keppra je indikovan kao dodatna terapija</w:t>
      </w:r>
    </w:p>
    <w:p w14:paraId="423F487B" w14:textId="36497250" w:rsidR="003A477D" w:rsidRPr="00744CB5" w:rsidRDefault="003A477D" w:rsidP="008D5CD8">
      <w:pPr>
        <w:numPr>
          <w:ilvl w:val="0"/>
          <w:numId w:val="4"/>
        </w:numPr>
        <w:rPr>
          <w:szCs w:val="22"/>
          <w:lang w:val="sr-Latn-ME"/>
        </w:rPr>
      </w:pPr>
      <w:r w:rsidRPr="00744CB5">
        <w:rPr>
          <w:szCs w:val="22"/>
          <w:lang w:val="sr-Latn-ME"/>
        </w:rPr>
        <w:t>u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 xml:space="preserve">ečenju parcijalnih napada sa </w:t>
      </w:r>
      <w:r w:rsidR="00E1069E" w:rsidRPr="00744CB5">
        <w:rPr>
          <w:color w:val="262626"/>
          <w:szCs w:val="22"/>
          <w:lang w:val="sr-Latn-ME"/>
        </w:rPr>
        <w:t xml:space="preserve">sekundarnom generalizacijom ili bez nje </w:t>
      </w:r>
      <w:r w:rsidRPr="00744CB5">
        <w:rPr>
          <w:szCs w:val="22"/>
          <w:lang w:val="sr-Latn-ME"/>
        </w:rPr>
        <w:t>kod odraslih, adolescenata, 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ece i odojčadi </w:t>
      </w:r>
      <w:r w:rsidR="00E1069E" w:rsidRPr="00744CB5">
        <w:rPr>
          <w:color w:val="262626"/>
          <w:szCs w:val="22"/>
          <w:lang w:val="sr-Latn-ME"/>
        </w:rPr>
        <w:t>starije od</w:t>
      </w:r>
      <w:r w:rsidR="00316259" w:rsidRPr="00744CB5">
        <w:rPr>
          <w:color w:val="262626"/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1 m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eseca, sa epilepsijom.</w:t>
      </w:r>
    </w:p>
    <w:p w14:paraId="10CC7F70" w14:textId="07412CF3" w:rsidR="003A477D" w:rsidRPr="00744CB5" w:rsidRDefault="003A477D" w:rsidP="008D5CD8">
      <w:pPr>
        <w:numPr>
          <w:ilvl w:val="0"/>
          <w:numId w:val="4"/>
        </w:numPr>
        <w:rPr>
          <w:szCs w:val="22"/>
          <w:lang w:val="sr-Latn-ME"/>
        </w:rPr>
      </w:pPr>
      <w:r w:rsidRPr="00744CB5">
        <w:rPr>
          <w:szCs w:val="22"/>
          <w:lang w:val="sr-Latn-ME"/>
        </w:rPr>
        <w:t>u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 xml:space="preserve">ečenju miokloničnih napada kod odraslih i adolescenata </w:t>
      </w:r>
      <w:r w:rsidR="00E1069E" w:rsidRPr="00744CB5">
        <w:rPr>
          <w:color w:val="262626"/>
          <w:szCs w:val="22"/>
          <w:lang w:val="sr-Latn-ME"/>
        </w:rPr>
        <w:t>starijih od</w:t>
      </w:r>
      <w:r w:rsidR="00E1069E" w:rsidRPr="00744CB5" w:rsidDel="00E1069E">
        <w:rPr>
          <w:szCs w:val="22"/>
          <w:lang w:val="sr-Latn-ME"/>
        </w:rPr>
        <w:t xml:space="preserve"> </w:t>
      </w:r>
      <w:r w:rsidRPr="00744CB5">
        <w:rPr>
          <w:szCs w:val="22"/>
          <w:lang w:val="sr-Latn-ME"/>
        </w:rPr>
        <w:t>12 godina sa juvenilnom miokloničnom epilepsijom.</w:t>
      </w:r>
    </w:p>
    <w:p w14:paraId="40222454" w14:textId="3DA80587" w:rsidR="00CE09F3" w:rsidRPr="00744CB5" w:rsidRDefault="003A477D" w:rsidP="00DA0B15">
      <w:pPr>
        <w:numPr>
          <w:ilvl w:val="0"/>
          <w:numId w:val="4"/>
        </w:numPr>
        <w:rPr>
          <w:szCs w:val="22"/>
          <w:lang w:val="sr-Latn-ME"/>
        </w:rPr>
      </w:pPr>
      <w:r w:rsidRPr="00744CB5">
        <w:rPr>
          <w:szCs w:val="22"/>
          <w:lang w:val="sr-Latn-ME"/>
        </w:rPr>
        <w:t>u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 xml:space="preserve">ečenju primarno generalizovanih tonično-kloničnih napada kod odraslih i adolescenata </w:t>
      </w:r>
      <w:r w:rsidR="00C249BF" w:rsidRPr="00744CB5">
        <w:rPr>
          <w:color w:val="262626"/>
          <w:szCs w:val="22"/>
          <w:lang w:val="sr-Latn-ME"/>
        </w:rPr>
        <w:t xml:space="preserve">starijih od </w:t>
      </w:r>
      <w:r w:rsidRPr="00744CB5">
        <w:rPr>
          <w:szCs w:val="22"/>
          <w:lang w:val="sr-Latn-ME"/>
        </w:rPr>
        <w:t>12 godina sa idiopatskom generalizovanom epilepsijom.</w:t>
      </w:r>
    </w:p>
    <w:p w14:paraId="78D87691" w14:textId="58F95680" w:rsidR="00CE09F3" w:rsidRDefault="00CE09F3" w:rsidP="008D5CD8">
      <w:pPr>
        <w:rPr>
          <w:szCs w:val="22"/>
          <w:lang w:val="sr-Latn-ME"/>
        </w:rPr>
      </w:pPr>
    </w:p>
    <w:p w14:paraId="7078619C" w14:textId="77777777" w:rsidR="00F45587" w:rsidRPr="00744CB5" w:rsidRDefault="00F45587" w:rsidP="008D5CD8">
      <w:pPr>
        <w:rPr>
          <w:szCs w:val="22"/>
          <w:lang w:val="sr-Latn-ME"/>
        </w:rPr>
      </w:pPr>
    </w:p>
    <w:p w14:paraId="23498087" w14:textId="1DE4FA51" w:rsidR="00CE09F3" w:rsidRPr="00744CB5" w:rsidRDefault="00A27DBE" w:rsidP="008D5CD8">
      <w:pPr>
        <w:rPr>
          <w:b/>
          <w:bCs/>
          <w:szCs w:val="22"/>
          <w:lang w:val="sr-Latn-ME"/>
        </w:rPr>
      </w:pPr>
      <w:r w:rsidRPr="00744CB5">
        <w:rPr>
          <w:b/>
          <w:bCs/>
          <w:szCs w:val="22"/>
          <w:lang w:val="sr-Latn-ME"/>
        </w:rPr>
        <w:lastRenderedPageBreak/>
        <w:t xml:space="preserve">4.2. </w:t>
      </w:r>
      <w:r w:rsidRPr="00744CB5">
        <w:rPr>
          <w:b/>
          <w:bCs/>
          <w:szCs w:val="22"/>
          <w:lang w:val="sr-Latn-ME"/>
        </w:rPr>
        <w:tab/>
        <w:t>Doziranje i način primjene</w:t>
      </w:r>
    </w:p>
    <w:p w14:paraId="55D48B97" w14:textId="77777777" w:rsidR="00CE09F3" w:rsidRPr="00744CB5" w:rsidRDefault="00CE09F3" w:rsidP="008D5CD8">
      <w:pPr>
        <w:rPr>
          <w:szCs w:val="22"/>
          <w:lang w:val="sr-Latn-ME"/>
        </w:rPr>
      </w:pPr>
    </w:p>
    <w:p w14:paraId="55FC03CF" w14:textId="77777777" w:rsidR="003A477D" w:rsidRPr="00744CB5" w:rsidRDefault="003A477D" w:rsidP="008D5CD8">
      <w:pPr>
        <w:rPr>
          <w:szCs w:val="22"/>
          <w:u w:val="single"/>
          <w:lang w:val="sr-Latn-ME"/>
        </w:rPr>
      </w:pPr>
      <w:r w:rsidRPr="00744CB5">
        <w:rPr>
          <w:szCs w:val="22"/>
          <w:u w:val="single"/>
          <w:lang w:val="sr-Latn-ME"/>
        </w:rPr>
        <w:t>Doziranje</w:t>
      </w:r>
    </w:p>
    <w:p w14:paraId="402B01E1" w14:textId="77777777" w:rsidR="003A477D" w:rsidRPr="00744CB5" w:rsidRDefault="003A477D" w:rsidP="008D5CD8">
      <w:pPr>
        <w:rPr>
          <w:szCs w:val="22"/>
          <w:lang w:val="sr-Latn-ME"/>
        </w:rPr>
      </w:pPr>
    </w:p>
    <w:p w14:paraId="4CF3DADF" w14:textId="77777777" w:rsidR="003A477D" w:rsidRPr="00744CB5" w:rsidRDefault="003A477D" w:rsidP="008D5CD8">
      <w:pPr>
        <w:rPr>
          <w:i/>
          <w:szCs w:val="22"/>
          <w:lang w:val="sr-Latn-ME"/>
        </w:rPr>
      </w:pPr>
      <w:r w:rsidRPr="00744CB5">
        <w:rPr>
          <w:i/>
          <w:szCs w:val="22"/>
          <w:lang w:val="sr-Latn-ME"/>
        </w:rPr>
        <w:t xml:space="preserve">Monoterapija za odrasle i adolescente </w:t>
      </w:r>
      <w:r w:rsidR="007D39EC" w:rsidRPr="00744CB5">
        <w:rPr>
          <w:i/>
          <w:szCs w:val="22"/>
          <w:lang w:val="sr-Latn-ME"/>
        </w:rPr>
        <w:t>starije od</w:t>
      </w:r>
      <w:r w:rsidRPr="00744CB5">
        <w:rPr>
          <w:i/>
          <w:szCs w:val="22"/>
          <w:lang w:val="sr-Latn-ME"/>
        </w:rPr>
        <w:t xml:space="preserve"> 16 godina</w:t>
      </w:r>
    </w:p>
    <w:p w14:paraId="42207773" w14:textId="77777777" w:rsidR="003A477D" w:rsidRPr="00744CB5" w:rsidRDefault="003A477D" w:rsidP="008D5CD8">
      <w:pPr>
        <w:rPr>
          <w:szCs w:val="22"/>
          <w:lang w:val="sr-Latn-ME"/>
        </w:rPr>
      </w:pPr>
    </w:p>
    <w:p w14:paraId="729359D4" w14:textId="2A0E1AB7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>Preporučena početna doza je 25</w:t>
      </w:r>
      <w:r w:rsidR="007D39EC" w:rsidRPr="00744CB5">
        <w:rPr>
          <w:szCs w:val="22"/>
          <w:lang w:val="sr-Latn-ME"/>
        </w:rPr>
        <w:t>0 mg dva puta dnevno koju posl</w:t>
      </w:r>
      <w:r w:rsidR="006A0FD4" w:rsidRPr="00744CB5">
        <w:rPr>
          <w:szCs w:val="22"/>
          <w:lang w:val="sr-Latn-ME"/>
        </w:rPr>
        <w:t>ij</w:t>
      </w:r>
      <w:r w:rsidR="007D39EC" w:rsidRPr="00744CB5">
        <w:rPr>
          <w:szCs w:val="22"/>
          <w:lang w:val="sr-Latn-ME"/>
        </w:rPr>
        <w:t xml:space="preserve">e </w:t>
      </w:r>
      <w:r w:rsidRPr="00744CB5">
        <w:rPr>
          <w:szCs w:val="22"/>
          <w:lang w:val="sr-Latn-ME"/>
        </w:rPr>
        <w:t>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ned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elje treba povećati do inicijalne terapijske doze od 500 mg dva puta dnevno. Doza može biti dalje povećana za 250 mg dva puta dnevno svake 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ned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elje u zavisnosti od kliničkog odgovora. Maksimalna doza je 1500 mg dva puta dnevno.</w:t>
      </w:r>
    </w:p>
    <w:p w14:paraId="19EA1F2A" w14:textId="77777777" w:rsidR="003A477D" w:rsidRPr="00744CB5" w:rsidRDefault="003A477D" w:rsidP="008D5CD8">
      <w:pPr>
        <w:rPr>
          <w:szCs w:val="22"/>
          <w:lang w:val="sr-Latn-ME"/>
        </w:rPr>
      </w:pPr>
    </w:p>
    <w:p w14:paraId="45BA5F8E" w14:textId="18D4C178" w:rsidR="003A477D" w:rsidRPr="00744CB5" w:rsidRDefault="003A477D" w:rsidP="008D5CD8">
      <w:pPr>
        <w:rPr>
          <w:i/>
          <w:szCs w:val="22"/>
          <w:lang w:val="sr-Latn-ME"/>
        </w:rPr>
      </w:pPr>
      <w:r w:rsidRPr="00744CB5">
        <w:rPr>
          <w:i/>
          <w:szCs w:val="22"/>
          <w:lang w:val="sr-Latn-ME"/>
        </w:rPr>
        <w:t>Dodatna terapija za odrasle (</w:t>
      </w:r>
      <w:r w:rsidRPr="00744CB5">
        <w:rPr>
          <w:i/>
          <w:noProof/>
          <w:szCs w:val="22"/>
          <w:lang w:val="sr-Latn-ME"/>
        </w:rPr>
        <w:t>≥</w:t>
      </w:r>
      <w:r w:rsidRPr="00744CB5">
        <w:rPr>
          <w:i/>
          <w:szCs w:val="22"/>
          <w:lang w:val="sr-Latn-ME"/>
        </w:rPr>
        <w:t>18 godina) i adolescente (12 do 17 godina) t</w:t>
      </w:r>
      <w:r w:rsidR="006A0FD4" w:rsidRPr="00744CB5">
        <w:rPr>
          <w:i/>
          <w:szCs w:val="22"/>
          <w:lang w:val="sr-Latn-ME"/>
        </w:rPr>
        <w:t>j</w:t>
      </w:r>
      <w:r w:rsidRPr="00744CB5">
        <w:rPr>
          <w:i/>
          <w:szCs w:val="22"/>
          <w:lang w:val="sr-Latn-ME"/>
        </w:rPr>
        <w:t>elesne mase 50 kg ili više</w:t>
      </w:r>
    </w:p>
    <w:p w14:paraId="19F0A780" w14:textId="77777777" w:rsidR="003A477D" w:rsidRPr="00744CB5" w:rsidRDefault="003A477D" w:rsidP="008D5CD8">
      <w:pPr>
        <w:rPr>
          <w:szCs w:val="22"/>
          <w:lang w:val="sr-Latn-ME"/>
        </w:rPr>
      </w:pPr>
    </w:p>
    <w:p w14:paraId="405695F8" w14:textId="14A6357B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 xml:space="preserve">Početna terapijska doza je 500 mg dva puta dnevno. </w:t>
      </w:r>
      <w:r w:rsidR="00C249BF" w:rsidRPr="00744CB5">
        <w:rPr>
          <w:szCs w:val="22"/>
          <w:lang w:val="sr-Latn-ME"/>
        </w:rPr>
        <w:t>O</w:t>
      </w:r>
      <w:r w:rsidRPr="00744CB5">
        <w:rPr>
          <w:szCs w:val="22"/>
          <w:lang w:val="sr-Latn-ME"/>
        </w:rPr>
        <w:t>vom dozom se može početi od prvog dana l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ečenja.</w:t>
      </w:r>
    </w:p>
    <w:p w14:paraId="54C414F9" w14:textId="46E9FB05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 xml:space="preserve">U zavisnosti od kliničkog odgovora i podnošljivosti, dnevna doza može se povećavati do 1500 mg dva puta dnevno. Doza se može povećavati ili smanjivati </w:t>
      </w:r>
      <w:r w:rsidR="00C249BF" w:rsidRPr="00744CB5">
        <w:rPr>
          <w:szCs w:val="22"/>
          <w:lang w:val="sr-Latn-ME"/>
        </w:rPr>
        <w:t>za</w:t>
      </w:r>
      <w:r w:rsidRPr="00744CB5">
        <w:rPr>
          <w:szCs w:val="22"/>
          <w:lang w:val="sr-Latn-ME"/>
        </w:rPr>
        <w:t xml:space="preserve"> 500 mg dva puta dnevno svake 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do četiri ned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elje.</w:t>
      </w:r>
    </w:p>
    <w:p w14:paraId="0165720C" w14:textId="77777777" w:rsidR="003A477D" w:rsidRPr="00744CB5" w:rsidRDefault="003A477D" w:rsidP="008D5CD8">
      <w:pPr>
        <w:rPr>
          <w:szCs w:val="22"/>
          <w:lang w:val="sr-Latn-ME"/>
        </w:rPr>
      </w:pPr>
    </w:p>
    <w:p w14:paraId="2BD4E4D1" w14:textId="77777777" w:rsidR="003A477D" w:rsidRPr="00744CB5" w:rsidRDefault="003A477D" w:rsidP="008D5CD8">
      <w:pPr>
        <w:rPr>
          <w:szCs w:val="22"/>
          <w:u w:val="single"/>
          <w:lang w:val="sr-Latn-ME"/>
        </w:rPr>
      </w:pPr>
      <w:r w:rsidRPr="00744CB5">
        <w:rPr>
          <w:szCs w:val="22"/>
          <w:u w:val="single"/>
          <w:lang w:val="sr-Latn-ME"/>
        </w:rPr>
        <w:t>Prekid terapije</w:t>
      </w:r>
    </w:p>
    <w:p w14:paraId="215AF115" w14:textId="3DBBE11B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>Ako se mora prek</w:t>
      </w:r>
      <w:r w:rsidR="002D01C0" w:rsidRPr="00744CB5">
        <w:rPr>
          <w:szCs w:val="22"/>
          <w:lang w:val="sr-Latn-ME"/>
        </w:rPr>
        <w:t xml:space="preserve">inuti terapija levetiracetamom, </w:t>
      </w:r>
      <w:r w:rsidRPr="00744CB5">
        <w:rPr>
          <w:szCs w:val="22"/>
          <w:lang w:val="sr-Latn-ME"/>
        </w:rPr>
        <w:t>preporučuje se postepen prekid (npr. kod odraslih i adolescenata t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elesne mase veće od 50 kg; smanjenja od 500 mg dva puta dnevno, svake 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do četiri ned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elje; kod odojčadi </w:t>
      </w:r>
      <w:r w:rsidR="00C249BF" w:rsidRPr="00744CB5">
        <w:rPr>
          <w:color w:val="262626"/>
          <w:szCs w:val="22"/>
          <w:lang w:val="sr-Latn-ME"/>
        </w:rPr>
        <w:t xml:space="preserve">starije od </w:t>
      </w:r>
      <w:r w:rsidRPr="00744CB5">
        <w:rPr>
          <w:szCs w:val="22"/>
          <w:lang w:val="sr-Latn-ME"/>
        </w:rPr>
        <w:t>6 m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eseci, 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ece i adolescenata t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elesne mase manje od 50 kg: smanjenje doze ne treba </w:t>
      </w:r>
      <w:r w:rsidR="0081782B" w:rsidRPr="00744CB5">
        <w:rPr>
          <w:szCs w:val="22"/>
          <w:lang w:val="sr-Latn-ME"/>
        </w:rPr>
        <w:t>da pređe</w:t>
      </w:r>
      <w:r w:rsidRPr="00744CB5">
        <w:rPr>
          <w:szCs w:val="22"/>
          <w:lang w:val="sr-Latn-ME"/>
        </w:rPr>
        <w:t xml:space="preserve"> 10 mg/kg dva puta dnevno svake 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ned</w:t>
      </w:r>
      <w:r w:rsidR="009B018A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elje; kod odojčadi (</w:t>
      </w:r>
      <w:r w:rsidR="00782AC7" w:rsidRPr="00744CB5">
        <w:rPr>
          <w:color w:val="262626"/>
          <w:szCs w:val="22"/>
          <w:lang w:val="sr-Latn-ME"/>
        </w:rPr>
        <w:t>ml</w:t>
      </w:r>
      <w:r w:rsidR="00C84A47" w:rsidRPr="00744CB5">
        <w:rPr>
          <w:color w:val="262626"/>
          <w:szCs w:val="22"/>
          <w:lang w:val="sr-Latn-ME"/>
        </w:rPr>
        <w:t xml:space="preserve">ađe od </w:t>
      </w:r>
      <w:r w:rsidRPr="00744CB5">
        <w:rPr>
          <w:szCs w:val="22"/>
          <w:lang w:val="sr-Latn-ME"/>
        </w:rPr>
        <w:t>6 m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 xml:space="preserve">eseci): smanjenje doze ne treba </w:t>
      </w:r>
      <w:r w:rsidR="0081782B" w:rsidRPr="00744CB5">
        <w:rPr>
          <w:szCs w:val="22"/>
          <w:lang w:val="sr-Latn-ME"/>
        </w:rPr>
        <w:t xml:space="preserve">da </w:t>
      </w:r>
      <w:r w:rsidRPr="00744CB5">
        <w:rPr>
          <w:szCs w:val="22"/>
          <w:lang w:val="sr-Latn-ME"/>
        </w:rPr>
        <w:t>pre</w:t>
      </w:r>
      <w:r w:rsidR="0081782B" w:rsidRPr="00744CB5">
        <w:rPr>
          <w:szCs w:val="22"/>
          <w:lang w:val="sr-Latn-ME"/>
        </w:rPr>
        <w:t>đe</w:t>
      </w:r>
      <w:r w:rsidRPr="00744CB5">
        <w:rPr>
          <w:szCs w:val="22"/>
          <w:lang w:val="sr-Latn-ME"/>
        </w:rPr>
        <w:t xml:space="preserve"> 7 mg/kg dva puta dnevno svake dv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 ned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elje).</w:t>
      </w:r>
    </w:p>
    <w:p w14:paraId="70273B57" w14:textId="77777777" w:rsidR="003A477D" w:rsidRPr="00744CB5" w:rsidRDefault="003A477D" w:rsidP="008D5CD8">
      <w:pPr>
        <w:rPr>
          <w:szCs w:val="22"/>
          <w:lang w:val="sr-Latn-ME"/>
        </w:rPr>
      </w:pPr>
    </w:p>
    <w:p w14:paraId="2C1C70F1" w14:textId="77777777" w:rsidR="003A477D" w:rsidRPr="00744CB5" w:rsidRDefault="003A477D" w:rsidP="008D5CD8">
      <w:pPr>
        <w:rPr>
          <w:szCs w:val="22"/>
          <w:u w:val="single"/>
          <w:lang w:val="sr-Latn-ME"/>
        </w:rPr>
      </w:pPr>
      <w:r w:rsidRPr="00744CB5">
        <w:rPr>
          <w:szCs w:val="22"/>
          <w:u w:val="single"/>
          <w:lang w:val="sr-Latn-ME"/>
        </w:rPr>
        <w:t>Posebne populacije</w:t>
      </w:r>
    </w:p>
    <w:p w14:paraId="5A259C99" w14:textId="77777777" w:rsidR="003A477D" w:rsidRPr="00744CB5" w:rsidRDefault="003A477D" w:rsidP="008D5CD8">
      <w:pPr>
        <w:rPr>
          <w:szCs w:val="22"/>
          <w:lang w:val="sr-Latn-ME"/>
        </w:rPr>
      </w:pPr>
    </w:p>
    <w:p w14:paraId="6FF58B9F" w14:textId="77777777" w:rsidR="003A477D" w:rsidRPr="00744CB5" w:rsidRDefault="003A477D" w:rsidP="008D5CD8">
      <w:pPr>
        <w:rPr>
          <w:i/>
          <w:szCs w:val="22"/>
          <w:lang w:val="sr-Latn-ME"/>
        </w:rPr>
      </w:pPr>
      <w:r w:rsidRPr="00744CB5">
        <w:rPr>
          <w:i/>
          <w:szCs w:val="22"/>
          <w:lang w:val="sr-Latn-ME"/>
        </w:rPr>
        <w:t>Stariji (65 godina i stariji)</w:t>
      </w:r>
    </w:p>
    <w:p w14:paraId="39FA3E22" w14:textId="77777777" w:rsidR="003A477D" w:rsidRPr="00744CB5" w:rsidRDefault="003A477D" w:rsidP="008D5CD8">
      <w:pPr>
        <w:rPr>
          <w:i/>
          <w:szCs w:val="22"/>
          <w:lang w:val="sr-Latn-ME"/>
        </w:rPr>
      </w:pPr>
    </w:p>
    <w:p w14:paraId="502E836E" w14:textId="0DB05B91" w:rsidR="003A477D" w:rsidRPr="00744CB5" w:rsidRDefault="003A477D" w:rsidP="008D5CD8">
      <w:pPr>
        <w:rPr>
          <w:i/>
          <w:szCs w:val="22"/>
          <w:lang w:val="sr-Latn-ME"/>
        </w:rPr>
      </w:pPr>
      <w:r w:rsidRPr="00744CB5">
        <w:rPr>
          <w:szCs w:val="22"/>
          <w:lang w:val="sr-Latn-ME"/>
        </w:rPr>
        <w:t>Prilagođavanje doze je preporučeno kod starijih pacijenata sa oštećenom r</w:t>
      </w:r>
      <w:r w:rsidR="00DC2F18" w:rsidRPr="00744CB5">
        <w:rPr>
          <w:szCs w:val="22"/>
          <w:lang w:val="sr-Latn-ME"/>
        </w:rPr>
        <w:t>enalnom funkcijom (vid</w:t>
      </w:r>
      <w:r w:rsidR="006A0FD4" w:rsidRPr="00744CB5">
        <w:rPr>
          <w:szCs w:val="22"/>
          <w:lang w:val="sr-Latn-ME"/>
        </w:rPr>
        <w:t>j</w:t>
      </w:r>
      <w:r w:rsidR="00DC2F18" w:rsidRPr="00744CB5">
        <w:rPr>
          <w:szCs w:val="22"/>
          <w:lang w:val="sr-Latn-ME"/>
        </w:rPr>
        <w:t xml:space="preserve">eti u nastavku teksta </w:t>
      </w:r>
      <w:r w:rsidRPr="00744CB5">
        <w:rPr>
          <w:szCs w:val="22"/>
          <w:lang w:val="sr-Latn-ME"/>
        </w:rPr>
        <w:t>''</w:t>
      </w:r>
      <w:r w:rsidR="003E3B4A" w:rsidRPr="00744CB5">
        <w:rPr>
          <w:szCs w:val="22"/>
          <w:lang w:val="sr-Latn-ME"/>
        </w:rPr>
        <w:t>Oštećena funkcija bubrega</w:t>
      </w:r>
      <w:r w:rsidRPr="00744CB5">
        <w:rPr>
          <w:szCs w:val="22"/>
          <w:lang w:val="sr-Latn-ME"/>
        </w:rPr>
        <w:t>'').</w:t>
      </w:r>
    </w:p>
    <w:p w14:paraId="2374EE13" w14:textId="77777777" w:rsidR="003A477D" w:rsidRPr="00744CB5" w:rsidRDefault="003A477D" w:rsidP="008D5CD8">
      <w:pPr>
        <w:rPr>
          <w:szCs w:val="22"/>
          <w:lang w:val="sr-Latn-ME"/>
        </w:rPr>
      </w:pPr>
    </w:p>
    <w:p w14:paraId="57DE23F2" w14:textId="77777777" w:rsidR="003A477D" w:rsidRPr="00744CB5" w:rsidRDefault="003E3B4A" w:rsidP="008D5CD8">
      <w:pPr>
        <w:rPr>
          <w:i/>
          <w:szCs w:val="22"/>
          <w:lang w:val="sr-Latn-ME"/>
        </w:rPr>
      </w:pPr>
      <w:r w:rsidRPr="00744CB5">
        <w:rPr>
          <w:i/>
          <w:szCs w:val="22"/>
          <w:lang w:val="sr-Latn-ME"/>
        </w:rPr>
        <w:t>Oštećena funkcija bubrega</w:t>
      </w:r>
    </w:p>
    <w:p w14:paraId="0015DAFA" w14:textId="77777777" w:rsidR="003A477D" w:rsidRPr="00744CB5" w:rsidRDefault="003A477D" w:rsidP="008D5CD8">
      <w:pPr>
        <w:rPr>
          <w:noProof/>
          <w:szCs w:val="22"/>
          <w:lang w:val="sr-Latn-ME"/>
        </w:rPr>
      </w:pPr>
    </w:p>
    <w:p w14:paraId="617E570D" w14:textId="77777777" w:rsidR="003A477D" w:rsidRPr="00744CB5" w:rsidRDefault="003A477D" w:rsidP="008D5CD8">
      <w:pPr>
        <w:rPr>
          <w:noProof/>
          <w:szCs w:val="22"/>
          <w:lang w:val="sr-Latn-ME"/>
        </w:rPr>
      </w:pPr>
      <w:r w:rsidRPr="00744CB5">
        <w:rPr>
          <w:noProof/>
          <w:szCs w:val="22"/>
          <w:lang w:val="sr-Latn-ME"/>
        </w:rPr>
        <w:t>Dnevna doza mora biti individualizovana u zavisnosti od funkcije bubrega.</w:t>
      </w:r>
    </w:p>
    <w:p w14:paraId="46DE6A56" w14:textId="77777777" w:rsidR="003A477D" w:rsidRPr="00744CB5" w:rsidRDefault="003A477D" w:rsidP="008D5CD8">
      <w:pPr>
        <w:rPr>
          <w:noProof/>
          <w:szCs w:val="22"/>
          <w:lang w:val="sr-Latn-ME"/>
        </w:rPr>
      </w:pPr>
    </w:p>
    <w:p w14:paraId="5DA239D6" w14:textId="4ACEB47B" w:rsidR="003A477D" w:rsidRPr="00744CB5" w:rsidRDefault="003A477D" w:rsidP="008D5CD8">
      <w:pPr>
        <w:rPr>
          <w:noProof/>
          <w:szCs w:val="22"/>
          <w:lang w:val="sr-Latn-ME"/>
        </w:rPr>
      </w:pPr>
      <w:r w:rsidRPr="00744CB5">
        <w:rPr>
          <w:noProof/>
          <w:szCs w:val="22"/>
          <w:lang w:val="sr-Latn-ME"/>
        </w:rPr>
        <w:t>Za odrasle pacijente, pogledati sl</w:t>
      </w:r>
      <w:r w:rsidR="006A0FD4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>edeću tabelu i prilagoditi dozu kao što je prikazano. Da bi se mogla koristiti ova tabela doziranja, potrebna je proc</w:t>
      </w:r>
      <w:r w:rsidR="00AD207F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>ena pacijentovog klirensa kreatinina (CL</w:t>
      </w:r>
      <w:r w:rsidRPr="00744CB5">
        <w:rPr>
          <w:noProof/>
          <w:szCs w:val="22"/>
          <w:vertAlign w:val="subscript"/>
          <w:lang w:val="sr-Latn-ME"/>
        </w:rPr>
        <w:t>cr</w:t>
      </w:r>
      <w:r w:rsidRPr="00744CB5">
        <w:rPr>
          <w:noProof/>
          <w:szCs w:val="22"/>
          <w:lang w:val="sr-Latn-ME"/>
        </w:rPr>
        <w:t xml:space="preserve">) u </w:t>
      </w:r>
      <w:r w:rsidR="00782AC7" w:rsidRPr="00744CB5">
        <w:rPr>
          <w:noProof/>
          <w:szCs w:val="22"/>
          <w:lang w:val="sr-Latn-ME"/>
        </w:rPr>
        <w:t>ml</w:t>
      </w:r>
      <w:r w:rsidRPr="00744CB5">
        <w:rPr>
          <w:noProof/>
          <w:szCs w:val="22"/>
          <w:lang w:val="sr-Latn-ME"/>
        </w:rPr>
        <w:t>/min. CL</w:t>
      </w:r>
      <w:r w:rsidRPr="00744CB5">
        <w:rPr>
          <w:noProof/>
          <w:szCs w:val="22"/>
          <w:vertAlign w:val="subscript"/>
          <w:lang w:val="sr-Latn-ME"/>
        </w:rPr>
        <w:t>cr</w:t>
      </w:r>
      <w:r w:rsidRPr="00744CB5">
        <w:rPr>
          <w:noProof/>
          <w:szCs w:val="22"/>
          <w:lang w:val="sr-Latn-ME"/>
        </w:rPr>
        <w:t xml:space="preserve"> u </w:t>
      </w:r>
      <w:r w:rsidR="00782AC7" w:rsidRPr="00744CB5">
        <w:rPr>
          <w:noProof/>
          <w:szCs w:val="22"/>
          <w:lang w:val="sr-Latn-ME"/>
        </w:rPr>
        <w:t>ml</w:t>
      </w:r>
      <w:r w:rsidRPr="00744CB5">
        <w:rPr>
          <w:noProof/>
          <w:szCs w:val="22"/>
          <w:lang w:val="sr-Latn-ME"/>
        </w:rPr>
        <w:t>/min može se proc</w:t>
      </w:r>
      <w:r w:rsidR="004206CD" w:rsidRPr="00744CB5">
        <w:rPr>
          <w:noProof/>
          <w:szCs w:val="22"/>
          <w:lang w:val="sr-Latn-ME"/>
        </w:rPr>
        <w:t>i</w:t>
      </w:r>
      <w:r w:rsidR="006A0FD4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>eniti na osnovu određivanja vr</w:t>
      </w:r>
      <w:r w:rsidR="006A0FD4" w:rsidRPr="00744CB5">
        <w:rPr>
          <w:noProof/>
          <w:szCs w:val="22"/>
          <w:lang w:val="sr-Latn-ME"/>
        </w:rPr>
        <w:t>ij</w:t>
      </w:r>
      <w:r w:rsidRPr="00744CB5">
        <w:rPr>
          <w:noProof/>
          <w:szCs w:val="22"/>
          <w:lang w:val="sr-Latn-ME"/>
        </w:rPr>
        <w:t>ednosti serumskog kreatinina (mg/d</w:t>
      </w:r>
      <w:r w:rsidR="00001B29" w:rsidRPr="00744CB5">
        <w:rPr>
          <w:noProof/>
          <w:szCs w:val="22"/>
          <w:lang w:val="sr-Latn-ME"/>
        </w:rPr>
        <w:t>l</w:t>
      </w:r>
      <w:r w:rsidRPr="00744CB5">
        <w:rPr>
          <w:noProof/>
          <w:szCs w:val="22"/>
          <w:lang w:val="sr-Latn-ME"/>
        </w:rPr>
        <w:t>), za odrasle i adolescente t</w:t>
      </w:r>
      <w:r w:rsidR="006A0FD4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 xml:space="preserve">elesne mase 50 kg ili više, </w:t>
      </w:r>
      <w:r w:rsidR="00C84A47" w:rsidRPr="00744CB5">
        <w:rPr>
          <w:color w:val="262626"/>
          <w:szCs w:val="22"/>
          <w:lang w:val="sr-Latn-ME"/>
        </w:rPr>
        <w:t>uz prim</w:t>
      </w:r>
      <w:r w:rsidR="006A0FD4" w:rsidRPr="00744CB5">
        <w:rPr>
          <w:color w:val="262626"/>
          <w:szCs w:val="22"/>
          <w:lang w:val="sr-Latn-ME"/>
        </w:rPr>
        <w:t>j</w:t>
      </w:r>
      <w:r w:rsidR="00C84A47" w:rsidRPr="00744CB5">
        <w:rPr>
          <w:color w:val="262626"/>
          <w:szCs w:val="22"/>
          <w:lang w:val="sr-Latn-ME"/>
        </w:rPr>
        <w:t xml:space="preserve">enu </w:t>
      </w:r>
      <w:r w:rsidRPr="00744CB5">
        <w:rPr>
          <w:noProof/>
          <w:szCs w:val="22"/>
          <w:lang w:val="sr-Latn-ME"/>
        </w:rPr>
        <w:t>sl</w:t>
      </w:r>
      <w:r w:rsidR="006A0FD4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>edeće formule:</w:t>
      </w:r>
    </w:p>
    <w:p w14:paraId="3391A35B" w14:textId="77777777" w:rsidR="003A477D" w:rsidRPr="00744CB5" w:rsidRDefault="003A477D" w:rsidP="008D5CD8">
      <w:pPr>
        <w:rPr>
          <w:noProof/>
          <w:szCs w:val="22"/>
          <w:lang w:val="sr-Latn-ME"/>
        </w:rPr>
      </w:pPr>
    </w:p>
    <w:p w14:paraId="7534A103" w14:textId="4858E92D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noProof/>
          <w:szCs w:val="22"/>
          <w:lang w:val="sr-Latn-ME"/>
        </w:rPr>
        <w:tab/>
      </w:r>
      <w:r w:rsidRPr="00744CB5">
        <w:rPr>
          <w:noProof/>
          <w:szCs w:val="22"/>
          <w:lang w:val="sr-Latn-ME"/>
        </w:rPr>
        <w:tab/>
      </w:r>
      <w:r w:rsidRPr="00744CB5">
        <w:rPr>
          <w:noProof/>
          <w:szCs w:val="22"/>
          <w:lang w:val="sr-Latn-ME"/>
        </w:rPr>
        <w:tab/>
        <w:t xml:space="preserve">   [</w:t>
      </w:r>
      <w:r w:rsidRPr="00744CB5">
        <w:rPr>
          <w:szCs w:val="22"/>
          <w:lang w:val="sr-Latn-ME"/>
        </w:rPr>
        <w:t>140-</w:t>
      </w:r>
      <w:r w:rsidRPr="00744CB5">
        <w:rPr>
          <w:noProof/>
          <w:szCs w:val="22"/>
          <w:lang w:val="sr-Latn-ME"/>
        </w:rPr>
        <w:t>starost (godine)]</w:t>
      </w:r>
      <w:r w:rsidRPr="00744CB5">
        <w:rPr>
          <w:szCs w:val="22"/>
          <w:lang w:val="sr-Latn-ME"/>
        </w:rPr>
        <w:t xml:space="preserve"> x </w:t>
      </w:r>
      <w:r w:rsidRPr="00744CB5">
        <w:rPr>
          <w:noProof/>
          <w:szCs w:val="22"/>
          <w:lang w:val="sr-Latn-ME"/>
        </w:rPr>
        <w:t>t</w:t>
      </w:r>
      <w:r w:rsidR="006A0FD4" w:rsidRPr="00744CB5">
        <w:rPr>
          <w:noProof/>
          <w:szCs w:val="22"/>
          <w:lang w:val="sr-Latn-ME"/>
        </w:rPr>
        <w:t>j</w:t>
      </w:r>
      <w:r w:rsidRPr="00744CB5">
        <w:rPr>
          <w:noProof/>
          <w:szCs w:val="22"/>
          <w:lang w:val="sr-Latn-ME"/>
        </w:rPr>
        <w:t xml:space="preserve">elesna masa </w:t>
      </w:r>
      <w:r w:rsidRPr="00744CB5">
        <w:rPr>
          <w:szCs w:val="22"/>
          <w:lang w:val="sr-Latn-ME"/>
        </w:rPr>
        <w:t>(kg)</w:t>
      </w:r>
    </w:p>
    <w:p w14:paraId="7F11F0D0" w14:textId="3B0D3CFE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>CL</w:t>
      </w:r>
      <w:r w:rsidRPr="00744CB5">
        <w:rPr>
          <w:szCs w:val="22"/>
          <w:vertAlign w:val="subscript"/>
          <w:lang w:val="sr-Latn-ME"/>
        </w:rPr>
        <w:t>cr</w:t>
      </w:r>
      <w:r w:rsidRPr="00744CB5">
        <w:rPr>
          <w:szCs w:val="22"/>
          <w:lang w:val="sr-Latn-ME"/>
        </w:rPr>
        <w:t xml:space="preserve"> (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 xml:space="preserve">/min) = </w:t>
      </w:r>
      <w:r w:rsidRPr="00744CB5">
        <w:rPr>
          <w:noProof/>
          <w:szCs w:val="22"/>
          <w:lang w:val="sr-Latn-ME"/>
        </w:rPr>
        <w:t xml:space="preserve"> -----------------------------------------------------</w:t>
      </w:r>
      <w:r w:rsidRPr="00744CB5">
        <w:rPr>
          <w:szCs w:val="22"/>
          <w:lang w:val="sr-Latn-ME"/>
        </w:rPr>
        <w:t xml:space="preserve"> (x 0,85 </w:t>
      </w:r>
      <w:r w:rsidRPr="00744CB5">
        <w:rPr>
          <w:noProof/>
          <w:szCs w:val="22"/>
          <w:lang w:val="sr-Latn-ME"/>
        </w:rPr>
        <w:t>za žene</w:t>
      </w:r>
      <w:r w:rsidRPr="00744CB5">
        <w:rPr>
          <w:szCs w:val="22"/>
          <w:lang w:val="sr-Latn-ME"/>
        </w:rPr>
        <w:t>)</w:t>
      </w:r>
    </w:p>
    <w:p w14:paraId="6E505E29" w14:textId="05E9BA9D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noProof/>
          <w:szCs w:val="22"/>
          <w:lang w:val="sr-Latn-ME"/>
        </w:rPr>
        <w:tab/>
      </w:r>
      <w:r w:rsidRPr="00744CB5">
        <w:rPr>
          <w:noProof/>
          <w:szCs w:val="22"/>
          <w:lang w:val="sr-Latn-ME"/>
        </w:rPr>
        <w:tab/>
      </w:r>
      <w:r w:rsidRPr="00744CB5">
        <w:rPr>
          <w:noProof/>
          <w:szCs w:val="22"/>
          <w:lang w:val="sr-Latn-ME"/>
        </w:rPr>
        <w:tab/>
      </w:r>
      <w:r w:rsidRPr="00744CB5">
        <w:rPr>
          <w:szCs w:val="22"/>
          <w:lang w:val="sr-Latn-ME"/>
        </w:rPr>
        <w:t xml:space="preserve">   72 x </w:t>
      </w:r>
      <w:r w:rsidRPr="00744CB5">
        <w:rPr>
          <w:noProof/>
          <w:szCs w:val="22"/>
          <w:lang w:val="sr-Latn-ME"/>
        </w:rPr>
        <w:t xml:space="preserve">serumski kreatinin </w:t>
      </w:r>
      <w:r w:rsidRPr="00744CB5">
        <w:rPr>
          <w:szCs w:val="22"/>
          <w:lang w:val="sr-Latn-ME"/>
        </w:rPr>
        <w:t>(mg/d</w:t>
      </w:r>
      <w:r w:rsidR="00001B29" w:rsidRPr="00744CB5">
        <w:rPr>
          <w:szCs w:val="22"/>
          <w:lang w:val="sr-Latn-ME"/>
        </w:rPr>
        <w:t>l</w:t>
      </w:r>
      <w:r w:rsidRPr="00744CB5">
        <w:rPr>
          <w:szCs w:val="22"/>
          <w:lang w:val="sr-Latn-ME"/>
        </w:rPr>
        <w:t>)</w:t>
      </w:r>
    </w:p>
    <w:p w14:paraId="1C393BD0" w14:textId="77777777" w:rsidR="003A477D" w:rsidRPr="00744CB5" w:rsidRDefault="003A477D" w:rsidP="008D5CD8">
      <w:pPr>
        <w:rPr>
          <w:szCs w:val="22"/>
          <w:lang w:val="sr-Latn-ME"/>
        </w:rPr>
      </w:pPr>
    </w:p>
    <w:p w14:paraId="5AB86A36" w14:textId="3616C431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>Zatim se CL</w:t>
      </w:r>
      <w:r w:rsidRPr="00744CB5">
        <w:rPr>
          <w:szCs w:val="22"/>
          <w:vertAlign w:val="subscript"/>
          <w:lang w:val="sr-Latn-ME"/>
        </w:rPr>
        <w:t>cr</w:t>
      </w:r>
      <w:r w:rsidRPr="00744CB5">
        <w:rPr>
          <w:szCs w:val="22"/>
          <w:lang w:val="sr-Latn-ME"/>
        </w:rPr>
        <w:t xml:space="preserve"> koriguje za vr</w:t>
      </w:r>
      <w:r w:rsidR="006A0FD4" w:rsidRPr="00744CB5">
        <w:rPr>
          <w:szCs w:val="22"/>
          <w:lang w:val="sr-Latn-ME"/>
        </w:rPr>
        <w:t>ij</w:t>
      </w:r>
      <w:r w:rsidRPr="00744CB5">
        <w:rPr>
          <w:szCs w:val="22"/>
          <w:lang w:val="sr-Latn-ME"/>
        </w:rPr>
        <w:t>ednost t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elesne površine (</w:t>
      </w:r>
      <w:r w:rsidRPr="00744CB5">
        <w:rPr>
          <w:i/>
          <w:szCs w:val="22"/>
          <w:lang w:val="sr-Latn-ME"/>
        </w:rPr>
        <w:t>body surface area</w:t>
      </w:r>
      <w:r w:rsidRPr="00744CB5">
        <w:rPr>
          <w:szCs w:val="22"/>
          <w:lang w:val="sr-Latn-ME"/>
        </w:rPr>
        <w:t>, BSA) na sl</w:t>
      </w:r>
      <w:r w:rsidR="006A0FD4" w:rsidRPr="00744CB5">
        <w:rPr>
          <w:szCs w:val="22"/>
          <w:lang w:val="sr-Latn-ME"/>
        </w:rPr>
        <w:t>j</w:t>
      </w:r>
      <w:r w:rsidRPr="00744CB5">
        <w:rPr>
          <w:szCs w:val="22"/>
          <w:lang w:val="sr-Latn-ME"/>
        </w:rPr>
        <w:t>edeći način:</w:t>
      </w:r>
    </w:p>
    <w:p w14:paraId="6FCF76AD" w14:textId="77777777" w:rsidR="003A477D" w:rsidRPr="00744CB5" w:rsidRDefault="003A477D" w:rsidP="008D5CD8">
      <w:pPr>
        <w:rPr>
          <w:szCs w:val="22"/>
          <w:lang w:val="sr-Latn-ME"/>
        </w:rPr>
      </w:pPr>
    </w:p>
    <w:p w14:paraId="0508BB9E" w14:textId="4EEBC415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ab/>
      </w:r>
      <w:r w:rsidRPr="00744CB5">
        <w:rPr>
          <w:szCs w:val="22"/>
          <w:lang w:val="sr-Latn-ME"/>
        </w:rPr>
        <w:tab/>
      </w:r>
      <w:r w:rsidRPr="00744CB5">
        <w:rPr>
          <w:szCs w:val="22"/>
          <w:lang w:val="sr-Latn-ME"/>
        </w:rPr>
        <w:tab/>
      </w:r>
      <w:r w:rsidRPr="00744CB5">
        <w:rPr>
          <w:szCs w:val="22"/>
          <w:lang w:val="sr-Latn-ME"/>
        </w:rPr>
        <w:tab/>
        <w:t xml:space="preserve">   CL</w:t>
      </w:r>
      <w:r w:rsidRPr="00744CB5">
        <w:rPr>
          <w:szCs w:val="22"/>
          <w:vertAlign w:val="subscript"/>
          <w:lang w:val="sr-Latn-ME"/>
        </w:rPr>
        <w:t xml:space="preserve">cr </w:t>
      </w:r>
      <w:r w:rsidRPr="00744CB5">
        <w:rPr>
          <w:szCs w:val="22"/>
          <w:lang w:val="sr-Latn-ME"/>
        </w:rPr>
        <w:t>(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>/min)</w:t>
      </w:r>
    </w:p>
    <w:p w14:paraId="3B125E1C" w14:textId="143D0163" w:rsidR="003A477D" w:rsidRPr="00744CB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>CL</w:t>
      </w:r>
      <w:r w:rsidRPr="00744CB5">
        <w:rPr>
          <w:szCs w:val="22"/>
          <w:vertAlign w:val="subscript"/>
          <w:lang w:val="sr-Latn-ME"/>
        </w:rPr>
        <w:t>cr</w:t>
      </w:r>
      <w:r w:rsidRPr="00744CB5">
        <w:rPr>
          <w:szCs w:val="22"/>
          <w:lang w:val="sr-Latn-ME"/>
        </w:rPr>
        <w:t xml:space="preserve"> (</w:t>
      </w:r>
      <w:r w:rsidR="00782AC7" w:rsidRPr="00744CB5">
        <w:rPr>
          <w:szCs w:val="22"/>
          <w:lang w:val="sr-Latn-ME"/>
        </w:rPr>
        <w:t>ml</w:t>
      </w:r>
      <w:r w:rsidRPr="00744CB5">
        <w:rPr>
          <w:szCs w:val="22"/>
          <w:lang w:val="sr-Latn-ME"/>
        </w:rPr>
        <w:t>/min/1,73 m</w:t>
      </w:r>
      <w:r w:rsidRPr="00744CB5">
        <w:rPr>
          <w:szCs w:val="22"/>
          <w:vertAlign w:val="superscript"/>
          <w:lang w:val="sr-Latn-ME"/>
        </w:rPr>
        <w:t>2</w:t>
      </w:r>
      <w:r w:rsidRPr="00744CB5">
        <w:rPr>
          <w:szCs w:val="22"/>
          <w:lang w:val="sr-Latn-ME"/>
        </w:rPr>
        <w:t>) =  ------------------------ x 1,73</w:t>
      </w:r>
    </w:p>
    <w:p w14:paraId="25005CDE" w14:textId="471C6F8A" w:rsidR="004048F5" w:rsidRPr="00DA0B15" w:rsidRDefault="003A477D" w:rsidP="008D5CD8">
      <w:pPr>
        <w:rPr>
          <w:szCs w:val="22"/>
          <w:lang w:val="sr-Latn-ME"/>
        </w:rPr>
      </w:pPr>
      <w:r w:rsidRPr="00744CB5">
        <w:rPr>
          <w:szCs w:val="22"/>
          <w:lang w:val="sr-Latn-ME"/>
        </w:rPr>
        <w:t xml:space="preserve">                                          BSA ispitanika (m</w:t>
      </w:r>
      <w:r w:rsidRPr="00744CB5">
        <w:rPr>
          <w:szCs w:val="22"/>
          <w:vertAlign w:val="superscript"/>
          <w:lang w:val="sr-Latn-ME"/>
        </w:rPr>
        <w:t>2</w:t>
      </w:r>
      <w:r w:rsidRPr="00744CB5">
        <w:rPr>
          <w:szCs w:val="22"/>
          <w:lang w:val="sr-Latn-ME"/>
        </w:rPr>
        <w:t>)</w:t>
      </w:r>
    </w:p>
    <w:p w14:paraId="35538E8A" w14:textId="37738C96" w:rsidR="0010071A" w:rsidRPr="00DA0B15" w:rsidRDefault="0010071A" w:rsidP="008D5CD8">
      <w:pPr>
        <w:rPr>
          <w:noProof/>
          <w:szCs w:val="22"/>
          <w:lang w:val="sr-Latn-ME"/>
        </w:rPr>
      </w:pPr>
    </w:p>
    <w:p w14:paraId="14335181" w14:textId="227169C3" w:rsidR="003A477D" w:rsidRPr="00DA0B15" w:rsidRDefault="003A477D" w:rsidP="008D5CD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Prilagođavanje doziranja za odrasle i adolescente t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elesne mase veće od 50 kg sa oštećenom renalnom funkcijom: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395"/>
        <w:gridCol w:w="2721"/>
        <w:gridCol w:w="3575"/>
      </w:tblGrid>
      <w:tr w:rsidR="003A477D" w:rsidRPr="008D5CD8" w14:paraId="5EB9322B" w14:textId="77777777" w:rsidTr="003A477D">
        <w:tc>
          <w:tcPr>
            <w:tcW w:w="3395" w:type="dxa"/>
            <w:tcBorders>
              <w:top w:val="single" w:sz="12" w:space="0" w:color="auto"/>
              <w:bottom w:val="single" w:sz="12" w:space="0" w:color="000000"/>
            </w:tcBorders>
          </w:tcPr>
          <w:p w14:paraId="0FCA7CAF" w14:textId="77777777" w:rsidR="003A477D" w:rsidRPr="008D5CD8" w:rsidRDefault="003A477D" w:rsidP="008D5CD8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Grupa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000000"/>
            </w:tcBorders>
          </w:tcPr>
          <w:p w14:paraId="661E0F9A" w14:textId="28EFE371" w:rsidR="003A477D" w:rsidRPr="004206CD" w:rsidRDefault="003A477D" w:rsidP="00DA0B15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Klirens kreatinina (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8D5CD8">
              <w:rPr>
                <w:noProof/>
                <w:szCs w:val="22"/>
                <w:lang w:val="sr-Latn-CS"/>
              </w:rPr>
              <w:t>/min/1,73 m</w:t>
            </w:r>
            <w:r w:rsidRPr="004206CD">
              <w:rPr>
                <w:noProof/>
                <w:szCs w:val="22"/>
                <w:vertAlign w:val="superscript"/>
                <w:lang w:val="sr-Latn-CS"/>
              </w:rPr>
              <w:t>2</w:t>
            </w:r>
            <w:r w:rsidRPr="004206CD">
              <w:rPr>
                <w:noProof/>
                <w:szCs w:val="22"/>
                <w:lang w:val="sr-Latn-CS"/>
              </w:rPr>
              <w:t>)</w:t>
            </w:r>
          </w:p>
        </w:tc>
        <w:tc>
          <w:tcPr>
            <w:tcW w:w="3575" w:type="dxa"/>
            <w:tcBorders>
              <w:top w:val="single" w:sz="12" w:space="0" w:color="auto"/>
              <w:bottom w:val="single" w:sz="12" w:space="0" w:color="000000"/>
            </w:tcBorders>
          </w:tcPr>
          <w:p w14:paraId="2A497278" w14:textId="77777777" w:rsidR="003A477D" w:rsidRPr="00001B29" w:rsidRDefault="003A477D" w:rsidP="008D5CD8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001B29">
              <w:rPr>
                <w:noProof/>
                <w:szCs w:val="22"/>
                <w:lang w:val="sr-Latn-CS"/>
              </w:rPr>
              <w:t xml:space="preserve">Doza i učestalost </w:t>
            </w:r>
          </w:p>
        </w:tc>
      </w:tr>
      <w:tr w:rsidR="003A477D" w:rsidRPr="008D5CD8" w14:paraId="5FF8BCA4" w14:textId="77777777" w:rsidTr="003A477D">
        <w:tc>
          <w:tcPr>
            <w:tcW w:w="3395" w:type="dxa"/>
            <w:tcBorders>
              <w:bottom w:val="single" w:sz="12" w:space="0" w:color="auto"/>
            </w:tcBorders>
          </w:tcPr>
          <w:p w14:paraId="01C68DE4" w14:textId="77777777" w:rsidR="003A477D" w:rsidRPr="008D5CD8" w:rsidRDefault="003A477D" w:rsidP="008D5CD8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Normalna</w:t>
            </w:r>
          </w:p>
          <w:p w14:paraId="393E1761" w14:textId="77777777" w:rsidR="003A477D" w:rsidRPr="008D5CD8" w:rsidRDefault="003A477D" w:rsidP="008D5CD8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Blaga</w:t>
            </w:r>
          </w:p>
          <w:p w14:paraId="1E13BCE2" w14:textId="73F32F22" w:rsidR="003A477D" w:rsidRPr="008D5CD8" w:rsidRDefault="003A477D" w:rsidP="008D5CD8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lastRenderedPageBreak/>
              <w:t>Um</w:t>
            </w:r>
            <w:r w:rsidR="006A0FD4" w:rsidRPr="008D5CD8">
              <w:rPr>
                <w:noProof/>
                <w:szCs w:val="22"/>
                <w:lang w:val="sr-Latn-CS"/>
              </w:rPr>
              <w:t>j</w:t>
            </w:r>
            <w:r w:rsidRPr="008D5CD8">
              <w:rPr>
                <w:noProof/>
                <w:szCs w:val="22"/>
                <w:lang w:val="sr-Latn-CS"/>
              </w:rPr>
              <w:t>erena</w:t>
            </w:r>
          </w:p>
          <w:p w14:paraId="7641F002" w14:textId="77777777" w:rsidR="003A477D" w:rsidRPr="008D5CD8" w:rsidRDefault="003A477D" w:rsidP="004206CD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Teška</w:t>
            </w:r>
          </w:p>
          <w:p w14:paraId="5AA1689F" w14:textId="77777777" w:rsidR="003A477D" w:rsidRPr="008D5CD8" w:rsidRDefault="003A477D" w:rsidP="00001B29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Krajnji stadijum bolesti bubrega pacijenata na dijalizi </w:t>
            </w:r>
            <w:r w:rsidRPr="008D5CD8">
              <w:rPr>
                <w:noProof/>
                <w:szCs w:val="22"/>
                <w:vertAlign w:val="superscript"/>
                <w:lang w:val="sr-Latn-CS"/>
              </w:rPr>
              <w:t>(1)</w:t>
            </w:r>
          </w:p>
        </w:tc>
        <w:tc>
          <w:tcPr>
            <w:tcW w:w="2721" w:type="dxa"/>
            <w:tcBorders>
              <w:bottom w:val="single" w:sz="12" w:space="0" w:color="auto"/>
            </w:tcBorders>
          </w:tcPr>
          <w:p w14:paraId="7D378B2D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lastRenderedPageBreak/>
              <w:t>≥ 80</w:t>
            </w:r>
          </w:p>
          <w:p w14:paraId="56E3415F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50-79</w:t>
            </w:r>
          </w:p>
          <w:p w14:paraId="674FB572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lastRenderedPageBreak/>
              <w:t>30-49</w:t>
            </w:r>
          </w:p>
          <w:p w14:paraId="77F0D1BE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&lt; 30</w:t>
            </w:r>
          </w:p>
          <w:p w14:paraId="6CAB6579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-</w:t>
            </w:r>
          </w:p>
        </w:tc>
        <w:tc>
          <w:tcPr>
            <w:tcW w:w="3575" w:type="dxa"/>
            <w:tcBorders>
              <w:bottom w:val="single" w:sz="12" w:space="0" w:color="auto"/>
            </w:tcBorders>
          </w:tcPr>
          <w:p w14:paraId="0660D21D" w14:textId="77777777" w:rsidR="003A477D" w:rsidRPr="008D5CD8" w:rsidRDefault="003A477D" w:rsidP="008B0134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lastRenderedPageBreak/>
              <w:t>500 do 1500 mg dva puta dnevno</w:t>
            </w:r>
          </w:p>
          <w:p w14:paraId="4B695F74" w14:textId="77777777" w:rsidR="003A477D" w:rsidRPr="008D5CD8" w:rsidRDefault="003A477D" w:rsidP="00782AC7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500 do 1000 mg dva puta dnevno</w:t>
            </w:r>
          </w:p>
          <w:p w14:paraId="247FB278" w14:textId="77777777" w:rsidR="003A477D" w:rsidRPr="008D5CD8" w:rsidRDefault="003A477D" w:rsidP="00782AC7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lastRenderedPageBreak/>
              <w:t>250 do 750 mg dva puta dnevno</w:t>
            </w:r>
          </w:p>
          <w:p w14:paraId="51EE6A74" w14:textId="77777777" w:rsidR="003A477D" w:rsidRPr="008D5CD8" w:rsidRDefault="003A477D" w:rsidP="00782AC7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250 do 500 mg dva puta dnevno</w:t>
            </w:r>
          </w:p>
          <w:p w14:paraId="4276BB35" w14:textId="77777777" w:rsidR="003A477D" w:rsidRPr="008D5CD8" w:rsidRDefault="003A477D" w:rsidP="00782AC7">
            <w:pPr>
              <w:tabs>
                <w:tab w:val="num" w:pos="720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500 do 1000 mg jednom dnevno </w:t>
            </w:r>
            <w:r w:rsidRPr="008D5CD8">
              <w:rPr>
                <w:noProof/>
                <w:szCs w:val="22"/>
                <w:vertAlign w:val="superscript"/>
                <w:lang w:val="sr-Latn-CS"/>
              </w:rPr>
              <w:t>(2)</w:t>
            </w:r>
          </w:p>
        </w:tc>
      </w:tr>
    </w:tbl>
    <w:p w14:paraId="6469B7FE" w14:textId="455D92F5" w:rsidR="003A477D" w:rsidRPr="00DA0B15" w:rsidRDefault="003A477D" w:rsidP="008D5CD8">
      <w:pPr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lastRenderedPageBreak/>
        <w:t>(</w:t>
      </w:r>
      <w:r w:rsidRPr="00DA0B15">
        <w:rPr>
          <w:szCs w:val="22"/>
          <w:vertAlign w:val="superscript"/>
          <w:lang w:val="sr-Latn-ME"/>
        </w:rPr>
        <w:t>1)</w:t>
      </w:r>
      <w:r w:rsidRPr="00DA0B15">
        <w:rPr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Prvog dana l</w:t>
      </w:r>
      <w:r w:rsidR="006A0FD4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levetiracetamom preporučuje se udarna doza od 750 mg.</w:t>
      </w:r>
    </w:p>
    <w:p w14:paraId="46C47200" w14:textId="77777777" w:rsidR="003A477D" w:rsidRPr="00DA0B15" w:rsidRDefault="003A477D" w:rsidP="008D5CD8">
      <w:pPr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t>(</w:t>
      </w:r>
      <w:r w:rsidRPr="00DA0B15">
        <w:rPr>
          <w:szCs w:val="22"/>
          <w:vertAlign w:val="superscript"/>
          <w:lang w:val="sr-Latn-ME"/>
        </w:rPr>
        <w:t>2)</w:t>
      </w:r>
      <w:r w:rsidRPr="00DA0B15">
        <w:rPr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Posle dijalize, preporučuje se dodatna doza od 250 do 500 mg.</w:t>
      </w:r>
    </w:p>
    <w:p w14:paraId="795644F6" w14:textId="77777777" w:rsidR="003A477D" w:rsidRPr="00DA0B15" w:rsidRDefault="003A477D" w:rsidP="008D5CD8">
      <w:pPr>
        <w:rPr>
          <w:noProof/>
          <w:szCs w:val="22"/>
          <w:lang w:val="sr-Latn-ME"/>
        </w:rPr>
      </w:pPr>
    </w:p>
    <w:p w14:paraId="7DA07ED6" w14:textId="31DB8AE2" w:rsidR="003A477D" w:rsidRPr="00DA0B15" w:rsidRDefault="003A477D" w:rsidP="004206C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Kod d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sa renalnom insuficijencijom, dozu levetiracetama potrebno je prilagoditi renalnoj funkciji</w:t>
      </w:r>
      <w:r w:rsidR="00C84A47" w:rsidRPr="00DA0B15">
        <w:rPr>
          <w:noProof/>
          <w:szCs w:val="22"/>
          <w:lang w:val="sr-Latn-ME"/>
        </w:rPr>
        <w:t>,</w:t>
      </w:r>
      <w:r w:rsidRPr="00DA0B15">
        <w:rPr>
          <w:noProof/>
          <w:szCs w:val="22"/>
          <w:lang w:val="sr-Latn-ME"/>
        </w:rPr>
        <w:t xml:space="preserve"> jer klirens levetiracetama zavisi od renalne funkcije. Ova preporuka se zasniva na studiji sprovedenoj na odraslim pacijentima sa renalnom insuficijencijom.</w:t>
      </w:r>
    </w:p>
    <w:p w14:paraId="112EC01F" w14:textId="77777777" w:rsidR="003A477D" w:rsidRPr="00DA0B15" w:rsidRDefault="003A477D" w:rsidP="00001B29">
      <w:pPr>
        <w:rPr>
          <w:noProof/>
          <w:szCs w:val="22"/>
          <w:lang w:val="sr-Latn-ME"/>
        </w:rPr>
      </w:pPr>
    </w:p>
    <w:p w14:paraId="498D19C9" w14:textId="2DDF53C1" w:rsidR="003A477D" w:rsidRPr="00DA0B15" w:rsidRDefault="003A477D" w:rsidP="008B0134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CL</w:t>
      </w:r>
      <w:r w:rsidRPr="00DA0B15">
        <w:rPr>
          <w:noProof/>
          <w:szCs w:val="22"/>
          <w:vertAlign w:val="subscript"/>
          <w:lang w:val="sr-Latn-ME"/>
        </w:rPr>
        <w:t>cr</w:t>
      </w:r>
      <w:r w:rsidRPr="00DA0B15">
        <w:rPr>
          <w:noProof/>
          <w:szCs w:val="22"/>
          <w:lang w:val="sr-Latn-ME"/>
        </w:rPr>
        <w:t xml:space="preserve"> u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/min/1,73 m² može se proc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eniti na osnovu određivanja vr</w:t>
      </w:r>
      <w:r w:rsidR="006A0FD4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ednosti serumskog kreatinina (mg/d</w:t>
      </w:r>
      <w:r w:rsidR="00782AC7" w:rsidRPr="00DA0B15">
        <w:rPr>
          <w:noProof/>
          <w:szCs w:val="22"/>
          <w:lang w:val="sr-Latn-ME"/>
        </w:rPr>
        <w:t>l</w:t>
      </w:r>
      <w:r w:rsidRPr="00DA0B15">
        <w:rPr>
          <w:noProof/>
          <w:szCs w:val="22"/>
          <w:lang w:val="sr-Latn-ME"/>
        </w:rPr>
        <w:t xml:space="preserve">), kod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ađih adolescenata, d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i odojčadi, koristeći sl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edeću formulu (</w:t>
      </w:r>
      <w:r w:rsidR="001A09D9" w:rsidRPr="00DA0B15">
        <w:rPr>
          <w:i/>
          <w:noProof/>
          <w:szCs w:val="22"/>
          <w:lang w:val="sr-Latn-ME"/>
        </w:rPr>
        <w:t>Schwartz</w:t>
      </w:r>
      <w:r w:rsidRPr="00DA0B15">
        <w:rPr>
          <w:noProof/>
          <w:szCs w:val="22"/>
          <w:lang w:val="sr-Latn-ME"/>
        </w:rPr>
        <w:t>-ova formula):</w:t>
      </w:r>
    </w:p>
    <w:p w14:paraId="45231A85" w14:textId="77777777" w:rsidR="003A477D" w:rsidRPr="00DA0B15" w:rsidRDefault="003A477D" w:rsidP="008B0134">
      <w:pPr>
        <w:rPr>
          <w:noProof/>
          <w:szCs w:val="22"/>
          <w:lang w:val="sr-Latn-ME"/>
        </w:rPr>
      </w:pPr>
    </w:p>
    <w:p w14:paraId="6EBD4CBC" w14:textId="4B9A3355" w:rsidR="003A477D" w:rsidRPr="00DA0B15" w:rsidRDefault="003A477D" w:rsidP="008B0134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  <w:t xml:space="preserve">   </w:t>
      </w:r>
      <w:r w:rsidR="00C84A47" w:rsidRPr="00DA0B15">
        <w:rPr>
          <w:noProof/>
          <w:szCs w:val="22"/>
          <w:lang w:val="sr-Latn-ME"/>
        </w:rPr>
        <w:t>T</w:t>
      </w:r>
      <w:r w:rsidR="006A0FD4" w:rsidRPr="00DA0B15">
        <w:rPr>
          <w:noProof/>
          <w:szCs w:val="22"/>
          <w:lang w:val="sr-Latn-ME"/>
        </w:rPr>
        <w:t>j</w:t>
      </w:r>
      <w:r w:rsidR="00C84A47" w:rsidRPr="00DA0B15">
        <w:rPr>
          <w:noProof/>
          <w:szCs w:val="22"/>
          <w:lang w:val="sr-Latn-ME"/>
        </w:rPr>
        <w:t>elesna v</w:t>
      </w:r>
      <w:r w:rsidRPr="00DA0B15">
        <w:rPr>
          <w:noProof/>
          <w:szCs w:val="22"/>
          <w:lang w:val="sr-Latn-ME"/>
        </w:rPr>
        <w:t xml:space="preserve">isina </w:t>
      </w:r>
      <w:r w:rsidRPr="00DA0B15">
        <w:rPr>
          <w:szCs w:val="22"/>
          <w:lang w:val="sr-Latn-ME"/>
        </w:rPr>
        <w:t>(cm) x ks</w:t>
      </w:r>
    </w:p>
    <w:p w14:paraId="6F35C221" w14:textId="7EF5F5E7" w:rsidR="003A477D" w:rsidRPr="00DA0B15" w:rsidRDefault="003A477D" w:rsidP="008B0134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CL</w:t>
      </w:r>
      <w:r w:rsidRPr="00DA0B15">
        <w:rPr>
          <w:szCs w:val="22"/>
          <w:vertAlign w:val="subscript"/>
          <w:lang w:val="sr-Latn-ME"/>
        </w:rPr>
        <w:t>cr</w:t>
      </w:r>
      <w:r w:rsidRPr="00DA0B15">
        <w:rPr>
          <w:szCs w:val="22"/>
          <w:lang w:val="sr-Latn-ME"/>
        </w:rPr>
        <w:t xml:space="preserve"> (</w:t>
      </w:r>
      <w:r w:rsidR="00782AC7" w:rsidRPr="00DA0B15">
        <w:rPr>
          <w:szCs w:val="22"/>
          <w:lang w:val="sr-Latn-ME"/>
        </w:rPr>
        <w:t>ml</w:t>
      </w:r>
      <w:r w:rsidRPr="00DA0B15">
        <w:rPr>
          <w:szCs w:val="22"/>
          <w:lang w:val="sr-Latn-ME"/>
        </w:rPr>
        <w:t>/min/1,73</w:t>
      </w:r>
      <w:r w:rsidRPr="00DA0B15">
        <w:rPr>
          <w:noProof/>
          <w:szCs w:val="22"/>
          <w:lang w:val="sr-Latn-ME"/>
        </w:rPr>
        <w:t> m</w:t>
      </w:r>
      <w:r w:rsidRPr="00DA0B15">
        <w:rPr>
          <w:noProof/>
          <w:szCs w:val="22"/>
          <w:vertAlign w:val="superscript"/>
          <w:lang w:val="sr-Latn-ME"/>
        </w:rPr>
        <w:t>2</w:t>
      </w:r>
      <w:r w:rsidRPr="00DA0B15">
        <w:rPr>
          <w:noProof/>
          <w:szCs w:val="22"/>
          <w:lang w:val="sr-Latn-ME"/>
        </w:rPr>
        <w:t>) =  --------------------------------</w:t>
      </w:r>
    </w:p>
    <w:p w14:paraId="7C655350" w14:textId="3CE79F6C" w:rsidR="003A477D" w:rsidRPr="00DA0B15" w:rsidRDefault="003A477D" w:rsidP="008B0134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</w:r>
      <w:r w:rsidRPr="00DA0B15">
        <w:rPr>
          <w:noProof/>
          <w:szCs w:val="22"/>
          <w:lang w:val="sr-Latn-ME"/>
        </w:rPr>
        <w:tab/>
        <w:t xml:space="preserve">   Serumski kreatinin </w:t>
      </w:r>
      <w:r w:rsidRPr="00DA0B15">
        <w:rPr>
          <w:szCs w:val="22"/>
          <w:lang w:val="sr-Latn-ME"/>
        </w:rPr>
        <w:t>(mg/d</w:t>
      </w:r>
      <w:r w:rsidR="00782AC7" w:rsidRPr="00DA0B15">
        <w:rPr>
          <w:szCs w:val="22"/>
          <w:lang w:val="sr-Latn-ME"/>
        </w:rPr>
        <w:t>l</w:t>
      </w:r>
      <w:r w:rsidRPr="00DA0B15">
        <w:rPr>
          <w:szCs w:val="22"/>
          <w:lang w:val="sr-Latn-ME"/>
        </w:rPr>
        <w:t>)</w:t>
      </w:r>
    </w:p>
    <w:p w14:paraId="563A107C" w14:textId="77777777" w:rsidR="003A477D" w:rsidRPr="00DA0B15" w:rsidRDefault="003A477D" w:rsidP="008B0134">
      <w:pPr>
        <w:rPr>
          <w:noProof/>
          <w:szCs w:val="22"/>
          <w:lang w:val="sr-Latn-ME"/>
        </w:rPr>
      </w:pPr>
    </w:p>
    <w:p w14:paraId="0C973898" w14:textId="1CDBB97E" w:rsidR="003A477D" w:rsidRPr="00DA0B15" w:rsidRDefault="003A477D" w:rsidP="00782AC7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ks=0,45 </w:t>
      </w:r>
      <w:r w:rsidR="00C84A47" w:rsidRPr="00DA0B15">
        <w:rPr>
          <w:color w:val="262626"/>
          <w:szCs w:val="22"/>
          <w:lang w:val="sr-Latn-ME"/>
        </w:rPr>
        <w:t>kod odojčadi rođenih u terminu,</w:t>
      </w:r>
      <w:r w:rsidR="00C84A47" w:rsidRPr="00DA0B15" w:rsidDel="00C84A47">
        <w:rPr>
          <w:noProof/>
          <w:szCs w:val="22"/>
          <w:lang w:val="sr-Latn-ME"/>
        </w:rPr>
        <w:t xml:space="preserve"> </w:t>
      </w:r>
      <w:r w:rsidR="00DC2F18" w:rsidRPr="00DA0B15">
        <w:rPr>
          <w:noProof/>
          <w:szCs w:val="22"/>
          <w:lang w:val="sr-Latn-ME"/>
        </w:rPr>
        <w:t>do 1 godine</w:t>
      </w:r>
      <w:r w:rsidRPr="00DA0B15">
        <w:rPr>
          <w:noProof/>
          <w:szCs w:val="22"/>
          <w:lang w:val="sr-Latn-ME"/>
        </w:rPr>
        <w:t>; ks=0,55 kod d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ece </w:t>
      </w:r>
      <w:r w:rsidR="00782AC7" w:rsidRPr="00DA0B15">
        <w:rPr>
          <w:color w:val="262626"/>
          <w:szCs w:val="22"/>
          <w:lang w:val="sr-Latn-ME"/>
        </w:rPr>
        <w:t>ml</w:t>
      </w:r>
      <w:r w:rsidR="00C84A47" w:rsidRPr="00DA0B15">
        <w:rPr>
          <w:color w:val="262626"/>
          <w:szCs w:val="22"/>
          <w:lang w:val="sr-Latn-ME"/>
        </w:rPr>
        <w:t xml:space="preserve">ađe od </w:t>
      </w:r>
      <w:r w:rsidRPr="00DA0B15">
        <w:rPr>
          <w:noProof/>
          <w:szCs w:val="22"/>
          <w:lang w:val="sr-Latn-ME"/>
        </w:rPr>
        <w:t>13 godina i adolescenata ženskog pola; ks=0,7 kod adolescenata muškog pola</w:t>
      </w:r>
    </w:p>
    <w:p w14:paraId="2062E701" w14:textId="77777777" w:rsidR="003A477D" w:rsidRPr="00DA0B15" w:rsidRDefault="003A477D" w:rsidP="00782AC7">
      <w:pPr>
        <w:rPr>
          <w:noProof/>
          <w:szCs w:val="22"/>
          <w:lang w:val="sr-Latn-ME"/>
        </w:rPr>
      </w:pPr>
    </w:p>
    <w:p w14:paraId="0D44C54B" w14:textId="3CDED3FE" w:rsidR="003A477D" w:rsidRPr="00DA0B15" w:rsidRDefault="003A477D" w:rsidP="00782AC7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Prilagođavanje doziranja za odojčad, d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ecu i adolescente t</w:t>
      </w:r>
      <w:r w:rsidR="006A0FD4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elesne mase manje od 50 kg sa oštećenom renalnom funkcijom: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4"/>
        <w:gridCol w:w="1844"/>
        <w:gridCol w:w="2549"/>
        <w:gridCol w:w="2979"/>
      </w:tblGrid>
      <w:tr w:rsidR="003A477D" w:rsidRPr="008D5CD8" w14:paraId="76D08F70" w14:textId="77777777" w:rsidTr="003A477D">
        <w:trPr>
          <w:trHeight w:val="432"/>
        </w:trPr>
        <w:tc>
          <w:tcPr>
            <w:tcW w:w="2404" w:type="dxa"/>
            <w:vMerge w:val="restart"/>
          </w:tcPr>
          <w:p w14:paraId="22517D01" w14:textId="77777777" w:rsidR="003A477D" w:rsidRPr="008D5CD8" w:rsidRDefault="003A477D" w:rsidP="00782AC7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Grupa</w:t>
            </w:r>
          </w:p>
        </w:tc>
        <w:tc>
          <w:tcPr>
            <w:tcW w:w="1844" w:type="dxa"/>
            <w:vMerge w:val="restart"/>
            <w:tcBorders>
              <w:right w:val="single" w:sz="4" w:space="0" w:color="000000"/>
            </w:tcBorders>
          </w:tcPr>
          <w:p w14:paraId="2B355007" w14:textId="3467E6A6" w:rsidR="003A477D" w:rsidRPr="00782AC7" w:rsidRDefault="003A477D" w:rsidP="00782AC7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Klirens kreatinina (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/min/1,73 m</w:t>
            </w:r>
            <w:r w:rsidRPr="00782AC7">
              <w:rPr>
                <w:noProof/>
                <w:szCs w:val="22"/>
                <w:vertAlign w:val="superscript"/>
                <w:lang w:val="sr-Latn-CS"/>
              </w:rPr>
              <w:t>2</w:t>
            </w:r>
            <w:r w:rsidRPr="00782AC7">
              <w:rPr>
                <w:noProof/>
                <w:szCs w:val="22"/>
                <w:lang w:val="sr-Latn-CS"/>
              </w:rPr>
              <w:t>)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BED04" w14:textId="77777777" w:rsidR="003A477D" w:rsidRPr="008D5CD8" w:rsidRDefault="003A477D" w:rsidP="00782AC7">
            <w:pPr>
              <w:ind w:right="885"/>
              <w:rPr>
                <w:szCs w:val="22"/>
                <w:lang w:val="sr-Latn-CS"/>
              </w:rPr>
            </w:pPr>
            <w:r w:rsidRPr="00782AC7">
              <w:rPr>
                <w:szCs w:val="22"/>
                <w:lang w:val="sr-Latn-CS"/>
              </w:rPr>
              <w:t xml:space="preserve">Doza i učestalost </w:t>
            </w:r>
            <w:r w:rsidRPr="00704012">
              <w:rPr>
                <w:szCs w:val="22"/>
                <w:vertAlign w:val="superscript"/>
                <w:lang w:val="sr-Latn-CS"/>
              </w:rPr>
              <w:t>(1)</w:t>
            </w:r>
          </w:p>
        </w:tc>
      </w:tr>
      <w:tr w:rsidR="003A477D" w:rsidRPr="008D5CD8" w14:paraId="4A35E482" w14:textId="77777777" w:rsidTr="003A477D">
        <w:trPr>
          <w:trHeight w:val="689"/>
        </w:trPr>
        <w:tc>
          <w:tcPr>
            <w:tcW w:w="2404" w:type="dxa"/>
            <w:vMerge/>
          </w:tcPr>
          <w:p w14:paraId="3A1BA57D" w14:textId="77777777" w:rsidR="003A477D" w:rsidRPr="008D5CD8" w:rsidRDefault="003A477D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</w:p>
        </w:tc>
        <w:tc>
          <w:tcPr>
            <w:tcW w:w="1844" w:type="dxa"/>
            <w:vMerge/>
          </w:tcPr>
          <w:p w14:paraId="51A8722B" w14:textId="77777777" w:rsidR="003A477D" w:rsidRPr="008D5CD8" w:rsidRDefault="003A477D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</w:p>
        </w:tc>
        <w:tc>
          <w:tcPr>
            <w:tcW w:w="2549" w:type="dxa"/>
            <w:tcBorders>
              <w:top w:val="single" w:sz="4" w:space="0" w:color="000000"/>
            </w:tcBorders>
          </w:tcPr>
          <w:p w14:paraId="4630B995" w14:textId="43ADE6BA" w:rsidR="003A477D" w:rsidRPr="008D5CD8" w:rsidRDefault="003A477D">
            <w:pPr>
              <w:rPr>
                <w:szCs w:val="22"/>
                <w:lang w:val="sr-Latn-CS"/>
              </w:rPr>
            </w:pPr>
            <w:r w:rsidRPr="008D5CD8">
              <w:rPr>
                <w:szCs w:val="22"/>
                <w:lang w:val="sr-Latn-CS"/>
              </w:rPr>
              <w:t>Odojčad od 1 do manje od 6 m</w:t>
            </w:r>
            <w:r w:rsidR="006A0FD4" w:rsidRPr="008D5CD8">
              <w:rPr>
                <w:szCs w:val="22"/>
                <w:lang w:val="sr-Latn-CS"/>
              </w:rPr>
              <w:t>j</w:t>
            </w:r>
            <w:r w:rsidRPr="008D5CD8">
              <w:rPr>
                <w:szCs w:val="22"/>
                <w:lang w:val="sr-Latn-CS"/>
              </w:rPr>
              <w:t>eseci</w:t>
            </w:r>
          </w:p>
        </w:tc>
        <w:tc>
          <w:tcPr>
            <w:tcW w:w="2979" w:type="dxa"/>
            <w:tcBorders>
              <w:top w:val="single" w:sz="4" w:space="0" w:color="000000"/>
            </w:tcBorders>
          </w:tcPr>
          <w:p w14:paraId="564C5A6D" w14:textId="18654795" w:rsidR="003A477D" w:rsidRPr="008D5CD8" w:rsidRDefault="003A477D">
            <w:pPr>
              <w:ind w:left="-44"/>
              <w:rPr>
                <w:szCs w:val="22"/>
                <w:lang w:val="sr-Latn-CS"/>
              </w:rPr>
            </w:pPr>
            <w:r w:rsidRPr="008D5CD8">
              <w:rPr>
                <w:szCs w:val="22"/>
                <w:lang w:val="sr-Latn-CS"/>
              </w:rPr>
              <w:t>D</w:t>
            </w:r>
            <w:r w:rsidR="006A0FD4" w:rsidRPr="008D5CD8">
              <w:rPr>
                <w:szCs w:val="22"/>
                <w:lang w:val="sr-Latn-CS"/>
              </w:rPr>
              <w:t>j</w:t>
            </w:r>
            <w:r w:rsidRPr="008D5CD8">
              <w:rPr>
                <w:szCs w:val="22"/>
                <w:lang w:val="sr-Latn-CS"/>
              </w:rPr>
              <w:t>eca od 6 do 23 m</w:t>
            </w:r>
            <w:r w:rsidR="006A0FD4" w:rsidRPr="008D5CD8">
              <w:rPr>
                <w:szCs w:val="22"/>
                <w:lang w:val="sr-Latn-CS"/>
              </w:rPr>
              <w:t>j</w:t>
            </w:r>
            <w:r w:rsidRPr="008D5CD8">
              <w:rPr>
                <w:szCs w:val="22"/>
                <w:lang w:val="sr-Latn-CS"/>
              </w:rPr>
              <w:t>eseca, d</w:t>
            </w:r>
            <w:r w:rsidR="006A0FD4" w:rsidRPr="008D5CD8">
              <w:rPr>
                <w:szCs w:val="22"/>
                <w:lang w:val="sr-Latn-CS"/>
              </w:rPr>
              <w:t>j</w:t>
            </w:r>
            <w:r w:rsidRPr="008D5CD8">
              <w:rPr>
                <w:szCs w:val="22"/>
                <w:lang w:val="sr-Latn-CS"/>
              </w:rPr>
              <w:t>eca i adolescenti t</w:t>
            </w:r>
            <w:r w:rsidR="006A0FD4" w:rsidRPr="008D5CD8">
              <w:rPr>
                <w:szCs w:val="22"/>
                <w:lang w:val="sr-Latn-CS"/>
              </w:rPr>
              <w:t>j</w:t>
            </w:r>
            <w:r w:rsidRPr="008D5CD8">
              <w:rPr>
                <w:szCs w:val="22"/>
                <w:lang w:val="sr-Latn-CS"/>
              </w:rPr>
              <w:t>elesne mase manje od 50 kg</w:t>
            </w:r>
          </w:p>
        </w:tc>
      </w:tr>
      <w:tr w:rsidR="003A477D" w:rsidRPr="008D5CD8" w14:paraId="654F80CD" w14:textId="77777777" w:rsidTr="003A477D">
        <w:tc>
          <w:tcPr>
            <w:tcW w:w="2404" w:type="dxa"/>
          </w:tcPr>
          <w:p w14:paraId="108C320F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Normalna</w:t>
            </w:r>
          </w:p>
        </w:tc>
        <w:tc>
          <w:tcPr>
            <w:tcW w:w="1844" w:type="dxa"/>
          </w:tcPr>
          <w:p w14:paraId="6D693353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≥ 80</w:t>
            </w:r>
          </w:p>
        </w:tc>
        <w:tc>
          <w:tcPr>
            <w:tcW w:w="2549" w:type="dxa"/>
          </w:tcPr>
          <w:p w14:paraId="77E2FB19" w14:textId="110839E9" w:rsidR="003A477D" w:rsidRPr="00782AC7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7 do 21 mg/kg (0,07 do 0,21 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  <w:tc>
          <w:tcPr>
            <w:tcW w:w="2979" w:type="dxa"/>
          </w:tcPr>
          <w:p w14:paraId="59C7E956" w14:textId="03A25DB0" w:rsidR="003A477D" w:rsidRPr="00782AC7" w:rsidRDefault="003A477D" w:rsidP="004206CD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782AC7">
              <w:rPr>
                <w:noProof/>
                <w:szCs w:val="22"/>
                <w:lang w:val="sr-Latn-CS"/>
              </w:rPr>
              <w:t>10 do 30 mg/kg (0,10 do 0,30 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</w:tr>
      <w:tr w:rsidR="003A477D" w:rsidRPr="008D5CD8" w14:paraId="66EE5629" w14:textId="77777777" w:rsidTr="003A477D">
        <w:tc>
          <w:tcPr>
            <w:tcW w:w="2404" w:type="dxa"/>
          </w:tcPr>
          <w:p w14:paraId="360D1C47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Blaga</w:t>
            </w:r>
          </w:p>
        </w:tc>
        <w:tc>
          <w:tcPr>
            <w:tcW w:w="1844" w:type="dxa"/>
          </w:tcPr>
          <w:p w14:paraId="3002A789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50-79</w:t>
            </w:r>
          </w:p>
        </w:tc>
        <w:tc>
          <w:tcPr>
            <w:tcW w:w="2549" w:type="dxa"/>
          </w:tcPr>
          <w:p w14:paraId="70E20124" w14:textId="06F0EBB4" w:rsidR="003A477D" w:rsidRPr="00782AC7" w:rsidRDefault="003A477D" w:rsidP="008D5CD8">
            <w:pPr>
              <w:rPr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7 do 14 mg/kg (0,07 do 0,14 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  <w:tc>
          <w:tcPr>
            <w:tcW w:w="2979" w:type="dxa"/>
          </w:tcPr>
          <w:p w14:paraId="2952C222" w14:textId="638F05CC" w:rsidR="003A477D" w:rsidRPr="00782AC7" w:rsidRDefault="003A477D" w:rsidP="004206CD">
            <w:pPr>
              <w:rPr>
                <w:szCs w:val="22"/>
                <w:lang w:val="sr-Latn-CS"/>
              </w:rPr>
            </w:pPr>
            <w:r w:rsidRPr="00782AC7">
              <w:rPr>
                <w:noProof/>
                <w:szCs w:val="22"/>
                <w:lang w:val="sr-Latn-CS"/>
              </w:rPr>
              <w:t>10 do 20 mg/kg (0,10 do 0,20 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</w:tr>
      <w:tr w:rsidR="003A477D" w:rsidRPr="008D5CD8" w14:paraId="146743E1" w14:textId="77777777" w:rsidTr="003A477D">
        <w:tc>
          <w:tcPr>
            <w:tcW w:w="2404" w:type="dxa"/>
          </w:tcPr>
          <w:p w14:paraId="606C4B7E" w14:textId="4B77881F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Um</w:t>
            </w:r>
            <w:r w:rsidR="006A0FD4" w:rsidRPr="008D5CD8">
              <w:rPr>
                <w:noProof/>
                <w:szCs w:val="22"/>
                <w:lang w:val="sr-Latn-CS"/>
              </w:rPr>
              <w:t>j</w:t>
            </w:r>
            <w:r w:rsidRPr="008D5CD8">
              <w:rPr>
                <w:noProof/>
                <w:szCs w:val="22"/>
                <w:lang w:val="sr-Latn-CS"/>
              </w:rPr>
              <w:t>erena</w:t>
            </w:r>
          </w:p>
        </w:tc>
        <w:tc>
          <w:tcPr>
            <w:tcW w:w="1844" w:type="dxa"/>
          </w:tcPr>
          <w:p w14:paraId="3599107E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30-49</w:t>
            </w:r>
          </w:p>
        </w:tc>
        <w:tc>
          <w:tcPr>
            <w:tcW w:w="2549" w:type="dxa"/>
          </w:tcPr>
          <w:p w14:paraId="4C1A84F2" w14:textId="00DE3FCD" w:rsidR="003A477D" w:rsidRPr="00782AC7" w:rsidRDefault="003A477D" w:rsidP="008D5CD8">
            <w:pPr>
              <w:rPr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3,5 do 10,5 mg/kg (0,035 do 0,105 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  <w:tc>
          <w:tcPr>
            <w:tcW w:w="2979" w:type="dxa"/>
          </w:tcPr>
          <w:p w14:paraId="306B0338" w14:textId="69424308" w:rsidR="003A477D" w:rsidRPr="00782AC7" w:rsidRDefault="003A477D" w:rsidP="004206CD">
            <w:pPr>
              <w:rPr>
                <w:szCs w:val="22"/>
                <w:lang w:val="sr-Latn-CS"/>
              </w:rPr>
            </w:pPr>
            <w:r w:rsidRPr="00782AC7">
              <w:rPr>
                <w:noProof/>
                <w:szCs w:val="22"/>
                <w:lang w:val="sr-Latn-CS"/>
              </w:rPr>
              <w:t>5 do 15 mg/kg (0,05 do 0,15 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</w:tr>
      <w:tr w:rsidR="003A477D" w:rsidRPr="008D5CD8" w14:paraId="243FF621" w14:textId="77777777" w:rsidTr="003A477D">
        <w:tc>
          <w:tcPr>
            <w:tcW w:w="2404" w:type="dxa"/>
          </w:tcPr>
          <w:p w14:paraId="58A3BB9F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Teška</w:t>
            </w:r>
          </w:p>
        </w:tc>
        <w:tc>
          <w:tcPr>
            <w:tcW w:w="1844" w:type="dxa"/>
          </w:tcPr>
          <w:p w14:paraId="1C619509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&lt; 30</w:t>
            </w:r>
          </w:p>
        </w:tc>
        <w:tc>
          <w:tcPr>
            <w:tcW w:w="2549" w:type="dxa"/>
          </w:tcPr>
          <w:p w14:paraId="669F3EAD" w14:textId="2E128684" w:rsidR="003A477D" w:rsidRPr="00782AC7" w:rsidRDefault="003A477D" w:rsidP="008D5CD8">
            <w:pPr>
              <w:rPr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3,5 do 7 mg/kg (0,035 do 0,07 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  <w:tc>
          <w:tcPr>
            <w:tcW w:w="2979" w:type="dxa"/>
          </w:tcPr>
          <w:p w14:paraId="06346CD6" w14:textId="17BF3785" w:rsidR="003A477D" w:rsidRPr="00782AC7" w:rsidRDefault="003A477D" w:rsidP="004206CD">
            <w:pPr>
              <w:rPr>
                <w:szCs w:val="22"/>
                <w:lang w:val="sr-Latn-CS"/>
              </w:rPr>
            </w:pPr>
            <w:r w:rsidRPr="00782AC7">
              <w:rPr>
                <w:noProof/>
                <w:szCs w:val="22"/>
                <w:lang w:val="sr-Latn-CS"/>
              </w:rPr>
              <w:t>5 do 10 mg/kg (0,05 do 0,10 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>/kg) dva puta dnevno</w:t>
            </w:r>
          </w:p>
        </w:tc>
      </w:tr>
      <w:tr w:rsidR="003A477D" w:rsidRPr="008D5CD8" w14:paraId="1E7387B3" w14:textId="77777777" w:rsidTr="003A477D">
        <w:tc>
          <w:tcPr>
            <w:tcW w:w="2404" w:type="dxa"/>
          </w:tcPr>
          <w:p w14:paraId="44D22628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Krajnji stadijum bolesti bubrega pacijenata na dijalizi </w:t>
            </w:r>
            <w:r w:rsidRPr="008D5CD8">
              <w:rPr>
                <w:noProof/>
                <w:szCs w:val="22"/>
                <w:vertAlign w:val="superscript"/>
                <w:lang w:val="sr-Latn-CS"/>
              </w:rPr>
              <w:t>(1)</w:t>
            </w:r>
          </w:p>
        </w:tc>
        <w:tc>
          <w:tcPr>
            <w:tcW w:w="1844" w:type="dxa"/>
          </w:tcPr>
          <w:p w14:paraId="4D0EA206" w14:textId="77777777" w:rsidR="003A477D" w:rsidRPr="008D5CD8" w:rsidRDefault="003A477D" w:rsidP="008D5CD8">
            <w:pPr>
              <w:tabs>
                <w:tab w:val="left" w:pos="4111"/>
              </w:tabs>
              <w:rPr>
                <w:noProof/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>-</w:t>
            </w:r>
          </w:p>
        </w:tc>
        <w:tc>
          <w:tcPr>
            <w:tcW w:w="2549" w:type="dxa"/>
          </w:tcPr>
          <w:p w14:paraId="456AA3AF" w14:textId="1DC19A52" w:rsidR="003A477D" w:rsidRPr="00782AC7" w:rsidRDefault="003A477D" w:rsidP="008D5CD8">
            <w:pPr>
              <w:rPr>
                <w:szCs w:val="22"/>
                <w:lang w:val="sr-Latn-CS"/>
              </w:rPr>
            </w:pPr>
            <w:r w:rsidRPr="008D5CD8">
              <w:rPr>
                <w:noProof/>
                <w:szCs w:val="22"/>
                <w:lang w:val="sr-Latn-CS"/>
              </w:rPr>
              <w:t xml:space="preserve">7 do 14 mg/kg (0,07 do 0,14 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 xml:space="preserve">/kg) jednom dnevno </w:t>
            </w:r>
            <w:r w:rsidRPr="00782AC7">
              <w:rPr>
                <w:noProof/>
                <w:szCs w:val="22"/>
                <w:vertAlign w:val="superscript"/>
                <w:lang w:val="sr-Latn-CS"/>
              </w:rPr>
              <w:t>(</w:t>
            </w:r>
            <w:r w:rsidRPr="00782AC7">
              <w:rPr>
                <w:szCs w:val="22"/>
                <w:vertAlign w:val="superscript"/>
                <w:lang w:val="sr-Latn-CS"/>
              </w:rPr>
              <w:t>2) (4)</w:t>
            </w:r>
          </w:p>
        </w:tc>
        <w:tc>
          <w:tcPr>
            <w:tcW w:w="2979" w:type="dxa"/>
          </w:tcPr>
          <w:p w14:paraId="271652CF" w14:textId="274A0DB0" w:rsidR="003A477D" w:rsidRPr="00782AC7" w:rsidRDefault="003A477D" w:rsidP="004206CD">
            <w:pPr>
              <w:rPr>
                <w:szCs w:val="22"/>
                <w:lang w:val="sr-Latn-CS"/>
              </w:rPr>
            </w:pPr>
            <w:r w:rsidRPr="00704012">
              <w:rPr>
                <w:noProof/>
                <w:szCs w:val="22"/>
                <w:lang w:val="sr-Latn-CS"/>
              </w:rPr>
              <w:t>10 do 20 mg/kg (0,</w:t>
            </w:r>
            <w:r w:rsidRPr="008D5CD8">
              <w:rPr>
                <w:noProof/>
                <w:szCs w:val="22"/>
                <w:lang w:val="sr-Latn-CS"/>
              </w:rPr>
              <w:t>10 do 0,20 </w:t>
            </w:r>
            <w:r w:rsidR="00782AC7">
              <w:rPr>
                <w:noProof/>
                <w:szCs w:val="22"/>
                <w:lang w:val="sr-Latn-CS"/>
              </w:rPr>
              <w:t>ml</w:t>
            </w:r>
            <w:r w:rsidRPr="00782AC7">
              <w:rPr>
                <w:noProof/>
                <w:szCs w:val="22"/>
                <w:lang w:val="sr-Latn-CS"/>
              </w:rPr>
              <w:t xml:space="preserve">/kg) jednom dnevno </w:t>
            </w:r>
            <w:r w:rsidRPr="00782AC7">
              <w:rPr>
                <w:szCs w:val="22"/>
                <w:vertAlign w:val="superscript"/>
                <w:lang w:val="sr-Latn-CS"/>
              </w:rPr>
              <w:t>(3) (5)</w:t>
            </w:r>
          </w:p>
        </w:tc>
      </w:tr>
    </w:tbl>
    <w:p w14:paraId="51298FDB" w14:textId="40A22CD4" w:rsidR="003A477D" w:rsidRPr="00DA0B15" w:rsidRDefault="003A477D" w:rsidP="008D5CD8">
      <w:pPr>
        <w:tabs>
          <w:tab w:val="clear" w:pos="284"/>
          <w:tab w:val="left" w:pos="400"/>
          <w:tab w:val="left" w:pos="4111"/>
        </w:tabs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t>(1)</w:t>
      </w:r>
      <w:r w:rsidRPr="00DA0B15">
        <w:rPr>
          <w:noProof/>
          <w:szCs w:val="22"/>
          <w:lang w:val="sr-Latn-ME"/>
        </w:rPr>
        <w:t xml:space="preserve"> L</w:t>
      </w:r>
      <w:r w:rsidR="006A0FD4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 Keppra oralni rastvor treba da bude upotr</w:t>
      </w:r>
      <w:r w:rsidR="006A0FD4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ebljen za doze manje od 250 mg, za doze koje ni</w:t>
      </w:r>
      <w:r w:rsidR="006A0FD4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 xml:space="preserve">su </w:t>
      </w:r>
      <w:r w:rsidR="00FB6C61" w:rsidRPr="00DA0B15">
        <w:rPr>
          <w:noProof/>
          <w:szCs w:val="22"/>
          <w:lang w:val="sr-Latn-ME"/>
        </w:rPr>
        <w:t>bez ostatka d</w:t>
      </w:r>
      <w:r w:rsidR="006A0FD4" w:rsidRPr="00DA0B15">
        <w:rPr>
          <w:noProof/>
          <w:szCs w:val="22"/>
          <w:lang w:val="sr-Latn-ME"/>
        </w:rPr>
        <w:t>j</w:t>
      </w:r>
      <w:r w:rsidR="00FB6C61" w:rsidRPr="00DA0B15">
        <w:rPr>
          <w:noProof/>
          <w:szCs w:val="22"/>
          <w:lang w:val="sr-Latn-ME"/>
        </w:rPr>
        <w:t xml:space="preserve">eljive sa </w:t>
      </w:r>
      <w:r w:rsidRPr="00DA0B15">
        <w:rPr>
          <w:noProof/>
          <w:szCs w:val="22"/>
          <w:lang w:val="sr-Latn-ME"/>
        </w:rPr>
        <w:t>250 mg</w:t>
      </w:r>
      <w:r w:rsidR="00C84A47" w:rsidRPr="00DA0B15">
        <w:rPr>
          <w:noProof/>
          <w:szCs w:val="22"/>
          <w:lang w:val="sr-Latn-ME"/>
        </w:rPr>
        <w:t xml:space="preserve">, </w:t>
      </w:r>
      <w:r w:rsidRPr="00DA0B15">
        <w:rPr>
          <w:noProof/>
          <w:szCs w:val="22"/>
          <w:lang w:val="sr-Latn-ME"/>
        </w:rPr>
        <w:t>kada preporučeno doziranje ne može biti postignuto uzimanjem većeg broja tableta i za pacijente koji ni</w:t>
      </w:r>
      <w:r w:rsidR="006A0FD4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u mogućnosti da progutaju tablete.</w:t>
      </w:r>
    </w:p>
    <w:p w14:paraId="42809661" w14:textId="5EFBE0DE" w:rsidR="003A477D" w:rsidRPr="00DA0B15" w:rsidRDefault="003A477D" w:rsidP="008D5CD8">
      <w:pPr>
        <w:tabs>
          <w:tab w:val="clear" w:pos="284"/>
          <w:tab w:val="left" w:pos="400"/>
          <w:tab w:val="left" w:pos="4111"/>
        </w:tabs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t>(2)</w:t>
      </w:r>
      <w:r w:rsidRPr="00DA0B15">
        <w:rPr>
          <w:noProof/>
          <w:szCs w:val="22"/>
          <w:lang w:val="sr-Latn-ME"/>
        </w:rPr>
        <w:t xml:space="preserve"> Udarna doza od 10,5 mg/kg (0,105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/kg) se preporučuje prv</w:t>
      </w:r>
      <w:r w:rsidR="00FB6C61" w:rsidRPr="00DA0B15">
        <w:rPr>
          <w:noProof/>
          <w:szCs w:val="22"/>
          <w:lang w:val="sr-Latn-ME"/>
        </w:rPr>
        <w:t>og</w:t>
      </w:r>
      <w:r w:rsidRPr="00DA0B15">
        <w:rPr>
          <w:noProof/>
          <w:szCs w:val="22"/>
          <w:lang w:val="sr-Latn-ME"/>
        </w:rPr>
        <w:t xml:space="preserve"> dan</w:t>
      </w:r>
      <w:r w:rsidR="00FB6C61" w:rsidRPr="00DA0B15">
        <w:rPr>
          <w:noProof/>
          <w:szCs w:val="22"/>
          <w:lang w:val="sr-Latn-ME"/>
        </w:rPr>
        <w:t>a</w:t>
      </w:r>
      <w:r w:rsidRPr="00DA0B15">
        <w:rPr>
          <w:noProof/>
          <w:szCs w:val="22"/>
          <w:lang w:val="sr-Latn-ME"/>
        </w:rPr>
        <w:t xml:space="preserve"> l</w:t>
      </w:r>
      <w:r w:rsidR="006A0FD4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levetiracetamom.</w:t>
      </w:r>
    </w:p>
    <w:p w14:paraId="5A15EE90" w14:textId="7FEE8CDF" w:rsidR="003A477D" w:rsidRPr="00DA0B15" w:rsidRDefault="003A477D" w:rsidP="008D5CD8">
      <w:pPr>
        <w:tabs>
          <w:tab w:val="clear" w:pos="284"/>
          <w:tab w:val="left" w:pos="400"/>
          <w:tab w:val="left" w:pos="4111"/>
        </w:tabs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t>(3)</w:t>
      </w:r>
      <w:r w:rsidRPr="00DA0B15">
        <w:rPr>
          <w:noProof/>
          <w:szCs w:val="22"/>
          <w:lang w:val="sr-Latn-ME"/>
        </w:rPr>
        <w:t xml:space="preserve"> Udarna doza od 15 mg/kg (0,15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/kg) se preporučuje prv</w:t>
      </w:r>
      <w:r w:rsidR="00FB6C61" w:rsidRPr="00DA0B15">
        <w:rPr>
          <w:noProof/>
          <w:szCs w:val="22"/>
          <w:lang w:val="sr-Latn-ME"/>
        </w:rPr>
        <w:t>og</w:t>
      </w:r>
      <w:r w:rsidRPr="00DA0B15">
        <w:rPr>
          <w:noProof/>
          <w:szCs w:val="22"/>
          <w:lang w:val="sr-Latn-ME"/>
        </w:rPr>
        <w:t xml:space="preserve"> dan</w:t>
      </w:r>
      <w:r w:rsidR="00FB6C61" w:rsidRPr="00DA0B15">
        <w:rPr>
          <w:noProof/>
          <w:szCs w:val="22"/>
          <w:lang w:val="sr-Latn-ME"/>
        </w:rPr>
        <w:t>a</w:t>
      </w:r>
      <w:r w:rsidRPr="00DA0B15">
        <w:rPr>
          <w:noProof/>
          <w:szCs w:val="22"/>
          <w:lang w:val="sr-Latn-ME"/>
        </w:rPr>
        <w:t xml:space="preserve"> l</w:t>
      </w:r>
      <w:r w:rsidR="00DD135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levetiracetamom.</w:t>
      </w:r>
    </w:p>
    <w:p w14:paraId="166DF6A9" w14:textId="7D9F3A3F" w:rsidR="003A477D" w:rsidRPr="00DA0B15" w:rsidRDefault="003A477D" w:rsidP="004206CD">
      <w:pPr>
        <w:tabs>
          <w:tab w:val="clear" w:pos="284"/>
          <w:tab w:val="left" w:pos="400"/>
          <w:tab w:val="left" w:pos="4111"/>
        </w:tabs>
        <w:rPr>
          <w:noProof/>
          <w:szCs w:val="22"/>
          <w:lang w:val="sr-Latn-ME"/>
        </w:rPr>
      </w:pPr>
      <w:r w:rsidRPr="00DA0B15">
        <w:rPr>
          <w:noProof/>
          <w:szCs w:val="22"/>
          <w:vertAlign w:val="superscript"/>
          <w:lang w:val="sr-Latn-ME"/>
        </w:rPr>
        <w:t>(4)</w:t>
      </w:r>
      <w:r w:rsidRPr="00DA0B15">
        <w:rPr>
          <w:noProof/>
          <w:szCs w:val="22"/>
          <w:lang w:val="sr-Latn-ME"/>
        </w:rPr>
        <w:t xml:space="preserve"> Nakon dijalize, preporučuje se dodatna doza od 3,5 do 7 mg/kg (0,035 do 0,07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/kg).</w:t>
      </w:r>
    </w:p>
    <w:p w14:paraId="7E08D169" w14:textId="3E72E570" w:rsidR="0098466C" w:rsidRPr="00782AC7" w:rsidRDefault="003A477D" w:rsidP="00DA0B15">
      <w:pPr>
        <w:tabs>
          <w:tab w:val="clear" w:pos="284"/>
          <w:tab w:val="left" w:pos="400"/>
          <w:tab w:val="left" w:pos="4111"/>
        </w:tabs>
        <w:rPr>
          <w:szCs w:val="22"/>
        </w:rPr>
      </w:pPr>
      <w:r w:rsidRPr="00DA0B15">
        <w:rPr>
          <w:noProof/>
          <w:szCs w:val="22"/>
          <w:vertAlign w:val="superscript"/>
          <w:lang w:val="sr-Latn-ME"/>
        </w:rPr>
        <w:t>(5)</w:t>
      </w:r>
      <w:r w:rsidRPr="00DA0B15">
        <w:rPr>
          <w:noProof/>
          <w:szCs w:val="22"/>
          <w:lang w:val="sr-Latn-ME"/>
        </w:rPr>
        <w:t xml:space="preserve"> Nakon dijalize, preporučuje se dodatna doza od 5 do 10 mg/kg (0,05 do 0,10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/kg).</w:t>
      </w:r>
    </w:p>
    <w:p w14:paraId="28D43EE0" w14:textId="77777777" w:rsidR="00C84A47" w:rsidRPr="00704012" w:rsidRDefault="00C84A47" w:rsidP="008B0134">
      <w:pPr>
        <w:rPr>
          <w:szCs w:val="22"/>
        </w:rPr>
      </w:pPr>
    </w:p>
    <w:p w14:paraId="717CD018" w14:textId="77777777" w:rsidR="003A477D" w:rsidRPr="00DA0B15" w:rsidRDefault="00C84A47" w:rsidP="008B0134">
      <w:pPr>
        <w:rPr>
          <w:i/>
          <w:noProof/>
          <w:szCs w:val="22"/>
          <w:lang w:val="sr-Latn-ME"/>
        </w:rPr>
      </w:pPr>
      <w:r w:rsidRPr="00DA0B15">
        <w:rPr>
          <w:i/>
          <w:noProof/>
          <w:szCs w:val="22"/>
          <w:lang w:val="sr-Latn-ME"/>
        </w:rPr>
        <w:t>Oštećena funkcija jetre</w:t>
      </w:r>
    </w:p>
    <w:p w14:paraId="5C4815D0" w14:textId="77777777" w:rsidR="003E3B4A" w:rsidRPr="00DA0B15" w:rsidRDefault="003E3B4A" w:rsidP="008B0134">
      <w:pPr>
        <w:rPr>
          <w:noProof/>
          <w:szCs w:val="22"/>
          <w:u w:val="single"/>
          <w:lang w:val="sr-Latn-ME"/>
        </w:rPr>
      </w:pPr>
    </w:p>
    <w:p w14:paraId="5479B862" w14:textId="3CF11B54" w:rsidR="003A477D" w:rsidRPr="00DA0B15" w:rsidRDefault="003A477D" w:rsidP="008B0134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Prilagođavanje doze nije potrebno kod pacijenata sa blagom do um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erenom hepatičkom </w:t>
      </w:r>
      <w:r w:rsidRPr="00DA0B15">
        <w:rPr>
          <w:szCs w:val="22"/>
          <w:lang w:val="sr-Latn-ME"/>
        </w:rPr>
        <w:t>insuficijencijom</w:t>
      </w:r>
      <w:r w:rsidRPr="00DA0B15">
        <w:rPr>
          <w:noProof/>
          <w:szCs w:val="22"/>
          <w:lang w:val="sr-Latn-ME"/>
        </w:rPr>
        <w:t xml:space="preserve">. Kod pacijenata sa teškom hepatičkom </w:t>
      </w:r>
      <w:r w:rsidRPr="00DA0B15">
        <w:rPr>
          <w:szCs w:val="22"/>
          <w:lang w:val="sr-Latn-ME"/>
        </w:rPr>
        <w:t>insuficijencijom</w:t>
      </w:r>
      <w:r w:rsidRPr="00DA0B15">
        <w:rPr>
          <w:noProof/>
          <w:szCs w:val="22"/>
          <w:lang w:val="sr-Latn-ME"/>
        </w:rPr>
        <w:t xml:space="preserve">, klirens kreatinina može prikriti renalnu insuficijenciju. Zato se preporučuje smanjenje dnevne doze održavanja za 50% kada je klirens kreatinina &lt;60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/min/1,73 m².</w:t>
      </w:r>
    </w:p>
    <w:p w14:paraId="5CA3700D" w14:textId="77777777" w:rsidR="003A477D" w:rsidRPr="00DA0B15" w:rsidRDefault="003A477D" w:rsidP="00782AC7">
      <w:pPr>
        <w:rPr>
          <w:szCs w:val="22"/>
          <w:lang w:val="sr-Latn-ME"/>
        </w:rPr>
      </w:pPr>
    </w:p>
    <w:p w14:paraId="050E8482" w14:textId="77777777" w:rsidR="003A477D" w:rsidRPr="00DA0B15" w:rsidRDefault="003A477D" w:rsidP="00782AC7">
      <w:pPr>
        <w:rPr>
          <w:szCs w:val="22"/>
          <w:u w:val="single"/>
          <w:lang w:val="sr-Latn-ME"/>
        </w:rPr>
      </w:pPr>
      <w:r w:rsidRPr="00DA0B15">
        <w:rPr>
          <w:szCs w:val="22"/>
          <w:u w:val="single"/>
          <w:lang w:val="sr-Latn-ME"/>
        </w:rPr>
        <w:t>Pedijatrijska populacija</w:t>
      </w:r>
    </w:p>
    <w:p w14:paraId="18FE2447" w14:textId="77777777" w:rsidR="003A477D" w:rsidRPr="00DA0B15" w:rsidRDefault="003A477D" w:rsidP="00782AC7">
      <w:pPr>
        <w:rPr>
          <w:szCs w:val="22"/>
          <w:lang w:val="sr-Latn-ME"/>
        </w:rPr>
      </w:pPr>
    </w:p>
    <w:p w14:paraId="68C28258" w14:textId="664EC25A" w:rsidR="003A477D" w:rsidRPr="00DA0B15" w:rsidRDefault="003A477D" w:rsidP="00782AC7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L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ekar treba da propiše najprikladniji farmaceutski oblik, pakovanje i jačinu u skladu sa uzrastom, t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elesnom masom i dozom.</w:t>
      </w:r>
    </w:p>
    <w:p w14:paraId="090F5FE9" w14:textId="77777777" w:rsidR="003A477D" w:rsidRPr="00DA0B15" w:rsidRDefault="003A477D" w:rsidP="00782AC7">
      <w:pPr>
        <w:rPr>
          <w:szCs w:val="22"/>
          <w:lang w:val="sr-Latn-ME"/>
        </w:rPr>
      </w:pPr>
    </w:p>
    <w:p w14:paraId="2DDF1D60" w14:textId="08B23924" w:rsidR="003A477D" w:rsidRPr="00DA0B15" w:rsidRDefault="003A477D" w:rsidP="00704012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Formulacija tablete nije prilagođena za upotrebu kod odojčadi i d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ece </w:t>
      </w:r>
      <w:r w:rsidR="00782AC7" w:rsidRPr="00DA0B15">
        <w:rPr>
          <w:bCs/>
          <w:color w:val="262626"/>
          <w:szCs w:val="22"/>
          <w:lang w:val="sr-Latn-ME"/>
        </w:rPr>
        <w:t>ml</w:t>
      </w:r>
      <w:r w:rsidR="006137DB" w:rsidRPr="00DA0B15">
        <w:rPr>
          <w:bCs/>
          <w:color w:val="262626"/>
          <w:szCs w:val="22"/>
          <w:lang w:val="sr-Latn-ME"/>
        </w:rPr>
        <w:t xml:space="preserve">ađe od </w:t>
      </w:r>
      <w:r w:rsidRPr="00DA0B15">
        <w:rPr>
          <w:noProof/>
          <w:szCs w:val="22"/>
          <w:lang w:val="sr-Latn-ME"/>
        </w:rPr>
        <w:t>6 godina. L</w:t>
      </w:r>
      <w:r w:rsidR="00DD135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 Keppra oralni rastvor je poželjna formulacija za prim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enu kod ove populacije. Pored toga, dostupne jačine tableta ni</w:t>
      </w:r>
      <w:r w:rsidR="00DD1357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prikladne za početno l</w:t>
      </w:r>
      <w:r w:rsidR="00DD135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 d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t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elesne mase manje od 25 kg, za pacijente koji ni</w:t>
      </w:r>
      <w:r w:rsidR="00DD1357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u mogućnosti da progutaju tablete ili za prim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enu doza manjih od 250 mg. U svim </w:t>
      </w:r>
      <w:r w:rsidR="006137DB" w:rsidRPr="00DA0B15">
        <w:rPr>
          <w:noProof/>
          <w:szCs w:val="22"/>
          <w:lang w:val="sr-Latn-ME"/>
        </w:rPr>
        <w:t xml:space="preserve">prethodno </w:t>
      </w:r>
      <w:r w:rsidRPr="00DA0B15">
        <w:rPr>
          <w:noProof/>
          <w:szCs w:val="22"/>
          <w:lang w:val="sr-Latn-ME"/>
        </w:rPr>
        <w:t>navedenim slučajevima treba koristiti l</w:t>
      </w:r>
      <w:r w:rsidR="00DD135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 Keppra oralni rastvor.</w:t>
      </w:r>
    </w:p>
    <w:p w14:paraId="6376BA66" w14:textId="77777777" w:rsidR="003A477D" w:rsidRPr="00DA0B15" w:rsidRDefault="003A477D">
      <w:pPr>
        <w:rPr>
          <w:szCs w:val="22"/>
          <w:lang w:val="sr-Latn-ME"/>
        </w:rPr>
      </w:pPr>
    </w:p>
    <w:p w14:paraId="5CD9C2AE" w14:textId="77777777" w:rsidR="003A477D" w:rsidRPr="00DA0B15" w:rsidRDefault="003A477D">
      <w:pPr>
        <w:rPr>
          <w:i/>
          <w:szCs w:val="22"/>
          <w:lang w:val="sr-Latn-ME"/>
        </w:rPr>
      </w:pPr>
      <w:r w:rsidRPr="00DA0B15">
        <w:rPr>
          <w:i/>
          <w:szCs w:val="22"/>
          <w:lang w:val="sr-Latn-ME"/>
        </w:rPr>
        <w:t>Monoterapija</w:t>
      </w:r>
    </w:p>
    <w:p w14:paraId="290E6F12" w14:textId="77777777" w:rsidR="003A477D" w:rsidRPr="00DA0B15" w:rsidRDefault="003A477D">
      <w:pPr>
        <w:rPr>
          <w:szCs w:val="22"/>
          <w:lang w:val="sr-Latn-ME"/>
        </w:rPr>
      </w:pPr>
    </w:p>
    <w:p w14:paraId="29C7C18F" w14:textId="3846C277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Bezb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ednost i efikasnost l</w:t>
      </w:r>
      <w:r w:rsidR="00DD135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eka Keppra kao monoterapije kod d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 xml:space="preserve">ece i adolescenata </w:t>
      </w:r>
      <w:r w:rsidR="00782AC7" w:rsidRPr="00DA0B15">
        <w:rPr>
          <w:szCs w:val="22"/>
          <w:lang w:val="sr-Latn-ME"/>
        </w:rPr>
        <w:t>ml</w:t>
      </w:r>
      <w:r w:rsidR="002D01C0" w:rsidRPr="00DA0B15">
        <w:rPr>
          <w:szCs w:val="22"/>
          <w:lang w:val="sr-Latn-ME"/>
        </w:rPr>
        <w:t>ađih</w:t>
      </w:r>
      <w:r w:rsidR="006137DB" w:rsidRPr="00DA0B15">
        <w:rPr>
          <w:szCs w:val="22"/>
          <w:lang w:val="sr-Latn-ME"/>
        </w:rPr>
        <w:t xml:space="preserve"> od </w:t>
      </w:r>
      <w:r w:rsidRPr="00DA0B15">
        <w:rPr>
          <w:szCs w:val="22"/>
          <w:lang w:val="sr-Latn-ME"/>
        </w:rPr>
        <w:t>16</w:t>
      </w:r>
      <w:r w:rsidR="008275CC" w:rsidRPr="00DA0B15">
        <w:rPr>
          <w:szCs w:val="22"/>
          <w:lang w:val="sr-Latn-ME"/>
        </w:rPr>
        <w:t xml:space="preserve"> </w:t>
      </w:r>
      <w:r w:rsidRPr="00DA0B15">
        <w:rPr>
          <w:szCs w:val="22"/>
          <w:lang w:val="sr-Latn-ME"/>
        </w:rPr>
        <w:t>godin</w:t>
      </w:r>
      <w:r w:rsidR="00666BAB" w:rsidRPr="00DA0B15">
        <w:rPr>
          <w:szCs w:val="22"/>
          <w:lang w:val="sr-Latn-ME"/>
        </w:rPr>
        <w:t>a</w:t>
      </w:r>
      <w:r w:rsidRPr="00DA0B15">
        <w:rPr>
          <w:szCs w:val="22"/>
          <w:lang w:val="sr-Latn-ME"/>
        </w:rPr>
        <w:t xml:space="preserve"> još uv</w:t>
      </w:r>
      <w:r w:rsidR="00DD135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ek nije ustanovljena.</w:t>
      </w:r>
    </w:p>
    <w:p w14:paraId="6F595161" w14:textId="77777777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Nema dostupnih podataka.</w:t>
      </w:r>
    </w:p>
    <w:p w14:paraId="5093EC8D" w14:textId="77777777" w:rsidR="003A477D" w:rsidRPr="00DA0B15" w:rsidRDefault="003A477D">
      <w:pPr>
        <w:rPr>
          <w:szCs w:val="22"/>
          <w:lang w:val="sr-Latn-ME"/>
        </w:rPr>
      </w:pPr>
    </w:p>
    <w:p w14:paraId="55E6AFDE" w14:textId="0D6A69CE" w:rsidR="003A477D" w:rsidRPr="00DA0B15" w:rsidRDefault="003A477D">
      <w:pPr>
        <w:rPr>
          <w:i/>
          <w:szCs w:val="22"/>
          <w:lang w:val="sr-Latn-ME"/>
        </w:rPr>
      </w:pPr>
      <w:r w:rsidRPr="00DA0B15">
        <w:rPr>
          <w:i/>
          <w:szCs w:val="22"/>
          <w:lang w:val="sr-Latn-ME"/>
        </w:rPr>
        <w:t xml:space="preserve">Dodatna terapija za </w:t>
      </w:r>
      <w:r w:rsidR="006137DB" w:rsidRPr="00DA0B15">
        <w:rPr>
          <w:i/>
          <w:color w:val="262626"/>
          <w:szCs w:val="22"/>
          <w:lang w:val="sr-Latn-ME"/>
        </w:rPr>
        <w:t xml:space="preserve">odojčad </w:t>
      </w:r>
      <w:r w:rsidRPr="00DA0B15">
        <w:rPr>
          <w:i/>
          <w:szCs w:val="22"/>
          <w:lang w:val="sr-Latn-ME"/>
        </w:rPr>
        <w:t>uzrasta od 6 m</w:t>
      </w:r>
      <w:r w:rsidR="00DD1357" w:rsidRPr="00DA0B15">
        <w:rPr>
          <w:i/>
          <w:szCs w:val="22"/>
          <w:lang w:val="sr-Latn-ME"/>
        </w:rPr>
        <w:t>j</w:t>
      </w:r>
      <w:r w:rsidRPr="00DA0B15">
        <w:rPr>
          <w:i/>
          <w:szCs w:val="22"/>
          <w:lang w:val="sr-Latn-ME"/>
        </w:rPr>
        <w:t>eseci do 11 godina i adolescenata uzrasta od 12 do 17 godina t</w:t>
      </w:r>
      <w:r w:rsidR="00DD1357" w:rsidRPr="00DA0B15">
        <w:rPr>
          <w:i/>
          <w:szCs w:val="22"/>
          <w:lang w:val="sr-Latn-ME"/>
        </w:rPr>
        <w:t>j</w:t>
      </w:r>
      <w:r w:rsidRPr="00DA0B15">
        <w:rPr>
          <w:i/>
          <w:szCs w:val="22"/>
          <w:lang w:val="sr-Latn-ME"/>
        </w:rPr>
        <w:t>elesne mase manje od 50 kg</w:t>
      </w:r>
    </w:p>
    <w:p w14:paraId="0DF5BEE7" w14:textId="77777777" w:rsidR="003A477D" w:rsidRPr="00DA0B15" w:rsidRDefault="003A477D">
      <w:pPr>
        <w:rPr>
          <w:szCs w:val="22"/>
          <w:lang w:val="sr-Latn-ME"/>
        </w:rPr>
      </w:pPr>
    </w:p>
    <w:p w14:paraId="27A962EF" w14:textId="0D9F2567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L</w:t>
      </w:r>
      <w:r w:rsidR="00DD135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ek Keppra oralni rastvor je poželjna formulacija za upotrebu kod odojčadi i d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 xml:space="preserve">ece </w:t>
      </w:r>
      <w:r w:rsidR="00782AC7" w:rsidRPr="00DA0B15">
        <w:rPr>
          <w:color w:val="262626"/>
          <w:szCs w:val="22"/>
          <w:lang w:val="sr-Latn-ME"/>
        </w:rPr>
        <w:t>ml</w:t>
      </w:r>
      <w:r w:rsidR="00964326" w:rsidRPr="00DA0B15">
        <w:rPr>
          <w:color w:val="262626"/>
          <w:szCs w:val="22"/>
          <w:lang w:val="sr-Latn-ME"/>
        </w:rPr>
        <w:t>ađe od</w:t>
      </w:r>
      <w:r w:rsidRPr="00DA0B15">
        <w:rPr>
          <w:szCs w:val="22"/>
          <w:lang w:val="sr-Latn-ME"/>
        </w:rPr>
        <w:t xml:space="preserve"> 6 godina.</w:t>
      </w:r>
    </w:p>
    <w:p w14:paraId="28453B73" w14:textId="77777777" w:rsidR="003A477D" w:rsidRPr="00DA0B15" w:rsidRDefault="003A477D">
      <w:pPr>
        <w:rPr>
          <w:szCs w:val="22"/>
          <w:lang w:val="sr-Latn-ME"/>
        </w:rPr>
      </w:pPr>
    </w:p>
    <w:p w14:paraId="03066F57" w14:textId="7723155B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Za d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ecu uzrasta od 6 godina i više, l</w:t>
      </w:r>
      <w:r w:rsidR="00DD135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ek Keppra oralni rastvor treba prim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enjivati za doze manje od 250 mg, doze koje ni</w:t>
      </w:r>
      <w:r w:rsidR="00DD1357" w:rsidRPr="00DA0B15">
        <w:rPr>
          <w:szCs w:val="22"/>
          <w:lang w:val="sr-Latn-ME"/>
        </w:rPr>
        <w:t>je</w:t>
      </w:r>
      <w:r w:rsidRPr="00DA0B15">
        <w:rPr>
          <w:szCs w:val="22"/>
          <w:lang w:val="sr-Latn-ME"/>
        </w:rPr>
        <w:t xml:space="preserve">su </w:t>
      </w:r>
      <w:r w:rsidR="00666BAB" w:rsidRPr="00DA0B15">
        <w:rPr>
          <w:szCs w:val="22"/>
          <w:lang w:val="sr-Latn-ME"/>
        </w:rPr>
        <w:t>bez ostatka d</w:t>
      </w:r>
      <w:r w:rsidR="00DD1357" w:rsidRPr="00DA0B15">
        <w:rPr>
          <w:szCs w:val="22"/>
          <w:lang w:val="sr-Latn-ME"/>
        </w:rPr>
        <w:t>j</w:t>
      </w:r>
      <w:r w:rsidR="00666BAB" w:rsidRPr="00DA0B15">
        <w:rPr>
          <w:szCs w:val="22"/>
          <w:lang w:val="sr-Latn-ME"/>
        </w:rPr>
        <w:t xml:space="preserve">eljive sa </w:t>
      </w:r>
      <w:r w:rsidRPr="00DA0B15">
        <w:rPr>
          <w:szCs w:val="22"/>
          <w:lang w:val="sr-Latn-ME"/>
        </w:rPr>
        <w:t>250 mg</w:t>
      </w:r>
      <w:r w:rsidR="002B2E11" w:rsidRPr="00DA0B15">
        <w:rPr>
          <w:szCs w:val="22"/>
          <w:lang w:val="sr-Latn-ME"/>
        </w:rPr>
        <w:t>,</w:t>
      </w:r>
      <w:r w:rsidRPr="00DA0B15">
        <w:rPr>
          <w:szCs w:val="22"/>
          <w:lang w:val="sr-Latn-ME"/>
        </w:rPr>
        <w:t xml:space="preserve"> kada preporučeno doziranje ne može biti postignuto uzimanjem većeg broja tableta i za pacijente koji ni</w:t>
      </w:r>
      <w:r w:rsidR="00DD1357" w:rsidRPr="00DA0B15">
        <w:rPr>
          <w:szCs w:val="22"/>
          <w:lang w:val="sr-Latn-ME"/>
        </w:rPr>
        <w:t>je</w:t>
      </w:r>
      <w:r w:rsidRPr="00DA0B15">
        <w:rPr>
          <w:szCs w:val="22"/>
          <w:lang w:val="sr-Latn-ME"/>
        </w:rPr>
        <w:t>su u mogućnosti da progutaju tablete.</w:t>
      </w:r>
    </w:p>
    <w:p w14:paraId="28EA17CD" w14:textId="77777777" w:rsidR="003A477D" w:rsidRPr="00DA0B15" w:rsidRDefault="003A477D">
      <w:pPr>
        <w:rPr>
          <w:szCs w:val="22"/>
          <w:lang w:val="sr-Latn-ME"/>
        </w:rPr>
      </w:pPr>
    </w:p>
    <w:p w14:paraId="379FD9FC" w14:textId="0C78CA44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Treba prim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enjivati najmanju efektivnu dozu. Početna doza za d</w:t>
      </w:r>
      <w:r w:rsidR="00DD135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ete ili adolescenta od 25 kg treba da bude 250 mg dva puta dnevno uz maksimalnu dozu od 750 mg dva puta dnevno.</w:t>
      </w:r>
    </w:p>
    <w:p w14:paraId="0A7A601B" w14:textId="10F43BB1" w:rsidR="003A477D" w:rsidRPr="00DA0B15" w:rsidRDefault="003A477D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Doza kod d</w:t>
      </w:r>
      <w:r w:rsidR="00DD135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ece od 50 kg ili više ista je kao kod odraslih.</w:t>
      </w:r>
    </w:p>
    <w:p w14:paraId="13C5B132" w14:textId="77777777" w:rsidR="003A477D" w:rsidRPr="00DA0B15" w:rsidRDefault="003A477D">
      <w:pPr>
        <w:rPr>
          <w:noProof/>
          <w:szCs w:val="22"/>
          <w:lang w:val="sr-Latn-ME"/>
        </w:rPr>
      </w:pPr>
    </w:p>
    <w:p w14:paraId="222B8649" w14:textId="713FB44C" w:rsidR="003A477D" w:rsidRPr="00DA0B15" w:rsidRDefault="003A477D">
      <w:pPr>
        <w:rPr>
          <w:i/>
          <w:szCs w:val="22"/>
          <w:lang w:val="sr-Latn-ME"/>
        </w:rPr>
      </w:pPr>
      <w:r w:rsidRPr="00DA0B15">
        <w:rPr>
          <w:i/>
          <w:szCs w:val="22"/>
          <w:lang w:val="sr-Latn-ME"/>
        </w:rPr>
        <w:t>Dodatna terapija</w:t>
      </w:r>
      <w:r w:rsidRPr="00DA0B15">
        <w:rPr>
          <w:i/>
          <w:noProof/>
          <w:szCs w:val="22"/>
          <w:lang w:val="sr-Latn-ME"/>
        </w:rPr>
        <w:t xml:space="preserve"> za odojčad</w:t>
      </w:r>
      <w:r w:rsidRPr="00DA0B15">
        <w:rPr>
          <w:i/>
          <w:szCs w:val="22"/>
          <w:lang w:val="sr-Latn-ME"/>
        </w:rPr>
        <w:t xml:space="preserve"> uzrasta od 1 m</w:t>
      </w:r>
      <w:r w:rsidR="00DD1357" w:rsidRPr="00DA0B15">
        <w:rPr>
          <w:i/>
          <w:szCs w:val="22"/>
          <w:lang w:val="sr-Latn-ME"/>
        </w:rPr>
        <w:t>j</w:t>
      </w:r>
      <w:r w:rsidRPr="00DA0B15">
        <w:rPr>
          <w:i/>
          <w:szCs w:val="22"/>
          <w:lang w:val="sr-Latn-ME"/>
        </w:rPr>
        <w:t>eseca do manje od 6 m</w:t>
      </w:r>
      <w:r w:rsidR="00DD1357" w:rsidRPr="00DA0B15">
        <w:rPr>
          <w:i/>
          <w:szCs w:val="22"/>
          <w:lang w:val="sr-Latn-ME"/>
        </w:rPr>
        <w:t>j</w:t>
      </w:r>
      <w:r w:rsidRPr="00DA0B15">
        <w:rPr>
          <w:i/>
          <w:szCs w:val="22"/>
          <w:lang w:val="sr-Latn-ME"/>
        </w:rPr>
        <w:t>eseci</w:t>
      </w:r>
    </w:p>
    <w:p w14:paraId="7ACB5E0E" w14:textId="77777777" w:rsidR="003A477D" w:rsidRPr="00DA0B15" w:rsidRDefault="003A477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Oralni rastvor je formulacija koja se koristi kod odojčadi.</w:t>
      </w:r>
    </w:p>
    <w:p w14:paraId="66E4407C" w14:textId="77777777" w:rsidR="003A477D" w:rsidRPr="00DA0B15" w:rsidRDefault="003A477D">
      <w:pPr>
        <w:rPr>
          <w:noProof/>
          <w:szCs w:val="22"/>
          <w:lang w:val="sr-Latn-ME"/>
        </w:rPr>
      </w:pPr>
    </w:p>
    <w:p w14:paraId="5D8AC98F" w14:textId="092A363C" w:rsidR="003A477D" w:rsidRPr="00DA0B15" w:rsidRDefault="003A477D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Način prim</w:t>
      </w:r>
      <w:r w:rsidR="00A27DBE" w:rsidRPr="00DA0B15">
        <w:rPr>
          <w:noProof/>
          <w:szCs w:val="22"/>
          <w:u w:val="single"/>
          <w:lang w:val="sr-Latn-ME"/>
        </w:rPr>
        <w:t>j</w:t>
      </w:r>
      <w:r w:rsidRPr="00DA0B15">
        <w:rPr>
          <w:noProof/>
          <w:szCs w:val="22"/>
          <w:u w:val="single"/>
          <w:lang w:val="sr-Latn-ME"/>
        </w:rPr>
        <w:t>ene</w:t>
      </w:r>
    </w:p>
    <w:p w14:paraId="52C4E522" w14:textId="77777777" w:rsidR="00A27DBE" w:rsidRPr="00DA0B15" w:rsidRDefault="00A27DBE">
      <w:pPr>
        <w:rPr>
          <w:noProof/>
          <w:szCs w:val="22"/>
          <w:u w:val="single"/>
          <w:lang w:val="sr-Latn-ME"/>
        </w:rPr>
      </w:pPr>
    </w:p>
    <w:p w14:paraId="30635E19" w14:textId="76CC0707" w:rsidR="003A477D" w:rsidRPr="00DA0B15" w:rsidRDefault="003A477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Film tablete se moraju uzimati oralno, progutati sa dovoljnom količinom tečnosti i mogu se uzimati sa hran</w:t>
      </w:r>
      <w:r w:rsidR="00964326" w:rsidRPr="00DA0B15">
        <w:rPr>
          <w:noProof/>
          <w:szCs w:val="22"/>
          <w:lang w:val="sr-Latn-ME"/>
        </w:rPr>
        <w:t>om ili bez nje</w:t>
      </w:r>
      <w:r w:rsidRPr="00DA0B15">
        <w:rPr>
          <w:noProof/>
          <w:szCs w:val="22"/>
          <w:lang w:val="sr-Latn-ME"/>
        </w:rPr>
        <w:t>. Nakon oralne prim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može se očekivati gorak ukus levetiracetama. Dnevna doza se prim</w:t>
      </w:r>
      <w:r w:rsidR="0056707E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enjuje pod</w:t>
      </w:r>
      <w:r w:rsidR="0056707E" w:rsidRPr="00DA0B15">
        <w:rPr>
          <w:noProof/>
          <w:szCs w:val="22"/>
          <w:lang w:val="sr-Latn-ME"/>
        </w:rPr>
        <w:t>i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eljena u dv</w:t>
      </w:r>
      <w:r w:rsidR="00DD135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jednake doze.</w:t>
      </w:r>
    </w:p>
    <w:p w14:paraId="6F1DB52E" w14:textId="77777777" w:rsidR="00CE09F3" w:rsidRPr="00DA0B15" w:rsidRDefault="00CE09F3">
      <w:pPr>
        <w:rPr>
          <w:szCs w:val="22"/>
          <w:lang w:val="sr-Latn-ME"/>
        </w:rPr>
      </w:pPr>
    </w:p>
    <w:p w14:paraId="61BC8638" w14:textId="0AE6C519" w:rsidR="00CE09F3" w:rsidRPr="00DA0B15" w:rsidRDefault="009B1F6B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4.3. </w:t>
      </w:r>
      <w:r w:rsidRPr="00DA0B15">
        <w:rPr>
          <w:b/>
          <w:bCs/>
          <w:szCs w:val="22"/>
          <w:lang w:val="sr-Latn-ME"/>
        </w:rPr>
        <w:tab/>
        <w:t xml:space="preserve">Kontraindikacije </w:t>
      </w:r>
    </w:p>
    <w:p w14:paraId="1875EA63" w14:textId="77777777" w:rsidR="00CE09F3" w:rsidRPr="00DA0B15" w:rsidRDefault="00CE09F3">
      <w:pPr>
        <w:rPr>
          <w:szCs w:val="22"/>
          <w:lang w:val="sr-Latn-ME"/>
        </w:rPr>
      </w:pPr>
    </w:p>
    <w:p w14:paraId="7EAD9BD9" w14:textId="262AC571" w:rsidR="003A477D" w:rsidRPr="00DA0B15" w:rsidRDefault="003A477D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Preos</w:t>
      </w:r>
      <w:r w:rsidR="00DD135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etljivost na aktivnu supstancu ili druge derivate pirolidona ili </w:t>
      </w:r>
      <w:r w:rsidR="00782AC7" w:rsidRPr="00DA0B15">
        <w:rPr>
          <w:noProof/>
          <w:szCs w:val="22"/>
          <w:lang w:val="sr-Latn-ME"/>
        </w:rPr>
        <w:t xml:space="preserve">na </w:t>
      </w:r>
      <w:r w:rsidRPr="00DA0B15">
        <w:rPr>
          <w:noProof/>
          <w:szCs w:val="22"/>
          <w:lang w:val="sr-Latn-ME"/>
        </w:rPr>
        <w:t xml:space="preserve">bilo koju od pomoćnih supstanci navedenih u </w:t>
      </w:r>
      <w:r w:rsidR="00782AC7" w:rsidRPr="00DA0B15">
        <w:rPr>
          <w:noProof/>
          <w:szCs w:val="22"/>
          <w:lang w:val="sr-Latn-ME"/>
        </w:rPr>
        <w:t>dijelu</w:t>
      </w:r>
      <w:r w:rsidRPr="00DA0B15">
        <w:rPr>
          <w:noProof/>
          <w:szCs w:val="22"/>
          <w:lang w:val="sr-Latn-ME"/>
        </w:rPr>
        <w:t xml:space="preserve"> 6.1.</w:t>
      </w:r>
    </w:p>
    <w:p w14:paraId="6540C366" w14:textId="77777777" w:rsidR="00CE09F3" w:rsidRPr="00DA0B15" w:rsidRDefault="00CE09F3">
      <w:pPr>
        <w:rPr>
          <w:szCs w:val="22"/>
          <w:lang w:val="sr-Latn-ME"/>
        </w:rPr>
      </w:pPr>
    </w:p>
    <w:p w14:paraId="00950BBB" w14:textId="57FCC366" w:rsidR="00CE09F3" w:rsidRPr="00DA0B15" w:rsidRDefault="00B54563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4.4. </w:t>
      </w:r>
      <w:r w:rsidRPr="00DA0B15">
        <w:rPr>
          <w:b/>
          <w:bCs/>
          <w:szCs w:val="22"/>
          <w:lang w:val="sr-Latn-ME"/>
        </w:rPr>
        <w:tab/>
        <w:t xml:space="preserve">Posebna upozorenja i mjere opreza pri upotrebi lijeka </w:t>
      </w:r>
    </w:p>
    <w:p w14:paraId="70EFB915" w14:textId="77777777" w:rsidR="00964326" w:rsidRPr="00DA0B15" w:rsidRDefault="00964326">
      <w:pPr>
        <w:rPr>
          <w:b/>
          <w:bCs/>
          <w:szCs w:val="22"/>
          <w:lang w:val="sr-Latn-ME"/>
        </w:rPr>
      </w:pPr>
    </w:p>
    <w:p w14:paraId="379C44A8" w14:textId="77777777" w:rsidR="00964326" w:rsidRPr="00DA0B15" w:rsidRDefault="00964326">
      <w:pPr>
        <w:tabs>
          <w:tab w:val="clear" w:pos="284"/>
        </w:tabs>
        <w:spacing w:line="276" w:lineRule="auto"/>
        <w:rPr>
          <w:color w:val="262626"/>
          <w:szCs w:val="22"/>
          <w:u w:val="single"/>
          <w:lang w:val="sr-Latn-ME"/>
        </w:rPr>
      </w:pPr>
      <w:r w:rsidRPr="00DA0B15">
        <w:rPr>
          <w:color w:val="262626"/>
          <w:szCs w:val="22"/>
          <w:u w:val="single"/>
          <w:lang w:val="sr-Latn-ME"/>
        </w:rPr>
        <w:t>Oštećenje bubrežne funkcije</w:t>
      </w:r>
    </w:p>
    <w:p w14:paraId="0102A0F3" w14:textId="0832DA92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color w:val="000000" w:themeColor="text1"/>
          <w:szCs w:val="22"/>
          <w:lang w:val="sr-Latn-ME"/>
        </w:rPr>
        <w:t>Prim</w:t>
      </w:r>
      <w:r w:rsidR="00E86FE7" w:rsidRPr="00DA0B15">
        <w:rPr>
          <w:noProof/>
          <w:color w:val="000000" w:themeColor="text1"/>
          <w:szCs w:val="22"/>
          <w:lang w:val="sr-Latn-ME"/>
        </w:rPr>
        <w:t>j</w:t>
      </w:r>
      <w:r w:rsidRPr="00DA0B15">
        <w:rPr>
          <w:noProof/>
          <w:color w:val="000000" w:themeColor="text1"/>
          <w:szCs w:val="22"/>
          <w:lang w:val="sr-Latn-ME"/>
        </w:rPr>
        <w:t>ena l</w:t>
      </w:r>
      <w:r w:rsidRPr="00DA0B15">
        <w:rPr>
          <w:noProof/>
          <w:szCs w:val="22"/>
          <w:lang w:val="sr-Latn-ME"/>
        </w:rPr>
        <w:t>evetiracetama kod pacijenata sa renalnom insuficijencijom može zaht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evati prilagođavanje doze. Kod pacijenata sa teško</w:t>
      </w:r>
      <w:r w:rsidR="00E86FE7" w:rsidRPr="00DA0B15">
        <w:rPr>
          <w:noProof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oštećenom hepatičkom funkcijom preporučuje se proc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ena renalne funkcije pr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određivanja doze (vid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eti </w:t>
      </w:r>
      <w:r w:rsidR="00782AC7" w:rsidRPr="00DA0B15">
        <w:rPr>
          <w:noProof/>
          <w:szCs w:val="22"/>
          <w:lang w:val="sr-Latn-ME"/>
        </w:rPr>
        <w:t>dio</w:t>
      </w:r>
      <w:r w:rsidRPr="00DA0B15">
        <w:rPr>
          <w:noProof/>
          <w:szCs w:val="22"/>
          <w:lang w:val="sr-Latn-ME"/>
        </w:rPr>
        <w:t xml:space="preserve"> 4.2).</w:t>
      </w:r>
    </w:p>
    <w:p w14:paraId="5CE53B6E" w14:textId="77777777" w:rsidR="000E01C9" w:rsidRPr="00782AC7" w:rsidRDefault="000E01C9">
      <w:pPr>
        <w:rPr>
          <w:noProof/>
          <w:szCs w:val="22"/>
          <w:u w:val="single"/>
          <w:lang w:val="sr-Latn-CS"/>
        </w:rPr>
      </w:pPr>
    </w:p>
    <w:p w14:paraId="6125CACB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 xml:space="preserve">Akutno oštećenje bubrega </w:t>
      </w:r>
    </w:p>
    <w:p w14:paraId="01E1BF44" w14:textId="3A342ACB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ena levetiracetama vrlo je r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etko bila povezana sa akutnim oštećenjem bubrega, koje se može javiti od nekoliko dana do nekoliko 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od početka prim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ene.</w:t>
      </w:r>
    </w:p>
    <w:p w14:paraId="4C734E4C" w14:textId="77777777" w:rsidR="000E01C9" w:rsidRPr="00DA0B15" w:rsidRDefault="000E01C9">
      <w:pPr>
        <w:rPr>
          <w:noProof/>
          <w:szCs w:val="22"/>
          <w:lang w:val="sr-Latn-ME"/>
        </w:rPr>
      </w:pPr>
    </w:p>
    <w:p w14:paraId="7E8F9518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lastRenderedPageBreak/>
        <w:t>Krvna slika</w:t>
      </w:r>
    </w:p>
    <w:p w14:paraId="6557C89B" w14:textId="079F2BC3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R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etki slučajevi smanjenog broja krvnih ćelija (neutropenija, agranulocitoza, leukopenija, trombocitopenija i pancitopenija) opisani su u vezi sa prim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enom levetiracetama. Pregled kompletne krvne slike se preporučuje kod pacijenata koji im</w:t>
      </w:r>
      <w:r w:rsidR="00395D50" w:rsidRPr="00DA0B15">
        <w:rPr>
          <w:noProof/>
          <w:szCs w:val="22"/>
          <w:lang w:val="sr-Latn-ME"/>
        </w:rPr>
        <w:t xml:space="preserve">aju značajnu slabost, groznicu, </w:t>
      </w:r>
      <w:r w:rsidRPr="00DA0B15">
        <w:rPr>
          <w:noProof/>
          <w:szCs w:val="22"/>
          <w:lang w:val="sr-Latn-ME"/>
        </w:rPr>
        <w:t>ponavljajuće infekcije ili poremećaje koagulacije (</w:t>
      </w:r>
      <w:r w:rsidR="00782AC7" w:rsidRPr="00DA0B15">
        <w:rPr>
          <w:noProof/>
          <w:szCs w:val="22"/>
          <w:lang w:val="sr-Latn-ME"/>
        </w:rPr>
        <w:t>dio</w:t>
      </w:r>
      <w:r w:rsidRPr="00DA0B15">
        <w:rPr>
          <w:noProof/>
          <w:szCs w:val="22"/>
          <w:lang w:val="sr-Latn-ME"/>
        </w:rPr>
        <w:t xml:space="preserve"> 4.8). </w:t>
      </w:r>
    </w:p>
    <w:p w14:paraId="73B7CB21" w14:textId="77777777" w:rsidR="000E01C9" w:rsidRPr="00DA0B15" w:rsidRDefault="000E01C9">
      <w:pPr>
        <w:rPr>
          <w:noProof/>
          <w:szCs w:val="22"/>
          <w:lang w:val="sr-Latn-ME"/>
        </w:rPr>
      </w:pPr>
    </w:p>
    <w:p w14:paraId="6CF8B59C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szCs w:val="22"/>
          <w:u w:val="single"/>
          <w:lang w:val="sr-Latn-ME"/>
        </w:rPr>
        <w:t>Samoubistvo</w:t>
      </w:r>
    </w:p>
    <w:p w14:paraId="1C5C0EFF" w14:textId="450A3214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Samoubistvo, pokušaj samoubistva, suicid</w:t>
      </w:r>
      <w:r w:rsidR="00D02A6F" w:rsidRPr="00DA0B15">
        <w:rPr>
          <w:noProof/>
          <w:szCs w:val="22"/>
          <w:lang w:val="sr-Latn-ME"/>
        </w:rPr>
        <w:t>al</w:t>
      </w:r>
      <w:r w:rsidRPr="00DA0B15">
        <w:rPr>
          <w:noProof/>
          <w:szCs w:val="22"/>
          <w:lang w:val="sr-Latn-ME"/>
        </w:rPr>
        <w:t>ne ideje i ponašanje su bili prijavljeni kod pacijenata l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ečenih antiepilepticima (uključujući levetiracetam). Meta-analiza randomiz</w:t>
      </w:r>
      <w:r w:rsidR="00782AC7" w:rsidRPr="00DA0B15">
        <w:rPr>
          <w:noProof/>
          <w:szCs w:val="22"/>
          <w:lang w:val="sr-Latn-ME"/>
        </w:rPr>
        <w:t>ovanih</w:t>
      </w:r>
      <w:r w:rsidRPr="00DA0B15">
        <w:rPr>
          <w:noProof/>
          <w:szCs w:val="22"/>
          <w:lang w:val="sr-Latn-ME"/>
        </w:rPr>
        <w:t xml:space="preserve"> placebo-kontrolisanih ispitivanja antiepileptika pokazala je blago povećan rizik suicid</w:t>
      </w:r>
      <w:r w:rsidR="00D02A6F" w:rsidRPr="00DA0B15">
        <w:rPr>
          <w:noProof/>
          <w:szCs w:val="22"/>
          <w:lang w:val="sr-Latn-ME"/>
        </w:rPr>
        <w:t>al</w:t>
      </w:r>
      <w:r w:rsidRPr="00DA0B15">
        <w:rPr>
          <w:noProof/>
          <w:szCs w:val="22"/>
          <w:lang w:val="sr-Latn-ME"/>
        </w:rPr>
        <w:t>nog razmišljanja i ponašanja. Mehanizam ovog rizika nije poznat.</w:t>
      </w:r>
    </w:p>
    <w:p w14:paraId="12B800B7" w14:textId="77777777" w:rsidR="000E01C9" w:rsidRPr="00DA0B15" w:rsidRDefault="000E01C9">
      <w:pPr>
        <w:rPr>
          <w:noProof/>
          <w:szCs w:val="22"/>
          <w:lang w:val="sr-Latn-ME"/>
        </w:rPr>
      </w:pPr>
    </w:p>
    <w:p w14:paraId="3800292C" w14:textId="0B19D598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Iz tog razloga pacijente treba nadgledati zbog znakova depresije i/ili suicid</w:t>
      </w:r>
      <w:r w:rsidR="00375213" w:rsidRPr="00DA0B15">
        <w:rPr>
          <w:noProof/>
          <w:szCs w:val="22"/>
          <w:lang w:val="sr-Latn-ME"/>
        </w:rPr>
        <w:t>al</w:t>
      </w:r>
      <w:r w:rsidRPr="00DA0B15">
        <w:rPr>
          <w:noProof/>
          <w:szCs w:val="22"/>
          <w:lang w:val="sr-Latn-ME"/>
        </w:rPr>
        <w:t>nih ideja i ponašanja te treba razmotriti odgovarajuće l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ečenje. Pacijente (i staratelje pacijenata) treba sav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etovati da potraže medicinski sav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et ukoliko se pojave znakovi depresije i/ili suicid</w:t>
      </w:r>
      <w:r w:rsidR="00375213" w:rsidRPr="00DA0B15">
        <w:rPr>
          <w:noProof/>
          <w:szCs w:val="22"/>
          <w:lang w:val="sr-Latn-ME"/>
        </w:rPr>
        <w:t>al</w:t>
      </w:r>
      <w:r w:rsidRPr="00DA0B15">
        <w:rPr>
          <w:noProof/>
          <w:szCs w:val="22"/>
          <w:lang w:val="sr-Latn-ME"/>
        </w:rPr>
        <w:t>nih ideja ili ponašanja.</w:t>
      </w:r>
    </w:p>
    <w:p w14:paraId="79385BC4" w14:textId="77777777" w:rsidR="000E01C9" w:rsidRPr="00DA0B15" w:rsidRDefault="000E01C9">
      <w:pPr>
        <w:rPr>
          <w:noProof/>
          <w:szCs w:val="22"/>
          <w:lang w:val="sr-Latn-ME"/>
        </w:rPr>
      </w:pPr>
    </w:p>
    <w:p w14:paraId="022565CB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Pedijatrijska populacija</w:t>
      </w:r>
    </w:p>
    <w:p w14:paraId="6FBECC53" w14:textId="2D6A8F8D" w:rsidR="000E01C9" w:rsidRPr="00DA0B15" w:rsidRDefault="00375213">
      <w:pPr>
        <w:rPr>
          <w:noProof/>
          <w:szCs w:val="22"/>
          <w:lang w:val="sr-Latn-ME"/>
        </w:rPr>
      </w:pPr>
      <w:r w:rsidRPr="00DA0B15">
        <w:rPr>
          <w:color w:val="262626"/>
          <w:szCs w:val="22"/>
          <w:lang w:val="sr-Latn-ME"/>
        </w:rPr>
        <w:t>Tableta kao farmaceutski oblik</w:t>
      </w:r>
      <w:r w:rsidR="000E01C9" w:rsidRPr="00DA0B15">
        <w:rPr>
          <w:noProof/>
          <w:szCs w:val="22"/>
          <w:lang w:val="sr-Latn-ME"/>
        </w:rPr>
        <w:t xml:space="preserve"> nije prilagođena za prim</w:t>
      </w:r>
      <w:r w:rsidR="00E86FE7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enu kod odojčadi i d</w:t>
      </w:r>
      <w:r w:rsidR="00E86FE7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 xml:space="preserve">ece </w:t>
      </w:r>
      <w:r w:rsidR="00782AC7" w:rsidRPr="00DA0B15">
        <w:rPr>
          <w:noProof/>
          <w:szCs w:val="22"/>
          <w:lang w:val="sr-Latn-ME"/>
        </w:rPr>
        <w:t>ml</w:t>
      </w:r>
      <w:r w:rsidR="000E01C9" w:rsidRPr="00DA0B15">
        <w:rPr>
          <w:noProof/>
          <w:szCs w:val="22"/>
          <w:lang w:val="sr-Latn-ME"/>
        </w:rPr>
        <w:t>ađe od 6 godina.</w:t>
      </w:r>
    </w:p>
    <w:p w14:paraId="05B1731C" w14:textId="77777777" w:rsidR="000E01C9" w:rsidRPr="00DA0B15" w:rsidRDefault="000E01C9">
      <w:pPr>
        <w:rPr>
          <w:noProof/>
          <w:szCs w:val="22"/>
          <w:lang w:val="sr-Latn-ME"/>
        </w:rPr>
      </w:pPr>
    </w:p>
    <w:p w14:paraId="3A83E256" w14:textId="5F41DB63" w:rsidR="00CE09F3" w:rsidRPr="00DA0B15" w:rsidRDefault="000E01C9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Dostupni podaci kod d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ni</w:t>
      </w:r>
      <w:r w:rsidR="00E86FE7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ukazali na uticaj na rast i pubertet. Međutim, dugotrajni efekti na</w:t>
      </w:r>
      <w:r w:rsidR="00375213" w:rsidRPr="00DA0B15">
        <w:rPr>
          <w:noProof/>
          <w:szCs w:val="22"/>
          <w:lang w:val="sr-Latn-ME"/>
        </w:rPr>
        <w:t xml:space="preserve"> </w:t>
      </w:r>
      <w:r w:rsidR="00375213" w:rsidRPr="00DA0B15">
        <w:rPr>
          <w:color w:val="262626"/>
          <w:szCs w:val="22"/>
          <w:lang w:val="sr-Latn-ME"/>
        </w:rPr>
        <w:t>sposobnost učenja</w:t>
      </w:r>
      <w:r w:rsidR="002D01C0" w:rsidRPr="00DA0B15">
        <w:rPr>
          <w:noProof/>
          <w:szCs w:val="22"/>
          <w:lang w:val="sr-Latn-ME"/>
        </w:rPr>
        <w:t xml:space="preserve">, inteligenciju, rast, </w:t>
      </w:r>
      <w:r w:rsidRPr="00DA0B15">
        <w:rPr>
          <w:noProof/>
          <w:szCs w:val="22"/>
          <w:lang w:val="sr-Latn-ME"/>
        </w:rPr>
        <w:t>endokrinu funkciju, pubertet i reproduktivnu sposobnost kod d</w:t>
      </w:r>
      <w:r w:rsidR="00E86FE7" w:rsidRPr="00DA0B15">
        <w:rPr>
          <w:noProof/>
          <w:szCs w:val="22"/>
          <w:lang w:val="sr-Latn-ME"/>
        </w:rPr>
        <w:t>jec</w:t>
      </w:r>
      <w:r w:rsidRPr="00DA0B15">
        <w:rPr>
          <w:noProof/>
          <w:szCs w:val="22"/>
          <w:lang w:val="sr-Latn-ME"/>
        </w:rPr>
        <w:t>e ostaju nepoznati.</w:t>
      </w:r>
    </w:p>
    <w:p w14:paraId="708EE35E" w14:textId="77777777" w:rsidR="00CE09F3" w:rsidRPr="00DA0B15" w:rsidRDefault="00CE09F3">
      <w:pPr>
        <w:rPr>
          <w:szCs w:val="22"/>
          <w:lang w:val="sr-Latn-ME"/>
        </w:rPr>
      </w:pPr>
    </w:p>
    <w:p w14:paraId="34B57D18" w14:textId="7C8A441F" w:rsidR="00CE09F3" w:rsidRPr="00DA0B15" w:rsidRDefault="004D03DC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>4.5.</w:t>
      </w:r>
      <w:r w:rsidR="0098466C" w:rsidRPr="00DA0B15">
        <w:rPr>
          <w:b/>
          <w:bCs/>
          <w:szCs w:val="22"/>
          <w:lang w:val="sr-Latn-ME"/>
        </w:rPr>
        <w:t xml:space="preserve"> </w:t>
      </w:r>
      <w:r w:rsidRPr="00DA0B15">
        <w:rPr>
          <w:b/>
          <w:bCs/>
          <w:szCs w:val="22"/>
          <w:lang w:val="sr-Latn-ME"/>
        </w:rPr>
        <w:t>Interakcije sa drugim ljekovima i druge vrste interakcija</w:t>
      </w:r>
    </w:p>
    <w:p w14:paraId="318CC395" w14:textId="77777777" w:rsidR="00CE09F3" w:rsidRPr="00DA0B15" w:rsidRDefault="00CE09F3">
      <w:pPr>
        <w:rPr>
          <w:szCs w:val="22"/>
          <w:lang w:val="sr-Latn-ME"/>
        </w:rPr>
      </w:pPr>
    </w:p>
    <w:p w14:paraId="0037F802" w14:textId="2422B79E" w:rsidR="000E01C9" w:rsidRPr="00DA0B15" w:rsidRDefault="000E01C9">
      <w:pPr>
        <w:pStyle w:val="NormalWeb"/>
        <w:rPr>
          <w:sz w:val="22"/>
          <w:szCs w:val="22"/>
          <w:u w:val="single"/>
          <w:lang w:val="sr-Latn-ME"/>
        </w:rPr>
      </w:pPr>
      <w:r w:rsidRPr="00DA0B15">
        <w:rPr>
          <w:sz w:val="22"/>
          <w:szCs w:val="22"/>
          <w:u w:val="single"/>
          <w:lang w:val="sr-Latn-ME"/>
        </w:rPr>
        <w:t>Antiepileptici</w:t>
      </w:r>
      <w:r w:rsidR="004D03DC" w:rsidRPr="00DA0B15">
        <w:rPr>
          <w:sz w:val="22"/>
          <w:szCs w:val="22"/>
          <w:u w:val="single"/>
          <w:lang w:val="sr-Latn-ME"/>
        </w:rPr>
        <w:t xml:space="preserve"> </w:t>
      </w:r>
    </w:p>
    <w:p w14:paraId="7E322623" w14:textId="38F1A8DE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Premarketinški podaci iz kliničkih studija sprovedenih kod odraslih pokazuju da levetiracetam nije uticao na serumske koncentracije postojećih antiepileptika (fenitoin, karbamazepin, valproinska kis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elina, fenobarbital, lamotrigin, gabapentin i primidon) i da ovi antiepileptici ni</w:t>
      </w:r>
      <w:r w:rsidR="00E86FE7" w:rsidRPr="00DA0B15">
        <w:rPr>
          <w:noProof/>
          <w:sz w:val="22"/>
          <w:szCs w:val="22"/>
          <w:lang w:val="sr-Latn-ME"/>
        </w:rPr>
        <w:t>je</w:t>
      </w:r>
      <w:r w:rsidRPr="00DA0B15">
        <w:rPr>
          <w:noProof/>
          <w:sz w:val="22"/>
          <w:szCs w:val="22"/>
          <w:lang w:val="sr-Latn-ME"/>
        </w:rPr>
        <w:t>su uticali na farmakokinetiku levetiracetama.</w:t>
      </w:r>
    </w:p>
    <w:p w14:paraId="64EDFC82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18FCEFC1" w14:textId="29E80F30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Kao kod odraslih, nema dokaza o klinički značajnim interakcijama sa l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ekovima kod pedijatrijskih pacijenata koji primaju do 60 mg/kg/dan levetiracetama.</w:t>
      </w:r>
    </w:p>
    <w:p w14:paraId="3A868180" w14:textId="77777777" w:rsidR="00CE09F3" w:rsidRPr="00DA0B15" w:rsidRDefault="00CE09F3">
      <w:pPr>
        <w:rPr>
          <w:szCs w:val="22"/>
          <w:lang w:val="sr-Latn-ME"/>
        </w:rPr>
      </w:pPr>
    </w:p>
    <w:p w14:paraId="5522E2CA" w14:textId="66C4119B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Retrospektivna proc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ena farmakokinetičkih interakcija kod d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 xml:space="preserve">ece i adolescenata sa epilepsijom (4 do 17 godina) potvrdila je da dodatna terapija oralno </w:t>
      </w:r>
      <w:r w:rsidR="00782AC7" w:rsidRPr="00DA0B15">
        <w:rPr>
          <w:noProof/>
          <w:sz w:val="22"/>
          <w:szCs w:val="22"/>
          <w:lang w:val="sr-Latn-ME"/>
        </w:rPr>
        <w:t>primijenjen</w:t>
      </w:r>
      <w:r w:rsidRPr="00DA0B15">
        <w:rPr>
          <w:noProof/>
          <w:sz w:val="22"/>
          <w:szCs w:val="22"/>
          <w:lang w:val="sr-Latn-ME"/>
        </w:rPr>
        <w:t xml:space="preserve">im levetiracetamom nije uticala na ravnotežne serumske koncentracije istovremeno </w:t>
      </w:r>
      <w:r w:rsidR="00782AC7" w:rsidRPr="00DA0B15">
        <w:rPr>
          <w:noProof/>
          <w:sz w:val="22"/>
          <w:szCs w:val="22"/>
          <w:lang w:val="sr-Latn-ME"/>
        </w:rPr>
        <w:t>primijenjen</w:t>
      </w:r>
      <w:r w:rsidRPr="00DA0B15">
        <w:rPr>
          <w:noProof/>
          <w:sz w:val="22"/>
          <w:szCs w:val="22"/>
          <w:lang w:val="sr-Latn-ME"/>
        </w:rPr>
        <w:t>ih karbamazepina i valproata. Ipak, podaci su pokazali 20% veći klirens levetiracetama kod d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ece koja uzimaju antiepileptike koji indukuju aktivnost enzima. Prilagođavanje doze nije potrebno.</w:t>
      </w:r>
    </w:p>
    <w:p w14:paraId="366350AD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1B1AC8E7" w14:textId="77777777" w:rsidR="000E01C9" w:rsidRPr="00DA0B15" w:rsidRDefault="000E01C9">
      <w:pPr>
        <w:pStyle w:val="NormalWeb"/>
        <w:rPr>
          <w:sz w:val="22"/>
          <w:szCs w:val="22"/>
          <w:u w:val="single"/>
          <w:lang w:val="sr-Latn-ME"/>
        </w:rPr>
      </w:pPr>
      <w:r w:rsidRPr="00DA0B15">
        <w:rPr>
          <w:sz w:val="22"/>
          <w:szCs w:val="22"/>
          <w:u w:val="single"/>
          <w:lang w:val="sr-Latn-ME"/>
        </w:rPr>
        <w:t>Probenecid</w:t>
      </w:r>
    </w:p>
    <w:p w14:paraId="6D9A0767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Pokazano je da probenecid (500 mg četiri puta dnevno), blokator renalne tubularne sekrecije, inhibira renalni klirens primarnog metabolita, ali ne i levetiracetama. Ipak, koncentracija ovog metabolita ostaje niska. </w:t>
      </w:r>
    </w:p>
    <w:p w14:paraId="491AF12E" w14:textId="77777777" w:rsidR="000E01C9" w:rsidRPr="00DA0B15" w:rsidRDefault="000E01C9">
      <w:pPr>
        <w:rPr>
          <w:noProof/>
          <w:szCs w:val="22"/>
          <w:lang w:val="sr-Latn-ME"/>
        </w:rPr>
      </w:pPr>
    </w:p>
    <w:p w14:paraId="29A347CE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 xml:space="preserve">Metotreksat </w:t>
      </w:r>
    </w:p>
    <w:p w14:paraId="34DBAF58" w14:textId="316E601B" w:rsidR="0098466C" w:rsidRPr="00DA0B15" w:rsidRDefault="00375213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Prilikom</w:t>
      </w:r>
      <w:r w:rsidR="000E01C9" w:rsidRPr="00DA0B15">
        <w:rPr>
          <w:noProof/>
          <w:szCs w:val="22"/>
          <w:lang w:val="sr-Latn-ME"/>
        </w:rPr>
        <w:t xml:space="preserve"> istovremene prim</w:t>
      </w:r>
      <w:r w:rsidR="00E86FE7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ene levetiracetama i metotreksata zab</w:t>
      </w:r>
      <w:r w:rsidR="00E86FE7" w:rsidRPr="00DA0B15">
        <w:rPr>
          <w:noProof/>
          <w:szCs w:val="22"/>
          <w:lang w:val="sr-Latn-ME"/>
        </w:rPr>
        <w:t>i</w:t>
      </w:r>
      <w:r w:rsidR="000E01C9" w:rsidRPr="00DA0B15">
        <w:rPr>
          <w:noProof/>
          <w:szCs w:val="22"/>
          <w:lang w:val="sr-Latn-ME"/>
        </w:rPr>
        <w:t>l</w:t>
      </w:r>
      <w:r w:rsidR="00E86FE7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eženo je smanjenje klirensa metotreksata što dovodi do povećane/</w:t>
      </w:r>
      <w:r w:rsidRPr="00DA0B15">
        <w:rPr>
          <w:noProof/>
          <w:szCs w:val="22"/>
          <w:lang w:val="sr-Latn-ME"/>
        </w:rPr>
        <w:t>produžen</w:t>
      </w:r>
      <w:r w:rsidR="00B76714" w:rsidRPr="00DA0B15">
        <w:rPr>
          <w:noProof/>
          <w:szCs w:val="22"/>
          <w:lang w:val="sr-Latn-ME"/>
        </w:rPr>
        <w:t>e</w:t>
      </w:r>
      <w:r w:rsidR="000E01C9" w:rsidRPr="00DA0B15">
        <w:rPr>
          <w:noProof/>
          <w:szCs w:val="22"/>
          <w:lang w:val="sr-Latn-ME"/>
        </w:rPr>
        <w:t xml:space="preserve"> koncentracije metotreksata u krvi</w:t>
      </w:r>
      <w:r w:rsidR="00B76714" w:rsidRPr="00DA0B15">
        <w:rPr>
          <w:noProof/>
          <w:szCs w:val="22"/>
          <w:lang w:val="sr-Latn-ME"/>
        </w:rPr>
        <w:t>,</w:t>
      </w:r>
      <w:r w:rsidR="000E01C9" w:rsidRPr="00DA0B15">
        <w:rPr>
          <w:noProof/>
          <w:szCs w:val="22"/>
          <w:lang w:val="sr-Latn-ME"/>
        </w:rPr>
        <w:t xml:space="preserve"> do potencijalno toksičnih</w:t>
      </w:r>
      <w:r w:rsidRPr="00DA0B15">
        <w:rPr>
          <w:noProof/>
          <w:szCs w:val="22"/>
          <w:lang w:val="sr-Latn-ME"/>
        </w:rPr>
        <w:t xml:space="preserve"> </w:t>
      </w:r>
      <w:r w:rsidRPr="00DA0B15">
        <w:rPr>
          <w:color w:val="262626"/>
          <w:szCs w:val="22"/>
          <w:lang w:val="sr-Latn-ME"/>
        </w:rPr>
        <w:t>koncentracija</w:t>
      </w:r>
      <w:r w:rsidR="000E01C9" w:rsidRPr="00DA0B15">
        <w:rPr>
          <w:noProof/>
          <w:szCs w:val="22"/>
          <w:lang w:val="sr-Latn-ME"/>
        </w:rPr>
        <w:t xml:space="preserve">. </w:t>
      </w:r>
      <w:r w:rsidRPr="00DA0B15">
        <w:rPr>
          <w:color w:val="262626"/>
          <w:szCs w:val="22"/>
          <w:lang w:val="sr-Latn-ME"/>
        </w:rPr>
        <w:t>Koncentracije</w:t>
      </w:r>
      <w:r w:rsidRPr="00DA0B15" w:rsidDel="00375213">
        <w:rPr>
          <w:noProof/>
          <w:szCs w:val="22"/>
          <w:lang w:val="sr-Latn-ME"/>
        </w:rPr>
        <w:t xml:space="preserve"> </w:t>
      </w:r>
      <w:r w:rsidR="00A12936" w:rsidRPr="00DA0B15">
        <w:rPr>
          <w:noProof/>
          <w:szCs w:val="22"/>
          <w:lang w:val="sr-Latn-ME"/>
        </w:rPr>
        <w:t xml:space="preserve">metotreksata i </w:t>
      </w:r>
      <w:r w:rsidR="000E01C9" w:rsidRPr="00DA0B15">
        <w:rPr>
          <w:noProof/>
          <w:szCs w:val="22"/>
          <w:lang w:val="sr-Latn-ME"/>
        </w:rPr>
        <w:t>levetiracetama u krvi treba pažljivo pratiti kod pacijenata istovremeno l</w:t>
      </w:r>
      <w:r w:rsidR="00E86FE7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>ečenih sa ova dva l</w:t>
      </w:r>
      <w:r w:rsidR="00E86FE7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 xml:space="preserve">eka.  </w:t>
      </w:r>
    </w:p>
    <w:p w14:paraId="2B44490D" w14:textId="77777777" w:rsidR="000E01C9" w:rsidRPr="008D5CD8" w:rsidRDefault="000E01C9">
      <w:pPr>
        <w:rPr>
          <w:noProof/>
          <w:szCs w:val="22"/>
          <w:lang w:val="sr-Latn-CS"/>
        </w:rPr>
      </w:pPr>
    </w:p>
    <w:p w14:paraId="75B3334A" w14:textId="77777777" w:rsidR="000E01C9" w:rsidRPr="00DA0B15" w:rsidRDefault="000E01C9">
      <w:pPr>
        <w:rPr>
          <w:szCs w:val="22"/>
          <w:u w:val="single"/>
          <w:lang w:val="sr-Latn-ME"/>
        </w:rPr>
      </w:pPr>
      <w:r w:rsidRPr="00DA0B15">
        <w:rPr>
          <w:szCs w:val="22"/>
          <w:u w:val="single"/>
          <w:lang w:val="sr-Latn-ME"/>
        </w:rPr>
        <w:t>Oralni kontraceptivi i druge farmakokinetičke interakcije</w:t>
      </w:r>
    </w:p>
    <w:p w14:paraId="76C3873B" w14:textId="65A5AD74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Doza levetiracetama od 1000 mg dnevno nije uticala na farmakokinetiku oralnih kontraceptiva (etinil-estradiol i levonorgestrel); endokrini parametri (luteinizirajući hormon i progesteron) ni</w:t>
      </w:r>
      <w:r w:rsidR="00E86FE7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bili prom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enjeni. Doza levetiracetama od 2000 mg dnevno nije uticala na farmakokinetiku digoksina i varfarina; protrombinsko vr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nije bilo prom</w:t>
      </w:r>
      <w:r w:rsidR="00782AC7" w:rsidRPr="00DA0B15">
        <w:rPr>
          <w:noProof/>
          <w:szCs w:val="22"/>
          <w:lang w:val="sr-Latn-ME"/>
        </w:rPr>
        <w:t>i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enjeno. Paralelna prim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ena sa digoksinom, oralnim kontraceptivima i varfarinom nije uticala na farmakokinetiku levetiracetama.</w:t>
      </w:r>
    </w:p>
    <w:p w14:paraId="4627CB42" w14:textId="3E06C670" w:rsidR="000E01C9" w:rsidRDefault="000E01C9">
      <w:pPr>
        <w:rPr>
          <w:noProof/>
          <w:szCs w:val="22"/>
          <w:lang w:val="sr-Latn-ME"/>
        </w:rPr>
      </w:pPr>
    </w:p>
    <w:p w14:paraId="24F77A33" w14:textId="77777777" w:rsidR="00F45587" w:rsidRPr="00DA0B15" w:rsidRDefault="00F45587">
      <w:pPr>
        <w:rPr>
          <w:noProof/>
          <w:szCs w:val="22"/>
          <w:lang w:val="sr-Latn-ME"/>
        </w:rPr>
      </w:pPr>
    </w:p>
    <w:p w14:paraId="7FAD814F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lastRenderedPageBreak/>
        <w:t>Laksativi</w:t>
      </w:r>
    </w:p>
    <w:p w14:paraId="3E46A7D7" w14:textId="7ACC2933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Postoje pojedinačn</w:t>
      </w:r>
      <w:r w:rsidR="008B7711" w:rsidRPr="00DA0B15">
        <w:rPr>
          <w:noProof/>
          <w:szCs w:val="22"/>
          <w:lang w:val="sr-Latn-ME"/>
        </w:rPr>
        <w:t xml:space="preserve">e prijave smanjenja efikasnosti </w:t>
      </w:r>
      <w:r w:rsidRPr="00DA0B15">
        <w:rPr>
          <w:noProof/>
          <w:szCs w:val="22"/>
          <w:lang w:val="sr-Latn-ME"/>
        </w:rPr>
        <w:t>levetiracetama kada se osmotski laksativ makrogol istovremeno prim</w:t>
      </w:r>
      <w:r w:rsidR="00E86FE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enjuje sa oralnim levetiracetamom. Stoga se makrogol ne sm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uzimati oralno jedan sat pr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i jedan sat posl</w:t>
      </w:r>
      <w:r w:rsidR="00E86FE7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uzimanja levetiracetama.</w:t>
      </w:r>
    </w:p>
    <w:p w14:paraId="37A1AB90" w14:textId="77777777" w:rsidR="000E01C9" w:rsidRPr="00DA0B15" w:rsidRDefault="000E01C9">
      <w:pPr>
        <w:rPr>
          <w:noProof/>
          <w:szCs w:val="22"/>
          <w:lang w:val="sr-Latn-ME"/>
        </w:rPr>
      </w:pPr>
    </w:p>
    <w:p w14:paraId="503F7F97" w14:textId="77777777" w:rsidR="000E01C9" w:rsidRPr="00DA0B15" w:rsidRDefault="000E01C9">
      <w:pPr>
        <w:rPr>
          <w:szCs w:val="22"/>
          <w:u w:val="single"/>
          <w:lang w:val="sr-Latn-ME"/>
        </w:rPr>
      </w:pPr>
      <w:r w:rsidRPr="00DA0B15">
        <w:rPr>
          <w:szCs w:val="22"/>
          <w:u w:val="single"/>
          <w:lang w:val="sr-Latn-ME"/>
        </w:rPr>
        <w:t>Hrana i alkohol</w:t>
      </w:r>
    </w:p>
    <w:p w14:paraId="2F0E9A40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Hrana nije uticala na stepen resorpcije levetiracetama, ali se brzina resorpcije blago smanjila.</w:t>
      </w:r>
    </w:p>
    <w:p w14:paraId="5E404D49" w14:textId="77777777" w:rsidR="000E01C9" w:rsidRPr="00DA0B15" w:rsidRDefault="000E01C9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Nema dostupnih podataka o interakciji levetiracetama sa alkoholom.</w:t>
      </w:r>
    </w:p>
    <w:p w14:paraId="63E1C0A9" w14:textId="77777777" w:rsidR="000E01C9" w:rsidRPr="00DA0B15" w:rsidRDefault="000E01C9">
      <w:pPr>
        <w:rPr>
          <w:szCs w:val="22"/>
          <w:lang w:val="sr-Latn-ME"/>
        </w:rPr>
      </w:pPr>
    </w:p>
    <w:p w14:paraId="66A8F6BF" w14:textId="1BB3F2BE" w:rsidR="00CE09F3" w:rsidRPr="00DA0B15" w:rsidRDefault="00CA24DC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4.6. </w:t>
      </w:r>
      <w:r w:rsidRPr="00DA0B15">
        <w:rPr>
          <w:b/>
          <w:bCs/>
          <w:szCs w:val="22"/>
          <w:lang w:val="sr-Latn-ME"/>
        </w:rPr>
        <w:tab/>
      </w:r>
      <w:r w:rsidRPr="00DA0B15">
        <w:rPr>
          <w:b/>
          <w:szCs w:val="22"/>
          <w:lang w:val="sr-Latn-ME"/>
        </w:rPr>
        <w:t xml:space="preserve">Plodnost, trudnoća i dojenje </w:t>
      </w:r>
    </w:p>
    <w:p w14:paraId="7B0EF80B" w14:textId="77777777" w:rsidR="000E01C9" w:rsidRPr="00DA0B15" w:rsidRDefault="000E01C9">
      <w:pPr>
        <w:rPr>
          <w:b/>
          <w:bCs/>
          <w:szCs w:val="22"/>
          <w:lang w:val="sr-Latn-ME"/>
        </w:rPr>
      </w:pPr>
    </w:p>
    <w:p w14:paraId="084EA51A" w14:textId="77777777" w:rsidR="000E01C9" w:rsidRPr="00DA0B15" w:rsidRDefault="000E01C9">
      <w:pPr>
        <w:pStyle w:val="NormalWeb"/>
        <w:rPr>
          <w:noProof/>
          <w:sz w:val="22"/>
          <w:szCs w:val="22"/>
          <w:u w:val="single"/>
          <w:lang w:val="sr-Latn-ME"/>
        </w:rPr>
      </w:pPr>
      <w:r w:rsidRPr="00DA0B15">
        <w:rPr>
          <w:noProof/>
          <w:sz w:val="22"/>
          <w:szCs w:val="22"/>
          <w:u w:val="single"/>
          <w:lang w:val="sr-Latn-ME"/>
        </w:rPr>
        <w:t>Žene u reproduktivnom periodu</w:t>
      </w:r>
    </w:p>
    <w:p w14:paraId="4C208786" w14:textId="0E455179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Žene u reproduktivnom periodu treba</w:t>
      </w:r>
      <w:r w:rsidR="00DF30C6" w:rsidRPr="00DA0B15">
        <w:rPr>
          <w:noProof/>
          <w:sz w:val="22"/>
          <w:szCs w:val="22"/>
          <w:lang w:val="sr-Latn-ME"/>
        </w:rPr>
        <w:t xml:space="preserve"> </w:t>
      </w:r>
      <w:r w:rsidR="00D36458" w:rsidRPr="00DA0B15">
        <w:rPr>
          <w:noProof/>
          <w:sz w:val="22"/>
          <w:szCs w:val="22"/>
          <w:lang w:val="sr-Latn-ME"/>
        </w:rPr>
        <w:t>da se posav</w:t>
      </w:r>
      <w:r w:rsidR="00E86FE7" w:rsidRPr="00DA0B15">
        <w:rPr>
          <w:noProof/>
          <w:sz w:val="22"/>
          <w:szCs w:val="22"/>
          <w:lang w:val="sr-Latn-ME"/>
        </w:rPr>
        <w:t>j</w:t>
      </w:r>
      <w:r w:rsidR="00D36458" w:rsidRPr="00DA0B15">
        <w:rPr>
          <w:noProof/>
          <w:sz w:val="22"/>
          <w:szCs w:val="22"/>
          <w:lang w:val="sr-Latn-ME"/>
        </w:rPr>
        <w:t xml:space="preserve">etuju sa </w:t>
      </w:r>
      <w:r w:rsidRPr="00DA0B15">
        <w:rPr>
          <w:noProof/>
          <w:sz w:val="22"/>
          <w:szCs w:val="22"/>
          <w:lang w:val="sr-Latn-ME"/>
        </w:rPr>
        <w:t>l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ekar</w:t>
      </w:r>
      <w:r w:rsidR="00D36458" w:rsidRPr="00DA0B15">
        <w:rPr>
          <w:noProof/>
          <w:sz w:val="22"/>
          <w:szCs w:val="22"/>
          <w:lang w:val="sr-Latn-ME"/>
        </w:rPr>
        <w:t>om</w:t>
      </w:r>
      <w:r w:rsidRPr="00DA0B15">
        <w:rPr>
          <w:noProof/>
          <w:sz w:val="22"/>
          <w:szCs w:val="22"/>
          <w:lang w:val="sr-Latn-ME"/>
        </w:rPr>
        <w:t xml:space="preserve"> specijalist</w:t>
      </w:r>
      <w:r w:rsidR="00D36458" w:rsidRPr="00DA0B15">
        <w:rPr>
          <w:noProof/>
          <w:sz w:val="22"/>
          <w:szCs w:val="22"/>
          <w:lang w:val="sr-Latn-ME"/>
        </w:rPr>
        <w:t>om</w:t>
      </w:r>
      <w:r w:rsidRPr="00DA0B15">
        <w:rPr>
          <w:noProof/>
          <w:sz w:val="22"/>
          <w:szCs w:val="22"/>
          <w:lang w:val="sr-Latn-ME"/>
        </w:rPr>
        <w:t>. Kada žena planira trudnoću l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ečenje levetiracetamom treba razmotriti. Kao kod svih antiepiletika, nagli prekid terapije l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ekom levetiracetam treba izb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egavati</w:t>
      </w:r>
      <w:r w:rsidR="00D36458" w:rsidRPr="00DA0B15">
        <w:rPr>
          <w:noProof/>
          <w:sz w:val="22"/>
          <w:szCs w:val="22"/>
          <w:lang w:val="sr-Latn-ME"/>
        </w:rPr>
        <w:t>,</w:t>
      </w:r>
      <w:r w:rsidRPr="00DA0B15">
        <w:rPr>
          <w:noProof/>
          <w:sz w:val="22"/>
          <w:szCs w:val="22"/>
          <w:lang w:val="sr-Latn-ME"/>
        </w:rPr>
        <w:t xml:space="preserve"> jer to može izazvati probojne napade koji mogu imati ozbiljne posl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edice po majku i</w:t>
      </w:r>
      <w:r w:rsidR="00EB15E0" w:rsidRPr="00DA0B15">
        <w:rPr>
          <w:noProof/>
          <w:sz w:val="22"/>
          <w:szCs w:val="22"/>
          <w:lang w:val="sr-Latn-ME"/>
        </w:rPr>
        <w:t xml:space="preserve"> </w:t>
      </w:r>
      <w:r w:rsidR="00EB15E0" w:rsidRPr="00DA0B15">
        <w:rPr>
          <w:color w:val="262626"/>
          <w:sz w:val="22"/>
          <w:szCs w:val="22"/>
          <w:lang w:val="sr-Latn-ME"/>
        </w:rPr>
        <w:t>plod</w:t>
      </w:r>
      <w:r w:rsidRPr="00DA0B15">
        <w:rPr>
          <w:noProof/>
          <w:sz w:val="22"/>
          <w:szCs w:val="22"/>
          <w:lang w:val="sr-Latn-ME"/>
        </w:rPr>
        <w:t>. Monoterapiju treba prim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enjivati kad god je to moguće</w:t>
      </w:r>
      <w:r w:rsidR="00A12936" w:rsidRPr="00DA0B15">
        <w:rPr>
          <w:noProof/>
          <w:sz w:val="22"/>
          <w:szCs w:val="22"/>
          <w:lang w:val="sr-Latn-ME"/>
        </w:rPr>
        <w:t>,</w:t>
      </w:r>
      <w:r w:rsidRPr="00DA0B15">
        <w:rPr>
          <w:noProof/>
          <w:sz w:val="22"/>
          <w:szCs w:val="22"/>
          <w:lang w:val="sr-Latn-ME"/>
        </w:rPr>
        <w:t xml:space="preserve"> jer terapija kombinacijama antiepileptika može biti povezana sa većim rizikom od kongenitalnih malformacija u odnosu na monoterapiju, u zavisnosti od izbora kombinovanih antiepileptika.</w:t>
      </w:r>
    </w:p>
    <w:p w14:paraId="46DB633E" w14:textId="77777777" w:rsidR="00CA24DC" w:rsidRPr="00DA0B15" w:rsidRDefault="00CA24DC">
      <w:pPr>
        <w:pStyle w:val="NormalWeb"/>
        <w:rPr>
          <w:noProof/>
          <w:sz w:val="22"/>
          <w:szCs w:val="22"/>
          <w:lang w:val="sr-Latn-ME"/>
        </w:rPr>
      </w:pPr>
    </w:p>
    <w:p w14:paraId="771554C5" w14:textId="77777777" w:rsidR="00CA24DC" w:rsidRPr="00DA0B15" w:rsidRDefault="00CA24DC">
      <w:pPr>
        <w:tabs>
          <w:tab w:val="clear" w:pos="284"/>
          <w:tab w:val="num" w:pos="0"/>
        </w:tabs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Plodnost</w:t>
      </w:r>
    </w:p>
    <w:p w14:paraId="342E80F0" w14:textId="67A098F2" w:rsidR="00CA24DC" w:rsidRPr="00DA0B15" w:rsidRDefault="00CA24DC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U studijama na životinjama nije prim</w:t>
      </w:r>
      <w:r w:rsidR="00782AC7" w:rsidRPr="00DA0B15">
        <w:rPr>
          <w:noProof/>
          <w:sz w:val="22"/>
          <w:szCs w:val="22"/>
          <w:lang w:val="sr-Latn-ME"/>
        </w:rPr>
        <w:t>i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ećen uticaj na plodnost (vid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 xml:space="preserve">eti </w:t>
      </w:r>
      <w:r w:rsidR="00782AC7" w:rsidRPr="00DA0B15">
        <w:rPr>
          <w:noProof/>
          <w:sz w:val="22"/>
          <w:szCs w:val="22"/>
          <w:lang w:val="sr-Latn-ME"/>
        </w:rPr>
        <w:t>dio</w:t>
      </w:r>
      <w:r w:rsidRPr="00DA0B15">
        <w:rPr>
          <w:noProof/>
          <w:sz w:val="22"/>
          <w:szCs w:val="22"/>
          <w:lang w:val="sr-Latn-ME"/>
        </w:rPr>
        <w:t xml:space="preserve"> 5.3). Nema dostupnih kliničkih podataka, mogući rizik za ljude nije poznat.</w:t>
      </w:r>
    </w:p>
    <w:p w14:paraId="16FBF88C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5B7AD6AB" w14:textId="77777777" w:rsidR="000E01C9" w:rsidRPr="00DA0B15" w:rsidRDefault="000E01C9">
      <w:pPr>
        <w:pStyle w:val="NormalWeb"/>
        <w:rPr>
          <w:noProof/>
          <w:sz w:val="22"/>
          <w:szCs w:val="22"/>
          <w:u w:val="single"/>
          <w:lang w:val="sr-Latn-ME"/>
        </w:rPr>
      </w:pPr>
      <w:r w:rsidRPr="00DA0B15">
        <w:rPr>
          <w:noProof/>
          <w:sz w:val="22"/>
          <w:szCs w:val="22"/>
          <w:u w:val="single"/>
          <w:lang w:val="sr-Latn-ME"/>
        </w:rPr>
        <w:t>Trudnoća</w:t>
      </w:r>
    </w:p>
    <w:p w14:paraId="128A46B9" w14:textId="09E01DBD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Velik</w:t>
      </w:r>
      <w:r w:rsidR="00EB15E0" w:rsidRPr="00DA0B15">
        <w:rPr>
          <w:noProof/>
          <w:sz w:val="22"/>
          <w:szCs w:val="22"/>
          <w:lang w:val="sr-Latn-ME"/>
        </w:rPr>
        <w:t>i</w:t>
      </w:r>
      <w:r w:rsidR="00EB15E0" w:rsidRPr="00DA0B15">
        <w:rPr>
          <w:color w:val="262626"/>
          <w:sz w:val="22"/>
          <w:szCs w:val="22"/>
          <w:lang w:val="sr-Latn-ME"/>
        </w:rPr>
        <w:t xml:space="preserve"> broj postmarketinških </w:t>
      </w:r>
      <w:r w:rsidRPr="00DA0B15">
        <w:rPr>
          <w:noProof/>
          <w:sz w:val="22"/>
          <w:szCs w:val="22"/>
          <w:lang w:val="sr-Latn-ME"/>
        </w:rPr>
        <w:t>podataka o trudnicama koje su bile izložene monoterapiji levetiracetamom (više od 1800, od kojih su više od 1500 bile izložene levetiracetamu tokom prvog trimestra trudnoće) ne ukazuje na povećani rizik od</w:t>
      </w:r>
      <w:r w:rsidR="00EB7413" w:rsidRPr="00DA0B15">
        <w:rPr>
          <w:noProof/>
          <w:sz w:val="22"/>
          <w:szCs w:val="22"/>
          <w:lang w:val="sr-Latn-ME"/>
        </w:rPr>
        <w:t xml:space="preserve"> većih</w:t>
      </w:r>
      <w:r w:rsidR="00DF30C6" w:rsidRPr="00DA0B15">
        <w:rPr>
          <w:noProof/>
          <w:sz w:val="22"/>
          <w:szCs w:val="22"/>
          <w:lang w:val="sr-Latn-ME"/>
        </w:rPr>
        <w:t xml:space="preserve"> kongenitalnih malformacija. Dostupni su samo ograničeni podaci o neurološkom razvoju d</w:t>
      </w:r>
      <w:r w:rsidR="00E86FE7" w:rsidRPr="00DA0B15">
        <w:rPr>
          <w:noProof/>
          <w:sz w:val="22"/>
          <w:szCs w:val="22"/>
          <w:lang w:val="sr-Latn-ME"/>
        </w:rPr>
        <w:t>j</w:t>
      </w:r>
      <w:r w:rsidR="00DF30C6" w:rsidRPr="00DA0B15">
        <w:rPr>
          <w:noProof/>
          <w:sz w:val="22"/>
          <w:szCs w:val="22"/>
          <w:lang w:val="sr-Latn-ME"/>
        </w:rPr>
        <w:t>ece izložene monoterapiji l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="00DF30C6" w:rsidRPr="00DA0B15">
        <w:rPr>
          <w:noProof/>
          <w:sz w:val="22"/>
          <w:szCs w:val="22"/>
          <w:lang w:val="sr-Latn-ME"/>
        </w:rPr>
        <w:t xml:space="preserve">ekom Keppra </w:t>
      </w:r>
      <w:r w:rsidR="00DF30C6" w:rsidRPr="00DA0B15">
        <w:rPr>
          <w:i/>
          <w:noProof/>
          <w:sz w:val="22"/>
          <w:szCs w:val="22"/>
          <w:lang w:val="sr-Latn-ME"/>
        </w:rPr>
        <w:t>in utero</w:t>
      </w:r>
      <w:r w:rsidR="00DF30C6" w:rsidRPr="00DA0B15">
        <w:rPr>
          <w:noProof/>
          <w:sz w:val="22"/>
          <w:szCs w:val="22"/>
          <w:lang w:val="sr-Latn-ME"/>
        </w:rPr>
        <w:t>.</w:t>
      </w:r>
      <w:r w:rsidRPr="00DA0B15">
        <w:rPr>
          <w:noProof/>
          <w:sz w:val="22"/>
          <w:szCs w:val="22"/>
          <w:lang w:val="sr-Latn-ME"/>
        </w:rPr>
        <w:t xml:space="preserve"> </w:t>
      </w:r>
      <w:r w:rsidR="00EE1DE8" w:rsidRPr="00DA0B15">
        <w:rPr>
          <w:noProof/>
          <w:sz w:val="22"/>
          <w:szCs w:val="22"/>
          <w:lang w:val="sr-Latn-ME"/>
        </w:rPr>
        <w:t>Međutim trenutne epidemiološke studije (oko 100 d</w:t>
      </w:r>
      <w:r w:rsidR="00E86FE7" w:rsidRPr="00DA0B15">
        <w:rPr>
          <w:noProof/>
          <w:sz w:val="22"/>
          <w:szCs w:val="22"/>
          <w:lang w:val="sr-Latn-ME"/>
        </w:rPr>
        <w:t>j</w:t>
      </w:r>
      <w:r w:rsidR="00EE1DE8" w:rsidRPr="00DA0B15">
        <w:rPr>
          <w:noProof/>
          <w:sz w:val="22"/>
          <w:szCs w:val="22"/>
          <w:lang w:val="sr-Latn-ME"/>
        </w:rPr>
        <w:t>ece) ni</w:t>
      </w:r>
      <w:r w:rsidR="00E86FE7" w:rsidRPr="00DA0B15">
        <w:rPr>
          <w:noProof/>
          <w:sz w:val="22"/>
          <w:szCs w:val="22"/>
          <w:lang w:val="sr-Latn-ME"/>
        </w:rPr>
        <w:t>je</w:t>
      </w:r>
      <w:r w:rsidR="00EE1DE8" w:rsidRPr="00DA0B15">
        <w:rPr>
          <w:noProof/>
          <w:sz w:val="22"/>
          <w:szCs w:val="22"/>
          <w:lang w:val="sr-Latn-ME"/>
        </w:rPr>
        <w:t>su pokazale</w:t>
      </w:r>
      <w:r w:rsidR="00DF30C6" w:rsidRPr="00DA0B15">
        <w:rPr>
          <w:noProof/>
          <w:sz w:val="22"/>
          <w:szCs w:val="22"/>
          <w:lang w:val="sr-Latn-ME"/>
        </w:rPr>
        <w:t xml:space="preserve"> povećani rizik od </w:t>
      </w:r>
      <w:r w:rsidRPr="00DA0B15">
        <w:rPr>
          <w:noProof/>
          <w:sz w:val="22"/>
          <w:szCs w:val="22"/>
          <w:lang w:val="sr-Latn-ME"/>
        </w:rPr>
        <w:t>neurorazvojnih poremećaja i</w:t>
      </w:r>
      <w:r w:rsidR="00DF30C6" w:rsidRPr="00DA0B15">
        <w:rPr>
          <w:noProof/>
          <w:sz w:val="22"/>
          <w:szCs w:val="22"/>
          <w:lang w:val="sr-Latn-ME"/>
        </w:rPr>
        <w:t>li</w:t>
      </w:r>
      <w:r w:rsidRPr="00DA0B15">
        <w:rPr>
          <w:noProof/>
          <w:sz w:val="22"/>
          <w:szCs w:val="22"/>
          <w:lang w:val="sr-Latn-ME"/>
        </w:rPr>
        <w:t xml:space="preserve"> zaostajanja u razvoju. </w:t>
      </w:r>
    </w:p>
    <w:p w14:paraId="5DC7F08F" w14:textId="75E191C1" w:rsidR="00EB15E0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Levetiracetam se može koristiti u trudnoći ako se nakon pažljive proc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ene smatra da je to klinički neophodno. U tom slučaju preporučuje se najniža efektivna doza.</w:t>
      </w:r>
    </w:p>
    <w:p w14:paraId="5A64977B" w14:textId="3C7646B4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Fiziološke prom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ene za vr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eme trudnoće mogu uticati na koncentraciju levetiracetama. Smanjenje koncentracije levetiracetama u plazmi je bilo prim</w:t>
      </w:r>
      <w:r w:rsidR="00270390" w:rsidRPr="00DA0B15">
        <w:rPr>
          <w:noProof/>
          <w:sz w:val="22"/>
          <w:szCs w:val="22"/>
          <w:lang w:val="sr-Latn-ME"/>
        </w:rPr>
        <w:t>i</w:t>
      </w:r>
      <w:r w:rsidR="00E86FE7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ećeno za vr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eme trudnoće. Ovo smanjenje je više izraženo za vr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eme trećeg trimestra (do 60% od osnovne koncentracije pr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 trudnoće). Potrebno je obezb</w:t>
      </w:r>
      <w:r w:rsidR="00E86FE7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 xml:space="preserve">editi odgovarajući klinički nadzor trudnica koje su na terapiji  levetiracetamom. </w:t>
      </w:r>
    </w:p>
    <w:p w14:paraId="60143B59" w14:textId="77777777" w:rsidR="00CE09F3" w:rsidRPr="00DA0B15" w:rsidRDefault="00CE09F3">
      <w:pPr>
        <w:rPr>
          <w:szCs w:val="22"/>
          <w:lang w:val="sr-Latn-ME"/>
        </w:rPr>
      </w:pPr>
    </w:p>
    <w:p w14:paraId="0335B43B" w14:textId="77777777" w:rsidR="000E01C9" w:rsidRPr="00DA0B15" w:rsidRDefault="000E01C9">
      <w:pPr>
        <w:pStyle w:val="NormalWeb"/>
        <w:rPr>
          <w:noProof/>
          <w:sz w:val="22"/>
          <w:szCs w:val="22"/>
          <w:u w:val="single"/>
          <w:lang w:val="sr-Latn-ME"/>
        </w:rPr>
      </w:pPr>
      <w:r w:rsidRPr="00DA0B15">
        <w:rPr>
          <w:noProof/>
          <w:sz w:val="22"/>
          <w:szCs w:val="22"/>
          <w:u w:val="single"/>
          <w:lang w:val="sr-Latn-ME"/>
        </w:rPr>
        <w:t>Dojenje</w:t>
      </w:r>
    </w:p>
    <w:p w14:paraId="37A4D49B" w14:textId="17187CB8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Levetiracetam se izlučuje u majčino </w:t>
      </w:r>
      <w:r w:rsidR="00782AC7" w:rsidRPr="00DA0B15">
        <w:rPr>
          <w:noProof/>
          <w:szCs w:val="22"/>
          <w:lang w:val="sr-Latn-ME"/>
        </w:rPr>
        <w:t>ml</w:t>
      </w:r>
      <w:r w:rsidR="00270390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</w:t>
      </w:r>
      <w:r w:rsidR="00DF30C6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>. Zbog toga se dojenje ne preporučuje. Ipak, ukoliko je l</w:t>
      </w:r>
      <w:r w:rsidR="00334761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 levetiracetamom potrebno za vr</w:t>
      </w:r>
      <w:r w:rsidR="00334761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dojenja, odnos korist/rizik l</w:t>
      </w:r>
      <w:r w:rsidR="00334761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treba pažljivo razmotriti uzimajući u obzir značaj dojenja.</w:t>
      </w:r>
    </w:p>
    <w:p w14:paraId="497D0DE2" w14:textId="77777777" w:rsidR="00CE09F3" w:rsidRPr="00DA0B15" w:rsidRDefault="00CE09F3">
      <w:pPr>
        <w:rPr>
          <w:szCs w:val="22"/>
          <w:lang w:val="sr-Latn-ME"/>
        </w:rPr>
      </w:pPr>
    </w:p>
    <w:p w14:paraId="5D8A6D31" w14:textId="79792030" w:rsidR="00CE09F3" w:rsidRPr="00DA0B15" w:rsidRDefault="00FF7470">
      <w:pPr>
        <w:rPr>
          <w:b/>
          <w:bCs/>
          <w:spacing w:val="-8"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4.7. </w:t>
      </w:r>
      <w:r w:rsidRPr="00DA0B15">
        <w:rPr>
          <w:b/>
          <w:bCs/>
          <w:szCs w:val="22"/>
          <w:lang w:val="sr-Latn-ME"/>
        </w:rPr>
        <w:tab/>
        <w:t>Uticaj na sposobnost upravljanja vozilima i rukovanje mašinama</w:t>
      </w:r>
    </w:p>
    <w:p w14:paraId="228BE5B1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6BF77890" w14:textId="5310BA3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Levetiracetam ima mali ili um</w:t>
      </w:r>
      <w:r w:rsidR="00334761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eren uticaj na sposobnost upravljanja vozilima i rukovanja mašinama.</w:t>
      </w:r>
    </w:p>
    <w:p w14:paraId="72522E89" w14:textId="0E4B8890" w:rsidR="00CE09F3" w:rsidRPr="008D5CD8" w:rsidRDefault="000E01C9">
      <w:pPr>
        <w:rPr>
          <w:szCs w:val="22"/>
        </w:rPr>
      </w:pPr>
      <w:r w:rsidRPr="00DA0B15">
        <w:rPr>
          <w:noProof/>
          <w:sz w:val="24"/>
          <w:szCs w:val="22"/>
          <w:lang w:val="sr-Latn-ME"/>
        </w:rPr>
        <w:t>Zbog mogućih individualnih razlika u os</w:t>
      </w:r>
      <w:r w:rsidR="00334761" w:rsidRPr="00DA0B15">
        <w:rPr>
          <w:noProof/>
          <w:sz w:val="24"/>
          <w:szCs w:val="22"/>
          <w:lang w:val="sr-Latn-ME"/>
        </w:rPr>
        <w:t>j</w:t>
      </w:r>
      <w:r w:rsidRPr="00DA0B15">
        <w:rPr>
          <w:noProof/>
          <w:sz w:val="24"/>
          <w:szCs w:val="22"/>
          <w:lang w:val="sr-Latn-ME"/>
        </w:rPr>
        <w:t>etljivosti, neki pacijenti mogu doživ</w:t>
      </w:r>
      <w:r w:rsidR="001A1923" w:rsidRPr="00DA0B15">
        <w:rPr>
          <w:noProof/>
          <w:sz w:val="24"/>
          <w:szCs w:val="22"/>
          <w:lang w:val="sr-Latn-ME"/>
        </w:rPr>
        <w:t>j</w:t>
      </w:r>
      <w:r w:rsidRPr="00DA0B15">
        <w:rPr>
          <w:noProof/>
          <w:sz w:val="24"/>
          <w:szCs w:val="22"/>
          <w:lang w:val="sr-Latn-ME"/>
        </w:rPr>
        <w:t>eti pospanost ili druge simptome povezane sa centralnim nervnim sistemom, naročito na početku l</w:t>
      </w:r>
      <w:r w:rsidR="00334761" w:rsidRPr="00DA0B15">
        <w:rPr>
          <w:noProof/>
          <w:sz w:val="24"/>
          <w:szCs w:val="22"/>
          <w:lang w:val="sr-Latn-ME"/>
        </w:rPr>
        <w:t>ij</w:t>
      </w:r>
      <w:r w:rsidRPr="00DA0B15">
        <w:rPr>
          <w:noProof/>
          <w:sz w:val="24"/>
          <w:szCs w:val="22"/>
          <w:lang w:val="sr-Latn-ME"/>
        </w:rPr>
        <w:t>ečenja ili posl</w:t>
      </w:r>
      <w:r w:rsidR="00334761" w:rsidRPr="00DA0B15">
        <w:rPr>
          <w:noProof/>
          <w:sz w:val="24"/>
          <w:szCs w:val="22"/>
          <w:lang w:val="sr-Latn-ME"/>
        </w:rPr>
        <w:t>ij</w:t>
      </w:r>
      <w:r w:rsidRPr="00DA0B15">
        <w:rPr>
          <w:noProof/>
          <w:sz w:val="24"/>
          <w:szCs w:val="22"/>
          <w:lang w:val="sr-Latn-ME"/>
        </w:rPr>
        <w:t>e povećanja doze. Zbog toga je kod tih pacijenata preporučen oprez kada obavljaju poslove koji zaht</w:t>
      </w:r>
      <w:r w:rsidR="00334761" w:rsidRPr="00DA0B15">
        <w:rPr>
          <w:noProof/>
          <w:sz w:val="24"/>
          <w:szCs w:val="22"/>
          <w:lang w:val="sr-Latn-ME"/>
        </w:rPr>
        <w:t>ij</w:t>
      </w:r>
      <w:r w:rsidRPr="00DA0B15">
        <w:rPr>
          <w:noProof/>
          <w:sz w:val="24"/>
          <w:szCs w:val="22"/>
          <w:lang w:val="sr-Latn-ME"/>
        </w:rPr>
        <w:t>evaju v</w:t>
      </w:r>
      <w:r w:rsidR="00334761" w:rsidRPr="00DA0B15">
        <w:rPr>
          <w:noProof/>
          <w:sz w:val="24"/>
          <w:szCs w:val="22"/>
          <w:lang w:val="sr-Latn-ME"/>
        </w:rPr>
        <w:t>j</w:t>
      </w:r>
      <w:r w:rsidRPr="00DA0B15">
        <w:rPr>
          <w:noProof/>
          <w:sz w:val="24"/>
          <w:szCs w:val="22"/>
          <w:lang w:val="sr-Latn-ME"/>
        </w:rPr>
        <w:t>eštinu, npr. vožnja vozila ili upravljanje mašinama. Pacijentima se sav</w:t>
      </w:r>
      <w:r w:rsidR="00334761" w:rsidRPr="00DA0B15">
        <w:rPr>
          <w:noProof/>
          <w:sz w:val="24"/>
          <w:szCs w:val="22"/>
          <w:lang w:val="sr-Latn-ME"/>
        </w:rPr>
        <w:t>j</w:t>
      </w:r>
      <w:r w:rsidRPr="00DA0B15">
        <w:rPr>
          <w:noProof/>
          <w:sz w:val="24"/>
          <w:szCs w:val="22"/>
          <w:lang w:val="sr-Latn-ME"/>
        </w:rPr>
        <w:t>etuje da ne voze ili rukuju mašinama dok se ne utvrdi da njihova sposobnost da izvedu takve aktivnosti nije narušena.</w:t>
      </w:r>
    </w:p>
    <w:p w14:paraId="08E338EB" w14:textId="77777777" w:rsidR="00F45587" w:rsidRDefault="00F45587">
      <w:pPr>
        <w:rPr>
          <w:b/>
          <w:bCs/>
          <w:szCs w:val="22"/>
          <w:lang w:val="sr-Latn-ME"/>
        </w:rPr>
      </w:pPr>
    </w:p>
    <w:p w14:paraId="55D02BD7" w14:textId="2779DB6A" w:rsidR="00CE09F3" w:rsidRPr="00DA0B15" w:rsidRDefault="00977E9A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4.8. </w:t>
      </w:r>
      <w:r w:rsidRPr="00DA0B15">
        <w:rPr>
          <w:b/>
          <w:bCs/>
          <w:szCs w:val="22"/>
          <w:lang w:val="sr-Latn-ME"/>
        </w:rPr>
        <w:tab/>
        <w:t xml:space="preserve">Neželjena dejstva </w:t>
      </w:r>
    </w:p>
    <w:p w14:paraId="2E2EAA81" w14:textId="77777777" w:rsidR="00CE09F3" w:rsidRPr="00DA0B15" w:rsidRDefault="00CE09F3">
      <w:pPr>
        <w:rPr>
          <w:noProof/>
          <w:szCs w:val="22"/>
          <w:u w:val="single"/>
          <w:lang w:val="sr-Latn-ME"/>
        </w:rPr>
      </w:pPr>
    </w:p>
    <w:p w14:paraId="4F4FD0B5" w14:textId="44034FBE" w:rsidR="000E01C9" w:rsidRPr="00DA0B15" w:rsidRDefault="000E01C9">
      <w:pPr>
        <w:pStyle w:val="NormalWeb"/>
        <w:rPr>
          <w:sz w:val="22"/>
          <w:szCs w:val="22"/>
          <w:u w:val="single"/>
          <w:lang w:val="sr-Latn-ME"/>
        </w:rPr>
      </w:pPr>
      <w:r w:rsidRPr="00DA0B15">
        <w:rPr>
          <w:bCs/>
          <w:sz w:val="22"/>
          <w:szCs w:val="22"/>
          <w:u w:val="single"/>
          <w:lang w:val="sr-Latn-ME"/>
        </w:rPr>
        <w:t>Sažetak bezb</w:t>
      </w:r>
      <w:r w:rsidR="006728B9" w:rsidRPr="00DA0B15">
        <w:rPr>
          <w:bCs/>
          <w:sz w:val="22"/>
          <w:szCs w:val="22"/>
          <w:u w:val="single"/>
          <w:lang w:val="sr-Latn-ME"/>
        </w:rPr>
        <w:t>j</w:t>
      </w:r>
      <w:r w:rsidRPr="00DA0B15">
        <w:rPr>
          <w:bCs/>
          <w:sz w:val="22"/>
          <w:szCs w:val="22"/>
          <w:u w:val="single"/>
          <w:lang w:val="sr-Latn-ME"/>
        </w:rPr>
        <w:t>ednosnog profila</w:t>
      </w:r>
    </w:p>
    <w:p w14:paraId="44069249" w14:textId="1ECCF32A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Najčešće prijavljene neželjene reakcije bile su nazofaringitis, pospanost, glavobolja, umor i</w:t>
      </w:r>
      <w:r w:rsidR="00EB15E0" w:rsidRPr="00DA0B15">
        <w:rPr>
          <w:noProof/>
          <w:sz w:val="22"/>
          <w:szCs w:val="22"/>
          <w:lang w:val="sr-Latn-ME"/>
        </w:rPr>
        <w:t xml:space="preserve"> </w:t>
      </w:r>
      <w:r w:rsidR="00EB15E0" w:rsidRPr="00DA0B15">
        <w:rPr>
          <w:color w:val="262626"/>
          <w:sz w:val="22"/>
          <w:szCs w:val="22"/>
          <w:lang w:val="sr-Latn-ME"/>
        </w:rPr>
        <w:t>vrtoglavica</w:t>
      </w:r>
      <w:r w:rsidRPr="00DA0B15">
        <w:rPr>
          <w:noProof/>
          <w:sz w:val="22"/>
          <w:szCs w:val="22"/>
          <w:lang w:val="sr-Latn-ME"/>
        </w:rPr>
        <w:t xml:space="preserve">. Profil neželjenih </w:t>
      </w:r>
      <w:r w:rsidR="00EB15E0" w:rsidRPr="00DA0B15">
        <w:rPr>
          <w:noProof/>
          <w:sz w:val="22"/>
          <w:szCs w:val="22"/>
          <w:lang w:val="sr-Latn-ME"/>
        </w:rPr>
        <w:t xml:space="preserve">dejstva </w:t>
      </w:r>
      <w:r w:rsidRPr="00DA0B15">
        <w:rPr>
          <w:noProof/>
          <w:sz w:val="22"/>
          <w:szCs w:val="22"/>
          <w:lang w:val="sr-Latn-ME"/>
        </w:rPr>
        <w:t xml:space="preserve">prikazan </w:t>
      </w:r>
      <w:r w:rsidR="00EB15E0" w:rsidRPr="00DA0B15">
        <w:rPr>
          <w:noProof/>
          <w:sz w:val="22"/>
          <w:szCs w:val="22"/>
          <w:lang w:val="sr-Latn-ME"/>
        </w:rPr>
        <w:t xml:space="preserve">u nastavku </w:t>
      </w:r>
      <w:r w:rsidRPr="00DA0B15">
        <w:rPr>
          <w:noProof/>
          <w:sz w:val="22"/>
          <w:szCs w:val="22"/>
          <w:lang w:val="sr-Latn-ME"/>
        </w:rPr>
        <w:t xml:space="preserve">bazira se na analizi podataka sakupljenih iz placebo-kontrolisanih </w:t>
      </w:r>
      <w:r w:rsidRPr="00DA0B15">
        <w:rPr>
          <w:noProof/>
          <w:sz w:val="22"/>
          <w:szCs w:val="22"/>
          <w:lang w:val="sr-Latn-ME"/>
        </w:rPr>
        <w:lastRenderedPageBreak/>
        <w:t>kliničkih ispitivanja svih ispitivanih indikacija, u kojima je levetiracetamom l</w:t>
      </w:r>
      <w:r w:rsidR="006728B9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ečeno ukupno 3416 pacijenata. Ovi podaci su dopunjeni podacima iz odgovarajućih otvorenih produženih studija o upotrebi levetiracetama kao i postmarketinškim iskustvom. Bezb</w:t>
      </w:r>
      <w:r w:rsidR="006728B9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ednosni profil levetiracetama uglavnom je sličan u svim starosnim grupama (odraslih i pedijatrijskih pacijenata) i svim odobrenim indikacijama za l</w:t>
      </w:r>
      <w:r w:rsidR="006728B9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ečenje epilepsije.</w:t>
      </w:r>
    </w:p>
    <w:p w14:paraId="4B26CEE3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2ADBC889" w14:textId="77777777" w:rsidR="000E01C9" w:rsidRPr="00DA0B15" w:rsidRDefault="000E01C9">
      <w:pPr>
        <w:tabs>
          <w:tab w:val="clear" w:pos="284"/>
          <w:tab w:val="num" w:pos="426"/>
        </w:tabs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Spisak neželjenih reakcija u tabelarnom prikazu</w:t>
      </w:r>
    </w:p>
    <w:p w14:paraId="4CA90317" w14:textId="7607A121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Neželjene reakcije zab</w:t>
      </w:r>
      <w:r w:rsidR="006728B9" w:rsidRPr="00DA0B15">
        <w:rPr>
          <w:noProof/>
          <w:szCs w:val="22"/>
          <w:lang w:val="sr-Latn-ME"/>
        </w:rPr>
        <w:t>ilj</w:t>
      </w:r>
      <w:r w:rsidRPr="00DA0B15">
        <w:rPr>
          <w:noProof/>
          <w:szCs w:val="22"/>
          <w:lang w:val="sr-Latn-ME"/>
        </w:rPr>
        <w:t>ežene tokom kliničkih studija (odrasli, adolescenti, d</w:t>
      </w:r>
      <w:r w:rsidR="006728B9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eca i odojčad starija od 1 m</w:t>
      </w:r>
      <w:r w:rsidR="006728B9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eseca) i iz postmarketinškog iskustva navedene su u sl</w:t>
      </w:r>
      <w:r w:rsidR="006728B9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edećoj tabeli prema sistemu klasifikacije organa </w:t>
      </w:r>
      <w:r w:rsidR="00CF7F71" w:rsidRPr="00DA0B15">
        <w:rPr>
          <w:color w:val="262626"/>
          <w:szCs w:val="22"/>
          <w:lang w:val="sr-Latn-ME"/>
        </w:rPr>
        <w:t xml:space="preserve">(MedDra SOC) </w:t>
      </w:r>
      <w:r w:rsidRPr="00DA0B15">
        <w:rPr>
          <w:noProof/>
          <w:szCs w:val="22"/>
          <w:lang w:val="sr-Latn-ME"/>
        </w:rPr>
        <w:t xml:space="preserve">i prema učestalosti. Neželjene reakcije prikazane su u </w:t>
      </w:r>
      <w:r w:rsidR="001A1923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>padajućem nizu u pogledu ozbiljnosti a njihova učestalost je definisana na sl</w:t>
      </w:r>
      <w:r w:rsidR="006728B9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edeći način: veoma čest</w:t>
      </w:r>
      <w:r w:rsidR="00CF7F71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 xml:space="preserve"> (≥1/10); čest</w:t>
      </w:r>
      <w:r w:rsidR="00CF7F71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 xml:space="preserve"> (≥1/100 </w:t>
      </w:r>
      <w:r w:rsidR="00EB15E0" w:rsidRPr="00DA0B15">
        <w:rPr>
          <w:noProof/>
          <w:szCs w:val="22"/>
          <w:lang w:val="sr-Latn-ME"/>
        </w:rPr>
        <w:t>do</w:t>
      </w:r>
      <w:r w:rsidRPr="00DA0B15">
        <w:rPr>
          <w:noProof/>
          <w:szCs w:val="22"/>
          <w:lang w:val="sr-Latn-ME"/>
        </w:rPr>
        <w:t xml:space="preserve"> &lt;1/10); povremen</w:t>
      </w:r>
      <w:r w:rsidR="00CF7F71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 xml:space="preserve"> (≥1/1000 </w:t>
      </w:r>
      <w:r w:rsidR="00EB15E0" w:rsidRPr="00DA0B15">
        <w:rPr>
          <w:noProof/>
          <w:szCs w:val="22"/>
          <w:lang w:val="sr-Latn-ME"/>
        </w:rPr>
        <w:t>do</w:t>
      </w:r>
      <w:r w:rsidRPr="00DA0B15">
        <w:rPr>
          <w:noProof/>
          <w:szCs w:val="22"/>
          <w:lang w:val="sr-Latn-ME"/>
        </w:rPr>
        <w:t xml:space="preserve"> &lt;1/100); r</w:t>
      </w:r>
      <w:r w:rsidR="006728B9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etk</w:t>
      </w:r>
      <w:r w:rsidR="00CF7F71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 xml:space="preserve"> (≥1/10000 </w:t>
      </w:r>
      <w:r w:rsidR="00EB15E0" w:rsidRPr="00DA0B15">
        <w:rPr>
          <w:noProof/>
          <w:szCs w:val="22"/>
          <w:lang w:val="sr-Latn-ME"/>
        </w:rPr>
        <w:t>do</w:t>
      </w:r>
      <w:r w:rsidRPr="00DA0B15">
        <w:rPr>
          <w:noProof/>
          <w:szCs w:val="22"/>
          <w:lang w:val="sr-Latn-ME"/>
        </w:rPr>
        <w:t xml:space="preserve"> &lt;1/1000) i veoma r</w:t>
      </w:r>
      <w:r w:rsidR="006728B9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etk</w:t>
      </w:r>
      <w:r w:rsidR="00CF7F71" w:rsidRPr="00DA0B15">
        <w:rPr>
          <w:noProof/>
          <w:szCs w:val="22"/>
          <w:lang w:val="sr-Latn-ME"/>
        </w:rPr>
        <w:t>o</w:t>
      </w:r>
      <w:r w:rsidRPr="00DA0B15">
        <w:rPr>
          <w:noProof/>
          <w:szCs w:val="22"/>
          <w:lang w:val="sr-Latn-ME"/>
        </w:rPr>
        <w:t xml:space="preserve"> (&lt;1/10000).</w:t>
      </w:r>
    </w:p>
    <w:p w14:paraId="0AE86299" w14:textId="77777777" w:rsidR="000E01C9" w:rsidRPr="00DA0B15" w:rsidRDefault="000E01C9">
      <w:pPr>
        <w:rPr>
          <w:noProof/>
          <w:szCs w:val="22"/>
          <w:lang w:val="sr-Latn-M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"/>
        <w:gridCol w:w="1683"/>
        <w:gridCol w:w="1843"/>
        <w:gridCol w:w="1843"/>
      </w:tblGrid>
      <w:tr w:rsidR="000E01C9" w:rsidRPr="008D5CD8" w14:paraId="022FAD92" w14:textId="77777777" w:rsidTr="007A593E">
        <w:trPr>
          <w:trHeight w:val="240"/>
        </w:trPr>
        <w:tc>
          <w:tcPr>
            <w:tcW w:w="2263" w:type="dxa"/>
            <w:vMerge w:val="restart"/>
            <w:shd w:val="clear" w:color="auto" w:fill="FFFFFF"/>
          </w:tcPr>
          <w:p w14:paraId="101B47E0" w14:textId="77777777" w:rsidR="000E01C9" w:rsidRPr="008D5CD8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MedDRA</w:t>
            </w:r>
          </w:p>
          <w:p w14:paraId="01A10A03" w14:textId="02C2C512" w:rsidR="000E01C9" w:rsidRPr="001A1923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sistem</w:t>
            </w:r>
            <w:r w:rsidR="001A1923">
              <w:rPr>
                <w:noProof/>
                <w:sz w:val="22"/>
                <w:szCs w:val="22"/>
                <w:lang w:val="sr-Latn-CS"/>
              </w:rPr>
              <w:t xml:space="preserve"> organa</w:t>
            </w:r>
          </w:p>
        </w:tc>
        <w:tc>
          <w:tcPr>
            <w:tcW w:w="7088" w:type="dxa"/>
            <w:gridSpan w:val="5"/>
            <w:shd w:val="clear" w:color="auto" w:fill="FFFFFF"/>
          </w:tcPr>
          <w:p w14:paraId="1A09B9F5" w14:textId="77777777" w:rsidR="000E01C9" w:rsidRPr="008D5CD8" w:rsidRDefault="000E01C9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  <w:r w:rsidRPr="00704012">
              <w:rPr>
                <w:sz w:val="22"/>
                <w:szCs w:val="22"/>
                <w:lang w:val="sr-Latn-CS"/>
              </w:rPr>
              <w:t>Kategorija učestalosti</w:t>
            </w:r>
          </w:p>
        </w:tc>
      </w:tr>
      <w:tr w:rsidR="000E01C9" w:rsidRPr="008D5CD8" w14:paraId="75AD1CC8" w14:textId="77777777" w:rsidTr="007A593E">
        <w:trPr>
          <w:trHeight w:val="270"/>
        </w:trPr>
        <w:tc>
          <w:tcPr>
            <w:tcW w:w="2263" w:type="dxa"/>
            <w:vMerge/>
            <w:shd w:val="clear" w:color="auto" w:fill="FFFFFF"/>
          </w:tcPr>
          <w:p w14:paraId="7A22768A" w14:textId="77777777" w:rsidR="000E01C9" w:rsidRPr="008D5CD8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shd w:val="clear" w:color="auto" w:fill="auto"/>
          </w:tcPr>
          <w:p w14:paraId="172A930C" w14:textId="77777777" w:rsidR="000E01C9" w:rsidRPr="008D5CD8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Veoma česta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757EC61" w14:textId="77777777" w:rsidR="000E01C9" w:rsidRPr="008D5CD8" w:rsidRDefault="000E01C9">
            <w:pPr>
              <w:pStyle w:val="NormalWeb"/>
              <w:tabs>
                <w:tab w:val="left" w:pos="1293"/>
              </w:tabs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Česta</w:t>
            </w:r>
          </w:p>
        </w:tc>
        <w:tc>
          <w:tcPr>
            <w:tcW w:w="1843" w:type="dxa"/>
            <w:shd w:val="clear" w:color="auto" w:fill="auto"/>
          </w:tcPr>
          <w:p w14:paraId="631427D8" w14:textId="77777777" w:rsidR="000E01C9" w:rsidRPr="008D5CD8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Povremena</w:t>
            </w:r>
          </w:p>
        </w:tc>
        <w:tc>
          <w:tcPr>
            <w:tcW w:w="1843" w:type="dxa"/>
            <w:shd w:val="clear" w:color="auto" w:fill="auto"/>
          </w:tcPr>
          <w:p w14:paraId="174964CF" w14:textId="3E39C00E" w:rsidR="000E01C9" w:rsidRPr="008D5CD8" w:rsidRDefault="000E01C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R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ij</w:t>
            </w:r>
            <w:r w:rsidRPr="008D5CD8">
              <w:rPr>
                <w:noProof/>
                <w:sz w:val="22"/>
                <w:szCs w:val="22"/>
                <w:lang w:val="sr-Latn-CS"/>
              </w:rPr>
              <w:t>etka</w:t>
            </w:r>
          </w:p>
        </w:tc>
      </w:tr>
      <w:tr w:rsidR="000E01C9" w:rsidRPr="008D5CD8" w14:paraId="1AF50DDF" w14:textId="77777777" w:rsidTr="007A593E">
        <w:tc>
          <w:tcPr>
            <w:tcW w:w="2263" w:type="dxa"/>
            <w:shd w:val="clear" w:color="auto" w:fill="auto"/>
          </w:tcPr>
          <w:p w14:paraId="0D361EB8" w14:textId="77777777" w:rsidR="000E01C9" w:rsidRPr="008D5CD8" w:rsidRDefault="000E01C9" w:rsidP="008D5CD8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Infekcije i infestacije</w:t>
            </w:r>
          </w:p>
        </w:tc>
        <w:tc>
          <w:tcPr>
            <w:tcW w:w="1701" w:type="dxa"/>
            <w:shd w:val="clear" w:color="auto" w:fill="auto"/>
          </w:tcPr>
          <w:p w14:paraId="70452845" w14:textId="77777777" w:rsidR="000E01C9" w:rsidRPr="008D5CD8" w:rsidRDefault="000E01C9" w:rsidP="008D5CD8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nazofaringitis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826DE72" w14:textId="77777777" w:rsidR="000E01C9" w:rsidRPr="008D5CD8" w:rsidRDefault="000E01C9" w:rsidP="008D5CD8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76308D28" w14:textId="77777777" w:rsidR="000E01C9" w:rsidRPr="008D5CD8" w:rsidRDefault="000E01C9" w:rsidP="004206CD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3FA43E41" w14:textId="77777777" w:rsidR="000E01C9" w:rsidRPr="008D5CD8" w:rsidRDefault="000E01C9" w:rsidP="00001B29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infekcija</w:t>
            </w:r>
          </w:p>
        </w:tc>
      </w:tr>
      <w:tr w:rsidR="000E01C9" w:rsidRPr="008D5CD8" w14:paraId="32190873" w14:textId="77777777" w:rsidTr="007A593E">
        <w:tc>
          <w:tcPr>
            <w:tcW w:w="2263" w:type="dxa"/>
            <w:shd w:val="clear" w:color="auto" w:fill="auto"/>
          </w:tcPr>
          <w:p w14:paraId="4621D7B6" w14:textId="77777777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Poremećaji krvi i limfnog sistema</w:t>
            </w:r>
          </w:p>
        </w:tc>
        <w:tc>
          <w:tcPr>
            <w:tcW w:w="1701" w:type="dxa"/>
            <w:shd w:val="clear" w:color="auto" w:fill="auto"/>
          </w:tcPr>
          <w:p w14:paraId="1B5D47B2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649444B0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271C09A7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trombocitopenija, leukopenija</w:t>
            </w:r>
          </w:p>
        </w:tc>
        <w:tc>
          <w:tcPr>
            <w:tcW w:w="1843" w:type="dxa"/>
            <w:shd w:val="clear" w:color="auto" w:fill="auto"/>
          </w:tcPr>
          <w:p w14:paraId="79AB0CDA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vertAlign w:val="superscript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pancitopenija, neutropenija, agranulocitoza</w:t>
            </w:r>
          </w:p>
        </w:tc>
      </w:tr>
      <w:tr w:rsidR="000E01C9" w:rsidRPr="008D5CD8" w14:paraId="09CE6647" w14:textId="77777777" w:rsidTr="007A593E">
        <w:tc>
          <w:tcPr>
            <w:tcW w:w="2263" w:type="dxa"/>
            <w:shd w:val="clear" w:color="auto" w:fill="auto"/>
          </w:tcPr>
          <w:p w14:paraId="0565E3FF" w14:textId="050F0554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sz w:val="22"/>
                <w:szCs w:val="22"/>
                <w:lang w:val="sr-Latn-CS"/>
              </w:rPr>
              <w:t>Poremećaji imunog sistema</w:t>
            </w:r>
          </w:p>
        </w:tc>
        <w:tc>
          <w:tcPr>
            <w:tcW w:w="1701" w:type="dxa"/>
            <w:shd w:val="clear" w:color="auto" w:fill="auto"/>
          </w:tcPr>
          <w:p w14:paraId="30E8544D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BF6DD52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28957A57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0983367F" w14:textId="652FBA44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reakcija na l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ij</w:t>
            </w:r>
            <w:r w:rsidRPr="008D5CD8">
              <w:rPr>
                <w:noProof/>
                <w:sz w:val="22"/>
                <w:szCs w:val="22"/>
                <w:lang w:val="sr-Latn-CS"/>
              </w:rPr>
              <w:t>ek sa eozinofilijom i sistemskim simptomima (DRESS), preos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Pr="008D5CD8">
              <w:rPr>
                <w:noProof/>
                <w:sz w:val="22"/>
                <w:szCs w:val="22"/>
                <w:lang w:val="sr-Latn-CS"/>
              </w:rPr>
              <w:t>etljivost (uključujući angioedem i anafilkasu)</w:t>
            </w:r>
          </w:p>
        </w:tc>
      </w:tr>
      <w:tr w:rsidR="000E01C9" w:rsidRPr="008D5CD8" w14:paraId="350D32AF" w14:textId="77777777" w:rsidTr="007A593E">
        <w:tc>
          <w:tcPr>
            <w:tcW w:w="2263" w:type="dxa"/>
            <w:shd w:val="clear" w:color="auto" w:fill="auto"/>
          </w:tcPr>
          <w:p w14:paraId="4E3677DA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Poremećaji metabolizma i ishrane</w:t>
            </w:r>
          </w:p>
        </w:tc>
        <w:tc>
          <w:tcPr>
            <w:tcW w:w="1701" w:type="dxa"/>
            <w:shd w:val="clear" w:color="auto" w:fill="auto"/>
          </w:tcPr>
          <w:p w14:paraId="1AA0B9AB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2FF95F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anoreksija</w:t>
            </w:r>
          </w:p>
        </w:tc>
        <w:tc>
          <w:tcPr>
            <w:tcW w:w="1843" w:type="dxa"/>
            <w:shd w:val="clear" w:color="auto" w:fill="auto"/>
          </w:tcPr>
          <w:p w14:paraId="4227D03C" w14:textId="54F6E50B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gubitak t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Pr="008D5CD8">
              <w:rPr>
                <w:noProof/>
                <w:sz w:val="22"/>
                <w:szCs w:val="22"/>
                <w:lang w:val="sr-Latn-CS"/>
              </w:rPr>
              <w:t>elesne mase, povećanje t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Pr="008D5CD8">
              <w:rPr>
                <w:noProof/>
                <w:sz w:val="22"/>
                <w:szCs w:val="22"/>
                <w:lang w:val="sr-Latn-CS"/>
              </w:rPr>
              <w:t>elesne mase</w:t>
            </w:r>
          </w:p>
        </w:tc>
        <w:tc>
          <w:tcPr>
            <w:tcW w:w="1843" w:type="dxa"/>
            <w:shd w:val="clear" w:color="auto" w:fill="auto"/>
          </w:tcPr>
          <w:p w14:paraId="0C6C628B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hiponatremija</w:t>
            </w:r>
          </w:p>
        </w:tc>
      </w:tr>
      <w:tr w:rsidR="000E01C9" w:rsidRPr="008D5CD8" w14:paraId="3D6C75E6" w14:textId="77777777" w:rsidTr="007A593E">
        <w:tc>
          <w:tcPr>
            <w:tcW w:w="2263" w:type="dxa"/>
            <w:shd w:val="clear" w:color="auto" w:fill="auto"/>
          </w:tcPr>
          <w:p w14:paraId="565E224A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Psihijatrijski poremećaji</w:t>
            </w:r>
          </w:p>
        </w:tc>
        <w:tc>
          <w:tcPr>
            <w:tcW w:w="1701" w:type="dxa"/>
            <w:shd w:val="clear" w:color="auto" w:fill="auto"/>
          </w:tcPr>
          <w:p w14:paraId="74564BFE" w14:textId="77777777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DAE4AAF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depresija, netrpeljivost/ agresivnost, anksioznost, insomnija, nervoza/ razdražljivost</w:t>
            </w:r>
          </w:p>
        </w:tc>
        <w:tc>
          <w:tcPr>
            <w:tcW w:w="1843" w:type="dxa"/>
            <w:shd w:val="clear" w:color="auto" w:fill="auto"/>
          </w:tcPr>
          <w:p w14:paraId="1273D559" w14:textId="0C55E78F" w:rsidR="000E01C9" w:rsidRPr="008D5CD8" w:rsidRDefault="000E01C9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pokušaj samoubistva, suicid</w:t>
            </w:r>
            <w:r w:rsidR="005C3FBC" w:rsidRPr="008D5CD8">
              <w:rPr>
                <w:noProof/>
                <w:sz w:val="22"/>
                <w:szCs w:val="22"/>
                <w:lang w:val="sr-Latn-CS"/>
              </w:rPr>
              <w:t>al</w:t>
            </w:r>
            <w:r w:rsidRPr="008D5CD8">
              <w:rPr>
                <w:noProof/>
                <w:sz w:val="22"/>
                <w:szCs w:val="22"/>
                <w:lang w:val="sr-Latn-CS"/>
              </w:rPr>
              <w:t xml:space="preserve">ne ideje, psihotični poremećaj, abnormalno ponašanje, halucinacije, </w:t>
            </w:r>
            <w:r w:rsidR="005C3FBC" w:rsidRPr="008D5CD8">
              <w:rPr>
                <w:noProof/>
                <w:sz w:val="22"/>
                <w:szCs w:val="22"/>
                <w:lang w:val="sr-Latn-CS"/>
              </w:rPr>
              <w:t>b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ij</w:t>
            </w:r>
            <w:r w:rsidR="005C3FBC" w:rsidRPr="008D5CD8">
              <w:rPr>
                <w:noProof/>
                <w:sz w:val="22"/>
                <w:szCs w:val="22"/>
                <w:lang w:val="sr-Latn-CS"/>
              </w:rPr>
              <w:t>es</w:t>
            </w:r>
            <w:r w:rsidRPr="008D5CD8">
              <w:rPr>
                <w:noProof/>
                <w:sz w:val="22"/>
                <w:szCs w:val="22"/>
                <w:lang w:val="sr-Latn-CS"/>
              </w:rPr>
              <w:t>, stanje zbunjenosti, napad panike, emocionalna nestabilnost/ prom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Pr="008D5CD8">
              <w:rPr>
                <w:noProof/>
                <w:sz w:val="22"/>
                <w:szCs w:val="22"/>
                <w:lang w:val="sr-Latn-CS"/>
              </w:rPr>
              <w:t>ene raspoloženja, agitacija</w:t>
            </w:r>
          </w:p>
        </w:tc>
        <w:tc>
          <w:tcPr>
            <w:tcW w:w="1843" w:type="dxa"/>
            <w:shd w:val="clear" w:color="auto" w:fill="auto"/>
          </w:tcPr>
          <w:p w14:paraId="00CC6C89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samoubistvo, poremećaji ličnosti, abnormalne misli, delirijum</w:t>
            </w:r>
          </w:p>
        </w:tc>
      </w:tr>
      <w:tr w:rsidR="000E01C9" w:rsidRPr="008D5CD8" w14:paraId="11263AA6" w14:textId="77777777" w:rsidTr="007A593E">
        <w:tc>
          <w:tcPr>
            <w:tcW w:w="2263" w:type="dxa"/>
            <w:shd w:val="clear" w:color="auto" w:fill="auto"/>
          </w:tcPr>
          <w:p w14:paraId="04F3BFE4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Poremećaji nervnog sistema</w:t>
            </w:r>
          </w:p>
        </w:tc>
        <w:tc>
          <w:tcPr>
            <w:tcW w:w="1701" w:type="dxa"/>
            <w:shd w:val="clear" w:color="auto" w:fill="auto"/>
          </w:tcPr>
          <w:p w14:paraId="161549C6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pospanost, glavobolja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9BBF065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konvulzije, poremećaj ravnoteže, ošamućenost, letargija,</w:t>
            </w:r>
          </w:p>
          <w:p w14:paraId="4A0226C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tremor</w:t>
            </w:r>
          </w:p>
        </w:tc>
        <w:tc>
          <w:tcPr>
            <w:tcW w:w="1843" w:type="dxa"/>
            <w:shd w:val="clear" w:color="auto" w:fill="auto"/>
          </w:tcPr>
          <w:p w14:paraId="4F95D909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amnezija, poremećaji pamćenja, abnormalna koordinacija/ ataksija, parestezija, smetnje u koncentraciji</w:t>
            </w:r>
          </w:p>
        </w:tc>
        <w:tc>
          <w:tcPr>
            <w:tcW w:w="1843" w:type="dxa"/>
            <w:shd w:val="clear" w:color="auto" w:fill="auto"/>
          </w:tcPr>
          <w:p w14:paraId="42B4121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horeoatetoza,</w:t>
            </w:r>
            <w:r w:rsidRPr="008D5CD8">
              <w:rPr>
                <w:strike/>
                <w:noProof/>
                <w:sz w:val="22"/>
                <w:szCs w:val="22"/>
                <w:lang w:val="sr-Latn-CS"/>
              </w:rPr>
              <w:t xml:space="preserve"> </w:t>
            </w:r>
            <w:r w:rsidRPr="008D5CD8">
              <w:rPr>
                <w:noProof/>
                <w:sz w:val="22"/>
                <w:szCs w:val="22"/>
                <w:lang w:val="sr-Latn-CS"/>
              </w:rPr>
              <w:t>diskinezija, hiperkinezija, poremećaji hodanja, encefalopatija</w:t>
            </w:r>
          </w:p>
        </w:tc>
      </w:tr>
      <w:tr w:rsidR="000E01C9" w:rsidRPr="008D5CD8" w14:paraId="1711B8CD" w14:textId="77777777" w:rsidTr="007A593E">
        <w:tc>
          <w:tcPr>
            <w:tcW w:w="2263" w:type="dxa"/>
            <w:shd w:val="clear" w:color="auto" w:fill="auto"/>
          </w:tcPr>
          <w:p w14:paraId="02A49A52" w14:textId="77777777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lastRenderedPageBreak/>
              <w:t>Poremećaji oka</w:t>
            </w:r>
          </w:p>
        </w:tc>
        <w:tc>
          <w:tcPr>
            <w:tcW w:w="1701" w:type="dxa"/>
            <w:shd w:val="clear" w:color="auto" w:fill="auto"/>
          </w:tcPr>
          <w:p w14:paraId="7FC0EF1D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27A215A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1024E09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diplopija, zamagljen vid</w:t>
            </w:r>
          </w:p>
        </w:tc>
        <w:tc>
          <w:tcPr>
            <w:tcW w:w="1843" w:type="dxa"/>
            <w:shd w:val="clear" w:color="auto" w:fill="auto"/>
          </w:tcPr>
          <w:p w14:paraId="71C7BFB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</w:tr>
      <w:tr w:rsidR="000E01C9" w:rsidRPr="008D5CD8" w14:paraId="5C07045A" w14:textId="77777777" w:rsidTr="007A593E">
        <w:tc>
          <w:tcPr>
            <w:tcW w:w="2263" w:type="dxa"/>
            <w:shd w:val="clear" w:color="auto" w:fill="auto"/>
          </w:tcPr>
          <w:p w14:paraId="1DEB5FAD" w14:textId="77777777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 xml:space="preserve">Poremećaji uha i </w:t>
            </w:r>
            <w:r w:rsidR="00CF7F71" w:rsidRPr="00DA0B15">
              <w:rPr>
                <w:noProof/>
                <w:sz w:val="22"/>
                <w:szCs w:val="22"/>
              </w:rPr>
              <w:t>labirinta</w:t>
            </w:r>
            <w:r w:rsidR="00CF7F71" w:rsidRPr="008D5CD8" w:rsidDel="00CF7F71">
              <w:rPr>
                <w:noProof/>
                <w:sz w:val="22"/>
                <w:szCs w:val="22"/>
                <w:lang w:val="sr-Latn-CS"/>
              </w:rPr>
              <w:t xml:space="preserve"> </w:t>
            </w:r>
            <w:r w:rsidR="00CF7F71" w:rsidRPr="008D5CD8">
              <w:rPr>
                <w:noProof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9C22319" w14:textId="77777777" w:rsidR="000E01C9" w:rsidRPr="004206CD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7C95936" w14:textId="77777777" w:rsidR="000E01C9" w:rsidRPr="00001B29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001B29">
              <w:rPr>
                <w:noProof/>
                <w:sz w:val="22"/>
                <w:szCs w:val="22"/>
                <w:lang w:val="sr-Latn-CS"/>
              </w:rPr>
              <w:t>vrtoglavica</w:t>
            </w:r>
          </w:p>
        </w:tc>
        <w:tc>
          <w:tcPr>
            <w:tcW w:w="1843" w:type="dxa"/>
            <w:shd w:val="clear" w:color="auto" w:fill="auto"/>
          </w:tcPr>
          <w:p w14:paraId="6270525E" w14:textId="77777777" w:rsidR="000E01C9" w:rsidRPr="008B0134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0A14D39E" w14:textId="77777777" w:rsidR="000E01C9" w:rsidRPr="008B0134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</w:tr>
      <w:tr w:rsidR="000E01C9" w:rsidRPr="008D5CD8" w14:paraId="5D799CDD" w14:textId="77777777" w:rsidTr="007A593E">
        <w:tc>
          <w:tcPr>
            <w:tcW w:w="2263" w:type="dxa"/>
            <w:shd w:val="clear" w:color="auto" w:fill="auto"/>
          </w:tcPr>
          <w:p w14:paraId="143ED421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 xml:space="preserve">Respiratorni, torakalni i medijastinalni poremećaji </w:t>
            </w:r>
          </w:p>
        </w:tc>
        <w:tc>
          <w:tcPr>
            <w:tcW w:w="1701" w:type="dxa"/>
            <w:shd w:val="clear" w:color="auto" w:fill="auto"/>
          </w:tcPr>
          <w:p w14:paraId="495CAAE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0314A97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kašalj</w:t>
            </w:r>
          </w:p>
        </w:tc>
        <w:tc>
          <w:tcPr>
            <w:tcW w:w="1843" w:type="dxa"/>
            <w:shd w:val="clear" w:color="auto" w:fill="auto"/>
          </w:tcPr>
          <w:p w14:paraId="4AB5523B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292076C8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</w:tr>
      <w:tr w:rsidR="000E01C9" w:rsidRPr="008D5CD8" w14:paraId="1ADACC2F" w14:textId="77777777" w:rsidTr="007A593E">
        <w:tc>
          <w:tcPr>
            <w:tcW w:w="2263" w:type="dxa"/>
            <w:shd w:val="clear" w:color="auto" w:fill="auto"/>
          </w:tcPr>
          <w:p w14:paraId="1D83ABB2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Gastrointestinalni poremećaji</w:t>
            </w:r>
          </w:p>
        </w:tc>
        <w:tc>
          <w:tcPr>
            <w:tcW w:w="1701" w:type="dxa"/>
            <w:shd w:val="clear" w:color="auto" w:fill="auto"/>
          </w:tcPr>
          <w:p w14:paraId="5F5E843C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803D0F5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bol u abdomenu, dijareja, dispepsija, povraćanje, nauzeja</w:t>
            </w:r>
          </w:p>
        </w:tc>
        <w:tc>
          <w:tcPr>
            <w:tcW w:w="1843" w:type="dxa"/>
            <w:shd w:val="clear" w:color="auto" w:fill="auto"/>
          </w:tcPr>
          <w:p w14:paraId="557414B4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614B2517" w14:textId="08A4C087" w:rsidR="000E01C9" w:rsidRPr="008D5CD8" w:rsidRDefault="008B0134" w:rsidP="00DA0B15">
            <w:pPr>
              <w:pStyle w:val="NormalWeb"/>
              <w:rPr>
                <w:strike/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</w:t>
            </w:r>
            <w:r w:rsidR="000E01C9" w:rsidRPr="008D5CD8">
              <w:rPr>
                <w:noProof/>
                <w:sz w:val="22"/>
                <w:szCs w:val="22"/>
                <w:lang w:val="sr-Latn-CS"/>
              </w:rPr>
              <w:t>ankreatitis</w:t>
            </w:r>
          </w:p>
        </w:tc>
      </w:tr>
      <w:tr w:rsidR="000E01C9" w:rsidRPr="008D5CD8" w14:paraId="50184105" w14:textId="77777777" w:rsidTr="007A593E">
        <w:tc>
          <w:tcPr>
            <w:tcW w:w="2263" w:type="dxa"/>
            <w:shd w:val="clear" w:color="auto" w:fill="auto"/>
          </w:tcPr>
          <w:p w14:paraId="56D7DEF8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Hepatobilijarni poremećaji</w:t>
            </w:r>
          </w:p>
        </w:tc>
        <w:tc>
          <w:tcPr>
            <w:tcW w:w="1701" w:type="dxa"/>
            <w:shd w:val="clear" w:color="auto" w:fill="auto"/>
          </w:tcPr>
          <w:p w14:paraId="3291BD44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1C16A622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2BF02452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abnormalni testovi funkcije jetre</w:t>
            </w:r>
          </w:p>
        </w:tc>
        <w:tc>
          <w:tcPr>
            <w:tcW w:w="1843" w:type="dxa"/>
            <w:shd w:val="clear" w:color="auto" w:fill="auto"/>
          </w:tcPr>
          <w:p w14:paraId="36AE1995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otkazivanje funkcije jetre, hepatitis</w:t>
            </w:r>
          </w:p>
        </w:tc>
      </w:tr>
      <w:tr w:rsidR="000E01C9" w:rsidRPr="008D5CD8" w14:paraId="1F578E73" w14:textId="77777777" w:rsidTr="007A593E">
        <w:trPr>
          <w:trHeight w:val="696"/>
        </w:trPr>
        <w:tc>
          <w:tcPr>
            <w:tcW w:w="2263" w:type="dxa"/>
            <w:shd w:val="clear" w:color="auto" w:fill="auto"/>
          </w:tcPr>
          <w:p w14:paraId="4D833921" w14:textId="77777777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 xml:space="preserve">Poremećaji bubrega i urinarnog sistema </w:t>
            </w:r>
          </w:p>
        </w:tc>
        <w:tc>
          <w:tcPr>
            <w:tcW w:w="1701" w:type="dxa"/>
            <w:shd w:val="clear" w:color="auto" w:fill="auto"/>
          </w:tcPr>
          <w:p w14:paraId="3E33787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57A0252C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35BEE39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772D4907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akutno oštećenje bubrega</w:t>
            </w:r>
          </w:p>
        </w:tc>
      </w:tr>
      <w:tr w:rsidR="000E01C9" w:rsidRPr="008D5CD8" w14:paraId="75745069" w14:textId="77777777" w:rsidTr="007A593E">
        <w:tc>
          <w:tcPr>
            <w:tcW w:w="2263" w:type="dxa"/>
            <w:shd w:val="clear" w:color="auto" w:fill="auto"/>
          </w:tcPr>
          <w:p w14:paraId="7D00A3D2" w14:textId="77777777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Poremećaji kože i potkožnog tkiva</w:t>
            </w:r>
          </w:p>
        </w:tc>
        <w:tc>
          <w:tcPr>
            <w:tcW w:w="1701" w:type="dxa"/>
            <w:shd w:val="clear" w:color="auto" w:fill="auto"/>
          </w:tcPr>
          <w:p w14:paraId="1C99AB86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4E55ED7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osip</w:t>
            </w:r>
          </w:p>
        </w:tc>
        <w:tc>
          <w:tcPr>
            <w:tcW w:w="1843" w:type="dxa"/>
            <w:shd w:val="clear" w:color="auto" w:fill="auto"/>
          </w:tcPr>
          <w:p w14:paraId="51833057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alopecija, ekcem, pruritus</w:t>
            </w:r>
          </w:p>
        </w:tc>
        <w:tc>
          <w:tcPr>
            <w:tcW w:w="1843" w:type="dxa"/>
            <w:shd w:val="clear" w:color="auto" w:fill="auto"/>
          </w:tcPr>
          <w:p w14:paraId="30E25219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 xml:space="preserve">toksična epidermalna nekroliza, sindrom </w:t>
            </w:r>
            <w:r w:rsidR="001A09D9" w:rsidRPr="008D5CD8">
              <w:rPr>
                <w:i/>
                <w:noProof/>
                <w:sz w:val="22"/>
                <w:szCs w:val="22"/>
                <w:lang w:val="sr-Latn-CS"/>
              </w:rPr>
              <w:t>Stevens-Johnson</w:t>
            </w:r>
            <w:r w:rsidRPr="008D5CD8">
              <w:rPr>
                <w:noProof/>
                <w:sz w:val="22"/>
                <w:szCs w:val="22"/>
                <w:lang w:val="sr-Latn-CS"/>
              </w:rPr>
              <w:t>, multiformni eritem</w:t>
            </w:r>
          </w:p>
        </w:tc>
      </w:tr>
      <w:tr w:rsidR="000E01C9" w:rsidRPr="008D5CD8" w14:paraId="4B57962A" w14:textId="77777777" w:rsidTr="007A593E">
        <w:tc>
          <w:tcPr>
            <w:tcW w:w="2263" w:type="dxa"/>
            <w:shd w:val="clear" w:color="auto" w:fill="auto"/>
          </w:tcPr>
          <w:p w14:paraId="0A3DC95A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Poremećaji mišićno-koštanog sistema i vezivnog tkiva</w:t>
            </w:r>
          </w:p>
        </w:tc>
        <w:tc>
          <w:tcPr>
            <w:tcW w:w="1701" w:type="dxa"/>
            <w:shd w:val="clear" w:color="auto" w:fill="auto"/>
          </w:tcPr>
          <w:p w14:paraId="7F62494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14:paraId="78A107FE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54BCA344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mišićna slabost, mijalgija</w:t>
            </w:r>
          </w:p>
        </w:tc>
        <w:tc>
          <w:tcPr>
            <w:tcW w:w="1843" w:type="dxa"/>
            <w:shd w:val="clear" w:color="auto" w:fill="auto"/>
          </w:tcPr>
          <w:p w14:paraId="63D05B9E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rabdomioliza i povećana koncentracija kreatin fosfokinaze u krvi*</w:t>
            </w:r>
          </w:p>
        </w:tc>
      </w:tr>
      <w:tr w:rsidR="000E01C9" w:rsidRPr="008D5CD8" w14:paraId="6380FC58" w14:textId="77777777" w:rsidTr="007A593E">
        <w:tc>
          <w:tcPr>
            <w:tcW w:w="2263" w:type="dxa"/>
            <w:shd w:val="clear" w:color="auto" w:fill="auto"/>
          </w:tcPr>
          <w:p w14:paraId="7A2893F5" w14:textId="79559B10" w:rsidR="003A6C1E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Opšti poremećaji i reakcije na m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Pr="008D5CD8">
              <w:rPr>
                <w:noProof/>
                <w:sz w:val="22"/>
                <w:szCs w:val="22"/>
                <w:lang w:val="sr-Latn-CS"/>
              </w:rPr>
              <w:t xml:space="preserve">estu </w:t>
            </w:r>
            <w:r w:rsidR="00CF7F71" w:rsidRPr="008D5CD8">
              <w:rPr>
                <w:noProof/>
                <w:sz w:val="22"/>
                <w:szCs w:val="22"/>
                <w:lang w:val="sr-Latn-CS"/>
              </w:rPr>
              <w:t>prim</w:t>
            </w:r>
            <w:r w:rsidR="006728B9" w:rsidRPr="008D5CD8">
              <w:rPr>
                <w:noProof/>
                <w:sz w:val="22"/>
                <w:szCs w:val="22"/>
                <w:lang w:val="sr-Latn-CS"/>
              </w:rPr>
              <w:t>j</w:t>
            </w:r>
            <w:r w:rsidR="00CF7F71" w:rsidRPr="008D5CD8">
              <w:rPr>
                <w:noProof/>
                <w:sz w:val="22"/>
                <w:szCs w:val="22"/>
                <w:lang w:val="sr-Latn-CS"/>
              </w:rPr>
              <w:t>ene</w:t>
            </w:r>
          </w:p>
        </w:tc>
        <w:tc>
          <w:tcPr>
            <w:tcW w:w="1719" w:type="dxa"/>
            <w:gridSpan w:val="2"/>
            <w:shd w:val="clear" w:color="auto" w:fill="auto"/>
          </w:tcPr>
          <w:p w14:paraId="01C121E2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683" w:type="dxa"/>
            <w:shd w:val="clear" w:color="auto" w:fill="auto"/>
          </w:tcPr>
          <w:p w14:paraId="693D8296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astenija/umor</w:t>
            </w:r>
          </w:p>
        </w:tc>
        <w:tc>
          <w:tcPr>
            <w:tcW w:w="1843" w:type="dxa"/>
            <w:shd w:val="clear" w:color="auto" w:fill="auto"/>
          </w:tcPr>
          <w:p w14:paraId="77C7AA21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41D6AB93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</w:tr>
      <w:tr w:rsidR="000E01C9" w:rsidRPr="008D5CD8" w14:paraId="3BA04624" w14:textId="77777777" w:rsidTr="007A593E">
        <w:tc>
          <w:tcPr>
            <w:tcW w:w="2263" w:type="dxa"/>
            <w:shd w:val="clear" w:color="auto" w:fill="auto"/>
          </w:tcPr>
          <w:p w14:paraId="665DA2EB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Povrede, trovanja i proceduralne komplikacije</w:t>
            </w:r>
          </w:p>
        </w:tc>
        <w:tc>
          <w:tcPr>
            <w:tcW w:w="1719" w:type="dxa"/>
            <w:gridSpan w:val="2"/>
            <w:shd w:val="clear" w:color="auto" w:fill="auto"/>
          </w:tcPr>
          <w:p w14:paraId="3140013E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683" w:type="dxa"/>
            <w:shd w:val="clear" w:color="auto" w:fill="auto"/>
          </w:tcPr>
          <w:p w14:paraId="7F7C6244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  <w:shd w:val="clear" w:color="auto" w:fill="auto"/>
          </w:tcPr>
          <w:p w14:paraId="61D2B420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  <w:r w:rsidRPr="008D5CD8">
              <w:rPr>
                <w:noProof/>
                <w:sz w:val="22"/>
                <w:szCs w:val="22"/>
                <w:lang w:val="sr-Latn-CS"/>
              </w:rPr>
              <w:t>povreda</w:t>
            </w:r>
          </w:p>
        </w:tc>
        <w:tc>
          <w:tcPr>
            <w:tcW w:w="1843" w:type="dxa"/>
            <w:shd w:val="clear" w:color="auto" w:fill="auto"/>
          </w:tcPr>
          <w:p w14:paraId="6B551F57" w14:textId="77777777" w:rsidR="000E01C9" w:rsidRPr="008D5CD8" w:rsidRDefault="000E01C9" w:rsidP="00DA0B15">
            <w:pPr>
              <w:pStyle w:val="NormalWeb"/>
              <w:rPr>
                <w:noProof/>
                <w:sz w:val="22"/>
                <w:szCs w:val="22"/>
                <w:lang w:val="sr-Latn-CS"/>
              </w:rPr>
            </w:pPr>
          </w:p>
        </w:tc>
      </w:tr>
    </w:tbl>
    <w:p w14:paraId="02619DE1" w14:textId="622121BA" w:rsidR="000E01C9" w:rsidRPr="00DA0B15" w:rsidRDefault="000E01C9" w:rsidP="008D5CD8">
      <w:pPr>
        <w:pStyle w:val="NormalWeb"/>
        <w:rPr>
          <w:sz w:val="22"/>
          <w:szCs w:val="22"/>
          <w:lang w:val="sr-Latn-ME"/>
        </w:rPr>
      </w:pPr>
      <w:r w:rsidRPr="00DA0B15">
        <w:rPr>
          <w:sz w:val="22"/>
          <w:szCs w:val="22"/>
          <w:lang w:val="sr-Latn-ME"/>
        </w:rPr>
        <w:t>* Prevalenca je značajno veća kod japanskih pacijenata u poređenju sa pacijentima koji ni</w:t>
      </w:r>
      <w:r w:rsidR="006728B9" w:rsidRPr="00DA0B15">
        <w:rPr>
          <w:sz w:val="22"/>
          <w:szCs w:val="22"/>
          <w:lang w:val="sr-Latn-ME"/>
        </w:rPr>
        <w:t>je</w:t>
      </w:r>
      <w:r w:rsidRPr="00DA0B15">
        <w:rPr>
          <w:sz w:val="22"/>
          <w:szCs w:val="22"/>
          <w:lang w:val="sr-Latn-ME"/>
        </w:rPr>
        <w:t>su japanskog por</w:t>
      </w:r>
      <w:r w:rsidR="006728B9" w:rsidRPr="00DA0B15">
        <w:rPr>
          <w:sz w:val="22"/>
          <w:szCs w:val="22"/>
          <w:lang w:val="sr-Latn-ME"/>
        </w:rPr>
        <w:t>ij</w:t>
      </w:r>
      <w:r w:rsidRPr="00DA0B15">
        <w:rPr>
          <w:sz w:val="22"/>
          <w:szCs w:val="22"/>
          <w:lang w:val="sr-Latn-ME"/>
        </w:rPr>
        <w:t>ekla.</w:t>
      </w:r>
    </w:p>
    <w:p w14:paraId="75F26560" w14:textId="77777777" w:rsidR="000E01C9" w:rsidRPr="00DA0B15" w:rsidRDefault="000E01C9" w:rsidP="008D5CD8">
      <w:pPr>
        <w:pStyle w:val="NormalWeb"/>
        <w:rPr>
          <w:strike/>
          <w:sz w:val="22"/>
          <w:szCs w:val="22"/>
          <w:lang w:val="sr-Latn-ME"/>
        </w:rPr>
      </w:pPr>
    </w:p>
    <w:p w14:paraId="6F280D42" w14:textId="77777777" w:rsidR="000E01C9" w:rsidRPr="00DA0B15" w:rsidRDefault="000E01C9" w:rsidP="008D5CD8">
      <w:pPr>
        <w:tabs>
          <w:tab w:val="clear" w:pos="284"/>
          <w:tab w:val="num" w:pos="0"/>
        </w:tabs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Opis odabranih neželjenih reakcija</w:t>
      </w:r>
    </w:p>
    <w:p w14:paraId="6E9197C8" w14:textId="77777777" w:rsidR="000E01C9" w:rsidRPr="00DA0B15" w:rsidRDefault="000E01C9" w:rsidP="004206CD">
      <w:pPr>
        <w:tabs>
          <w:tab w:val="clear" w:pos="284"/>
          <w:tab w:val="num" w:pos="426"/>
        </w:tabs>
        <w:rPr>
          <w:szCs w:val="22"/>
          <w:lang w:val="sr-Latn-ME"/>
        </w:rPr>
      </w:pPr>
    </w:p>
    <w:p w14:paraId="6278C8C4" w14:textId="4526C9B3" w:rsidR="000E01C9" w:rsidRPr="00DA0B15" w:rsidRDefault="000E01C9" w:rsidP="00001B29">
      <w:pPr>
        <w:tabs>
          <w:tab w:val="clear" w:pos="284"/>
          <w:tab w:val="num" w:pos="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Rizik od anoreksije je veći kada je levetiracetam </w:t>
      </w:r>
      <w:r w:rsidR="00782AC7" w:rsidRPr="00DA0B15">
        <w:rPr>
          <w:noProof/>
          <w:szCs w:val="22"/>
          <w:lang w:val="sr-Latn-ME"/>
        </w:rPr>
        <w:t>primijenjen</w:t>
      </w:r>
      <w:r w:rsidRPr="00DA0B15">
        <w:rPr>
          <w:noProof/>
          <w:szCs w:val="22"/>
          <w:lang w:val="sr-Latn-ME"/>
        </w:rPr>
        <w:t xml:space="preserve"> paralelno sa topiramatom.</w:t>
      </w:r>
    </w:p>
    <w:p w14:paraId="4EBB03CF" w14:textId="3D40AFBE" w:rsidR="000E01C9" w:rsidRPr="00DA0B15" w:rsidRDefault="000E01C9" w:rsidP="008B0134">
      <w:pPr>
        <w:tabs>
          <w:tab w:val="clear" w:pos="284"/>
          <w:tab w:val="num" w:pos="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U nekoliko slučajeva alopecije, došlo je do oporavka po prestanku prim</w:t>
      </w:r>
      <w:r w:rsidR="006728B9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ene levetiracetama. </w:t>
      </w:r>
    </w:p>
    <w:p w14:paraId="778DF8A8" w14:textId="77777777" w:rsidR="000E01C9" w:rsidRPr="00DA0B15" w:rsidRDefault="000E01C9" w:rsidP="008B0134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Supresija ko</w:t>
      </w:r>
      <w:r w:rsidR="007A482F" w:rsidRPr="00DA0B15">
        <w:rPr>
          <w:noProof/>
          <w:sz w:val="22"/>
          <w:szCs w:val="22"/>
          <w:lang w:val="sr-Latn-ME"/>
        </w:rPr>
        <w:t>šta</w:t>
      </w:r>
      <w:r w:rsidRPr="00DA0B15">
        <w:rPr>
          <w:noProof/>
          <w:sz w:val="22"/>
          <w:szCs w:val="22"/>
          <w:lang w:val="sr-Latn-ME"/>
        </w:rPr>
        <w:t>ne srži indentifikovana je u nekim od slučajeva pancitopenije.</w:t>
      </w:r>
    </w:p>
    <w:p w14:paraId="1C894AC8" w14:textId="627CE61C" w:rsidR="000E01C9" w:rsidRPr="00DA0B15" w:rsidRDefault="000E01C9" w:rsidP="008B0134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Slučajevi encefalopatije uglavnom su se javljali na početku l</w:t>
      </w:r>
      <w:r w:rsidR="00951343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ečenja (nekoliko dana do nekoliko m</w:t>
      </w:r>
      <w:r w:rsidR="00951343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eseci) i bili su reverzibilni nakon prekida terapije.</w:t>
      </w:r>
    </w:p>
    <w:p w14:paraId="444E5B96" w14:textId="246D62DF" w:rsidR="0010071A" w:rsidRPr="008D5CD8" w:rsidRDefault="0010071A" w:rsidP="008B0134">
      <w:pPr>
        <w:tabs>
          <w:tab w:val="clear" w:pos="284"/>
          <w:tab w:val="num" w:pos="0"/>
        </w:tabs>
        <w:rPr>
          <w:szCs w:val="22"/>
          <w:lang w:val="sr-Latn-CS"/>
        </w:rPr>
      </w:pPr>
    </w:p>
    <w:p w14:paraId="65BC0EAA" w14:textId="10BCB6AD" w:rsidR="000E01C9" w:rsidRPr="008D5CD8" w:rsidRDefault="000E01C9" w:rsidP="008B0134">
      <w:pPr>
        <w:rPr>
          <w:noProof/>
          <w:szCs w:val="22"/>
          <w:lang w:val="sr-Latn-CS"/>
        </w:rPr>
      </w:pPr>
      <w:r w:rsidRPr="008D5CD8">
        <w:rPr>
          <w:szCs w:val="22"/>
          <w:u w:val="single"/>
          <w:lang w:val="sr-Latn-CS"/>
        </w:rPr>
        <w:t>Pedijatrijska populacija</w:t>
      </w:r>
    </w:p>
    <w:p w14:paraId="7A8B8A30" w14:textId="32B8BE1A" w:rsidR="000E01C9" w:rsidRPr="00DA0B15" w:rsidRDefault="000E01C9" w:rsidP="008B0134">
      <w:pPr>
        <w:rPr>
          <w:noProof/>
          <w:szCs w:val="22"/>
          <w:lang w:val="sr-Latn-ME"/>
        </w:rPr>
      </w:pPr>
      <w:r w:rsidRPr="008D5CD8">
        <w:rPr>
          <w:noProof/>
          <w:szCs w:val="22"/>
          <w:lang w:val="sr-Latn-CS"/>
        </w:rPr>
        <w:t>Ukupno 190 pacijenata uzrasta od 1 m</w:t>
      </w:r>
      <w:r w:rsidR="00951343" w:rsidRPr="008D5CD8">
        <w:rPr>
          <w:noProof/>
          <w:szCs w:val="22"/>
          <w:lang w:val="sr-Latn-CS"/>
        </w:rPr>
        <w:t>j</w:t>
      </w:r>
      <w:r w:rsidRPr="008D5CD8">
        <w:rPr>
          <w:noProof/>
          <w:szCs w:val="22"/>
          <w:lang w:val="sr-Latn-CS"/>
        </w:rPr>
        <w:t>eseca do manje od 4 godine bilo je l</w:t>
      </w:r>
      <w:r w:rsidR="00951343" w:rsidRPr="008D5CD8">
        <w:rPr>
          <w:noProof/>
          <w:szCs w:val="22"/>
          <w:lang w:val="sr-Latn-CS"/>
        </w:rPr>
        <w:t>ij</w:t>
      </w:r>
      <w:r w:rsidRPr="008D5CD8">
        <w:rPr>
          <w:noProof/>
          <w:szCs w:val="22"/>
          <w:lang w:val="sr-Latn-CS"/>
        </w:rPr>
        <w:t>ečeno levetiracetamom u placebo</w:t>
      </w:r>
      <w:r w:rsidRPr="008D5CD8">
        <w:rPr>
          <w:noProof/>
          <w:szCs w:val="22"/>
          <w:lang w:val="sr-Latn-CS"/>
        </w:rPr>
        <w:noBreakHyphen/>
        <w:t>kontrolisanim i otvorenim produženim studijama. Od ukupnog broja, 60 pacijenata je bilo l</w:t>
      </w:r>
      <w:r w:rsidR="00951343" w:rsidRPr="008D5CD8">
        <w:rPr>
          <w:noProof/>
          <w:szCs w:val="22"/>
          <w:lang w:val="sr-Latn-CS"/>
        </w:rPr>
        <w:t>ij</w:t>
      </w:r>
      <w:r w:rsidRPr="008D5CD8">
        <w:rPr>
          <w:noProof/>
          <w:szCs w:val="22"/>
          <w:lang w:val="sr-Latn-CS"/>
        </w:rPr>
        <w:t xml:space="preserve">ečeno </w:t>
      </w:r>
      <w:r w:rsidRPr="00DA0B15">
        <w:rPr>
          <w:noProof/>
          <w:szCs w:val="22"/>
          <w:lang w:val="sr-Latn-ME"/>
        </w:rPr>
        <w:t xml:space="preserve">levetiracetamom u placebo-kontrolisanim studijama. Ukupno 645 pacijenata </w:t>
      </w:r>
      <w:r w:rsidR="00025F1D" w:rsidRPr="00DA0B15">
        <w:rPr>
          <w:noProof/>
          <w:szCs w:val="22"/>
          <w:lang w:val="sr-Latn-ME"/>
        </w:rPr>
        <w:t>uzrasta</w:t>
      </w:r>
      <w:r w:rsidRPr="00DA0B15">
        <w:rPr>
          <w:noProof/>
          <w:szCs w:val="22"/>
          <w:lang w:val="sr-Latn-ME"/>
        </w:rPr>
        <w:t xml:space="preserve"> od 4 do 16 godina, bilo je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ečeno levetiracetamom u placebo-kontrolisanim i otvorenim produženim studijama. Od ukupnog broja, 233 pacijenta bila su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ečena levetiracetamom u placebo-kontrolisanim studijama. U ob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 starosne grupe pedijatrijskih pacijenata, podaci su dopunjeni postmarketinškim iskustvom upotrebe levetiracetama.</w:t>
      </w:r>
    </w:p>
    <w:p w14:paraId="56414BFF" w14:textId="77777777" w:rsidR="000E01C9" w:rsidRPr="00DA0B15" w:rsidRDefault="000E01C9" w:rsidP="00782AC7">
      <w:pPr>
        <w:rPr>
          <w:noProof/>
          <w:szCs w:val="22"/>
          <w:lang w:val="sr-Latn-ME"/>
        </w:rPr>
      </w:pPr>
    </w:p>
    <w:p w14:paraId="220D5985" w14:textId="617F055E" w:rsidR="000E01C9" w:rsidRPr="00DA0B15" w:rsidRDefault="000E01C9" w:rsidP="00782AC7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lastRenderedPageBreak/>
        <w:t xml:space="preserve">Pored toga, 101 odojče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ađe od 12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bilo je izloženo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eku u ispitivanju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ednosti prim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eka nakon stavljanja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eka u promet. Ni</w:t>
      </w:r>
      <w:r w:rsidR="00951343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utvrđen</w:t>
      </w:r>
      <w:r w:rsidR="007A482F" w:rsidRPr="00DA0B15">
        <w:rPr>
          <w:noProof/>
          <w:szCs w:val="22"/>
          <w:lang w:val="sr-Latn-ME"/>
        </w:rPr>
        <w:t>a</w:t>
      </w:r>
      <w:r w:rsidR="007A482F" w:rsidRPr="00DA0B15">
        <w:rPr>
          <w:color w:val="262626"/>
          <w:szCs w:val="22"/>
          <w:lang w:val="sr-Latn-ME"/>
        </w:rPr>
        <w:t xml:space="preserve"> nova neželjena dejstva </w:t>
      </w:r>
      <w:r w:rsidR="007A482F" w:rsidRPr="00DA0B15">
        <w:rPr>
          <w:noProof/>
          <w:szCs w:val="22"/>
          <w:lang w:val="sr-Latn-ME"/>
        </w:rPr>
        <w:t xml:space="preserve">u </w:t>
      </w:r>
      <w:r w:rsidRPr="00DA0B15">
        <w:rPr>
          <w:noProof/>
          <w:szCs w:val="22"/>
          <w:lang w:val="sr-Latn-ME"/>
        </w:rPr>
        <w:t>vezi sa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ednošću prim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ene levetiracetama kod odojčadi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ađe od 12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sa epilepsijom.</w:t>
      </w:r>
    </w:p>
    <w:p w14:paraId="752FFBA9" w14:textId="77777777" w:rsidR="000E01C9" w:rsidRPr="00DA0B15" w:rsidRDefault="000E01C9" w:rsidP="00782AC7">
      <w:pPr>
        <w:rPr>
          <w:noProof/>
          <w:szCs w:val="22"/>
          <w:lang w:val="sr-Latn-ME"/>
        </w:rPr>
      </w:pPr>
    </w:p>
    <w:p w14:paraId="4CD67303" w14:textId="4A0B1C3C" w:rsidR="000E01C9" w:rsidRPr="00DA0B15" w:rsidRDefault="000E01C9" w:rsidP="00782AC7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Profil neželjenih reakcija levetiracetama je, uopšteno gledano, sličan u svim starosnim grupama i kod svih odobrenih indikacija za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 epilepsije. Kod pedijatrijskih pacijenata, podaci o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ednosti u placebo</w:t>
      </w:r>
      <w:r w:rsidRPr="00DA0B15">
        <w:rPr>
          <w:noProof/>
          <w:szCs w:val="22"/>
          <w:lang w:val="sr-Latn-ME"/>
        </w:rPr>
        <w:noBreakHyphen/>
        <w:t>kontrolisanim kliničkim studijama bili su konzistentni sa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ednosnim profilom levetiracetama kod odraslih, osim kod neželjenih reakcija vezanih za ponašanje i psihijatrijskih neželjenih reakcija koje su bile češće kod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nego kod odraslih. Kod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i adolescenata uzrasta od 4 do 16 godina, češće je bilo prijavljeno povraćanje (v</w:t>
      </w:r>
      <w:r w:rsidR="007A482F" w:rsidRPr="00DA0B15">
        <w:rPr>
          <w:noProof/>
          <w:szCs w:val="22"/>
          <w:lang w:val="sr-Latn-ME"/>
        </w:rPr>
        <w:t>eoma</w:t>
      </w:r>
      <w:r w:rsidRPr="00DA0B15">
        <w:rPr>
          <w:noProof/>
          <w:szCs w:val="22"/>
          <w:lang w:val="sr-Latn-ME"/>
        </w:rPr>
        <w:t xml:space="preserve"> često, 11,2%), agitacija (često, 3,4%), prom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raspoloženja (često, 2,1%), emocionalna nestabilnost (često, 1,7%), agresivnost (često, 8,2%), abnormalno ponašanje (često, 5,6%) i letargija (često, 3,9%), nego u drugim starosnim grupama ili u odnosu na ukupan sigurnosni profil. Kod odojčadi i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ece </w:t>
      </w:r>
      <w:r w:rsidR="00025F1D" w:rsidRPr="00DA0B15">
        <w:rPr>
          <w:noProof/>
          <w:szCs w:val="22"/>
          <w:lang w:val="sr-Latn-ME"/>
        </w:rPr>
        <w:t>uzrasta</w:t>
      </w:r>
      <w:r w:rsidRPr="00DA0B15">
        <w:rPr>
          <w:noProof/>
          <w:szCs w:val="22"/>
          <w:lang w:val="sr-Latn-ME"/>
        </w:rPr>
        <w:t xml:space="preserve"> od 1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eseca do manje od 4 godine, češće su bili prijavljeni razdražljivost (</w:t>
      </w:r>
      <w:r w:rsidR="007A482F" w:rsidRPr="00DA0B15">
        <w:rPr>
          <w:noProof/>
          <w:szCs w:val="22"/>
          <w:lang w:val="sr-Latn-ME"/>
        </w:rPr>
        <w:t>veoma</w:t>
      </w:r>
      <w:r w:rsidRPr="00DA0B15">
        <w:rPr>
          <w:noProof/>
          <w:szCs w:val="22"/>
          <w:lang w:val="sr-Latn-ME"/>
        </w:rPr>
        <w:t xml:space="preserve"> često, 11,7%) i </w:t>
      </w:r>
      <w:r w:rsidR="007A482F" w:rsidRPr="00DA0B15">
        <w:rPr>
          <w:szCs w:val="22"/>
          <w:lang w:val="sr-Latn-ME"/>
        </w:rPr>
        <w:t>poremećaj koordinacije</w:t>
      </w:r>
      <w:r w:rsidR="007A482F" w:rsidRPr="00DA0B15">
        <w:rPr>
          <w:color w:val="262626"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(često, 3,3%), nego u drugim starosnim grupama ili u odnosu na ukupan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ednosni profil.</w:t>
      </w:r>
    </w:p>
    <w:p w14:paraId="5A07143A" w14:textId="77777777" w:rsidR="000E01C9" w:rsidRPr="00DA0B15" w:rsidRDefault="000E01C9" w:rsidP="00704012">
      <w:pPr>
        <w:rPr>
          <w:noProof/>
          <w:szCs w:val="22"/>
          <w:lang w:val="sr-Latn-ME"/>
        </w:rPr>
      </w:pPr>
    </w:p>
    <w:p w14:paraId="5C9FE29D" w14:textId="07A18B15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Dvostruko</w:t>
      </w:r>
      <w:r w:rsidR="007A482F" w:rsidRPr="00DA0B15">
        <w:rPr>
          <w:noProof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sl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epa, placebo-kontrolisana pedijatrijska studija bezb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ednosti sa dizajnom neinferiornosti, oc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enila je kognitivna i neuropsihološka dejstva levetiracetama kod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uzrasta od 4 do 16 godina sa parcijalnim napadima. Zaključeno je da se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 Keppra nije razlikovao (pokazao se da nije inferioran) od placeba po pitanju prom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od početne vr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ednosti na </w:t>
      </w:r>
      <w:r w:rsidRPr="00DA0B15">
        <w:rPr>
          <w:i/>
          <w:noProof/>
          <w:szCs w:val="22"/>
          <w:lang w:val="sr-Latn-ME"/>
        </w:rPr>
        <w:t>Leiter-R Attention and Memory, Memory Screen Composite</w:t>
      </w:r>
      <w:r w:rsidRPr="00DA0B15">
        <w:rPr>
          <w:noProof/>
          <w:szCs w:val="22"/>
          <w:lang w:val="sr-Latn-ME"/>
        </w:rPr>
        <w:t xml:space="preserve"> skoru u populaciji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ečenoj po protokolu. Rezultati koji se odnose na ponašanje i emocionalno funkcionisanje ukazuju na pogoršanje kod pacijenata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ečenih levetiracetamom u odnosu na agresivno ponašanje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ereno na standardizovan i sistematičan način korišćenjem validiranog instrumenta (CBCL – </w:t>
      </w:r>
      <w:r w:rsidRPr="00DA0B15">
        <w:rPr>
          <w:i/>
          <w:noProof/>
          <w:szCs w:val="22"/>
          <w:lang w:val="sr-Latn-ME"/>
        </w:rPr>
        <w:t>Achenbach Child Behvaiour Checklist</w:t>
      </w:r>
      <w:r w:rsidRPr="00DA0B15">
        <w:rPr>
          <w:noProof/>
          <w:szCs w:val="22"/>
          <w:lang w:val="sr-Latn-ME"/>
        </w:rPr>
        <w:t>). Međutim, ispitanici koji su uzimali levetiracetam u dugotrajnoj, otvorenoj studiji praćenja, u pros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eku ni</w:t>
      </w:r>
      <w:r w:rsidR="00951343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doživeli pogoršanje u svom ponašanju i emocionalnom funkcionisanju; posebno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erenja agresivnog ponašanja ni</w:t>
      </w:r>
      <w:r w:rsidR="00951343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bila lošija u odnosu na početnu vr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ednost.</w:t>
      </w:r>
    </w:p>
    <w:p w14:paraId="7CC5904D" w14:textId="77777777" w:rsidR="000E01C9" w:rsidRPr="00DA0B15" w:rsidRDefault="000E01C9">
      <w:pPr>
        <w:rPr>
          <w:noProof/>
          <w:szCs w:val="22"/>
          <w:lang w:val="sr-Latn-ME"/>
        </w:rPr>
      </w:pPr>
    </w:p>
    <w:p w14:paraId="3E69F042" w14:textId="77777777" w:rsidR="00546EF6" w:rsidRPr="00DA0B15" w:rsidRDefault="00546EF6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DA0B15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0132F0F7" w14:textId="77777777" w:rsidR="00546EF6" w:rsidRPr="00DA0B15" w:rsidRDefault="00546EF6">
      <w:pPr>
        <w:spacing w:after="200"/>
        <w:rPr>
          <w:rFonts w:eastAsia="Calibri"/>
          <w:szCs w:val="22"/>
          <w:lang w:val="sr-Latn-ME"/>
        </w:rPr>
      </w:pPr>
      <w:r w:rsidRPr="00DA0B15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1A52F72B" w14:textId="77777777" w:rsidR="00546EF6" w:rsidRPr="00DA0B15" w:rsidRDefault="00546EF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7BE0F261" w14:textId="77777777" w:rsidR="00546EF6" w:rsidRPr="00DA0B15" w:rsidRDefault="00546EF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>Odjeljenje za farmakovigilancu</w:t>
      </w:r>
    </w:p>
    <w:p w14:paraId="6B541F02" w14:textId="70ED26E7" w:rsidR="00546EF6" w:rsidRPr="00DA0B15" w:rsidRDefault="00546EF6" w:rsidP="00DA0B1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Cs w:val="22"/>
          <w:lang w:val="sr-Latn-ME"/>
        </w:rPr>
        <w:t>Bulevar Ivana Crnojevića 64a, 81000 Podgorica</w:t>
      </w:r>
    </w:p>
    <w:p w14:paraId="153683CB" w14:textId="77777777" w:rsidR="00546EF6" w:rsidRPr="00DA0B15" w:rsidRDefault="00546EF6" w:rsidP="008D5CD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>tel: +382 (0) 20 310 280</w:t>
      </w:r>
    </w:p>
    <w:p w14:paraId="676AC428" w14:textId="77777777" w:rsidR="00546EF6" w:rsidRPr="00DA0B15" w:rsidRDefault="00546EF6" w:rsidP="008D5CD8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>fax: +382 (0) 20 310 581</w:t>
      </w:r>
      <w:r w:rsidRPr="00DA0B15">
        <w:rPr>
          <w:rFonts w:eastAsia="Calibri"/>
          <w:sz w:val="22"/>
          <w:szCs w:val="22"/>
          <w:lang w:val="sr-Latn-ME"/>
        </w:rPr>
        <w:tab/>
      </w:r>
    </w:p>
    <w:p w14:paraId="05F42254" w14:textId="77777777" w:rsidR="00546EF6" w:rsidRPr="00DA0B15" w:rsidRDefault="00884E80" w:rsidP="008D5CD8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11" w:history="1">
        <w:r w:rsidR="00546EF6" w:rsidRPr="00DA0B15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1D5A44C" w14:textId="77777777" w:rsidR="00546EF6" w:rsidRPr="00DA0B15" w:rsidRDefault="00884E80" w:rsidP="008D5CD8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12" w:history="1">
        <w:r w:rsidR="00546EF6" w:rsidRPr="00DA0B15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1EEF6E2" w14:textId="51DCE8A9" w:rsidR="0010071A" w:rsidRPr="00DA0B15" w:rsidRDefault="00546EF6" w:rsidP="004206CD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>putem IS zdravstvene zaštite</w:t>
      </w:r>
    </w:p>
    <w:p w14:paraId="0A407CDF" w14:textId="77777777" w:rsidR="00546EF6" w:rsidRPr="00DA0B15" w:rsidRDefault="00546EF6" w:rsidP="00001B2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DA0B15">
        <w:rPr>
          <w:rFonts w:eastAsia="Calibri"/>
          <w:sz w:val="22"/>
          <w:szCs w:val="22"/>
          <w:lang w:val="sr-Latn-ME"/>
        </w:rPr>
        <w:t>QR kod za online prijavu sumnje na neželjeno dejstvo lijeka:</w:t>
      </w:r>
    </w:p>
    <w:p w14:paraId="67033760" w14:textId="77777777" w:rsidR="00546EF6" w:rsidRPr="00001B29" w:rsidRDefault="00546EF6" w:rsidP="00001B2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596403FB" w14:textId="067782C5" w:rsidR="0098466C" w:rsidRPr="008D5CD8" w:rsidRDefault="00546EF6" w:rsidP="00DA0B1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DA0B15">
        <w:rPr>
          <w:noProof/>
          <w:sz w:val="22"/>
          <w:szCs w:val="22"/>
        </w:rPr>
        <w:drawing>
          <wp:inline distT="0" distB="0" distL="0" distR="0" wp14:anchorId="6ABB9AEB" wp14:editId="3A3308AE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8BBE9" w14:textId="77777777" w:rsidR="00CE09F3" w:rsidRPr="004206CD" w:rsidRDefault="00CE09F3" w:rsidP="008D5CD8">
      <w:pPr>
        <w:rPr>
          <w:noProof/>
          <w:szCs w:val="22"/>
          <w:lang w:val="sr-Latn-CS"/>
        </w:rPr>
      </w:pPr>
    </w:p>
    <w:p w14:paraId="45FDBA14" w14:textId="55C64A6F" w:rsidR="00CE09F3" w:rsidRPr="00DA0B15" w:rsidRDefault="001E03CE" w:rsidP="008D5CD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4.9. </w:t>
      </w:r>
      <w:r w:rsidRPr="00DA0B15">
        <w:rPr>
          <w:b/>
          <w:bCs/>
          <w:szCs w:val="22"/>
          <w:lang w:val="sr-Latn-ME"/>
        </w:rPr>
        <w:tab/>
        <w:t>Predoziranje</w:t>
      </w:r>
    </w:p>
    <w:p w14:paraId="31D86257" w14:textId="77777777" w:rsidR="00CE09F3" w:rsidRPr="00DA0B15" w:rsidRDefault="00CE09F3" w:rsidP="008D5CD8">
      <w:pPr>
        <w:rPr>
          <w:szCs w:val="22"/>
          <w:lang w:val="sr-Latn-ME"/>
        </w:rPr>
      </w:pPr>
    </w:p>
    <w:p w14:paraId="49CA2EDD" w14:textId="2C5700E4" w:rsidR="000E01C9" w:rsidRPr="00DA0B15" w:rsidRDefault="000E01C9" w:rsidP="004206CD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Simptomi</w:t>
      </w:r>
    </w:p>
    <w:p w14:paraId="6C74C367" w14:textId="11BE73B6" w:rsidR="000E01C9" w:rsidRPr="00DA0B15" w:rsidRDefault="000E01C9" w:rsidP="00001B2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Pospanost, agitacija, agresivnost, smanjen nivo rasuđivanja, depresija disanja i koma su </w:t>
      </w:r>
      <w:r w:rsidR="00747996" w:rsidRPr="00DA0B15">
        <w:rPr>
          <w:color w:val="262626"/>
          <w:szCs w:val="22"/>
          <w:lang w:val="sr-Latn-ME"/>
        </w:rPr>
        <w:t>zab</w:t>
      </w:r>
      <w:r w:rsidR="00951343" w:rsidRPr="00DA0B15">
        <w:rPr>
          <w:color w:val="262626"/>
          <w:szCs w:val="22"/>
          <w:lang w:val="sr-Latn-ME"/>
        </w:rPr>
        <w:t>ilj</w:t>
      </w:r>
      <w:r w:rsidR="00747996" w:rsidRPr="00DA0B15">
        <w:rPr>
          <w:color w:val="262626"/>
          <w:szCs w:val="22"/>
          <w:lang w:val="sr-Latn-ME"/>
        </w:rPr>
        <w:t>eženi</w:t>
      </w:r>
      <w:r w:rsidR="00747996" w:rsidRPr="00DA0B15" w:rsidDel="00747996">
        <w:rPr>
          <w:noProof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kod predoziranja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ekom Keppra. </w:t>
      </w:r>
    </w:p>
    <w:p w14:paraId="56792E91" w14:textId="1F91EC3B" w:rsidR="000E01C9" w:rsidRDefault="000E01C9" w:rsidP="008B0134">
      <w:pPr>
        <w:rPr>
          <w:szCs w:val="22"/>
          <w:lang w:val="sr-Latn-ME"/>
        </w:rPr>
      </w:pPr>
    </w:p>
    <w:p w14:paraId="3C204AE2" w14:textId="77777777" w:rsidR="00F45587" w:rsidRPr="00DA0B15" w:rsidRDefault="00F45587" w:rsidP="008B0134">
      <w:pPr>
        <w:rPr>
          <w:szCs w:val="22"/>
          <w:lang w:val="sr-Latn-ME"/>
        </w:rPr>
      </w:pPr>
    </w:p>
    <w:p w14:paraId="498C5B8D" w14:textId="26C7855B" w:rsidR="000E01C9" w:rsidRPr="00DA0B15" w:rsidRDefault="001A09D9" w:rsidP="008B0134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lastRenderedPageBreak/>
        <w:t xml:space="preserve">Terapija </w:t>
      </w:r>
    </w:p>
    <w:p w14:paraId="28A11767" w14:textId="2B9378A1" w:rsidR="000E01C9" w:rsidRPr="00DA0B15" w:rsidRDefault="000E01C9" w:rsidP="008B0134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Posl</w:t>
      </w:r>
      <w:r w:rsidR="000D3EFB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akutnog predoziranja, želudac se može isprazniti gastričnom lavažom ili izazivanjem povraćanja. Nema specifičnog antidota za levetiracetam.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 predoziranja treba da bude simptomatsko i može da uključi hemodijalizu. Ekstrakciona efikasnost dializatora je 60% za levetiracetam i 74% za primarni metabolit.</w:t>
      </w:r>
    </w:p>
    <w:p w14:paraId="522E0558" w14:textId="77777777" w:rsidR="0098466C" w:rsidRPr="00DA0B15" w:rsidRDefault="0098466C" w:rsidP="008B0134">
      <w:pPr>
        <w:rPr>
          <w:noProof/>
          <w:szCs w:val="22"/>
          <w:lang w:val="sr-Latn-ME"/>
        </w:rPr>
      </w:pPr>
    </w:p>
    <w:p w14:paraId="230B5C46" w14:textId="77777777" w:rsidR="00CE09F3" w:rsidRPr="00DA0B15" w:rsidRDefault="00CE09F3" w:rsidP="008B0134">
      <w:pPr>
        <w:rPr>
          <w:szCs w:val="22"/>
          <w:lang w:val="sr-Latn-ME"/>
        </w:rPr>
      </w:pPr>
    </w:p>
    <w:p w14:paraId="05DFAE71" w14:textId="56184E77" w:rsidR="00CE09F3" w:rsidRPr="00DA0B15" w:rsidRDefault="00CE0429" w:rsidP="008B0134">
      <w:pPr>
        <w:pStyle w:val="NASLOV123"/>
        <w:spacing w:before="0" w:after="0"/>
        <w:jc w:val="both"/>
        <w:rPr>
          <w:bCs/>
          <w:lang w:val="sr-Latn-ME"/>
        </w:rPr>
      </w:pPr>
      <w:r w:rsidRPr="00DA0B15">
        <w:rPr>
          <w:bCs/>
          <w:lang w:val="sr-Latn-ME"/>
        </w:rPr>
        <w:t xml:space="preserve">5. </w:t>
      </w:r>
      <w:r w:rsidRPr="00DA0B15">
        <w:rPr>
          <w:bCs/>
          <w:lang w:val="sr-Latn-ME"/>
        </w:rPr>
        <w:tab/>
      </w:r>
      <w:r w:rsidR="0054583F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>FARMAKOLOŠKI PODACI</w:t>
      </w:r>
    </w:p>
    <w:p w14:paraId="17B475C2" w14:textId="77777777" w:rsidR="00554BE9" w:rsidRPr="00DA0B15" w:rsidRDefault="00554BE9" w:rsidP="00782AC7">
      <w:pPr>
        <w:pStyle w:val="NASLOV123"/>
        <w:spacing w:before="0" w:after="0"/>
        <w:jc w:val="both"/>
        <w:rPr>
          <w:lang w:val="sr-Latn-ME"/>
        </w:rPr>
      </w:pPr>
    </w:p>
    <w:p w14:paraId="7133E3B0" w14:textId="79587098" w:rsidR="00CE09F3" w:rsidRPr="00DA0B15" w:rsidRDefault="00554BE9" w:rsidP="00782AC7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5.1. </w:t>
      </w:r>
      <w:r w:rsidRPr="00DA0B15">
        <w:rPr>
          <w:b/>
          <w:bCs/>
          <w:szCs w:val="22"/>
          <w:lang w:val="sr-Latn-ME"/>
        </w:rPr>
        <w:tab/>
        <w:t>Farmakodinamski podaci</w:t>
      </w:r>
    </w:p>
    <w:p w14:paraId="5C746F98" w14:textId="77777777" w:rsidR="00554BE9" w:rsidRPr="00DA0B15" w:rsidRDefault="00554BE9" w:rsidP="00782AC7">
      <w:pPr>
        <w:rPr>
          <w:b/>
          <w:bCs/>
          <w:szCs w:val="22"/>
          <w:lang w:val="sr-Latn-ME"/>
        </w:rPr>
      </w:pPr>
    </w:p>
    <w:p w14:paraId="6EB2D171" w14:textId="77777777" w:rsidR="00CE09F3" w:rsidRPr="00DA0B15" w:rsidRDefault="00CE09F3" w:rsidP="00782AC7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>Farmakoterapijska grupa:</w:t>
      </w:r>
      <w:r w:rsidR="000E01C9" w:rsidRPr="00DA0B15">
        <w:rPr>
          <w:noProof/>
          <w:szCs w:val="22"/>
          <w:lang w:val="sr-Latn-ME"/>
        </w:rPr>
        <w:t xml:space="preserve"> antiepileptici, ostali antiepileptici</w:t>
      </w:r>
    </w:p>
    <w:p w14:paraId="5D19DBA7" w14:textId="77777777" w:rsidR="00CE09F3" w:rsidRPr="00DA0B15" w:rsidRDefault="00CE09F3" w:rsidP="00704012">
      <w:pPr>
        <w:rPr>
          <w:szCs w:val="22"/>
          <w:lang w:val="sr-Latn-ME"/>
        </w:rPr>
      </w:pPr>
    </w:p>
    <w:p w14:paraId="440C7C65" w14:textId="2E906FB6" w:rsidR="00CE09F3" w:rsidRPr="00DA0B15" w:rsidRDefault="00CE09F3">
      <w:pPr>
        <w:rPr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ATC </w:t>
      </w:r>
      <w:r w:rsidR="00554BE9" w:rsidRPr="00DA0B15">
        <w:rPr>
          <w:b/>
          <w:bCs/>
          <w:szCs w:val="22"/>
          <w:lang w:val="sr-Latn-ME"/>
        </w:rPr>
        <w:t>kod</w:t>
      </w:r>
      <w:r w:rsidRPr="00DA0B15">
        <w:rPr>
          <w:b/>
          <w:bCs/>
          <w:szCs w:val="22"/>
          <w:lang w:val="sr-Latn-ME"/>
        </w:rPr>
        <w:t>:</w:t>
      </w:r>
      <w:r w:rsidR="000E01C9" w:rsidRPr="00DA0B15">
        <w:rPr>
          <w:noProof/>
          <w:szCs w:val="22"/>
          <w:lang w:val="sr-Latn-ME"/>
        </w:rPr>
        <w:t xml:space="preserve"> N03AX14</w:t>
      </w:r>
    </w:p>
    <w:p w14:paraId="2E0D09A8" w14:textId="77777777" w:rsidR="00CE09F3" w:rsidRPr="00DA0B15" w:rsidRDefault="00CE09F3">
      <w:pPr>
        <w:rPr>
          <w:szCs w:val="22"/>
          <w:lang w:val="sr-Latn-ME"/>
        </w:rPr>
      </w:pPr>
    </w:p>
    <w:p w14:paraId="45383923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Aktivna supstanca levetiracetam je derivat pirolidona (S-enantiomer α-etil-2-okso-1-pirolidin-acetamida), hemijski različit od postojećih antiepileptičkih aktivnih supstanci.</w:t>
      </w:r>
    </w:p>
    <w:p w14:paraId="18F4DC05" w14:textId="77777777" w:rsidR="000E01C9" w:rsidRPr="00DA0B15" w:rsidRDefault="000E01C9">
      <w:pPr>
        <w:rPr>
          <w:szCs w:val="22"/>
          <w:lang w:val="sr-Latn-ME"/>
        </w:rPr>
      </w:pPr>
    </w:p>
    <w:p w14:paraId="6FD39C43" w14:textId="773EC39C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Mehanizam de</w:t>
      </w:r>
      <w:r w:rsidR="00B853B1" w:rsidRPr="00DA0B15">
        <w:rPr>
          <w:noProof/>
          <w:szCs w:val="22"/>
          <w:u w:val="single"/>
          <w:lang w:val="sr-Latn-ME"/>
        </w:rPr>
        <w:t>jstva</w:t>
      </w:r>
    </w:p>
    <w:p w14:paraId="241EA682" w14:textId="63FF6A62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Mehanizam de</w:t>
      </w:r>
      <w:r w:rsidR="00B853B1" w:rsidRPr="00DA0B15">
        <w:rPr>
          <w:noProof/>
          <w:szCs w:val="22"/>
          <w:lang w:val="sr-Latn-ME"/>
        </w:rPr>
        <w:t>jstva</w:t>
      </w:r>
      <w:r w:rsidRPr="00DA0B15">
        <w:rPr>
          <w:noProof/>
          <w:szCs w:val="22"/>
          <w:lang w:val="sr-Latn-ME"/>
        </w:rPr>
        <w:t xml:space="preserve"> levetiracetama još uv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ek nije potpuno objašnjen. </w:t>
      </w:r>
      <w:r w:rsidRPr="00DA0B15">
        <w:rPr>
          <w:i/>
          <w:noProof/>
          <w:szCs w:val="22"/>
          <w:lang w:val="sr-Latn-ME"/>
        </w:rPr>
        <w:t xml:space="preserve">In vitro </w:t>
      </w:r>
      <w:r w:rsidRPr="00DA0B15">
        <w:rPr>
          <w:noProof/>
          <w:szCs w:val="22"/>
          <w:lang w:val="sr-Latn-ME"/>
        </w:rPr>
        <w:t xml:space="preserve">i </w:t>
      </w:r>
      <w:r w:rsidRPr="00DA0B15">
        <w:rPr>
          <w:i/>
          <w:noProof/>
          <w:szCs w:val="22"/>
          <w:lang w:val="sr-Latn-ME"/>
        </w:rPr>
        <w:t>in vivo</w:t>
      </w:r>
      <w:r w:rsidRPr="00DA0B15">
        <w:rPr>
          <w:noProof/>
          <w:szCs w:val="22"/>
          <w:lang w:val="sr-Latn-ME"/>
        </w:rPr>
        <w:t xml:space="preserve"> eksperimenti ukazuju da levetiracetam ne m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enja osnovne ćelijske karakteristike i normalnu neurotransmisiju.</w:t>
      </w:r>
    </w:p>
    <w:p w14:paraId="46E69FEB" w14:textId="592A3774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i/>
          <w:noProof/>
          <w:szCs w:val="22"/>
          <w:lang w:val="sr-Latn-ME"/>
        </w:rPr>
        <w:t>In vitro</w:t>
      </w:r>
      <w:r w:rsidRPr="00DA0B15">
        <w:rPr>
          <w:noProof/>
          <w:szCs w:val="22"/>
          <w:lang w:val="sr-Latn-ME"/>
        </w:rPr>
        <w:t xml:space="preserve"> studije pokazuju da levetiracetam utiče na nivo Ca</w:t>
      </w:r>
      <w:r w:rsidRPr="00DA0B15">
        <w:rPr>
          <w:noProof/>
          <w:szCs w:val="22"/>
          <w:vertAlign w:val="superscript"/>
          <w:lang w:val="sr-Latn-ME"/>
        </w:rPr>
        <w:t>2+</w:t>
      </w:r>
      <w:r w:rsidRPr="00DA0B15">
        <w:rPr>
          <w:noProof/>
          <w:szCs w:val="22"/>
          <w:lang w:val="sr-Latn-ME"/>
        </w:rPr>
        <w:t xml:space="preserve"> u neuronima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elimičnom inhibicijom tipa N Ca</w:t>
      </w:r>
      <w:r w:rsidRPr="00DA0B15">
        <w:rPr>
          <w:noProof/>
          <w:szCs w:val="22"/>
          <w:vertAlign w:val="superscript"/>
          <w:lang w:val="sr-Latn-ME"/>
        </w:rPr>
        <w:t xml:space="preserve">2+ </w:t>
      </w:r>
      <w:r w:rsidRPr="00DA0B15">
        <w:rPr>
          <w:noProof/>
          <w:szCs w:val="22"/>
          <w:lang w:val="sr-Latn-ME"/>
        </w:rPr>
        <w:t>kanala i smanjenjem oslobađanja Ca</w:t>
      </w:r>
      <w:r w:rsidRPr="00DA0B15">
        <w:rPr>
          <w:noProof/>
          <w:szCs w:val="22"/>
          <w:vertAlign w:val="superscript"/>
          <w:lang w:val="sr-Latn-ME"/>
        </w:rPr>
        <w:t>2+</w:t>
      </w:r>
      <w:r w:rsidRPr="00DA0B15">
        <w:rPr>
          <w:noProof/>
          <w:szCs w:val="22"/>
          <w:lang w:val="sr-Latn-ME"/>
        </w:rPr>
        <w:t xml:space="preserve"> iz intraneuronskih depoa. Pored toga, on d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elimično poništava cinkom i β-karbolinima izazvanu redukciju gabergičke (GABA) i glicinergičke transmisije. Dalje, </w:t>
      </w:r>
      <w:r w:rsidRPr="00DA0B15">
        <w:rPr>
          <w:i/>
          <w:noProof/>
          <w:szCs w:val="22"/>
          <w:lang w:val="sr-Latn-ME"/>
        </w:rPr>
        <w:t>in vitro</w:t>
      </w:r>
      <w:r w:rsidRPr="00DA0B15">
        <w:rPr>
          <w:noProof/>
          <w:szCs w:val="22"/>
          <w:lang w:val="sr-Latn-ME"/>
        </w:rPr>
        <w:t xml:space="preserve"> studije su pokazale da se levetiracetam vezuje za specifično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esto u moždanom tkivu glodara. Ovo m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esto vezivanja je sinaptički vezikularni protein 2A, za koji se v</w:t>
      </w:r>
      <w:r w:rsidR="0095134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eruje da je uključen u fuziju vezikula i egzocitozu neurotransmitera. Levetiracetam i srodni analozi pokazuju različit afinitet vezivanja za sinaptički vezikularni protein 2A, što je u vezi sa jačinom njihove</w:t>
      </w:r>
      <w:r w:rsidR="00747996" w:rsidRPr="00DA0B15">
        <w:rPr>
          <w:color w:val="262626"/>
          <w:szCs w:val="22"/>
          <w:lang w:val="sr-Latn-ME"/>
        </w:rPr>
        <w:t xml:space="preserve"> antikonvulzivne zaštite na audiogenim modelima epilepsije kod miševa</w:t>
      </w:r>
      <w:r w:rsidRPr="00DA0B15">
        <w:rPr>
          <w:noProof/>
          <w:szCs w:val="22"/>
          <w:lang w:val="sr-Latn-ME"/>
        </w:rPr>
        <w:t xml:space="preserve">. Ovaj nalaz ukazuje da interakcija između levetiracetama i sinaptičkog vezikularnog proteina 2A izgleda doprinosi antiepileptičkom mehanizmu </w:t>
      </w:r>
      <w:r w:rsidR="00747996" w:rsidRPr="00DA0B15">
        <w:rPr>
          <w:noProof/>
          <w:szCs w:val="22"/>
          <w:lang w:val="sr-Latn-ME"/>
        </w:rPr>
        <w:t>dejstva</w:t>
      </w:r>
      <w:r w:rsidRPr="00DA0B15">
        <w:rPr>
          <w:noProof/>
          <w:szCs w:val="22"/>
          <w:lang w:val="sr-Latn-ME"/>
        </w:rPr>
        <w:t xml:space="preserve"> l</w:t>
      </w:r>
      <w:r w:rsidR="0095134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eka.</w:t>
      </w:r>
    </w:p>
    <w:p w14:paraId="1891DA48" w14:textId="77777777" w:rsidR="000E01C9" w:rsidRPr="00DA0B15" w:rsidRDefault="000E01C9">
      <w:pPr>
        <w:rPr>
          <w:szCs w:val="22"/>
          <w:lang w:val="sr-Latn-ME"/>
        </w:rPr>
      </w:pPr>
    </w:p>
    <w:p w14:paraId="2E6FC2D1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Farmakodinamski efekti</w:t>
      </w:r>
    </w:p>
    <w:p w14:paraId="10918A6B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Levetiracetam pruža zaštitu od napada kod velikog broja životinjskih modela parcijalnih i primarno generalizovanih napada i nema prokonvulzivan efekat. Primarni metabolit je neaktivan. Kod ljudi je aktivnost kod stanja parcijalne i generalizovane epilepsije (epileptiformno pražnjenje/fotoparoksizmalni odgovor) potvrdila široki spektar farmakološkog profila levetiracetama.</w:t>
      </w:r>
    </w:p>
    <w:p w14:paraId="3A77F114" w14:textId="77777777" w:rsidR="000E01C9" w:rsidRPr="00DA0B15" w:rsidRDefault="000E01C9">
      <w:pPr>
        <w:pStyle w:val="Footer"/>
        <w:tabs>
          <w:tab w:val="clear" w:pos="4536"/>
          <w:tab w:val="clear" w:pos="9072"/>
          <w:tab w:val="left" w:pos="600"/>
        </w:tabs>
        <w:rPr>
          <w:noProof/>
          <w:szCs w:val="22"/>
          <w:lang w:val="sr-Latn-ME"/>
        </w:rPr>
      </w:pPr>
    </w:p>
    <w:p w14:paraId="26686DAD" w14:textId="439E4E5B" w:rsidR="000E01C9" w:rsidRPr="00DA0B15" w:rsidRDefault="000E01C9">
      <w:pPr>
        <w:tabs>
          <w:tab w:val="left" w:pos="600"/>
        </w:tabs>
        <w:rPr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Klinička efikasnost</w:t>
      </w:r>
      <w:r w:rsidRPr="00DA0B15">
        <w:rPr>
          <w:szCs w:val="22"/>
          <w:u w:val="single"/>
          <w:lang w:val="sr-Latn-ME"/>
        </w:rPr>
        <w:t xml:space="preserve"> i bezb</w:t>
      </w:r>
      <w:r w:rsidR="00951343" w:rsidRPr="00DA0B15">
        <w:rPr>
          <w:szCs w:val="22"/>
          <w:u w:val="single"/>
          <w:lang w:val="sr-Latn-ME"/>
        </w:rPr>
        <w:t>j</w:t>
      </w:r>
      <w:r w:rsidRPr="00DA0B15">
        <w:rPr>
          <w:szCs w:val="22"/>
          <w:u w:val="single"/>
          <w:lang w:val="sr-Latn-ME"/>
        </w:rPr>
        <w:t>ednost</w:t>
      </w:r>
    </w:p>
    <w:p w14:paraId="481B6E08" w14:textId="7584A9BD" w:rsidR="000E01C9" w:rsidRPr="00DA0B15" w:rsidRDefault="000E01C9">
      <w:pPr>
        <w:tabs>
          <w:tab w:val="left" w:pos="600"/>
        </w:tabs>
        <w:rPr>
          <w:i/>
          <w:noProof/>
          <w:szCs w:val="22"/>
          <w:lang w:val="sr-Latn-ME"/>
        </w:rPr>
      </w:pPr>
      <w:r w:rsidRPr="00DA0B15">
        <w:rPr>
          <w:i/>
          <w:iCs/>
          <w:noProof/>
          <w:szCs w:val="22"/>
          <w:lang w:val="sr-Latn-ME"/>
        </w:rPr>
        <w:t>Dodatna terapija u l</w:t>
      </w:r>
      <w:r w:rsidR="00951343" w:rsidRPr="00DA0B15">
        <w:rPr>
          <w:i/>
          <w:iCs/>
          <w:noProof/>
          <w:szCs w:val="22"/>
          <w:lang w:val="sr-Latn-ME"/>
        </w:rPr>
        <w:t>ij</w:t>
      </w:r>
      <w:r w:rsidRPr="00DA0B15">
        <w:rPr>
          <w:i/>
          <w:iCs/>
          <w:noProof/>
          <w:szCs w:val="22"/>
          <w:lang w:val="sr-Latn-ME"/>
        </w:rPr>
        <w:t xml:space="preserve">ečenju parcijalnih napada sa </w:t>
      </w:r>
      <w:r w:rsidR="003D2EE3" w:rsidRPr="00DA0B15">
        <w:rPr>
          <w:i/>
          <w:color w:val="262626"/>
          <w:szCs w:val="22"/>
          <w:lang w:val="sr-Latn-ME"/>
        </w:rPr>
        <w:t xml:space="preserve">sekundarnom generalizacijom ili bez nje </w:t>
      </w:r>
      <w:r w:rsidRPr="00DA0B15">
        <w:rPr>
          <w:i/>
          <w:iCs/>
          <w:noProof/>
          <w:szCs w:val="22"/>
          <w:lang w:val="sr-Latn-ME"/>
        </w:rPr>
        <w:t>kod odraslih, adolescenata, d</w:t>
      </w:r>
      <w:r w:rsidR="00951343" w:rsidRPr="00DA0B15">
        <w:rPr>
          <w:i/>
          <w:iCs/>
          <w:noProof/>
          <w:szCs w:val="22"/>
          <w:lang w:val="sr-Latn-ME"/>
        </w:rPr>
        <w:t>j</w:t>
      </w:r>
      <w:r w:rsidRPr="00DA0B15">
        <w:rPr>
          <w:i/>
          <w:iCs/>
          <w:noProof/>
          <w:szCs w:val="22"/>
          <w:lang w:val="sr-Latn-ME"/>
        </w:rPr>
        <w:t xml:space="preserve">ece i odojčadi </w:t>
      </w:r>
      <w:r w:rsidR="003D2EE3" w:rsidRPr="00DA0B15">
        <w:rPr>
          <w:i/>
          <w:iCs/>
          <w:noProof/>
          <w:szCs w:val="22"/>
          <w:lang w:val="sr-Latn-ME"/>
        </w:rPr>
        <w:t xml:space="preserve">starijih od </w:t>
      </w:r>
      <w:r w:rsidRPr="00DA0B15">
        <w:rPr>
          <w:i/>
          <w:iCs/>
          <w:noProof/>
          <w:szCs w:val="22"/>
          <w:lang w:val="sr-Latn-ME"/>
        </w:rPr>
        <w:t>1 m</w:t>
      </w:r>
      <w:r w:rsidR="00951343" w:rsidRPr="00DA0B15">
        <w:rPr>
          <w:i/>
          <w:iCs/>
          <w:noProof/>
          <w:szCs w:val="22"/>
          <w:lang w:val="sr-Latn-ME"/>
        </w:rPr>
        <w:t>j</w:t>
      </w:r>
      <w:r w:rsidRPr="00DA0B15">
        <w:rPr>
          <w:i/>
          <w:iCs/>
          <w:noProof/>
          <w:szCs w:val="22"/>
          <w:lang w:val="sr-Latn-ME"/>
        </w:rPr>
        <w:t>eseca sa epilepsijom</w:t>
      </w:r>
      <w:r w:rsidRPr="00DA0B15">
        <w:rPr>
          <w:i/>
          <w:noProof/>
          <w:szCs w:val="22"/>
          <w:lang w:val="sr-Latn-ME"/>
        </w:rPr>
        <w:t>.</w:t>
      </w:r>
    </w:p>
    <w:p w14:paraId="5F58F69B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72F98002" w14:textId="61B0D87C" w:rsidR="000E01C9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Kod odraslih je efikasnost levetiracetama bila pokazana u 3 </w:t>
      </w:r>
      <w:r w:rsidR="003D2EE3" w:rsidRPr="00DA0B15">
        <w:rPr>
          <w:color w:val="262626"/>
          <w:szCs w:val="22"/>
          <w:lang w:val="sr-Latn-ME"/>
        </w:rPr>
        <w:t>dvostruko</w:t>
      </w:r>
      <w:r w:rsidRPr="00DA0B15">
        <w:rPr>
          <w:noProof/>
          <w:szCs w:val="22"/>
          <w:lang w:val="sr-Latn-ME"/>
        </w:rPr>
        <w:t>-sl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epe, placebo-kontrolisane studije sa 1000 mg, 2000 mg ili 3000 mg/dan, dato u 2 pod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eljene doze, sa trajanjem 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do 18 ned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elja. Analizom sakupljenih podataka utvrđeno je da je procenat pacijenata koji su postigli za 50% ili veće smanjenje u odnosu na početnu učestalost parcijalnih iznenadnih napada ned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eljno uz stabilnu dozu (12/14 ned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elja) bio 27,7%, 31,6% i 41,3% za pacijente sa 1000 mg, 2000 mg ili 3000 mg levetiracetama, odnosno 12,6% za pacijente na placebu.</w:t>
      </w:r>
    </w:p>
    <w:p w14:paraId="68B0B58D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76B982AD" w14:textId="15CDFB41" w:rsidR="000A35C2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i/>
          <w:noProof/>
          <w:szCs w:val="22"/>
          <w:lang w:val="sr-Latn-ME"/>
        </w:rPr>
        <w:t>Pedijatrijska populacija</w:t>
      </w:r>
    </w:p>
    <w:p w14:paraId="7B29D6DF" w14:textId="03CA6CFC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Kod pedijatrijskih pacijenata (</w:t>
      </w:r>
      <w:r w:rsidR="002C07FB" w:rsidRPr="00DA0B15">
        <w:rPr>
          <w:noProof/>
          <w:szCs w:val="22"/>
          <w:lang w:val="sr-Latn-ME"/>
        </w:rPr>
        <w:t xml:space="preserve">uzrasta </w:t>
      </w:r>
      <w:r w:rsidRPr="00DA0B15">
        <w:rPr>
          <w:noProof/>
          <w:szCs w:val="22"/>
          <w:lang w:val="sr-Latn-ME"/>
        </w:rPr>
        <w:t>4 do 16 godina), efikasnost levetiracetama je utvrđena u dvostruko-sl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epoj, placebo-kontrolisanoj studiji, koja je uključila 198 pacijenata i 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ečenje u trajanju od 14 ned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elja. U ovoj studiji, pacijenti su primali fiksnu dozu levetiracetama od 60 mg/kg/dan (sa doziranjem dva puta dnevno).</w:t>
      </w:r>
    </w:p>
    <w:p w14:paraId="0F253415" w14:textId="77777777" w:rsidR="003D2EE3" w:rsidRPr="00DA0B15" w:rsidRDefault="003D2EE3">
      <w:pPr>
        <w:tabs>
          <w:tab w:val="left" w:pos="600"/>
        </w:tabs>
        <w:rPr>
          <w:noProof/>
          <w:szCs w:val="22"/>
          <w:lang w:val="sr-Latn-ME"/>
        </w:rPr>
      </w:pPr>
    </w:p>
    <w:p w14:paraId="214BC1E7" w14:textId="1CF53310" w:rsidR="000E01C9" w:rsidRPr="00DA0B15" w:rsidRDefault="003D2EE3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color w:val="262626"/>
          <w:szCs w:val="22"/>
          <w:lang w:val="sr-Latn-ME"/>
        </w:rPr>
        <w:t>Ukupno</w:t>
      </w:r>
      <w:r w:rsidRPr="00DA0B15">
        <w:rPr>
          <w:noProof/>
          <w:szCs w:val="22"/>
          <w:lang w:val="sr-Latn-ME"/>
        </w:rPr>
        <w:t xml:space="preserve"> </w:t>
      </w:r>
      <w:r w:rsidR="000E01C9" w:rsidRPr="00DA0B15">
        <w:rPr>
          <w:noProof/>
          <w:szCs w:val="22"/>
          <w:lang w:val="sr-Latn-ME"/>
        </w:rPr>
        <w:t>44,6% pacijenata l</w:t>
      </w:r>
      <w:r w:rsidR="00885348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>ečenih levetiracetamom i 19,6% pacijenata na placebu imalo je 50% ili veće smanjenje u odnosu na početnu učestalost parcijalnih napada ned</w:t>
      </w:r>
      <w:r w:rsidR="00885348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eljno. Nastavkom dugotrajnog l</w:t>
      </w:r>
      <w:r w:rsidR="00885348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>ečenja, 11,4% pacijenata je bilo bez napada najmanje 6 m</w:t>
      </w:r>
      <w:r w:rsidR="00885348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eseci</w:t>
      </w:r>
      <w:r w:rsidR="002C07FB" w:rsidRPr="00DA0B15">
        <w:rPr>
          <w:noProof/>
          <w:szCs w:val="22"/>
          <w:lang w:val="sr-Latn-ME"/>
        </w:rPr>
        <w:t>, a</w:t>
      </w:r>
      <w:r w:rsidR="000E01C9" w:rsidRPr="00DA0B15">
        <w:rPr>
          <w:noProof/>
          <w:szCs w:val="22"/>
          <w:lang w:val="sr-Latn-ME"/>
        </w:rPr>
        <w:t xml:space="preserve"> 7,2% je bilo bez napada najmanje 1 godinu.</w:t>
      </w:r>
    </w:p>
    <w:p w14:paraId="725A7E33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14A86F14" w14:textId="2F778B6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lastRenderedPageBreak/>
        <w:t>Kod pedijatrijskih pacijenata (uzrasta od 1 m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eseca do manje od 4 godine) efikasnost levetiracetama je ustanovljena u dvostruko-sl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epoj, placebo-kontrolisanoj studiji, koja je uključila 116 pacijenata i l</w:t>
      </w:r>
      <w:r w:rsidR="00885348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ečenje u trajanju od 5 dana. U ovoj studiji pacijentima je bila propisana dnevna doza oralnog rastvora od 20 mg/kg, 25 mg/kg, 40 mg/kg ili 50 mg/kg, a titracija doze je izvršena prema njihovom uzrastu. Doza od 20 mg/kg/dan titrirana do 40 mg/kg/dan kod odojčadi </w:t>
      </w:r>
      <w:r w:rsidR="002C07FB" w:rsidRPr="00DA0B15">
        <w:rPr>
          <w:noProof/>
          <w:szCs w:val="22"/>
          <w:lang w:val="sr-Latn-ME"/>
        </w:rPr>
        <w:t xml:space="preserve">uzrasta </w:t>
      </w:r>
      <w:r w:rsidRPr="00DA0B15">
        <w:rPr>
          <w:noProof/>
          <w:szCs w:val="22"/>
          <w:lang w:val="sr-Latn-ME"/>
        </w:rPr>
        <w:t>od 1 m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eseca do manje od 6 m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i doza od 25 mg/kg/dan titrirana do 50 mg/kg/dan kod d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ece </w:t>
      </w:r>
      <w:r w:rsidR="002C07FB" w:rsidRPr="00DA0B15">
        <w:rPr>
          <w:noProof/>
          <w:szCs w:val="22"/>
          <w:lang w:val="sr-Latn-ME"/>
        </w:rPr>
        <w:t>uzrasta</w:t>
      </w:r>
      <w:r w:rsidRPr="00DA0B15">
        <w:rPr>
          <w:noProof/>
          <w:szCs w:val="22"/>
          <w:lang w:val="sr-Latn-ME"/>
        </w:rPr>
        <w:t xml:space="preserve"> 6 m</w:t>
      </w:r>
      <w:r w:rsidR="00885348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do manje od 4 godine, bila je koriš</w:t>
      </w:r>
      <w:r w:rsidR="00062DB9" w:rsidRPr="00DA0B15">
        <w:rPr>
          <w:noProof/>
          <w:szCs w:val="22"/>
          <w:lang w:val="sr-Latn-ME"/>
        </w:rPr>
        <w:t>ć</w:t>
      </w:r>
      <w:r w:rsidRPr="00DA0B15">
        <w:rPr>
          <w:noProof/>
          <w:szCs w:val="22"/>
          <w:lang w:val="sr-Latn-ME"/>
        </w:rPr>
        <w:t xml:space="preserve">ena u ovoj studiji. Ukupna dnevna doza je bila </w:t>
      </w:r>
      <w:r w:rsidR="00782AC7" w:rsidRPr="00DA0B15">
        <w:rPr>
          <w:noProof/>
          <w:szCs w:val="22"/>
          <w:lang w:val="sr-Latn-ME"/>
        </w:rPr>
        <w:t>primijenjen</w:t>
      </w:r>
      <w:r w:rsidRPr="00DA0B15">
        <w:rPr>
          <w:noProof/>
          <w:szCs w:val="22"/>
          <w:lang w:val="sr-Latn-ME"/>
        </w:rPr>
        <w:t>a dva puta dnevno.</w:t>
      </w:r>
    </w:p>
    <w:p w14:paraId="1CBA122F" w14:textId="182BA9EA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Primarni parametar</w:t>
      </w:r>
      <w:r w:rsidR="00704012" w:rsidRPr="00DA0B15">
        <w:rPr>
          <w:noProof/>
          <w:szCs w:val="22"/>
          <w:lang w:val="sr-Latn-ME"/>
        </w:rPr>
        <w:t xml:space="preserve"> praćenja</w:t>
      </w:r>
      <w:r w:rsidRPr="00DA0B15">
        <w:rPr>
          <w:noProof/>
          <w:szCs w:val="22"/>
          <w:lang w:val="sr-Latn-ME"/>
        </w:rPr>
        <w:t xml:space="preserve"> efikasnosti je bila stopa pacijenata sa kliničkim odgovorom (procenat pacijenata sa ≥50% smanjenjem pros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ečne učestalosti parcijalnih napada na dan u odnosu na početnu), oc</w:t>
      </w:r>
      <w:r w:rsidR="00704012" w:rsidRPr="00DA0B15">
        <w:rPr>
          <w:noProof/>
          <w:szCs w:val="22"/>
          <w:lang w:val="sr-Latn-ME"/>
        </w:rPr>
        <w:t>i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enjena od strane nezavisnog (maskiranog) centralnog evaluatora uz korišćenje 48-časovnog video EEG. Analiza efikasnosti je izvršena na 109 pacijenata koji su imali video EEG najmanje 24 sata na početku studije, i u periodu evaluacije. </w:t>
      </w:r>
      <w:r w:rsidR="00062DB9" w:rsidRPr="00DA0B15">
        <w:rPr>
          <w:noProof/>
          <w:szCs w:val="22"/>
          <w:lang w:val="sr-Latn-ME"/>
        </w:rPr>
        <w:t xml:space="preserve">Za </w:t>
      </w:r>
      <w:r w:rsidRPr="00DA0B15">
        <w:rPr>
          <w:noProof/>
          <w:szCs w:val="22"/>
          <w:lang w:val="sr-Latn-ME"/>
        </w:rPr>
        <w:t>43,6% pacijenata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ečenih levetiracetamom i 19,6% pacijenata na placebu </w:t>
      </w:r>
      <w:r w:rsidR="00062DB9" w:rsidRPr="00DA0B15">
        <w:rPr>
          <w:noProof/>
          <w:szCs w:val="22"/>
          <w:lang w:val="sr-Latn-ME"/>
        </w:rPr>
        <w:t>proc</w:t>
      </w:r>
      <w:r w:rsidR="000D3EFB" w:rsidRPr="00DA0B15">
        <w:rPr>
          <w:noProof/>
          <w:szCs w:val="22"/>
          <w:lang w:val="sr-Latn-ME"/>
        </w:rPr>
        <w:t>i</w:t>
      </w:r>
      <w:r w:rsidR="000A535F" w:rsidRPr="00DA0B15">
        <w:rPr>
          <w:noProof/>
          <w:szCs w:val="22"/>
          <w:lang w:val="sr-Latn-ME"/>
        </w:rPr>
        <w:t>j</w:t>
      </w:r>
      <w:r w:rsidR="00062DB9" w:rsidRPr="00DA0B15">
        <w:rPr>
          <w:noProof/>
          <w:szCs w:val="22"/>
          <w:lang w:val="sr-Latn-ME"/>
        </w:rPr>
        <w:t xml:space="preserve">enjeno je </w:t>
      </w:r>
      <w:r w:rsidRPr="00DA0B15">
        <w:rPr>
          <w:noProof/>
          <w:szCs w:val="22"/>
          <w:lang w:val="sr-Latn-ME"/>
        </w:rPr>
        <w:t>da su imali klinički odgovor. Rezultati su konzistentni kroz sve starosne grupe. Nastavkom dugotrajnog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ečenja, 8,6% pacijenata je bilo bez napada najmanje 6 m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i 7,8% je bilo bez napada najmanje 1 godinu.</w:t>
      </w:r>
    </w:p>
    <w:p w14:paraId="2958463B" w14:textId="5E223206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35 </w:t>
      </w:r>
      <w:r w:rsidR="00062DB9" w:rsidRPr="00DA0B15">
        <w:rPr>
          <w:noProof/>
          <w:szCs w:val="22"/>
          <w:lang w:val="sr-Latn-ME"/>
        </w:rPr>
        <w:t>odojčadi</w:t>
      </w:r>
      <w:r w:rsidRPr="00DA0B15">
        <w:rPr>
          <w:noProof/>
          <w:szCs w:val="22"/>
          <w:lang w:val="sr-Latn-ME"/>
        </w:rPr>
        <w:t xml:space="preserve"> </w:t>
      </w:r>
      <w:r w:rsidR="00782AC7" w:rsidRPr="00DA0B15">
        <w:rPr>
          <w:noProof/>
          <w:szCs w:val="22"/>
          <w:lang w:val="sr-Latn-ME"/>
        </w:rPr>
        <w:t>ml</w:t>
      </w:r>
      <w:r w:rsidR="003D2EE3" w:rsidRPr="00DA0B15">
        <w:rPr>
          <w:noProof/>
          <w:szCs w:val="22"/>
          <w:lang w:val="sr-Latn-ME"/>
        </w:rPr>
        <w:t xml:space="preserve">ađih od </w:t>
      </w:r>
      <w:r w:rsidRPr="00DA0B15">
        <w:rPr>
          <w:noProof/>
          <w:szCs w:val="22"/>
          <w:lang w:val="sr-Latn-ME"/>
        </w:rPr>
        <w:t>1 godine sa parcijalnim napadima je bilo uključeno u placebo kontrolisane kliničke studije, a od toga je samo 13 bilo uzrasta &lt; 6 m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eseci. </w:t>
      </w:r>
    </w:p>
    <w:p w14:paraId="3A8AFEE7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0161C9F9" w14:textId="2E989B14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i/>
          <w:iCs/>
          <w:noProof/>
          <w:szCs w:val="22"/>
          <w:lang w:val="sr-Latn-ME"/>
        </w:rPr>
        <w:t>Monoterapija u l</w:t>
      </w:r>
      <w:r w:rsidR="000A535F" w:rsidRPr="00DA0B15">
        <w:rPr>
          <w:i/>
          <w:iCs/>
          <w:noProof/>
          <w:szCs w:val="22"/>
          <w:lang w:val="sr-Latn-ME"/>
        </w:rPr>
        <w:t>ij</w:t>
      </w:r>
      <w:r w:rsidRPr="00DA0B15">
        <w:rPr>
          <w:i/>
          <w:iCs/>
          <w:noProof/>
          <w:szCs w:val="22"/>
          <w:lang w:val="sr-Latn-ME"/>
        </w:rPr>
        <w:t xml:space="preserve">ečenju parcijalnih iznenadnih napada sa </w:t>
      </w:r>
      <w:r w:rsidR="003D2EE3" w:rsidRPr="00DA0B15">
        <w:rPr>
          <w:i/>
          <w:color w:val="262626"/>
          <w:szCs w:val="22"/>
          <w:lang w:val="sr-Latn-ME"/>
        </w:rPr>
        <w:t xml:space="preserve">sekundarnom generalizacijom ili bez nje </w:t>
      </w:r>
      <w:r w:rsidRPr="00DA0B15">
        <w:rPr>
          <w:i/>
          <w:iCs/>
          <w:noProof/>
          <w:szCs w:val="22"/>
          <w:lang w:val="sr-Latn-ME"/>
        </w:rPr>
        <w:t xml:space="preserve">kod pacijenata </w:t>
      </w:r>
      <w:r w:rsidR="003D2EE3" w:rsidRPr="00DA0B15">
        <w:rPr>
          <w:i/>
          <w:iCs/>
          <w:noProof/>
          <w:szCs w:val="22"/>
          <w:lang w:val="sr-Latn-ME"/>
        </w:rPr>
        <w:t xml:space="preserve">starijih od </w:t>
      </w:r>
      <w:r w:rsidRPr="00DA0B15">
        <w:rPr>
          <w:i/>
          <w:iCs/>
          <w:noProof/>
          <w:szCs w:val="22"/>
          <w:lang w:val="sr-Latn-ME"/>
        </w:rPr>
        <w:t>16 godina sa novodijagnostikovanom epilepsijom</w:t>
      </w:r>
      <w:r w:rsidRPr="00DA0B15">
        <w:rPr>
          <w:noProof/>
          <w:szCs w:val="22"/>
          <w:lang w:val="sr-Latn-ME"/>
        </w:rPr>
        <w:t>.</w:t>
      </w:r>
    </w:p>
    <w:p w14:paraId="1F8E1812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293E3060" w14:textId="53C90667" w:rsidR="000E01C9" w:rsidRPr="00DA0B15" w:rsidRDefault="000E01C9">
      <w:pPr>
        <w:tabs>
          <w:tab w:val="left" w:pos="600"/>
        </w:tabs>
        <w:rPr>
          <w:b/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Efikasnost levetiracetama kao monoterapije je utvrđena u</w:t>
      </w:r>
      <w:r w:rsidR="00E94A72" w:rsidRPr="00DA0B15">
        <w:rPr>
          <w:color w:val="262626"/>
          <w:szCs w:val="22"/>
          <w:lang w:val="sr-Latn-ME"/>
        </w:rPr>
        <w:t xml:space="preserve"> dvostruko</w:t>
      </w:r>
      <w:r w:rsidRPr="00DA0B15">
        <w:rPr>
          <w:noProof/>
          <w:szCs w:val="22"/>
          <w:lang w:val="sr-Latn-ME"/>
        </w:rPr>
        <w:t>-sl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epoj studiji kod paralelnih grupa sa 576 pacijenata </w:t>
      </w:r>
      <w:r w:rsidR="00025F1D" w:rsidRPr="00DA0B15">
        <w:rPr>
          <w:noProof/>
          <w:szCs w:val="22"/>
          <w:lang w:val="sr-Latn-ME"/>
        </w:rPr>
        <w:t xml:space="preserve">uzrasta </w:t>
      </w:r>
      <w:r w:rsidRPr="00DA0B15">
        <w:rPr>
          <w:noProof/>
          <w:szCs w:val="22"/>
          <w:lang w:val="sr-Latn-ME"/>
        </w:rPr>
        <w:t>od 16 godina ili starijih sa novo- ili nedavno dijagnostikovanom epilepsijom koja je pokazala da levetiracetam nije ništa slabiji u poređenju sa karbamazepinom sa kontrolisanim oslobađanjem (CR). Pacijenti su morali da budu isključivo sa spontanim parcijalnim napadima ili sa generalizovanim tonično-kloničnim napadima. Pacijenti su bili randomizirani za terapiju karbamazepinom CR 400-1200 mg/dan ili levetiracetamom 1000</w:t>
      </w:r>
      <w:r w:rsidRPr="00DA0B15">
        <w:rPr>
          <w:noProof/>
          <w:szCs w:val="22"/>
          <w:lang w:val="sr-Latn-ME"/>
        </w:rPr>
        <w:noBreakHyphen/>
        <w:t>3000 mg/dan, a trajanje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bilo je do 121. ned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elje u zavisnosti od odgovora.</w:t>
      </w:r>
    </w:p>
    <w:p w14:paraId="51D29CF1" w14:textId="56FCDDAC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Šestom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esečni period bez napada je bio postignut kod 73% pacijenata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ečenih levetiracetamom i kod 72,8% pacijenata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ečenih karbamazepinom-CR; prilagođena apsolutna razlika između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ečenja bila je 0,2% (95% CI: 7,8-8,2). Više od polovine ispitanika nije imalo napad 12 m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eseci (56,6% ispitanika na levetiracetamu, odnosno 58,5% na karbamazepinu CR).</w:t>
      </w:r>
    </w:p>
    <w:p w14:paraId="17DBA561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60643189" w14:textId="152EC8D3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U studiji koja je odražavala kliničku praksu, paralelno 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ečenje antiepilepticima moglo je biti obustavljeno kod ograničenog broja pacijenata koji su reagovali na dodatnu terapiju levetiracetamom (36 </w:t>
      </w:r>
      <w:r w:rsidR="00062DB9" w:rsidRPr="00DA0B15">
        <w:rPr>
          <w:noProof/>
          <w:szCs w:val="22"/>
          <w:lang w:val="sr-Latn-ME"/>
        </w:rPr>
        <w:t xml:space="preserve">od 69 </w:t>
      </w:r>
      <w:r w:rsidRPr="00DA0B15">
        <w:rPr>
          <w:noProof/>
          <w:szCs w:val="22"/>
          <w:lang w:val="sr-Latn-ME"/>
        </w:rPr>
        <w:t>odraslih pacijenata).</w:t>
      </w:r>
    </w:p>
    <w:p w14:paraId="7ECD308E" w14:textId="77777777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</w:p>
    <w:p w14:paraId="20CCA4FC" w14:textId="721C5143" w:rsidR="000E01C9" w:rsidRPr="00DA0B15" w:rsidRDefault="000E01C9">
      <w:pPr>
        <w:tabs>
          <w:tab w:val="left" w:pos="600"/>
        </w:tabs>
        <w:rPr>
          <w:i/>
          <w:iCs/>
          <w:noProof/>
          <w:szCs w:val="22"/>
          <w:lang w:val="sr-Latn-ME"/>
        </w:rPr>
      </w:pPr>
      <w:r w:rsidRPr="00DA0B15">
        <w:rPr>
          <w:i/>
          <w:iCs/>
          <w:noProof/>
          <w:szCs w:val="22"/>
          <w:lang w:val="sr-Latn-ME"/>
        </w:rPr>
        <w:t>Dodatna terapija u l</w:t>
      </w:r>
      <w:r w:rsidR="000A535F" w:rsidRPr="00DA0B15">
        <w:rPr>
          <w:i/>
          <w:iCs/>
          <w:noProof/>
          <w:szCs w:val="22"/>
          <w:lang w:val="sr-Latn-ME"/>
        </w:rPr>
        <w:t>ij</w:t>
      </w:r>
      <w:r w:rsidRPr="00DA0B15">
        <w:rPr>
          <w:i/>
          <w:iCs/>
          <w:noProof/>
          <w:szCs w:val="22"/>
          <w:lang w:val="sr-Latn-ME"/>
        </w:rPr>
        <w:t xml:space="preserve">ečenju miokloničnih napada kod odraslih i adolescenata </w:t>
      </w:r>
      <w:r w:rsidR="00A711DF" w:rsidRPr="00DA0B15">
        <w:rPr>
          <w:i/>
          <w:iCs/>
          <w:noProof/>
          <w:szCs w:val="22"/>
          <w:lang w:val="sr-Latn-ME"/>
        </w:rPr>
        <w:t xml:space="preserve">starijih od </w:t>
      </w:r>
      <w:r w:rsidRPr="00DA0B15">
        <w:rPr>
          <w:i/>
          <w:iCs/>
          <w:noProof/>
          <w:szCs w:val="22"/>
          <w:lang w:val="sr-Latn-ME"/>
        </w:rPr>
        <w:t>12 godina  sa juvenilnom miokloničnom epilepsijom.</w:t>
      </w:r>
    </w:p>
    <w:p w14:paraId="65E21283" w14:textId="77777777" w:rsidR="000E01C9" w:rsidRPr="00DA0B15" w:rsidRDefault="000E01C9">
      <w:pPr>
        <w:tabs>
          <w:tab w:val="left" w:pos="600"/>
        </w:tabs>
        <w:rPr>
          <w:szCs w:val="22"/>
          <w:lang w:val="sr-Latn-ME"/>
        </w:rPr>
      </w:pPr>
    </w:p>
    <w:p w14:paraId="2CED29EC" w14:textId="59BD450E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Efikasnost levetiracetama utvrđena je u </w:t>
      </w:r>
      <w:r w:rsidR="00A711DF" w:rsidRPr="00DA0B15">
        <w:rPr>
          <w:color w:val="262626"/>
          <w:szCs w:val="22"/>
          <w:lang w:val="sr-Latn-ME"/>
        </w:rPr>
        <w:t>dvostruko</w:t>
      </w:r>
      <w:r w:rsidRPr="00DA0B15">
        <w:rPr>
          <w:noProof/>
          <w:szCs w:val="22"/>
          <w:lang w:val="sr-Latn-ME"/>
        </w:rPr>
        <w:t>-sl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epoj, placebo-kontrolisanoj studiji koja je trajala 16 ned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elja, kod pacijenata </w:t>
      </w:r>
      <w:r w:rsidR="00062DB9" w:rsidRPr="00DA0B15">
        <w:rPr>
          <w:noProof/>
          <w:szCs w:val="22"/>
          <w:lang w:val="sr-Latn-ME"/>
        </w:rPr>
        <w:t>uzrasta</w:t>
      </w:r>
      <w:r w:rsidRPr="00DA0B15">
        <w:rPr>
          <w:noProof/>
          <w:szCs w:val="22"/>
          <w:lang w:val="sr-Latn-ME"/>
        </w:rPr>
        <w:t xml:space="preserve"> 12 godina ili starijih koji su imali idiopatsku generalizovanu epilepsiju sa miokloničnim napadima u različitim sindromima. Većina pacijenata imala je juvenilnu miokloničnu epilepsiju.</w:t>
      </w:r>
    </w:p>
    <w:p w14:paraId="216DFFA7" w14:textId="49E09493" w:rsidR="000E01C9" w:rsidRPr="00DA0B15" w:rsidRDefault="000E01C9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U ovoj studiji, doza levetiracetama bila je 3000 mg/dnevno data u 2 pod</w:t>
      </w:r>
      <w:r w:rsidR="00704012" w:rsidRPr="00DA0B15">
        <w:rPr>
          <w:noProof/>
          <w:szCs w:val="22"/>
          <w:lang w:val="sr-Latn-ME"/>
        </w:rPr>
        <w:t>i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eljene doze.</w:t>
      </w:r>
    </w:p>
    <w:p w14:paraId="13F576FF" w14:textId="0158637E" w:rsidR="000E01C9" w:rsidRPr="00DA0B15" w:rsidRDefault="00A711DF">
      <w:pPr>
        <w:tabs>
          <w:tab w:val="left" w:pos="600"/>
        </w:tabs>
        <w:rPr>
          <w:noProof/>
          <w:szCs w:val="22"/>
          <w:lang w:val="sr-Latn-ME"/>
        </w:rPr>
      </w:pPr>
      <w:r w:rsidRPr="00DA0B15">
        <w:rPr>
          <w:color w:val="262626"/>
          <w:szCs w:val="22"/>
          <w:lang w:val="sr-Latn-ME"/>
        </w:rPr>
        <w:t>Ukupno</w:t>
      </w:r>
      <w:r w:rsidRPr="00DA0B15">
        <w:rPr>
          <w:noProof/>
          <w:szCs w:val="22"/>
          <w:lang w:val="sr-Latn-ME"/>
        </w:rPr>
        <w:t xml:space="preserve"> </w:t>
      </w:r>
      <w:r w:rsidR="000E01C9" w:rsidRPr="00DA0B15">
        <w:rPr>
          <w:noProof/>
          <w:szCs w:val="22"/>
          <w:lang w:val="sr-Latn-ME"/>
        </w:rPr>
        <w:t>58,3% levetiracetamom l</w:t>
      </w:r>
      <w:r w:rsidR="000A535F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>ečenih pacijenata i 23,3% pacijenata na placebu imalo je za najmanje 50% smanjenje dana sa miokloničnim napadima ned</w:t>
      </w:r>
      <w:r w:rsidR="000A535F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eljno. Nastavkom dugotrajnog l</w:t>
      </w:r>
      <w:r w:rsidR="000A535F" w:rsidRPr="00DA0B15">
        <w:rPr>
          <w:noProof/>
          <w:szCs w:val="22"/>
          <w:lang w:val="sr-Latn-ME"/>
        </w:rPr>
        <w:t>ij</w:t>
      </w:r>
      <w:r w:rsidR="000E01C9" w:rsidRPr="00DA0B15">
        <w:rPr>
          <w:noProof/>
          <w:szCs w:val="22"/>
          <w:lang w:val="sr-Latn-ME"/>
        </w:rPr>
        <w:t>ečenja, 28,6% pacijenata bilo je bez miokloničnih napada najmanje 6 m</w:t>
      </w:r>
      <w:r w:rsidR="000A535F" w:rsidRPr="00DA0B15">
        <w:rPr>
          <w:noProof/>
          <w:szCs w:val="22"/>
          <w:lang w:val="sr-Latn-ME"/>
        </w:rPr>
        <w:t>j</w:t>
      </w:r>
      <w:r w:rsidR="000E01C9" w:rsidRPr="00DA0B15">
        <w:rPr>
          <w:noProof/>
          <w:szCs w:val="22"/>
          <w:lang w:val="sr-Latn-ME"/>
        </w:rPr>
        <w:t>eseci i 21% je bilo bez miokloničnih napada najmanje 1 godinu.</w:t>
      </w:r>
    </w:p>
    <w:p w14:paraId="4AE2D97F" w14:textId="77777777" w:rsidR="000E01C9" w:rsidRPr="008D5CD8" w:rsidRDefault="000E01C9">
      <w:pPr>
        <w:tabs>
          <w:tab w:val="left" w:pos="600"/>
        </w:tabs>
        <w:rPr>
          <w:noProof/>
          <w:szCs w:val="22"/>
          <w:lang w:val="sr-Latn-CS"/>
        </w:rPr>
      </w:pPr>
    </w:p>
    <w:p w14:paraId="7BBEB433" w14:textId="4F86C350" w:rsidR="000E01C9" w:rsidRPr="00DA0B15" w:rsidRDefault="000E01C9">
      <w:pPr>
        <w:tabs>
          <w:tab w:val="left" w:pos="600"/>
        </w:tabs>
        <w:rPr>
          <w:i/>
          <w:iCs/>
          <w:noProof/>
          <w:szCs w:val="22"/>
          <w:lang w:val="sr-Latn-ME"/>
        </w:rPr>
      </w:pPr>
      <w:r w:rsidRPr="00DA0B15">
        <w:rPr>
          <w:i/>
          <w:iCs/>
          <w:noProof/>
          <w:szCs w:val="22"/>
          <w:lang w:val="sr-Latn-ME"/>
        </w:rPr>
        <w:t>Dodatna terapija u l</w:t>
      </w:r>
      <w:r w:rsidR="000A535F" w:rsidRPr="00DA0B15">
        <w:rPr>
          <w:i/>
          <w:iCs/>
          <w:noProof/>
          <w:szCs w:val="22"/>
          <w:lang w:val="sr-Latn-ME"/>
        </w:rPr>
        <w:t>ij</w:t>
      </w:r>
      <w:r w:rsidRPr="00DA0B15">
        <w:rPr>
          <w:i/>
          <w:iCs/>
          <w:noProof/>
          <w:szCs w:val="22"/>
          <w:lang w:val="sr-Latn-ME"/>
        </w:rPr>
        <w:t xml:space="preserve">ečenju primarno generalizovanih tonično-kloničnih napada kod odraslih i adolescenata </w:t>
      </w:r>
      <w:r w:rsidR="00A711DF" w:rsidRPr="00DA0B15">
        <w:rPr>
          <w:i/>
          <w:color w:val="262626"/>
          <w:szCs w:val="22"/>
          <w:lang w:val="sr-Latn-ME"/>
        </w:rPr>
        <w:t xml:space="preserve">starijih od </w:t>
      </w:r>
      <w:r w:rsidRPr="00DA0B15">
        <w:rPr>
          <w:i/>
          <w:iCs/>
          <w:noProof/>
          <w:szCs w:val="22"/>
          <w:lang w:val="sr-Latn-ME"/>
        </w:rPr>
        <w:t>12 godina sa idiopatskom generalizovanom epilepsijom.</w:t>
      </w:r>
    </w:p>
    <w:p w14:paraId="5E140B47" w14:textId="77777777" w:rsidR="000E01C9" w:rsidRPr="00DA0B15" w:rsidRDefault="000E01C9">
      <w:pPr>
        <w:tabs>
          <w:tab w:val="left" w:pos="600"/>
        </w:tabs>
        <w:rPr>
          <w:i/>
          <w:iCs/>
          <w:noProof/>
          <w:szCs w:val="22"/>
          <w:lang w:val="sr-Latn-ME"/>
        </w:rPr>
      </w:pPr>
    </w:p>
    <w:p w14:paraId="42017B49" w14:textId="6260D0E6" w:rsidR="000E01C9" w:rsidRPr="00DA0B15" w:rsidRDefault="000E01C9">
      <w:pPr>
        <w:tabs>
          <w:tab w:val="left" w:pos="600"/>
        </w:tabs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Efikasnost levetiracetama utvrđena je u 24-ned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eljnoj </w:t>
      </w:r>
      <w:r w:rsidR="00A711DF" w:rsidRPr="00DA0B15">
        <w:rPr>
          <w:color w:val="262626"/>
          <w:szCs w:val="22"/>
          <w:lang w:val="sr-Latn-ME"/>
        </w:rPr>
        <w:t>dvostruko</w:t>
      </w:r>
      <w:r w:rsidRPr="00DA0B15">
        <w:rPr>
          <w:noProof/>
          <w:szCs w:val="22"/>
          <w:lang w:val="sr-Latn-ME"/>
        </w:rPr>
        <w:t>-sl</w:t>
      </w:r>
      <w:r w:rsidR="000A53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epoj, placebo-kontrolisanoj studiji koja je uključila odrasle, adolescente i ograničen broj d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koji su imali idiopatsku generalizovanu epilepsiju sa primarno generalizovanim tonično-kloničnim (PGTC) napadima u različitim sindromima (juvenilna mioklonična epilepsija, juvenilna apsans epilepsija, d</w:t>
      </w:r>
      <w:r w:rsidR="000A53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eč</w:t>
      </w:r>
      <w:r w:rsidR="000A535F" w:rsidRPr="00DA0B15">
        <w:rPr>
          <w:noProof/>
          <w:szCs w:val="22"/>
          <w:lang w:val="sr-Latn-ME"/>
        </w:rPr>
        <w:t>i</w:t>
      </w:r>
      <w:r w:rsidRPr="00DA0B15">
        <w:rPr>
          <w:noProof/>
          <w:szCs w:val="22"/>
          <w:lang w:val="sr-Latn-ME"/>
        </w:rPr>
        <w:t xml:space="preserve">ja apsans epilepsija ili epilepsija sa </w:t>
      </w:r>
      <w:r w:rsidR="00A711DF" w:rsidRPr="00DA0B15">
        <w:rPr>
          <w:noProof/>
          <w:szCs w:val="22"/>
          <w:lang w:val="sr-Latn-ME"/>
        </w:rPr>
        <w:t>g</w:t>
      </w:r>
      <w:r w:rsidRPr="00DA0B15">
        <w:rPr>
          <w:noProof/>
          <w:szCs w:val="22"/>
          <w:lang w:val="sr-Latn-ME"/>
        </w:rPr>
        <w:t xml:space="preserve">rand </w:t>
      </w:r>
      <w:r w:rsidR="00A711DF" w:rsidRPr="00DA0B15">
        <w:rPr>
          <w:noProof/>
          <w:szCs w:val="22"/>
          <w:lang w:val="sr-Latn-ME"/>
        </w:rPr>
        <w:t>m</w:t>
      </w:r>
      <w:r w:rsidRPr="00DA0B15">
        <w:rPr>
          <w:noProof/>
          <w:szCs w:val="22"/>
          <w:lang w:val="sr-Latn-ME"/>
        </w:rPr>
        <w:t>al napadima kod buđenja)</w:t>
      </w:r>
      <w:r w:rsidRPr="00DA0B15">
        <w:rPr>
          <w:szCs w:val="22"/>
          <w:lang w:val="sr-Latn-ME"/>
        </w:rPr>
        <w:t>. U ovoj studiji, doza levetiracetama bila je 3000 mg/dnevno za odrasle i adolescente odnosno 60 mg/kg/dan za d</w:t>
      </w:r>
      <w:r w:rsidR="004F6CDB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ecu, data u 2 pod</w:t>
      </w:r>
      <w:r w:rsidR="00704012" w:rsidRPr="00DA0B15">
        <w:rPr>
          <w:szCs w:val="22"/>
          <w:lang w:val="sr-Latn-ME"/>
        </w:rPr>
        <w:t>i</w:t>
      </w:r>
      <w:r w:rsidR="004F6CDB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eljene doze.</w:t>
      </w:r>
    </w:p>
    <w:p w14:paraId="4DE366DA" w14:textId="3667C53C" w:rsidR="000E01C9" w:rsidRPr="00DA0B15" w:rsidRDefault="00A711DF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lastRenderedPageBreak/>
        <w:t xml:space="preserve">Ukupno </w:t>
      </w:r>
      <w:r w:rsidR="000E01C9" w:rsidRPr="00DA0B15">
        <w:rPr>
          <w:szCs w:val="22"/>
          <w:lang w:val="sr-Latn-ME"/>
        </w:rPr>
        <w:t>72,2% levetiracetamom l</w:t>
      </w:r>
      <w:r w:rsidR="004F6CDB" w:rsidRPr="00DA0B15">
        <w:rPr>
          <w:szCs w:val="22"/>
          <w:lang w:val="sr-Latn-ME"/>
        </w:rPr>
        <w:t>ij</w:t>
      </w:r>
      <w:r w:rsidR="000E01C9" w:rsidRPr="00DA0B15">
        <w:rPr>
          <w:szCs w:val="22"/>
          <w:lang w:val="sr-Latn-ME"/>
        </w:rPr>
        <w:t>ečenih pacijenata i 45,2% pacijenata na placebu imalo je 50% ili veće smanjenje učestalosti PGTC napada ned</w:t>
      </w:r>
      <w:r w:rsidR="004F6CDB" w:rsidRPr="00DA0B15">
        <w:rPr>
          <w:szCs w:val="22"/>
          <w:lang w:val="sr-Latn-ME"/>
        </w:rPr>
        <w:t>j</w:t>
      </w:r>
      <w:r w:rsidR="000E01C9" w:rsidRPr="00DA0B15">
        <w:rPr>
          <w:szCs w:val="22"/>
          <w:lang w:val="sr-Latn-ME"/>
        </w:rPr>
        <w:t>eljno. Nastavkom dugotrajnog l</w:t>
      </w:r>
      <w:r w:rsidR="004F6CDB" w:rsidRPr="00DA0B15">
        <w:rPr>
          <w:szCs w:val="22"/>
          <w:lang w:val="sr-Latn-ME"/>
        </w:rPr>
        <w:t>ij</w:t>
      </w:r>
      <w:r w:rsidR="000E01C9" w:rsidRPr="00DA0B15">
        <w:rPr>
          <w:szCs w:val="22"/>
          <w:lang w:val="sr-Latn-ME"/>
        </w:rPr>
        <w:t>ečenja, 47,4% pacijenata je bilo bez tonično-kloničnih napada najmanje 6 m</w:t>
      </w:r>
      <w:r w:rsidR="004F6CDB" w:rsidRPr="00DA0B15">
        <w:rPr>
          <w:szCs w:val="22"/>
          <w:lang w:val="sr-Latn-ME"/>
        </w:rPr>
        <w:t>j</w:t>
      </w:r>
      <w:r w:rsidR="000E01C9" w:rsidRPr="00DA0B15">
        <w:rPr>
          <w:szCs w:val="22"/>
          <w:lang w:val="sr-Latn-ME"/>
        </w:rPr>
        <w:t>eseci i 31,5% je bilo bez tonično-kloničnih napada najmanje 1 godinu.</w:t>
      </w:r>
    </w:p>
    <w:p w14:paraId="27ED900A" w14:textId="77777777" w:rsidR="000E01C9" w:rsidRPr="00DA0B15" w:rsidRDefault="000E01C9">
      <w:pPr>
        <w:rPr>
          <w:b/>
          <w:bCs/>
          <w:szCs w:val="22"/>
          <w:lang w:val="sr-Latn-ME"/>
        </w:rPr>
      </w:pPr>
    </w:p>
    <w:p w14:paraId="5FBB971D" w14:textId="30DCB059" w:rsidR="00CE09F3" w:rsidRPr="00DA0B15" w:rsidRDefault="00181239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5.2. </w:t>
      </w:r>
      <w:r w:rsidRPr="00DA0B15">
        <w:rPr>
          <w:b/>
          <w:bCs/>
          <w:szCs w:val="22"/>
          <w:lang w:val="sr-Latn-ME"/>
        </w:rPr>
        <w:tab/>
        <w:t>Farmakokinetički podaci</w:t>
      </w:r>
    </w:p>
    <w:p w14:paraId="3AA11850" w14:textId="77777777" w:rsidR="00C13CF2" w:rsidRPr="00DA0B15" w:rsidRDefault="00C13CF2">
      <w:pPr>
        <w:rPr>
          <w:b/>
          <w:bCs/>
          <w:szCs w:val="22"/>
          <w:lang w:val="sr-Latn-ME"/>
        </w:rPr>
      </w:pPr>
    </w:p>
    <w:p w14:paraId="512E9AAA" w14:textId="434958D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Levetiracetam je dobro rastvorljiva supstanca koja dobro prolazi biološke membrane. Farmakokinetički profil je linearan sa niskom varijabilnošću među ispitanicima kao i kod pojedinačnog ispitanika. Posl</w:t>
      </w:r>
      <w:r w:rsidR="004F6CDB" w:rsidRPr="00DA0B15">
        <w:rPr>
          <w:noProof/>
          <w:sz w:val="22"/>
          <w:szCs w:val="22"/>
          <w:lang w:val="sr-Latn-ME"/>
        </w:rPr>
        <w:t>ij</w:t>
      </w:r>
      <w:r w:rsidRPr="00DA0B15">
        <w:rPr>
          <w:noProof/>
          <w:sz w:val="22"/>
          <w:szCs w:val="22"/>
          <w:lang w:val="sr-Latn-ME"/>
        </w:rPr>
        <w:t>e ponovljene prim</w:t>
      </w:r>
      <w:r w:rsidR="004F6CDB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ene nema prom</w:t>
      </w:r>
      <w:r w:rsidR="004F6CDB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ene klirensa. Nema dokaza o bilo kakvoj relevantnoj varijabilnosti koja se odnosi na pol, rasu ili cirkadijalni ritam. Farmakokinetički profil je uporediv kod zdravih dobrovoljaca i kod pacijenata sa epilepsijom.</w:t>
      </w:r>
    </w:p>
    <w:p w14:paraId="03F0514A" w14:textId="7777777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</w:p>
    <w:p w14:paraId="356B3C14" w14:textId="4E1D1527" w:rsidR="000E01C9" w:rsidRPr="00DA0B15" w:rsidRDefault="000E01C9">
      <w:pPr>
        <w:pStyle w:val="NormalWeb"/>
        <w:rPr>
          <w:noProof/>
          <w:sz w:val="22"/>
          <w:szCs w:val="22"/>
          <w:lang w:val="sr-Latn-ME"/>
        </w:rPr>
      </w:pPr>
      <w:r w:rsidRPr="00DA0B15">
        <w:rPr>
          <w:noProof/>
          <w:sz w:val="22"/>
          <w:szCs w:val="22"/>
          <w:lang w:val="sr-Latn-ME"/>
        </w:rPr>
        <w:t>Zahvaljujući njegovoj potpunoj i linearnoj resorpciji, nivoi u plazmi mogu se predvid</w:t>
      </w:r>
      <w:r w:rsidR="004F6CDB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eti na osnovu oralne doze levetiracetama izražene u mg/kg t</w:t>
      </w:r>
      <w:r w:rsidR="004F6CDB" w:rsidRPr="00DA0B15">
        <w:rPr>
          <w:noProof/>
          <w:sz w:val="22"/>
          <w:szCs w:val="22"/>
          <w:lang w:val="sr-Latn-ME"/>
        </w:rPr>
        <w:t>j</w:t>
      </w:r>
      <w:r w:rsidRPr="00DA0B15">
        <w:rPr>
          <w:noProof/>
          <w:sz w:val="22"/>
          <w:szCs w:val="22"/>
          <w:lang w:val="sr-Latn-ME"/>
        </w:rPr>
        <w:t>elesne mase. Zbog toga nije potrebno praćenje koncentracije levetiracetama u plazmi.</w:t>
      </w:r>
    </w:p>
    <w:p w14:paraId="6DECADF2" w14:textId="77777777" w:rsidR="000E01C9" w:rsidRPr="00DA0B15" w:rsidRDefault="000E01C9">
      <w:pPr>
        <w:rPr>
          <w:noProof/>
          <w:szCs w:val="22"/>
          <w:lang w:val="sr-Latn-ME"/>
        </w:rPr>
      </w:pPr>
    </w:p>
    <w:p w14:paraId="2BD9FF39" w14:textId="678220C4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Značajna korelacija između pljuvačnih i koncentracija u plazmi je pokazana kod odraslih i d</w:t>
      </w:r>
      <w:r w:rsidR="004F6CDB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ece (odnos koncentracija pljuvačka/plazma je u rasponu od 1 do 1,7 za oralni oblik tableta i posl</w:t>
      </w:r>
      <w:r w:rsidR="004F6CDB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4 sata od uzimanja doze za oralni oblik rastvora).</w:t>
      </w:r>
    </w:p>
    <w:p w14:paraId="6520ED2B" w14:textId="77777777" w:rsidR="000E01C9" w:rsidRPr="00DA0B15" w:rsidRDefault="000E01C9">
      <w:pPr>
        <w:rPr>
          <w:noProof/>
          <w:szCs w:val="22"/>
          <w:lang w:val="sr-Latn-ME"/>
        </w:rPr>
      </w:pPr>
    </w:p>
    <w:p w14:paraId="3B37850E" w14:textId="77777777" w:rsidR="00C13CF2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Odrasli i adolescenti</w:t>
      </w:r>
    </w:p>
    <w:p w14:paraId="5BF83C48" w14:textId="77777777" w:rsidR="00887663" w:rsidRPr="00DA0B15" w:rsidRDefault="00887663">
      <w:pPr>
        <w:rPr>
          <w:noProof/>
          <w:szCs w:val="22"/>
          <w:u w:val="single"/>
          <w:lang w:val="sr-Latn-ME"/>
        </w:rPr>
      </w:pPr>
    </w:p>
    <w:p w14:paraId="5D2D79F6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Resorpcija</w:t>
      </w:r>
    </w:p>
    <w:p w14:paraId="34ACAA1C" w14:textId="39B6FB3C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Levetiracetam se brzo resorbuje posl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oralne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ene. Oralna apsolutna bioraspoloživost je blizu 100%.</w:t>
      </w:r>
    </w:p>
    <w:p w14:paraId="5F06C28C" w14:textId="1AFB470B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Maksimalne koncentracije u plazmi (C</w:t>
      </w:r>
      <w:r w:rsidRPr="00DA0B15">
        <w:rPr>
          <w:noProof/>
          <w:szCs w:val="22"/>
          <w:vertAlign w:val="subscript"/>
          <w:lang w:val="sr-Latn-ME"/>
        </w:rPr>
        <w:t>max</w:t>
      </w:r>
      <w:r w:rsidRPr="00DA0B15">
        <w:rPr>
          <w:noProof/>
          <w:szCs w:val="22"/>
          <w:lang w:val="sr-Latn-ME"/>
        </w:rPr>
        <w:t>) se postižu za 1,3 sata posl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uzimanja doze. Ravnotežno stanje je postignuto posl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dva dana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dva puta dnevno.</w:t>
      </w:r>
    </w:p>
    <w:p w14:paraId="21624E8D" w14:textId="054AF7E2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Maksimalne koncentracije (C</w:t>
      </w:r>
      <w:r w:rsidRPr="00DA0B15">
        <w:rPr>
          <w:noProof/>
          <w:szCs w:val="22"/>
          <w:vertAlign w:val="subscript"/>
          <w:lang w:val="sr-Latn-ME"/>
        </w:rPr>
        <w:t>max</w:t>
      </w:r>
      <w:r w:rsidRPr="00DA0B15">
        <w:rPr>
          <w:noProof/>
          <w:szCs w:val="22"/>
          <w:lang w:val="sr-Latn-ME"/>
        </w:rPr>
        <w:t xml:space="preserve">) su uglavnom 31 </w:t>
      </w:r>
      <w:r w:rsidR="00A711DF" w:rsidRPr="00DA0B15">
        <w:rPr>
          <w:szCs w:val="22"/>
          <w:lang w:val="sr-Latn-ME"/>
        </w:rPr>
        <w:t>mikrogram</w:t>
      </w:r>
      <w:r w:rsidR="00A711DF" w:rsidRPr="00DA0B15" w:rsidDel="00A711DF">
        <w:rPr>
          <w:noProof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/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 posl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 jedne doze od 1000 mg odnosno 43 </w:t>
      </w:r>
      <w:r w:rsidR="00A711DF" w:rsidRPr="00DA0B15">
        <w:rPr>
          <w:szCs w:val="22"/>
          <w:lang w:val="sr-Latn-ME"/>
        </w:rPr>
        <w:t>mikrogram</w:t>
      </w:r>
      <w:r w:rsidR="00A711DF" w:rsidRPr="00DA0B15" w:rsidDel="00A711DF">
        <w:rPr>
          <w:noProof/>
          <w:szCs w:val="22"/>
          <w:lang w:val="sr-Latn-ME"/>
        </w:rPr>
        <w:t xml:space="preserve"> </w:t>
      </w:r>
      <w:r w:rsidRPr="00DA0B15">
        <w:rPr>
          <w:noProof/>
          <w:szCs w:val="22"/>
          <w:lang w:val="sr-Latn-ME"/>
        </w:rPr>
        <w:t>/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 posl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 ponovljene doze od 1000 mg </w:t>
      </w:r>
      <w:r w:rsidR="00782AC7" w:rsidRPr="00DA0B15">
        <w:rPr>
          <w:noProof/>
          <w:szCs w:val="22"/>
          <w:lang w:val="sr-Latn-ME"/>
        </w:rPr>
        <w:t>primijenjen</w:t>
      </w:r>
      <w:r w:rsidRPr="00DA0B15">
        <w:rPr>
          <w:noProof/>
          <w:szCs w:val="22"/>
          <w:lang w:val="sr-Latn-ME"/>
        </w:rPr>
        <w:t>e dva puta dnevno.</w:t>
      </w:r>
    </w:p>
    <w:p w14:paraId="536C3AF5" w14:textId="4A8506F4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Stepen resorpcije ne zavisi od doze i ne m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enja se u prisustvu hrane.</w:t>
      </w:r>
    </w:p>
    <w:p w14:paraId="7A1EAAA2" w14:textId="77777777" w:rsidR="000E01C9" w:rsidRPr="00DA0B15" w:rsidRDefault="000E01C9">
      <w:pPr>
        <w:rPr>
          <w:szCs w:val="22"/>
          <w:lang w:val="sr-Latn-ME"/>
        </w:rPr>
      </w:pPr>
    </w:p>
    <w:p w14:paraId="0584FCB2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Distribucija</w:t>
      </w:r>
    </w:p>
    <w:p w14:paraId="59DEE53F" w14:textId="77777777" w:rsidR="000E01C9" w:rsidRPr="00DA0B15" w:rsidRDefault="000E01C9">
      <w:pPr>
        <w:rPr>
          <w:noProof/>
          <w:szCs w:val="22"/>
          <w:lang w:val="sr-Latn-ME"/>
        </w:rPr>
      </w:pPr>
    </w:p>
    <w:p w14:paraId="570D7EA6" w14:textId="040D541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Podaci o distribuciji u tkiva ni</w:t>
      </w:r>
      <w:r w:rsidR="0076105F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dostupni kod ljudi.</w:t>
      </w:r>
    </w:p>
    <w:p w14:paraId="3BC07B33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Levetiracetam i njegov primarni metabolit ne vezuju se značajno za proteine plazme (&lt;10%).</w:t>
      </w:r>
    </w:p>
    <w:p w14:paraId="624325A6" w14:textId="09928491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Volumen distribucije levetiracetama je približno 0,5 do 0,7 L/kg, </w:t>
      </w:r>
      <w:r w:rsidR="00C13CF2" w:rsidRPr="00DA0B15">
        <w:rPr>
          <w:noProof/>
          <w:szCs w:val="22"/>
          <w:lang w:val="sr-Latn-ME"/>
        </w:rPr>
        <w:t xml:space="preserve">što je </w:t>
      </w:r>
      <w:r w:rsidRPr="00DA0B15">
        <w:rPr>
          <w:noProof/>
          <w:szCs w:val="22"/>
          <w:lang w:val="sr-Latn-ME"/>
        </w:rPr>
        <w:t>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ednost bliska ukupnom volumenu tečnosti u organizmu.</w:t>
      </w:r>
    </w:p>
    <w:p w14:paraId="45082E24" w14:textId="77777777" w:rsidR="000E01C9" w:rsidRPr="00DA0B15" w:rsidRDefault="000E01C9">
      <w:pPr>
        <w:rPr>
          <w:szCs w:val="22"/>
          <w:lang w:val="sr-Latn-ME"/>
        </w:rPr>
      </w:pPr>
    </w:p>
    <w:p w14:paraId="65DEF6F0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Biotransformacija</w:t>
      </w:r>
    </w:p>
    <w:p w14:paraId="35B4498D" w14:textId="77777777" w:rsidR="000E01C9" w:rsidRPr="00DA0B15" w:rsidRDefault="000E01C9">
      <w:pPr>
        <w:rPr>
          <w:noProof/>
          <w:szCs w:val="22"/>
          <w:lang w:val="sr-Latn-ME"/>
        </w:rPr>
      </w:pPr>
    </w:p>
    <w:p w14:paraId="6076836F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Levetiracetam se značajno ne metaboliše kod ljudi. Glavni metabolički put (24% doze) j</w:t>
      </w:r>
      <w:r w:rsidR="00CC39EC" w:rsidRPr="00DA0B15">
        <w:rPr>
          <w:noProof/>
          <w:szCs w:val="22"/>
          <w:lang w:val="sr-Latn-ME"/>
        </w:rPr>
        <w:t xml:space="preserve">e enzimska hidroliza acetamidne grupe. </w:t>
      </w:r>
      <w:r w:rsidRPr="00DA0B15">
        <w:rPr>
          <w:noProof/>
          <w:szCs w:val="22"/>
          <w:lang w:val="sr-Latn-ME"/>
        </w:rPr>
        <w:t>Produkcija primarnog metabolita ucb L057 nije u vezi sa izooblicima hepatičkog citohroma P</w:t>
      </w:r>
      <w:r w:rsidRPr="00DA0B15">
        <w:rPr>
          <w:noProof/>
          <w:szCs w:val="22"/>
          <w:vertAlign w:val="subscript"/>
          <w:lang w:val="sr-Latn-ME"/>
        </w:rPr>
        <w:t>450</w:t>
      </w:r>
      <w:r w:rsidRPr="00DA0B15">
        <w:rPr>
          <w:noProof/>
          <w:szCs w:val="22"/>
          <w:lang w:val="sr-Latn-ME"/>
        </w:rPr>
        <w:t>. Hidroliza acetamidne grupe vrši se u mnogim tkivima uključujući i krvne ćelije. Metabolit ucb L057 je farmakološki neaktivan.</w:t>
      </w:r>
    </w:p>
    <w:p w14:paraId="3D9D11AA" w14:textId="77777777" w:rsidR="000E01C9" w:rsidRPr="00DA0B15" w:rsidRDefault="000E01C9">
      <w:pPr>
        <w:rPr>
          <w:noProof/>
          <w:szCs w:val="22"/>
          <w:lang w:val="sr-Latn-ME"/>
        </w:rPr>
      </w:pPr>
    </w:p>
    <w:p w14:paraId="2E24550A" w14:textId="4B437F19" w:rsidR="000E01C9" w:rsidRPr="008D5CD8" w:rsidRDefault="000E01C9">
      <w:pPr>
        <w:rPr>
          <w:noProof/>
          <w:szCs w:val="22"/>
          <w:lang w:val="sr-Latn-CS"/>
        </w:rPr>
      </w:pPr>
      <w:r w:rsidRPr="00DA0B15">
        <w:rPr>
          <w:noProof/>
          <w:szCs w:val="22"/>
          <w:lang w:val="sr-Latn-ME"/>
        </w:rPr>
        <w:t>Dva manje prisutna metabolita su takođe identifikovana. Jedan je dobijen hidroksilacijom pirolidonskog prstena (1,6% doze), a drugi otvaranjem pirolidonskog prstena (0,9% doze). Ostale neidentifikovane komponente čine samo 0,6% doze.</w:t>
      </w:r>
    </w:p>
    <w:p w14:paraId="05F6069C" w14:textId="31E9565D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Interkonverzija enantiomera nije evidentirana </w:t>
      </w:r>
      <w:r w:rsidRPr="00DA0B15">
        <w:rPr>
          <w:i/>
          <w:noProof/>
          <w:szCs w:val="22"/>
          <w:lang w:val="sr-Latn-ME"/>
        </w:rPr>
        <w:t>in vivo</w:t>
      </w:r>
      <w:r w:rsidRPr="00DA0B15">
        <w:rPr>
          <w:noProof/>
          <w:szCs w:val="22"/>
          <w:lang w:val="sr-Latn-ME"/>
        </w:rPr>
        <w:t xml:space="preserve"> ni za levetiracetam ni za njegov primarni metabolit.</w:t>
      </w:r>
    </w:p>
    <w:p w14:paraId="4A6850C2" w14:textId="54F4752F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i/>
          <w:noProof/>
          <w:szCs w:val="22"/>
          <w:lang w:val="sr-Latn-ME"/>
        </w:rPr>
        <w:t xml:space="preserve">In vitro </w:t>
      </w:r>
      <w:r w:rsidRPr="00DA0B15">
        <w:rPr>
          <w:noProof/>
          <w:szCs w:val="22"/>
          <w:lang w:val="sr-Latn-ME"/>
        </w:rPr>
        <w:t>je pokazano da levetiracetam i njegov primarni metabolit ne inhibiraju aktivnost izoformi glavnih humanih hepatičkih citohroma P</w:t>
      </w:r>
      <w:r w:rsidRPr="00DA0B15">
        <w:rPr>
          <w:noProof/>
          <w:szCs w:val="22"/>
          <w:vertAlign w:val="subscript"/>
          <w:lang w:val="sr-Latn-ME"/>
        </w:rPr>
        <w:t xml:space="preserve">450 </w:t>
      </w:r>
      <w:r w:rsidRPr="00DA0B15">
        <w:rPr>
          <w:noProof/>
          <w:szCs w:val="22"/>
          <w:lang w:val="sr-Latn-ME"/>
        </w:rPr>
        <w:t>(CYP3A4, 2A6, 2C9, 2C19, 2D6, 2E1 i 1A2), glukuronil-transferaze (UGT1A1 i UGT1A6) i epoksid-hidroksilaze. Osim toga, levetiracetam ne utiče na glukuronizaciju valproinske kis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eline </w:t>
      </w:r>
      <w:r w:rsidRPr="00DA0B15">
        <w:rPr>
          <w:i/>
          <w:noProof/>
          <w:szCs w:val="22"/>
          <w:lang w:val="sr-Latn-ME"/>
        </w:rPr>
        <w:t>in vitro</w:t>
      </w:r>
      <w:r w:rsidRPr="00DA0B15">
        <w:rPr>
          <w:noProof/>
          <w:szCs w:val="22"/>
          <w:lang w:val="sr-Latn-ME"/>
        </w:rPr>
        <w:t>.</w:t>
      </w:r>
    </w:p>
    <w:p w14:paraId="1EEF0443" w14:textId="6B7E31DD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U kulturi humanih hepatocita levetiracetam je imao mali ili nije imao efekat na CYP1A2, SULT1E1 ili UGT1A1. Levetiracetam je izazvao blagu indukciju CYP2B6 i CYP3A4. </w:t>
      </w:r>
      <w:r w:rsidRPr="00DA0B15">
        <w:rPr>
          <w:i/>
          <w:noProof/>
          <w:szCs w:val="22"/>
          <w:lang w:val="sr-Latn-ME"/>
        </w:rPr>
        <w:t>In vitro</w:t>
      </w:r>
      <w:r w:rsidRPr="00DA0B15">
        <w:rPr>
          <w:noProof/>
          <w:szCs w:val="22"/>
          <w:lang w:val="sr-Latn-ME"/>
        </w:rPr>
        <w:t xml:space="preserve"> podaci </w:t>
      </w:r>
      <w:r w:rsidRPr="00DA0B15">
        <w:rPr>
          <w:i/>
          <w:szCs w:val="22"/>
          <w:lang w:val="sr-Latn-ME"/>
        </w:rPr>
        <w:t>i in vivo</w:t>
      </w:r>
      <w:r w:rsidRPr="00DA0B15">
        <w:rPr>
          <w:noProof/>
          <w:szCs w:val="22"/>
          <w:lang w:val="sr-Latn-ME"/>
        </w:rPr>
        <w:t xml:space="preserve"> podaci o interakcijama sa oralnim kontraceptivima, digoksinom i varfarinom pokazuju da se ne očekuje značajna </w:t>
      </w:r>
      <w:r w:rsidRPr="00DA0B15">
        <w:rPr>
          <w:noProof/>
          <w:szCs w:val="22"/>
          <w:lang w:val="sr-Latn-ME"/>
        </w:rPr>
        <w:lastRenderedPageBreak/>
        <w:t xml:space="preserve">indukcija enzima </w:t>
      </w:r>
      <w:r w:rsidRPr="00DA0B15">
        <w:rPr>
          <w:i/>
          <w:szCs w:val="22"/>
          <w:lang w:val="sr-Latn-ME"/>
        </w:rPr>
        <w:t>in vivo</w:t>
      </w:r>
      <w:r w:rsidRPr="00DA0B15">
        <w:rPr>
          <w:noProof/>
          <w:szCs w:val="22"/>
          <w:lang w:val="sr-Latn-ME"/>
        </w:rPr>
        <w:t>. Zbog toga, interakcija 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 xml:space="preserve">eka Keppra sa drugim supstancama, i </w:t>
      </w:r>
      <w:r w:rsidRPr="00DA0B15">
        <w:rPr>
          <w:iCs/>
          <w:noProof/>
          <w:szCs w:val="22"/>
          <w:lang w:val="sr-Latn-ME"/>
        </w:rPr>
        <w:t>obrnuto</w:t>
      </w:r>
      <w:r w:rsidRPr="00DA0B15">
        <w:rPr>
          <w:noProof/>
          <w:szCs w:val="22"/>
          <w:lang w:val="sr-Latn-ME"/>
        </w:rPr>
        <w:t>, nije v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erovatna.</w:t>
      </w:r>
    </w:p>
    <w:p w14:paraId="52833363" w14:textId="77777777" w:rsidR="000E01C9" w:rsidRPr="00DA0B15" w:rsidRDefault="000E01C9">
      <w:pPr>
        <w:rPr>
          <w:szCs w:val="22"/>
          <w:lang w:val="sr-Latn-ME"/>
        </w:rPr>
      </w:pPr>
    </w:p>
    <w:p w14:paraId="0E574DE3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Eliminacija</w:t>
      </w:r>
    </w:p>
    <w:p w14:paraId="4653A6AD" w14:textId="77777777" w:rsidR="000E01C9" w:rsidRPr="00DA0B15" w:rsidRDefault="000E01C9">
      <w:pPr>
        <w:rPr>
          <w:noProof/>
          <w:szCs w:val="22"/>
          <w:lang w:val="sr-Latn-ME"/>
        </w:rPr>
      </w:pPr>
    </w:p>
    <w:p w14:paraId="122E10F2" w14:textId="5FA2FDCF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Poluvr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u plazmi je kod odraslih iznosilo 7±1 sati i nije variralo sa dozom, načinom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ili ponovljenom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enom. Srednji ukupni t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elesni klirens je bio 0,96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/min/kg.</w:t>
      </w:r>
    </w:p>
    <w:p w14:paraId="0C4CBC14" w14:textId="77777777" w:rsidR="000E01C9" w:rsidRPr="00DA0B15" w:rsidRDefault="000E01C9">
      <w:pPr>
        <w:rPr>
          <w:noProof/>
          <w:szCs w:val="22"/>
          <w:lang w:val="sr-Latn-ME"/>
        </w:rPr>
      </w:pPr>
    </w:p>
    <w:p w14:paraId="76D80C86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Glavni put izlučivanja je bio putem urina, i to oko 95% doze (približno 93% doze se izlučilo za 48 sati). Izlučivanje putem fecesa je iznosilo samo 0,3% doze.</w:t>
      </w:r>
    </w:p>
    <w:p w14:paraId="596578E6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Kumulativno izlučivanje levetiracetama putem urina je iznosilo 66%,</w:t>
      </w:r>
      <w:r w:rsidR="00C13CF2" w:rsidRPr="00DA0B15">
        <w:rPr>
          <w:noProof/>
          <w:szCs w:val="22"/>
          <w:lang w:val="sr-Latn-ME"/>
        </w:rPr>
        <w:t xml:space="preserve"> a njegovog primarnog metabolita</w:t>
      </w:r>
      <w:r w:rsidRPr="00DA0B15">
        <w:rPr>
          <w:noProof/>
          <w:szCs w:val="22"/>
          <w:lang w:val="sr-Latn-ME"/>
        </w:rPr>
        <w:t xml:space="preserve"> 24% doze tokom prvih 48 sati.</w:t>
      </w:r>
    </w:p>
    <w:p w14:paraId="24DBF216" w14:textId="0AEFC7BE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Renalni klirens levetiracetama i ucb L057 je 0,6 odnosno 4,2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/min/kg, </w:t>
      </w:r>
      <w:r w:rsidR="00C13CF2" w:rsidRPr="00DA0B15">
        <w:rPr>
          <w:noProof/>
          <w:szCs w:val="22"/>
          <w:lang w:val="sr-Latn-ME"/>
        </w:rPr>
        <w:t xml:space="preserve">što </w:t>
      </w:r>
      <w:r w:rsidRPr="00DA0B15">
        <w:rPr>
          <w:noProof/>
          <w:szCs w:val="22"/>
          <w:lang w:val="sr-Latn-ME"/>
        </w:rPr>
        <w:t>pokazuj</w:t>
      </w:r>
      <w:r w:rsidR="00C13CF2" w:rsidRPr="00DA0B15">
        <w:rPr>
          <w:noProof/>
          <w:szCs w:val="22"/>
          <w:lang w:val="sr-Latn-ME"/>
        </w:rPr>
        <w:t>e</w:t>
      </w:r>
      <w:r w:rsidRPr="00DA0B15">
        <w:rPr>
          <w:noProof/>
          <w:szCs w:val="22"/>
          <w:lang w:val="sr-Latn-ME"/>
        </w:rPr>
        <w:t xml:space="preserve"> da je levetiracetam izlučen glomerularnom filtracijom sa naknadnom tubularnom reapsorpcijom i da je primarni metabolit osim glomerularnom filtracijom izlučen i aktivnom tubularnom sekrecijom.</w:t>
      </w:r>
    </w:p>
    <w:p w14:paraId="24E30A5D" w14:textId="7777777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Eliminacija levetiracetama je povezana sa klirensom kreatinina.</w:t>
      </w:r>
    </w:p>
    <w:p w14:paraId="3511597E" w14:textId="77777777" w:rsidR="000E01C9" w:rsidRPr="00DA0B15" w:rsidRDefault="000E01C9">
      <w:pPr>
        <w:rPr>
          <w:szCs w:val="22"/>
          <w:lang w:val="sr-Latn-ME"/>
        </w:rPr>
      </w:pPr>
    </w:p>
    <w:p w14:paraId="75A30A17" w14:textId="77777777" w:rsidR="000E01C9" w:rsidRPr="00DA0B15" w:rsidRDefault="000E01C9">
      <w:pPr>
        <w:rPr>
          <w:noProof/>
          <w:szCs w:val="22"/>
          <w:u w:val="single"/>
          <w:lang w:val="sr-Latn-ME"/>
        </w:rPr>
      </w:pPr>
      <w:r w:rsidRPr="00DA0B15">
        <w:rPr>
          <w:noProof/>
          <w:szCs w:val="22"/>
          <w:u w:val="single"/>
          <w:lang w:val="sr-Latn-ME"/>
        </w:rPr>
        <w:t>Stariji</w:t>
      </w:r>
    </w:p>
    <w:p w14:paraId="0AC713F6" w14:textId="77777777" w:rsidR="000E01C9" w:rsidRPr="00DA0B15" w:rsidRDefault="000E01C9">
      <w:pPr>
        <w:rPr>
          <w:noProof/>
          <w:szCs w:val="22"/>
          <w:lang w:val="sr-Latn-ME"/>
        </w:rPr>
      </w:pPr>
    </w:p>
    <w:p w14:paraId="125584BC" w14:textId="2C30B2FC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Kod starijih je poluvr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povećano za oko 40% (10 do 11 sati). Ovo je povezano sa smanjenjem renalne funkcije kod ove populacije (vid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eti </w:t>
      </w:r>
      <w:r w:rsidR="00704012" w:rsidRPr="00DA0B15">
        <w:rPr>
          <w:noProof/>
          <w:szCs w:val="22"/>
          <w:lang w:val="sr-Latn-ME"/>
        </w:rPr>
        <w:t>dio</w:t>
      </w:r>
      <w:r w:rsidRPr="00DA0B15">
        <w:rPr>
          <w:noProof/>
          <w:szCs w:val="22"/>
          <w:lang w:val="sr-Latn-ME"/>
        </w:rPr>
        <w:t xml:space="preserve"> 4.2).</w:t>
      </w:r>
    </w:p>
    <w:p w14:paraId="75D1D4E5" w14:textId="77777777" w:rsidR="000E01C9" w:rsidRPr="00DA0B15" w:rsidRDefault="000E01C9">
      <w:pPr>
        <w:rPr>
          <w:noProof/>
          <w:szCs w:val="22"/>
          <w:lang w:val="sr-Latn-ME"/>
        </w:rPr>
      </w:pPr>
    </w:p>
    <w:p w14:paraId="0DE142AA" w14:textId="77777777" w:rsidR="00A711DF" w:rsidRPr="00DA0B15" w:rsidRDefault="00A711DF">
      <w:pPr>
        <w:tabs>
          <w:tab w:val="clear" w:pos="284"/>
        </w:tabs>
        <w:suppressAutoHyphens/>
        <w:spacing w:line="276" w:lineRule="auto"/>
        <w:rPr>
          <w:color w:val="262626"/>
          <w:szCs w:val="22"/>
          <w:u w:val="single"/>
          <w:lang w:val="sr-Latn-ME"/>
        </w:rPr>
      </w:pPr>
      <w:r w:rsidRPr="00DA0B15">
        <w:rPr>
          <w:color w:val="262626"/>
          <w:szCs w:val="22"/>
          <w:u w:val="single"/>
          <w:lang w:val="sr-Latn-ME"/>
        </w:rPr>
        <w:t>Oštećena funkcija bubrega</w:t>
      </w:r>
    </w:p>
    <w:p w14:paraId="15C735C6" w14:textId="77777777" w:rsidR="000E01C9" w:rsidRPr="00DA0B15" w:rsidRDefault="000E01C9">
      <w:pPr>
        <w:rPr>
          <w:noProof/>
          <w:szCs w:val="22"/>
          <w:lang w:val="sr-Latn-ME"/>
        </w:rPr>
      </w:pPr>
    </w:p>
    <w:p w14:paraId="1666A162" w14:textId="08A4B09C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T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elesni klirens levetiracetama i njegovog primarnog metabolita je u vezi sa klirensom kreatinina. Zato se preporučuje prilagođavanje dnevne doze održavanja l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eka Keppra, na osnovu klirensa kreatinina kod pacijenata sa um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erenom i teškom renalnom insuficijencijom (vid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eti </w:t>
      </w:r>
      <w:r w:rsidR="00704012" w:rsidRPr="00DA0B15">
        <w:rPr>
          <w:noProof/>
          <w:szCs w:val="22"/>
          <w:lang w:val="sr-Latn-ME"/>
        </w:rPr>
        <w:t>dio</w:t>
      </w:r>
      <w:r w:rsidRPr="00DA0B15">
        <w:rPr>
          <w:noProof/>
          <w:szCs w:val="22"/>
          <w:lang w:val="sr-Latn-ME"/>
        </w:rPr>
        <w:t xml:space="preserve"> 4.2).</w:t>
      </w:r>
    </w:p>
    <w:p w14:paraId="7A49E5C5" w14:textId="77777777" w:rsidR="000E01C9" w:rsidRPr="00DA0B15" w:rsidRDefault="000E01C9">
      <w:pPr>
        <w:rPr>
          <w:noProof/>
          <w:szCs w:val="22"/>
          <w:lang w:val="sr-Latn-ME"/>
        </w:rPr>
      </w:pPr>
    </w:p>
    <w:p w14:paraId="0000A71D" w14:textId="5711CC3B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Kod odraslih ispitanika u </w:t>
      </w:r>
      <w:r w:rsidR="00A711DF" w:rsidRPr="00DA0B15">
        <w:rPr>
          <w:color w:val="262626"/>
          <w:szCs w:val="22"/>
          <w:lang w:val="sr-Latn-ME"/>
        </w:rPr>
        <w:t xml:space="preserve">terminalnoj </w:t>
      </w:r>
      <w:r w:rsidRPr="00DA0B15">
        <w:rPr>
          <w:noProof/>
          <w:szCs w:val="22"/>
          <w:lang w:val="sr-Latn-ME"/>
        </w:rPr>
        <w:t>fazi renalne bolesti sa anurijom poluvr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je iznosilo oko 25 sati u periodu između dijaliza, odnosno 3,1 sat tokom dijalize.</w:t>
      </w:r>
    </w:p>
    <w:p w14:paraId="3417B06B" w14:textId="5FA2BECA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Frakcijsko uklanjanje levetiracetama bilo je 51% za 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uobičajene 4-satne dijalize.</w:t>
      </w:r>
    </w:p>
    <w:p w14:paraId="0BD7CB26" w14:textId="77777777" w:rsidR="000E01C9" w:rsidRPr="00DA0B15" w:rsidRDefault="000E01C9">
      <w:pPr>
        <w:rPr>
          <w:noProof/>
          <w:szCs w:val="22"/>
          <w:lang w:val="sr-Latn-ME"/>
        </w:rPr>
      </w:pPr>
    </w:p>
    <w:p w14:paraId="70991CA3" w14:textId="77777777" w:rsidR="00A711DF" w:rsidRPr="00DA0B15" w:rsidRDefault="00A711DF">
      <w:pPr>
        <w:tabs>
          <w:tab w:val="clear" w:pos="284"/>
        </w:tabs>
        <w:suppressAutoHyphens/>
        <w:spacing w:line="276" w:lineRule="auto"/>
        <w:rPr>
          <w:color w:val="262626"/>
          <w:szCs w:val="22"/>
          <w:u w:val="single"/>
          <w:lang w:val="sr-Latn-ME"/>
        </w:rPr>
      </w:pPr>
      <w:r w:rsidRPr="00DA0B15">
        <w:rPr>
          <w:color w:val="262626"/>
          <w:szCs w:val="22"/>
          <w:u w:val="single"/>
          <w:lang w:val="sr-Latn-ME"/>
        </w:rPr>
        <w:t>Oštećena funkcija jetre</w:t>
      </w:r>
    </w:p>
    <w:p w14:paraId="3CEC7D05" w14:textId="77777777" w:rsidR="000E01C9" w:rsidRPr="00DA0B15" w:rsidRDefault="000E01C9">
      <w:pPr>
        <w:rPr>
          <w:noProof/>
          <w:szCs w:val="22"/>
          <w:lang w:val="sr-Latn-ME"/>
        </w:rPr>
      </w:pPr>
    </w:p>
    <w:p w14:paraId="5785008E" w14:textId="1CBE298D" w:rsidR="00A711DF" w:rsidRPr="00DA0B15" w:rsidRDefault="000E01C9">
      <w:pPr>
        <w:rPr>
          <w:i/>
          <w:color w:val="262626"/>
          <w:szCs w:val="22"/>
          <w:lang w:val="sr-Latn-ME"/>
        </w:rPr>
      </w:pPr>
      <w:r w:rsidRPr="00DA0B15">
        <w:rPr>
          <w:noProof/>
          <w:szCs w:val="22"/>
          <w:lang w:val="sr-Latn-ME"/>
        </w:rPr>
        <w:t>Kod ispitanika sa</w:t>
      </w:r>
      <w:r w:rsidR="00A711DF" w:rsidRPr="00DA0B15">
        <w:rPr>
          <w:noProof/>
          <w:szCs w:val="22"/>
          <w:lang w:val="sr-Latn-ME"/>
        </w:rPr>
        <w:t xml:space="preserve"> </w:t>
      </w:r>
      <w:r w:rsidR="00A711DF" w:rsidRPr="00DA0B15">
        <w:rPr>
          <w:color w:val="262626"/>
          <w:szCs w:val="22"/>
          <w:lang w:val="sr-Latn-ME"/>
        </w:rPr>
        <w:t>blagim i um</w:t>
      </w:r>
      <w:r w:rsidR="0076105F" w:rsidRPr="00DA0B15">
        <w:rPr>
          <w:color w:val="262626"/>
          <w:szCs w:val="22"/>
          <w:lang w:val="sr-Latn-ME"/>
        </w:rPr>
        <w:t>j</w:t>
      </w:r>
      <w:r w:rsidR="00A711DF" w:rsidRPr="00DA0B15">
        <w:rPr>
          <w:color w:val="262626"/>
          <w:szCs w:val="22"/>
          <w:lang w:val="sr-Latn-ME"/>
        </w:rPr>
        <w:t>erenim oštećenjem jetre</w:t>
      </w:r>
      <w:r w:rsidRPr="00DA0B15">
        <w:rPr>
          <w:noProof/>
          <w:szCs w:val="22"/>
          <w:lang w:val="sr-Latn-ME"/>
        </w:rPr>
        <w:t>, nije bilo relevantne prom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ene klirensa levetiracetama. </w:t>
      </w:r>
      <w:r w:rsidR="001A09D9" w:rsidRPr="00DA0B15">
        <w:rPr>
          <w:color w:val="262626"/>
          <w:szCs w:val="22"/>
          <w:lang w:val="sr-Latn-ME"/>
        </w:rPr>
        <w:t>Klirens levetiracetama je kod većine ispitanika sa teškim oštećenjem jetre smanjen za preko 50% zbog istovremenog oštećenja bubrega (vid</w:t>
      </w:r>
      <w:r w:rsidR="0076105F" w:rsidRPr="00DA0B15">
        <w:rPr>
          <w:color w:val="262626"/>
          <w:szCs w:val="22"/>
          <w:lang w:val="sr-Latn-ME"/>
        </w:rPr>
        <w:t>j</w:t>
      </w:r>
      <w:r w:rsidR="001A09D9" w:rsidRPr="00DA0B15">
        <w:rPr>
          <w:color w:val="262626"/>
          <w:szCs w:val="22"/>
          <w:lang w:val="sr-Latn-ME"/>
        </w:rPr>
        <w:t xml:space="preserve">eti </w:t>
      </w:r>
      <w:r w:rsidR="00704012" w:rsidRPr="00DA0B15">
        <w:rPr>
          <w:color w:val="262626"/>
          <w:szCs w:val="22"/>
          <w:lang w:val="sr-Latn-ME"/>
        </w:rPr>
        <w:t>dio</w:t>
      </w:r>
      <w:r w:rsidR="001A09D9" w:rsidRPr="00DA0B15">
        <w:rPr>
          <w:color w:val="262626"/>
          <w:szCs w:val="22"/>
          <w:lang w:val="sr-Latn-ME"/>
        </w:rPr>
        <w:t xml:space="preserve"> 4.2).</w:t>
      </w:r>
    </w:p>
    <w:p w14:paraId="24733C54" w14:textId="77777777" w:rsidR="00A711DF" w:rsidRPr="00DA0B15" w:rsidRDefault="00A711DF">
      <w:pPr>
        <w:rPr>
          <w:noProof/>
          <w:szCs w:val="22"/>
          <w:lang w:val="sr-Latn-ME"/>
        </w:rPr>
      </w:pPr>
    </w:p>
    <w:p w14:paraId="0C26270B" w14:textId="4C39DE7C" w:rsidR="0010071A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u w:val="single"/>
          <w:lang w:val="sr-Latn-ME"/>
        </w:rPr>
        <w:t>Pedijatrijska populacija</w:t>
      </w:r>
    </w:p>
    <w:p w14:paraId="47658386" w14:textId="144FCB6B" w:rsidR="000E01C9" w:rsidRPr="00DA0B15" w:rsidRDefault="000E01C9">
      <w:pPr>
        <w:rPr>
          <w:i/>
          <w:noProof/>
          <w:szCs w:val="22"/>
          <w:u w:val="single"/>
          <w:lang w:val="sr-Latn-ME"/>
        </w:rPr>
      </w:pPr>
      <w:r w:rsidRPr="00DA0B15">
        <w:rPr>
          <w:i/>
          <w:noProof/>
          <w:szCs w:val="22"/>
          <w:u w:val="single"/>
          <w:lang w:val="sr-Latn-ME"/>
        </w:rPr>
        <w:t>D</w:t>
      </w:r>
      <w:r w:rsidR="0076105F" w:rsidRPr="00DA0B15">
        <w:rPr>
          <w:i/>
          <w:noProof/>
          <w:szCs w:val="22"/>
          <w:u w:val="single"/>
          <w:lang w:val="sr-Latn-ME"/>
        </w:rPr>
        <w:t>j</w:t>
      </w:r>
      <w:r w:rsidRPr="00DA0B15">
        <w:rPr>
          <w:i/>
          <w:noProof/>
          <w:szCs w:val="22"/>
          <w:u w:val="single"/>
          <w:lang w:val="sr-Latn-ME"/>
        </w:rPr>
        <w:t>eca (4 do 12 godina)</w:t>
      </w:r>
    </w:p>
    <w:p w14:paraId="1C737928" w14:textId="77777777" w:rsidR="000E01C9" w:rsidRPr="00DA0B15" w:rsidRDefault="000E01C9">
      <w:pPr>
        <w:rPr>
          <w:noProof/>
          <w:szCs w:val="22"/>
          <w:lang w:val="sr-Latn-ME"/>
        </w:rPr>
      </w:pPr>
    </w:p>
    <w:p w14:paraId="14FBC654" w14:textId="64CBBC0F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Nakon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pojedinačne oralne doze (20 mg/kg) d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eci sa epilepsijom (6 do 12 godina), poluvr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levetiracetama bilo je 6,0 sati. T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elesni klirens prilagođen t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elesnoj masi bio je oko 30% veći nego kod odraslih sa epilepsijom.</w:t>
      </w:r>
    </w:p>
    <w:p w14:paraId="19F45358" w14:textId="77777777" w:rsidR="00CE09F3" w:rsidRPr="008D5CD8" w:rsidRDefault="00CE09F3">
      <w:pPr>
        <w:rPr>
          <w:szCs w:val="22"/>
        </w:rPr>
      </w:pPr>
    </w:p>
    <w:p w14:paraId="4D2E0DBE" w14:textId="6319085F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Posl</w:t>
      </w:r>
      <w:r w:rsidR="00B3166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prim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ponovljene oralne doze (20 do 60 mg/kg/dan) d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eci sa epilepsijom (4 do 12 godina), levetiracetam je bio brzo resorbovan. Maksimalna koncentracija u plazmi izm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erena je 0,5 do 1,0 sat nakon doziranja. Linearna i dozno proporcionalna povećanja su uočena za maksimalne koncentracije u plazmi i površinu ispod krive. Poluvr</w:t>
      </w:r>
      <w:r w:rsidR="0076105F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bilo je oko 5 sati. T</w:t>
      </w:r>
      <w:r w:rsidR="0076105F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elesni klirens je bio 1,1 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/min/kg.</w:t>
      </w:r>
    </w:p>
    <w:p w14:paraId="7AD20364" w14:textId="77777777" w:rsidR="000E01C9" w:rsidRPr="00DA0B15" w:rsidRDefault="000E01C9">
      <w:pPr>
        <w:rPr>
          <w:i/>
          <w:szCs w:val="22"/>
          <w:lang w:val="sr-Latn-ME"/>
        </w:rPr>
      </w:pPr>
    </w:p>
    <w:p w14:paraId="65D91D92" w14:textId="3544CD11" w:rsidR="000E01C9" w:rsidRPr="00DA0B15" w:rsidRDefault="000E01C9">
      <w:pPr>
        <w:rPr>
          <w:i/>
          <w:noProof/>
          <w:szCs w:val="22"/>
          <w:u w:val="single"/>
          <w:lang w:val="sr-Latn-ME"/>
        </w:rPr>
      </w:pPr>
      <w:r w:rsidRPr="00DA0B15">
        <w:rPr>
          <w:i/>
          <w:noProof/>
          <w:szCs w:val="22"/>
          <w:u w:val="single"/>
          <w:lang w:val="sr-Latn-ME"/>
        </w:rPr>
        <w:t>Odojčad i d</w:t>
      </w:r>
      <w:r w:rsidR="00877903" w:rsidRPr="00DA0B15">
        <w:rPr>
          <w:i/>
          <w:noProof/>
          <w:szCs w:val="22"/>
          <w:u w:val="single"/>
          <w:lang w:val="sr-Latn-ME"/>
        </w:rPr>
        <w:t>j</w:t>
      </w:r>
      <w:r w:rsidRPr="00DA0B15">
        <w:rPr>
          <w:i/>
          <w:noProof/>
          <w:szCs w:val="22"/>
          <w:u w:val="single"/>
          <w:lang w:val="sr-Latn-ME"/>
        </w:rPr>
        <w:t>eca (1 m</w:t>
      </w:r>
      <w:r w:rsidR="00877903" w:rsidRPr="00DA0B15">
        <w:rPr>
          <w:i/>
          <w:noProof/>
          <w:szCs w:val="22"/>
          <w:u w:val="single"/>
          <w:lang w:val="sr-Latn-ME"/>
        </w:rPr>
        <w:t>j</w:t>
      </w:r>
      <w:r w:rsidRPr="00DA0B15">
        <w:rPr>
          <w:i/>
          <w:noProof/>
          <w:szCs w:val="22"/>
          <w:u w:val="single"/>
          <w:lang w:val="sr-Latn-ME"/>
        </w:rPr>
        <w:t>esec do 4 godine)</w:t>
      </w:r>
    </w:p>
    <w:p w14:paraId="555048D3" w14:textId="124CAA2D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Nakon prim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pojedinačne doze (20 mg/kg) 100 mg/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 oralnog rastvora, d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eci sa epilepsijom (1 m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 do 4 godine), levetiracetam se brzo resorbovao i maksimalne koncentracije u plazmi su bile izm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erene približno 1 sat nakon doziranja. Farmakokinetički rezultati su pokazali da je poluvr</w:t>
      </w:r>
      <w:r w:rsidR="00877903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eliminacije bilo kraće (5,3 h) nego kod odraslih (7,2 h)</w:t>
      </w:r>
      <w:r w:rsidR="003F75BF" w:rsidRPr="00DA0B15">
        <w:rPr>
          <w:noProof/>
          <w:szCs w:val="22"/>
          <w:lang w:val="sr-Latn-ME"/>
        </w:rPr>
        <w:t>, a</w:t>
      </w:r>
      <w:r w:rsidRPr="00DA0B15">
        <w:rPr>
          <w:noProof/>
          <w:szCs w:val="22"/>
          <w:lang w:val="sr-Latn-ME"/>
        </w:rPr>
        <w:t xml:space="preserve"> klirens je bio brži (1,5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/min/kg) nego kod odraslih (0,96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/min/kg).</w:t>
      </w:r>
    </w:p>
    <w:p w14:paraId="040697E1" w14:textId="77777777" w:rsidR="000E01C9" w:rsidRPr="00DA0B15" w:rsidRDefault="000E01C9">
      <w:pPr>
        <w:rPr>
          <w:noProof/>
          <w:szCs w:val="22"/>
          <w:lang w:val="sr-Latn-ME"/>
        </w:rPr>
      </w:pPr>
    </w:p>
    <w:p w14:paraId="0BFD4252" w14:textId="22293267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U populacionoj farmakokinetičkoj analizi sprovedenoj kod pacijenata uzrasta od 1 m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eseca do 16 godina, t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elesna masa je bila značajno povezana sa klirensom (klirens se povećao sa povećanjem t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elesne mase) i volumenom distribucije. Uzrast je takođe imao uticaja na oba parametra. Ovaj efekat je bio naročito izražen kod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 xml:space="preserve">ađe odojčadi, i opadao je sa godinama da bi postao neznatan oko </w:t>
      </w:r>
      <w:r w:rsidR="00B93338" w:rsidRPr="00DA0B15">
        <w:rPr>
          <w:noProof/>
          <w:szCs w:val="22"/>
          <w:lang w:val="sr-Latn-ME"/>
        </w:rPr>
        <w:t xml:space="preserve">uzrasta od </w:t>
      </w:r>
      <w:r w:rsidRPr="00DA0B15">
        <w:rPr>
          <w:noProof/>
          <w:szCs w:val="22"/>
          <w:lang w:val="sr-Latn-ME"/>
        </w:rPr>
        <w:t>4 godine.</w:t>
      </w:r>
    </w:p>
    <w:p w14:paraId="0DE60461" w14:textId="77777777" w:rsidR="000E01C9" w:rsidRPr="00DA0B15" w:rsidRDefault="000E01C9">
      <w:pPr>
        <w:rPr>
          <w:noProof/>
          <w:szCs w:val="22"/>
          <w:lang w:val="sr-Latn-ME"/>
        </w:rPr>
      </w:pPr>
    </w:p>
    <w:p w14:paraId="4C42C6BE" w14:textId="217F59C9" w:rsidR="000E01C9" w:rsidRPr="00DA0B15" w:rsidRDefault="000E01C9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U ob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 xml:space="preserve">e populacione farmakokinetičke analize,  povećanje klirensa levetiracetama </w:t>
      </w:r>
      <w:r w:rsidR="00B93338" w:rsidRPr="00DA0B15">
        <w:rPr>
          <w:noProof/>
          <w:szCs w:val="22"/>
          <w:lang w:val="sr-Latn-ME"/>
        </w:rPr>
        <w:t>izn</w:t>
      </w:r>
      <w:r w:rsidR="003F75BF" w:rsidRPr="00DA0B15">
        <w:rPr>
          <w:noProof/>
          <w:szCs w:val="22"/>
          <w:lang w:val="sr-Latn-ME"/>
        </w:rPr>
        <w:t>osilo je</w:t>
      </w:r>
      <w:r w:rsidRPr="00DA0B15">
        <w:rPr>
          <w:noProof/>
          <w:szCs w:val="22"/>
          <w:lang w:val="sr-Latn-ME"/>
        </w:rPr>
        <w:t xml:space="preserve"> oko 20% kada je bio prim</w:t>
      </w:r>
      <w:r w:rsidR="00877903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enjivan zajedno sa antiepilepticima koji indukuju enzime.</w:t>
      </w:r>
    </w:p>
    <w:p w14:paraId="030F036B" w14:textId="77777777" w:rsidR="000E01C9" w:rsidRPr="00DA0B15" w:rsidRDefault="000E01C9">
      <w:pPr>
        <w:rPr>
          <w:szCs w:val="22"/>
          <w:lang w:val="sr-Latn-ME"/>
        </w:rPr>
      </w:pPr>
    </w:p>
    <w:p w14:paraId="7202C2C9" w14:textId="7FE094FC" w:rsidR="00CE09F3" w:rsidRPr="00DA0B15" w:rsidRDefault="003A6076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5.3. </w:t>
      </w:r>
      <w:r w:rsidRPr="00DA0B15">
        <w:rPr>
          <w:b/>
          <w:bCs/>
          <w:szCs w:val="22"/>
          <w:lang w:val="sr-Latn-ME"/>
        </w:rPr>
        <w:tab/>
        <w:t xml:space="preserve">Pretklinički podaci o bezbjednosti </w:t>
      </w:r>
    </w:p>
    <w:p w14:paraId="6EF78B96" w14:textId="77777777" w:rsidR="00CE09F3" w:rsidRPr="00DA0B15" w:rsidRDefault="00CE09F3">
      <w:pPr>
        <w:rPr>
          <w:szCs w:val="22"/>
          <w:lang w:val="sr-Latn-ME"/>
        </w:rPr>
      </w:pPr>
    </w:p>
    <w:p w14:paraId="29B2DFEC" w14:textId="3E2C34B1" w:rsidR="00E54EED" w:rsidRPr="00DA0B15" w:rsidRDefault="00E54EE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Pretklinički podaci zasnovani na konvencionalnim studijama farmakološke bezb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ednosti, genotoksičnosti i kancerogenog potencijala ne pokazuju posebnu opasnost za ljude.</w:t>
      </w:r>
    </w:p>
    <w:p w14:paraId="4E451FE6" w14:textId="0CD5FFBE" w:rsidR="00E54EED" w:rsidRPr="00DA0B15" w:rsidRDefault="00E54EE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Neželjena dejstva sa mogućim značajem za kliničku upotrebu koja ni</w:t>
      </w:r>
      <w:r w:rsidR="00DF0146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prim</w:t>
      </w:r>
      <w:r w:rsidR="00704012" w:rsidRPr="00DA0B15">
        <w:rPr>
          <w:noProof/>
          <w:szCs w:val="22"/>
          <w:lang w:val="sr-Latn-ME"/>
        </w:rPr>
        <w:t>i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ećena za vr</w:t>
      </w:r>
      <w:r w:rsidR="00DF0146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eme kliničkih studija ali su viđena kod pacova i u manjoj m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eri kod miševa izloženih sličnim dozama kao i ljudi, bila su prom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ene na jetri koje bi se mogle pokazati kao adaptivni odgovor, kao što je povećana masa i centrilobularna hipertrofija, masna infiltracija jetre i povišeni hepatički enzimi u plazmi.</w:t>
      </w:r>
    </w:p>
    <w:p w14:paraId="4CE5991D" w14:textId="77777777" w:rsidR="00E54EED" w:rsidRPr="00DA0B15" w:rsidRDefault="00E54EED">
      <w:pPr>
        <w:rPr>
          <w:noProof/>
          <w:szCs w:val="22"/>
          <w:lang w:val="sr-Latn-ME"/>
        </w:rPr>
      </w:pPr>
    </w:p>
    <w:p w14:paraId="1F2FD038" w14:textId="3C483BF1" w:rsidR="00E54EED" w:rsidRPr="00DA0B15" w:rsidRDefault="00E54EED">
      <w:pPr>
        <w:rPr>
          <w:bCs/>
          <w:iCs/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Ni</w:t>
      </w:r>
      <w:r w:rsidR="00DF0146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prim</w:t>
      </w:r>
      <w:r w:rsidR="00B3166F" w:rsidRPr="00DA0B15">
        <w:rPr>
          <w:noProof/>
          <w:szCs w:val="22"/>
          <w:lang w:val="sr-Latn-ME"/>
        </w:rPr>
        <w:t>i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ećene neželjene reakcije na plodnost ili reprodukciju mužjaka ili ženki pacova kod doza do 1800 mg/kg/dan (6</w:t>
      </w:r>
      <w:r w:rsidRPr="00DA0B15">
        <w:rPr>
          <w:bCs/>
          <w:iCs/>
          <w:noProof/>
          <w:szCs w:val="22"/>
          <w:lang w:val="sr-Latn-ME"/>
        </w:rPr>
        <w:t xml:space="preserve"> puta više od </w:t>
      </w:r>
      <w:r w:rsidRPr="00DA0B15">
        <w:rPr>
          <w:noProof/>
          <w:szCs w:val="22"/>
          <w:lang w:val="sr-Latn-ME"/>
        </w:rPr>
        <w:t>najveće preporučene doze za čoveka</w:t>
      </w:r>
      <w:r w:rsidRPr="00DA0B15">
        <w:rPr>
          <w:bCs/>
          <w:iCs/>
          <w:noProof/>
          <w:szCs w:val="22"/>
          <w:lang w:val="sr-Latn-ME"/>
        </w:rPr>
        <w:t xml:space="preserve"> (</w:t>
      </w:r>
      <w:r w:rsidRPr="00DA0B15">
        <w:rPr>
          <w:i/>
          <w:noProof/>
          <w:szCs w:val="22"/>
          <w:lang w:val="sr-Latn-ME"/>
        </w:rPr>
        <w:t>Maximum Recommended Human Dose</w:t>
      </w:r>
      <w:r w:rsidRPr="00DA0B15">
        <w:rPr>
          <w:bCs/>
          <w:iCs/>
          <w:noProof/>
          <w:szCs w:val="22"/>
          <w:lang w:val="sr-Latn-ME"/>
        </w:rPr>
        <w:t>, MRHD) na mg/m</w:t>
      </w:r>
      <w:r w:rsidRPr="00DA0B15">
        <w:rPr>
          <w:bCs/>
          <w:iCs/>
          <w:noProof/>
          <w:szCs w:val="22"/>
          <w:vertAlign w:val="superscript"/>
          <w:lang w:val="sr-Latn-ME"/>
        </w:rPr>
        <w:t xml:space="preserve">2 </w:t>
      </w:r>
      <w:r w:rsidRPr="00DA0B15">
        <w:rPr>
          <w:bCs/>
          <w:iCs/>
          <w:noProof/>
          <w:szCs w:val="22"/>
          <w:lang w:val="sr-Latn-ME"/>
        </w:rPr>
        <w:t>ili s obzirom na izloženost) kod roditelja i F1 generacije.</w:t>
      </w:r>
    </w:p>
    <w:p w14:paraId="0853B04A" w14:textId="77777777" w:rsidR="00E54EED" w:rsidRPr="00DA0B15" w:rsidRDefault="00E54EED">
      <w:pPr>
        <w:rPr>
          <w:noProof/>
          <w:szCs w:val="22"/>
          <w:lang w:val="sr-Latn-ME"/>
        </w:rPr>
      </w:pPr>
    </w:p>
    <w:p w14:paraId="0D9EC65A" w14:textId="3A306C16" w:rsidR="00E54EED" w:rsidRPr="00DA0B15" w:rsidRDefault="00E54EED">
      <w:pPr>
        <w:rPr>
          <w:szCs w:val="22"/>
          <w:lang w:val="sr-Latn-ME"/>
        </w:rPr>
      </w:pPr>
      <w:r w:rsidRPr="00DA0B15">
        <w:rPr>
          <w:noProof/>
          <w:szCs w:val="22"/>
          <w:lang w:val="sr-Latn-ME"/>
        </w:rPr>
        <w:t>Dv</w:t>
      </w:r>
      <w:r w:rsidR="00DF0146" w:rsidRPr="00DA0B15">
        <w:rPr>
          <w:noProof/>
          <w:szCs w:val="22"/>
          <w:lang w:val="sr-Latn-ME"/>
        </w:rPr>
        <w:t>ij</w:t>
      </w:r>
      <w:r w:rsidRPr="00DA0B15">
        <w:rPr>
          <w:noProof/>
          <w:szCs w:val="22"/>
          <w:lang w:val="sr-Latn-ME"/>
        </w:rPr>
        <w:t>e embrio-fetalne razvojne (</w:t>
      </w:r>
      <w:r w:rsidRPr="00DA0B15">
        <w:rPr>
          <w:bCs/>
          <w:i/>
          <w:iCs/>
          <w:noProof/>
          <w:szCs w:val="22"/>
          <w:lang w:val="sr-Latn-ME"/>
        </w:rPr>
        <w:t>embryo</w:t>
      </w:r>
      <w:r w:rsidRPr="00DA0B15">
        <w:rPr>
          <w:bCs/>
          <w:i/>
          <w:iCs/>
          <w:noProof/>
          <w:szCs w:val="22"/>
          <w:lang w:val="sr-Latn-ME"/>
        </w:rPr>
        <w:noBreakHyphen/>
        <w:t>fetal development</w:t>
      </w:r>
      <w:r w:rsidRPr="00DA0B15">
        <w:rPr>
          <w:bCs/>
          <w:iCs/>
          <w:noProof/>
          <w:szCs w:val="22"/>
          <w:lang w:val="sr-Latn-ME"/>
        </w:rPr>
        <w:t>,</w:t>
      </w:r>
      <w:r w:rsidRPr="00DA0B15">
        <w:rPr>
          <w:noProof/>
          <w:szCs w:val="22"/>
          <w:lang w:val="sr-Latn-ME"/>
        </w:rPr>
        <w:t xml:space="preserve"> EFD) studije bile su izvedene na pacovima sa 400, 1200 i 3600 mg/kg/dan. Kod 3600 mg/kg/dan, u samo jednoj od 2 EFD studije, došlo je do blagog smanjenja </w:t>
      </w:r>
      <w:r w:rsidR="0046239E" w:rsidRPr="00DA0B15">
        <w:rPr>
          <w:noProof/>
          <w:szCs w:val="22"/>
          <w:lang w:val="sr-Latn-ME"/>
        </w:rPr>
        <w:t>t</w:t>
      </w:r>
      <w:r w:rsidR="00DF0146" w:rsidRPr="00DA0B15">
        <w:rPr>
          <w:noProof/>
          <w:szCs w:val="22"/>
          <w:lang w:val="sr-Latn-ME"/>
        </w:rPr>
        <w:t>j</w:t>
      </w:r>
      <w:r w:rsidR="0046239E" w:rsidRPr="00DA0B15">
        <w:rPr>
          <w:noProof/>
          <w:szCs w:val="22"/>
          <w:lang w:val="sr-Latn-ME"/>
        </w:rPr>
        <w:t xml:space="preserve">elesne </w:t>
      </w:r>
      <w:r w:rsidRPr="00DA0B15">
        <w:rPr>
          <w:noProof/>
          <w:szCs w:val="22"/>
          <w:lang w:val="sr-Latn-ME"/>
        </w:rPr>
        <w:t>mase fetusa udruženog sa marginalnim povećanjem skeletnih varijacija/minornih anomalija. Nije bilo uticaja na mortalitet embriona i nije povećana incidenca malformacija. Nivo kod kojeg se ni</w:t>
      </w:r>
      <w:r w:rsidR="00DF0146" w:rsidRPr="00DA0B15">
        <w:rPr>
          <w:noProof/>
          <w:szCs w:val="22"/>
          <w:lang w:val="sr-Latn-ME"/>
        </w:rPr>
        <w:t>je</w:t>
      </w:r>
      <w:r w:rsidRPr="00DA0B15">
        <w:rPr>
          <w:noProof/>
          <w:szCs w:val="22"/>
          <w:lang w:val="sr-Latn-ME"/>
        </w:rPr>
        <w:t>su prim</w:t>
      </w:r>
      <w:r w:rsidR="00B3166F" w:rsidRPr="00DA0B15">
        <w:rPr>
          <w:noProof/>
          <w:szCs w:val="22"/>
          <w:lang w:val="sr-Latn-ME"/>
        </w:rPr>
        <w:t>i</w:t>
      </w:r>
      <w:r w:rsidR="00DF0146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etila neželjena dejstva</w:t>
      </w:r>
      <w:r w:rsidRPr="00DA0B15">
        <w:rPr>
          <w:szCs w:val="22"/>
          <w:lang w:val="sr-Latn-ME"/>
        </w:rPr>
        <w:t xml:space="preserve"> (</w:t>
      </w:r>
      <w:r w:rsidRPr="00DA0B15">
        <w:rPr>
          <w:i/>
          <w:szCs w:val="22"/>
          <w:lang w:val="sr-Latn-ME"/>
        </w:rPr>
        <w:t>No Observed Adverse Effect Level</w:t>
      </w:r>
      <w:r w:rsidRPr="00DA0B15">
        <w:rPr>
          <w:bCs/>
          <w:iCs/>
          <w:noProof/>
          <w:szCs w:val="22"/>
          <w:lang w:val="sr-Latn-ME"/>
        </w:rPr>
        <w:t>, NOAEL</w:t>
      </w:r>
      <w:r w:rsidRPr="00DA0B15">
        <w:rPr>
          <w:szCs w:val="22"/>
          <w:lang w:val="sr-Latn-ME"/>
        </w:rPr>
        <w:t>)</w:t>
      </w:r>
      <w:r w:rsidRPr="00DA0B15">
        <w:rPr>
          <w:noProof/>
          <w:szCs w:val="22"/>
          <w:lang w:val="sr-Latn-ME"/>
        </w:rPr>
        <w:t xml:space="preserve"> je bio 3600 mg/kg/dan za gravidne ženke pacova (</w:t>
      </w:r>
      <w:r w:rsidRPr="00DA0B15">
        <w:rPr>
          <w:szCs w:val="22"/>
          <w:lang w:val="sr-Latn-ME"/>
        </w:rPr>
        <w:t xml:space="preserve">12 </w:t>
      </w:r>
      <w:r w:rsidRPr="00DA0B15">
        <w:rPr>
          <w:bCs/>
          <w:iCs/>
          <w:noProof/>
          <w:szCs w:val="22"/>
          <w:lang w:val="sr-Latn-ME"/>
        </w:rPr>
        <w:t xml:space="preserve">puta više od </w:t>
      </w:r>
      <w:r w:rsidRPr="00DA0B15">
        <w:rPr>
          <w:szCs w:val="22"/>
          <w:lang w:val="sr-Latn-ME"/>
        </w:rPr>
        <w:t>MRHD</w:t>
      </w:r>
      <w:r w:rsidRPr="00DA0B15">
        <w:rPr>
          <w:bCs/>
          <w:iCs/>
          <w:noProof/>
          <w:szCs w:val="22"/>
          <w:lang w:val="sr-Latn-ME"/>
        </w:rPr>
        <w:t>-a</w:t>
      </w:r>
      <w:r w:rsidRPr="00DA0B15">
        <w:rPr>
          <w:szCs w:val="22"/>
          <w:lang w:val="sr-Latn-ME"/>
        </w:rPr>
        <w:t xml:space="preserve"> na mg/m</w:t>
      </w:r>
      <w:r w:rsidRPr="00DA0B15">
        <w:rPr>
          <w:szCs w:val="22"/>
          <w:vertAlign w:val="superscript"/>
          <w:lang w:val="sr-Latn-ME"/>
        </w:rPr>
        <w:t>2</w:t>
      </w:r>
      <w:r w:rsidRPr="00DA0B15">
        <w:rPr>
          <w:noProof/>
          <w:szCs w:val="22"/>
          <w:lang w:val="sr-Latn-ME"/>
        </w:rPr>
        <w:t>) i 1200 mg/kg/dan za fetuse.</w:t>
      </w:r>
    </w:p>
    <w:p w14:paraId="1F2C1867" w14:textId="77777777" w:rsidR="00E54EED" w:rsidRPr="00DA0B15" w:rsidRDefault="00E54EED">
      <w:pPr>
        <w:rPr>
          <w:noProof/>
          <w:szCs w:val="22"/>
          <w:lang w:val="sr-Latn-ME"/>
        </w:rPr>
      </w:pPr>
    </w:p>
    <w:p w14:paraId="79B0F99C" w14:textId="69011F85" w:rsidR="00E54EED" w:rsidRPr="00DA0B15" w:rsidRDefault="00E54EE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Četiri embrio-fetalne razvojne studije su bile izvedene sa kunićima sa dozama od 200, 600, 800, 1200 i 1800 mg/kg/dan. Doza od 1800 mg/kg/dan izazvala je značajnu toksičnost kod majki i smanjenje </w:t>
      </w:r>
      <w:r w:rsidR="0046239E" w:rsidRPr="00DA0B15">
        <w:rPr>
          <w:noProof/>
          <w:szCs w:val="22"/>
          <w:lang w:val="sr-Latn-ME"/>
        </w:rPr>
        <w:t>t</w:t>
      </w:r>
      <w:r w:rsidR="00DF0146" w:rsidRPr="00DA0B15">
        <w:rPr>
          <w:noProof/>
          <w:szCs w:val="22"/>
          <w:lang w:val="sr-Latn-ME"/>
        </w:rPr>
        <w:t>j</w:t>
      </w:r>
      <w:r w:rsidR="0046239E" w:rsidRPr="00DA0B15">
        <w:rPr>
          <w:noProof/>
          <w:szCs w:val="22"/>
          <w:lang w:val="sr-Latn-ME"/>
        </w:rPr>
        <w:t xml:space="preserve">elesne </w:t>
      </w:r>
      <w:r w:rsidRPr="00DA0B15">
        <w:rPr>
          <w:noProof/>
          <w:szCs w:val="22"/>
          <w:lang w:val="sr-Latn-ME"/>
        </w:rPr>
        <w:t>mase fetusa udruženo sa povećanom incidencom fetusa sa kardiovaskularnim/skeletnim anomalijama. NOAEL je bio &lt;200 mg/kg/dan za majke i 200 mg/kg/dan za fetuse (jednako MRHD na mg/m</w:t>
      </w:r>
      <w:r w:rsidRPr="00DA0B15">
        <w:rPr>
          <w:noProof/>
          <w:szCs w:val="22"/>
          <w:vertAlign w:val="superscript"/>
          <w:lang w:val="sr-Latn-ME"/>
        </w:rPr>
        <w:t>2</w:t>
      </w:r>
      <w:r w:rsidRPr="00DA0B15">
        <w:rPr>
          <w:noProof/>
          <w:szCs w:val="22"/>
          <w:lang w:val="sr-Latn-ME"/>
        </w:rPr>
        <w:t>).</w:t>
      </w:r>
    </w:p>
    <w:p w14:paraId="1564DFD8" w14:textId="77777777" w:rsidR="00E54EED" w:rsidRPr="00DA0B15" w:rsidRDefault="00E54EED">
      <w:pPr>
        <w:rPr>
          <w:noProof/>
          <w:szCs w:val="22"/>
          <w:lang w:val="sr-Latn-ME"/>
        </w:rPr>
      </w:pPr>
    </w:p>
    <w:p w14:paraId="59EC12D8" w14:textId="45C186F3" w:rsidR="00E54EED" w:rsidRPr="00DA0B15" w:rsidRDefault="00E54EE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 xml:space="preserve">Peri- i postnatalna studija razvoja je bila izvedena na pacovima sa dozama levetiracetama od 70, 350 i 1800 mg/kg/dan. </w:t>
      </w:r>
      <w:r w:rsidR="004127DB" w:rsidRPr="00DA0B15">
        <w:rPr>
          <w:noProof/>
          <w:szCs w:val="22"/>
          <w:lang w:val="sr-Latn-ME"/>
        </w:rPr>
        <w:t xml:space="preserve">NOAEL je bio ≥1800 mg/kg/dan za </w:t>
      </w:r>
      <w:r w:rsidRPr="00DA0B15">
        <w:rPr>
          <w:noProof/>
          <w:szCs w:val="22"/>
          <w:lang w:val="sr-Latn-ME"/>
        </w:rPr>
        <w:t xml:space="preserve">F0 ženke, i za preživljavanje, rast i razvoj F1 </w:t>
      </w:r>
      <w:r w:rsidR="00782AC7" w:rsidRPr="00DA0B15">
        <w:rPr>
          <w:noProof/>
          <w:szCs w:val="22"/>
          <w:lang w:val="sr-Latn-ME"/>
        </w:rPr>
        <w:t>ml</w:t>
      </w:r>
      <w:r w:rsidRPr="00DA0B15">
        <w:rPr>
          <w:noProof/>
          <w:szCs w:val="22"/>
          <w:lang w:val="sr-Latn-ME"/>
        </w:rPr>
        <w:t>adunaca do prestanka dojenja (</w:t>
      </w:r>
      <w:r w:rsidRPr="00DA0B15">
        <w:rPr>
          <w:szCs w:val="22"/>
          <w:lang w:val="sr-Latn-ME"/>
        </w:rPr>
        <w:t xml:space="preserve">6 </w:t>
      </w:r>
      <w:r w:rsidRPr="00DA0B15">
        <w:rPr>
          <w:bCs/>
          <w:iCs/>
          <w:noProof/>
          <w:szCs w:val="22"/>
          <w:lang w:val="sr-Latn-ME"/>
        </w:rPr>
        <w:t xml:space="preserve">puta više od </w:t>
      </w:r>
      <w:r w:rsidRPr="00DA0B15">
        <w:rPr>
          <w:szCs w:val="22"/>
          <w:lang w:val="sr-Latn-ME"/>
        </w:rPr>
        <w:t>MRHD</w:t>
      </w:r>
      <w:r w:rsidRPr="00DA0B15">
        <w:rPr>
          <w:bCs/>
          <w:iCs/>
          <w:noProof/>
          <w:szCs w:val="22"/>
          <w:lang w:val="sr-Latn-ME"/>
        </w:rPr>
        <w:t>-a</w:t>
      </w:r>
      <w:r w:rsidRPr="00DA0B15">
        <w:rPr>
          <w:szCs w:val="22"/>
          <w:lang w:val="sr-Latn-ME"/>
        </w:rPr>
        <w:t xml:space="preserve"> na mg/m</w:t>
      </w:r>
      <w:r w:rsidRPr="00DA0B15">
        <w:rPr>
          <w:szCs w:val="22"/>
          <w:vertAlign w:val="superscript"/>
          <w:lang w:val="sr-Latn-ME"/>
        </w:rPr>
        <w:t>2</w:t>
      </w:r>
      <w:r w:rsidRPr="00DA0B15">
        <w:rPr>
          <w:szCs w:val="22"/>
          <w:lang w:val="sr-Latn-ME"/>
        </w:rPr>
        <w:t>).</w:t>
      </w:r>
    </w:p>
    <w:p w14:paraId="509BDD35" w14:textId="77777777" w:rsidR="00E54EED" w:rsidRPr="00DA0B15" w:rsidRDefault="00E54EED">
      <w:pPr>
        <w:rPr>
          <w:noProof/>
          <w:szCs w:val="22"/>
          <w:lang w:val="sr-Latn-ME"/>
        </w:rPr>
      </w:pPr>
    </w:p>
    <w:p w14:paraId="068213F2" w14:textId="320CE443" w:rsidR="00E54EED" w:rsidRPr="00DA0B15" w:rsidRDefault="00E54EED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Neonatalne i juvenilne studije na pacovima i psima su pokazale da nije bilo neželjenih efekata prim</w:t>
      </w:r>
      <w:r w:rsidR="00704012" w:rsidRPr="00DA0B15">
        <w:rPr>
          <w:noProof/>
          <w:szCs w:val="22"/>
          <w:lang w:val="sr-Latn-ME"/>
        </w:rPr>
        <w:t>i</w:t>
      </w:r>
      <w:r w:rsidR="00D44807" w:rsidRPr="00DA0B15">
        <w:rPr>
          <w:noProof/>
          <w:szCs w:val="22"/>
          <w:lang w:val="sr-Latn-ME"/>
        </w:rPr>
        <w:t>j</w:t>
      </w:r>
      <w:r w:rsidRPr="00DA0B15">
        <w:rPr>
          <w:noProof/>
          <w:szCs w:val="22"/>
          <w:lang w:val="sr-Latn-ME"/>
        </w:rPr>
        <w:t>ećenih u bilo kojoj od uobičajenih krajnjih tački raz</w:t>
      </w:r>
      <w:r w:rsidR="00F72782" w:rsidRPr="00DA0B15">
        <w:rPr>
          <w:noProof/>
          <w:szCs w:val="22"/>
          <w:lang w:val="sr-Latn-ME"/>
        </w:rPr>
        <w:t>voja ili sazr</w:t>
      </w:r>
      <w:r w:rsidR="00704012" w:rsidRPr="00DA0B15">
        <w:rPr>
          <w:noProof/>
          <w:szCs w:val="22"/>
          <w:lang w:val="sr-Latn-ME"/>
        </w:rPr>
        <w:t>ij</w:t>
      </w:r>
      <w:r w:rsidR="00F72782" w:rsidRPr="00DA0B15">
        <w:rPr>
          <w:noProof/>
          <w:szCs w:val="22"/>
          <w:lang w:val="sr-Latn-ME"/>
        </w:rPr>
        <w:t xml:space="preserve">evanja kod doza do </w:t>
      </w:r>
      <w:r w:rsidRPr="00DA0B15">
        <w:rPr>
          <w:noProof/>
          <w:szCs w:val="22"/>
          <w:lang w:val="sr-Latn-ME"/>
        </w:rPr>
        <w:t>1800 mg/kg/dan (6 do17 puta više od MRHD-a na mg/m</w:t>
      </w:r>
      <w:r w:rsidRPr="00DA0B15">
        <w:rPr>
          <w:noProof/>
          <w:szCs w:val="22"/>
          <w:vertAlign w:val="superscript"/>
          <w:lang w:val="sr-Latn-ME"/>
        </w:rPr>
        <w:t>2</w:t>
      </w:r>
      <w:r w:rsidRPr="00DA0B15">
        <w:rPr>
          <w:noProof/>
          <w:szCs w:val="22"/>
          <w:lang w:val="sr-Latn-ME"/>
        </w:rPr>
        <w:t>).</w:t>
      </w:r>
    </w:p>
    <w:p w14:paraId="6C6DCA44" w14:textId="043B0D43" w:rsidR="000A35C2" w:rsidRPr="00383195" w:rsidRDefault="000A35C2" w:rsidP="00502D28">
      <w:pPr>
        <w:rPr>
          <w:szCs w:val="22"/>
        </w:rPr>
      </w:pPr>
    </w:p>
    <w:p w14:paraId="142737F0" w14:textId="6575E161" w:rsidR="00CE09F3" w:rsidRPr="00DA0B15" w:rsidRDefault="00A902AB" w:rsidP="00502D28">
      <w:pPr>
        <w:pStyle w:val="NASLOV123"/>
        <w:jc w:val="both"/>
        <w:rPr>
          <w:lang w:val="sr-Latn-ME"/>
        </w:rPr>
      </w:pPr>
      <w:r w:rsidRPr="00DA0B15">
        <w:rPr>
          <w:bCs/>
          <w:lang w:val="sr-Latn-ME"/>
        </w:rPr>
        <w:t xml:space="preserve">6. </w:t>
      </w:r>
      <w:r w:rsidRPr="00DA0B15">
        <w:rPr>
          <w:bCs/>
          <w:lang w:val="sr-Latn-ME"/>
        </w:rPr>
        <w:tab/>
      </w:r>
      <w:r w:rsidR="00F37964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>FARMACEUTSKI PODACI</w:t>
      </w:r>
    </w:p>
    <w:p w14:paraId="3F99BFAA" w14:textId="160E9D8B" w:rsidR="00CE09F3" w:rsidRPr="00DA0B15" w:rsidRDefault="00F37964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6.1. </w:t>
      </w:r>
      <w:r w:rsidRPr="00DA0B15">
        <w:rPr>
          <w:b/>
          <w:bCs/>
          <w:szCs w:val="22"/>
          <w:lang w:val="sr-Latn-ME"/>
        </w:rPr>
        <w:tab/>
        <w:t>Lista pomoćnih supstanci (ekscipijenasa)</w:t>
      </w:r>
    </w:p>
    <w:p w14:paraId="085AAF8F" w14:textId="77777777" w:rsidR="00386D17" w:rsidRPr="00DA0B15" w:rsidRDefault="00386D17" w:rsidP="00502D28">
      <w:pPr>
        <w:rPr>
          <w:b/>
          <w:bCs/>
          <w:szCs w:val="22"/>
          <w:lang w:val="sr-Latn-ME"/>
        </w:rPr>
      </w:pPr>
    </w:p>
    <w:p w14:paraId="1A0DA96A" w14:textId="77777777" w:rsidR="007541F7" w:rsidRPr="00DA0B15" w:rsidRDefault="001A09D9" w:rsidP="00502D28">
      <w:pPr>
        <w:rPr>
          <w:noProof/>
          <w:szCs w:val="22"/>
          <w:lang w:val="sr-Latn-ME"/>
        </w:rPr>
      </w:pPr>
      <w:r w:rsidRPr="00DA0B15">
        <w:rPr>
          <w:b/>
          <w:i/>
          <w:szCs w:val="22"/>
          <w:lang w:val="sr-Latn-ME"/>
        </w:rPr>
        <w:t>Sastav jezgra tablete:</w:t>
      </w:r>
      <w:r w:rsidR="00386D17" w:rsidRPr="00DA0B15">
        <w:rPr>
          <w:noProof/>
          <w:szCs w:val="22"/>
          <w:lang w:val="sr-Latn-ME"/>
        </w:rPr>
        <w:t xml:space="preserve"> </w:t>
      </w:r>
    </w:p>
    <w:p w14:paraId="1928FE48" w14:textId="12518259" w:rsidR="007541F7" w:rsidRPr="00DA0B15" w:rsidRDefault="007541F7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K</w:t>
      </w:r>
      <w:r w:rsidR="00386D17" w:rsidRPr="00DA0B15">
        <w:rPr>
          <w:noProof/>
          <w:szCs w:val="22"/>
          <w:lang w:val="sr-Latn-ME"/>
        </w:rPr>
        <w:t>roskarmeloza</w:t>
      </w:r>
      <w:r w:rsidR="00D44807" w:rsidRPr="00DA0B15">
        <w:rPr>
          <w:noProof/>
          <w:szCs w:val="22"/>
          <w:lang w:val="sr-Latn-ME"/>
        </w:rPr>
        <w:t xml:space="preserve"> </w:t>
      </w:r>
      <w:r w:rsidR="00386D17" w:rsidRPr="00DA0B15">
        <w:rPr>
          <w:noProof/>
          <w:szCs w:val="22"/>
          <w:lang w:val="sr-Latn-ME"/>
        </w:rPr>
        <w:t>natrijum</w:t>
      </w:r>
    </w:p>
    <w:p w14:paraId="54AFE187" w14:textId="77777777" w:rsidR="007541F7" w:rsidRPr="00DA0B15" w:rsidRDefault="007541F7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Makrogol 6000</w:t>
      </w:r>
    </w:p>
    <w:p w14:paraId="7A6BDBEB" w14:textId="77777777" w:rsidR="007541F7" w:rsidRPr="00DA0B15" w:rsidRDefault="00386D17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Silicijum dioksid</w:t>
      </w:r>
      <w:r w:rsidR="007541F7" w:rsidRPr="00DA0B15">
        <w:rPr>
          <w:noProof/>
          <w:szCs w:val="22"/>
          <w:lang w:val="sr-Latn-ME"/>
        </w:rPr>
        <w:t>, koloidni, bezvodni</w:t>
      </w:r>
    </w:p>
    <w:p w14:paraId="16E0CB72" w14:textId="5C609FD9" w:rsidR="00E54EED" w:rsidRPr="00DA0B15" w:rsidRDefault="007541F7" w:rsidP="00502D28">
      <w:pPr>
        <w:rPr>
          <w:b/>
          <w:i/>
          <w:szCs w:val="22"/>
          <w:lang w:val="sr-Latn-ME"/>
        </w:rPr>
      </w:pPr>
      <w:r w:rsidRPr="00DA0B15">
        <w:rPr>
          <w:noProof/>
          <w:szCs w:val="22"/>
          <w:lang w:val="sr-Latn-ME"/>
        </w:rPr>
        <w:t>M</w:t>
      </w:r>
      <w:r w:rsidR="00F72782" w:rsidRPr="00DA0B15">
        <w:rPr>
          <w:noProof/>
          <w:szCs w:val="22"/>
          <w:lang w:val="sr-Latn-ME"/>
        </w:rPr>
        <w:t>agnezijum</w:t>
      </w:r>
      <w:r w:rsidR="00D44807" w:rsidRPr="00DA0B15">
        <w:rPr>
          <w:noProof/>
          <w:szCs w:val="22"/>
          <w:lang w:val="sr-Latn-ME"/>
        </w:rPr>
        <w:t xml:space="preserve"> </w:t>
      </w:r>
      <w:r w:rsidR="00F72782" w:rsidRPr="00DA0B15">
        <w:rPr>
          <w:noProof/>
          <w:szCs w:val="22"/>
          <w:lang w:val="sr-Latn-ME"/>
        </w:rPr>
        <w:t>stearat</w:t>
      </w:r>
    </w:p>
    <w:p w14:paraId="48E99EAB" w14:textId="77777777" w:rsidR="00E54EED" w:rsidRPr="00DA0B15" w:rsidRDefault="00E54EED" w:rsidP="00502D28">
      <w:pPr>
        <w:rPr>
          <w:noProof/>
          <w:szCs w:val="22"/>
          <w:lang w:val="sr-Latn-ME"/>
        </w:rPr>
      </w:pPr>
    </w:p>
    <w:p w14:paraId="4578E02F" w14:textId="77777777" w:rsidR="00E54EED" w:rsidRPr="00DA0B15" w:rsidRDefault="00F72782" w:rsidP="00502D28">
      <w:pPr>
        <w:rPr>
          <w:b/>
          <w:i/>
          <w:szCs w:val="22"/>
          <w:lang w:val="sr-Latn-ME"/>
        </w:rPr>
      </w:pPr>
      <w:r w:rsidRPr="00DA0B15">
        <w:rPr>
          <w:b/>
          <w:i/>
          <w:szCs w:val="22"/>
          <w:lang w:val="sr-Latn-ME"/>
        </w:rPr>
        <w:t>Sastav omotača</w:t>
      </w:r>
      <w:r w:rsidR="001A09D9" w:rsidRPr="00DA0B15">
        <w:rPr>
          <w:b/>
          <w:i/>
          <w:szCs w:val="22"/>
          <w:lang w:val="sr-Latn-ME"/>
        </w:rPr>
        <w:t>:</w:t>
      </w:r>
    </w:p>
    <w:p w14:paraId="493D51A7" w14:textId="77777777" w:rsidR="007541F7" w:rsidRPr="00DA0B15" w:rsidRDefault="001A09D9" w:rsidP="00502D28">
      <w:pPr>
        <w:rPr>
          <w:szCs w:val="22"/>
          <w:lang w:val="sr-Latn-ME"/>
        </w:rPr>
      </w:pPr>
      <w:r w:rsidRPr="00DA0B15">
        <w:rPr>
          <w:bCs/>
          <w:i/>
          <w:szCs w:val="22"/>
          <w:u w:val="single"/>
          <w:lang w:val="sr-Latn-ME"/>
        </w:rPr>
        <w:t>Keppra, film tableta</w:t>
      </w:r>
      <w:r w:rsidRPr="00DA0B15">
        <w:rPr>
          <w:i/>
          <w:szCs w:val="22"/>
          <w:u w:val="single"/>
          <w:lang w:val="sr-Latn-ME"/>
        </w:rPr>
        <w:t>, 250 m</w:t>
      </w:r>
      <w:r w:rsidR="007541F7" w:rsidRPr="00DA0B15">
        <w:rPr>
          <w:i/>
          <w:szCs w:val="22"/>
          <w:u w:val="single"/>
          <w:lang w:val="sr-Latn-ME"/>
        </w:rPr>
        <w:t>g</w:t>
      </w:r>
    </w:p>
    <w:p w14:paraId="507240B2" w14:textId="77777777" w:rsidR="007541F7" w:rsidRPr="00DA0B15" w:rsidRDefault="007541F7" w:rsidP="00502D28">
      <w:pPr>
        <w:rPr>
          <w:szCs w:val="22"/>
          <w:lang w:val="sr-Latn-ME"/>
        </w:rPr>
      </w:pPr>
      <w:r w:rsidRPr="00DA0B15">
        <w:rPr>
          <w:i/>
          <w:szCs w:val="22"/>
          <w:lang w:val="sr-Latn-ME"/>
        </w:rPr>
        <w:t>Opadry Blue</w:t>
      </w:r>
      <w:r w:rsidRPr="00DA0B15">
        <w:rPr>
          <w:szCs w:val="22"/>
          <w:lang w:val="sr-Latn-ME"/>
        </w:rPr>
        <w:t xml:space="preserve"> 85F20694:</w:t>
      </w:r>
    </w:p>
    <w:p w14:paraId="4A28BC03" w14:textId="01E11E9A" w:rsidR="007541F7" w:rsidRPr="0094217C" w:rsidRDefault="007541F7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lastRenderedPageBreak/>
        <w:t>P</w:t>
      </w:r>
      <w:r w:rsidR="00386D17" w:rsidRPr="00DA0B15">
        <w:rPr>
          <w:szCs w:val="22"/>
          <w:lang w:val="sr-Latn-ME"/>
        </w:rPr>
        <w:t xml:space="preserve">olivinil </w:t>
      </w:r>
      <w:r w:rsidRPr="00DA0B15">
        <w:rPr>
          <w:szCs w:val="22"/>
          <w:lang w:val="sr-Latn-ME"/>
        </w:rPr>
        <w:t>alkohol, d</w:t>
      </w:r>
      <w:r w:rsidR="00D4480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elimično hidrolizovan</w:t>
      </w:r>
    </w:p>
    <w:p w14:paraId="17C1A6A5" w14:textId="57810368" w:rsidR="007541F7" w:rsidRPr="0094217C" w:rsidRDefault="007541F7" w:rsidP="00502D28">
      <w:pPr>
        <w:rPr>
          <w:szCs w:val="22"/>
          <w:lang w:val="sr-Latn-ME"/>
        </w:rPr>
      </w:pPr>
      <w:r w:rsidRPr="0094217C">
        <w:rPr>
          <w:szCs w:val="22"/>
          <w:lang w:val="sr-Latn-ME"/>
        </w:rPr>
        <w:t>Titan</w:t>
      </w:r>
      <w:r w:rsidR="00D44807" w:rsidRPr="0094217C">
        <w:rPr>
          <w:szCs w:val="22"/>
          <w:lang w:val="sr-Latn-ME"/>
        </w:rPr>
        <w:t xml:space="preserve"> </w:t>
      </w:r>
      <w:r w:rsidRPr="0094217C">
        <w:rPr>
          <w:szCs w:val="22"/>
          <w:lang w:val="sr-Latn-ME"/>
        </w:rPr>
        <w:t xml:space="preserve">dioksid (E171) </w:t>
      </w:r>
    </w:p>
    <w:p w14:paraId="7B22BC76" w14:textId="77777777" w:rsidR="007541F7" w:rsidRPr="0094217C" w:rsidRDefault="007541F7" w:rsidP="00502D28">
      <w:pPr>
        <w:rPr>
          <w:szCs w:val="22"/>
          <w:lang w:val="sr-Latn-ME"/>
        </w:rPr>
      </w:pPr>
      <w:r w:rsidRPr="0094217C">
        <w:rPr>
          <w:szCs w:val="22"/>
          <w:lang w:val="sr-Latn-ME"/>
        </w:rPr>
        <w:t>Makrogol 3350</w:t>
      </w:r>
    </w:p>
    <w:p w14:paraId="7EA507BB" w14:textId="77777777" w:rsidR="007541F7" w:rsidRPr="0094217C" w:rsidRDefault="007541F7" w:rsidP="00502D28">
      <w:pPr>
        <w:rPr>
          <w:szCs w:val="22"/>
          <w:lang w:val="sr-Latn-ME"/>
        </w:rPr>
      </w:pPr>
      <w:r w:rsidRPr="0094217C">
        <w:rPr>
          <w:szCs w:val="22"/>
          <w:lang w:val="sr-Latn-ME"/>
        </w:rPr>
        <w:t>Talk</w:t>
      </w:r>
    </w:p>
    <w:p w14:paraId="1C267D5B" w14:textId="77777777" w:rsidR="00E54EED" w:rsidRPr="0094217C" w:rsidRDefault="007541F7" w:rsidP="00502D28">
      <w:pPr>
        <w:rPr>
          <w:i/>
          <w:noProof/>
          <w:szCs w:val="22"/>
          <w:lang w:val="sr-Latn-ME"/>
        </w:rPr>
      </w:pPr>
      <w:r w:rsidRPr="0094217C">
        <w:rPr>
          <w:i/>
          <w:szCs w:val="22"/>
          <w:lang w:val="sr-Latn-ME"/>
        </w:rPr>
        <w:t xml:space="preserve">FD&amp;C blue No.2/indigo carmine </w:t>
      </w:r>
      <w:r w:rsidR="00F72782" w:rsidRPr="0094217C">
        <w:rPr>
          <w:i/>
          <w:szCs w:val="22"/>
          <w:lang w:val="sr-Latn-ME"/>
        </w:rPr>
        <w:t>aluminum</w:t>
      </w:r>
      <w:r w:rsidRPr="0094217C">
        <w:rPr>
          <w:i/>
          <w:szCs w:val="22"/>
          <w:lang w:val="sr-Latn-ME"/>
        </w:rPr>
        <w:t xml:space="preserve"> lake </w:t>
      </w:r>
      <w:r w:rsidRPr="0094217C">
        <w:rPr>
          <w:szCs w:val="22"/>
          <w:lang w:val="sr-Latn-ME"/>
        </w:rPr>
        <w:t>(E132)</w:t>
      </w:r>
    </w:p>
    <w:p w14:paraId="0BA3DF9B" w14:textId="77777777" w:rsidR="00E54EED" w:rsidRPr="0094217C" w:rsidRDefault="00E54EED" w:rsidP="00502D28">
      <w:pPr>
        <w:rPr>
          <w:noProof/>
          <w:szCs w:val="22"/>
          <w:lang w:val="sr-Latn-ME"/>
        </w:rPr>
      </w:pPr>
    </w:p>
    <w:p w14:paraId="28C60517" w14:textId="77777777" w:rsidR="007541F7" w:rsidRPr="0094217C" w:rsidRDefault="001A09D9" w:rsidP="00502D28">
      <w:pPr>
        <w:rPr>
          <w:noProof/>
          <w:szCs w:val="22"/>
          <w:lang w:val="sr-Latn-ME"/>
        </w:rPr>
      </w:pPr>
      <w:r w:rsidRPr="0094217C">
        <w:rPr>
          <w:bCs/>
          <w:i/>
          <w:szCs w:val="22"/>
          <w:u w:val="single"/>
          <w:lang w:val="sr-Latn-ME"/>
        </w:rPr>
        <w:t>Keppra, film tableta</w:t>
      </w:r>
      <w:r w:rsidRPr="0094217C">
        <w:rPr>
          <w:i/>
          <w:szCs w:val="22"/>
          <w:u w:val="single"/>
          <w:lang w:val="sr-Latn-ME"/>
        </w:rPr>
        <w:t>, 500 m</w:t>
      </w:r>
      <w:r w:rsidR="007541F7" w:rsidRPr="0094217C">
        <w:rPr>
          <w:i/>
          <w:szCs w:val="22"/>
          <w:u w:val="single"/>
          <w:lang w:val="sr-Latn-ME"/>
        </w:rPr>
        <w:t>g</w:t>
      </w:r>
    </w:p>
    <w:p w14:paraId="4FBE1DA5" w14:textId="77777777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i/>
          <w:noProof/>
          <w:szCs w:val="22"/>
          <w:lang w:val="sr-Latn-ME"/>
        </w:rPr>
        <w:t>Opadry Yellow</w:t>
      </w:r>
      <w:r w:rsidRPr="0094217C">
        <w:rPr>
          <w:noProof/>
          <w:szCs w:val="22"/>
          <w:lang w:val="sr-Latn-ME"/>
        </w:rPr>
        <w:t xml:space="preserve"> 85F32004:</w:t>
      </w:r>
    </w:p>
    <w:p w14:paraId="4B84180F" w14:textId="0B6C82A7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P</w:t>
      </w:r>
      <w:r w:rsidR="00386D17" w:rsidRPr="0094217C">
        <w:rPr>
          <w:noProof/>
          <w:szCs w:val="22"/>
          <w:lang w:val="sr-Latn-ME"/>
        </w:rPr>
        <w:t>olivinil alkohol, d</w:t>
      </w:r>
      <w:r w:rsidR="00D44807" w:rsidRPr="0094217C">
        <w:rPr>
          <w:noProof/>
          <w:szCs w:val="22"/>
          <w:lang w:val="sr-Latn-ME"/>
        </w:rPr>
        <w:t>j</w:t>
      </w:r>
      <w:r w:rsidR="00386D17" w:rsidRPr="0094217C">
        <w:rPr>
          <w:noProof/>
          <w:szCs w:val="22"/>
          <w:lang w:val="sr-Latn-ME"/>
        </w:rPr>
        <w:t>elimično hidrolizovan</w:t>
      </w:r>
    </w:p>
    <w:p w14:paraId="259BDE7A" w14:textId="247AB683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T</w:t>
      </w:r>
      <w:r w:rsidR="00386D17" w:rsidRPr="0094217C">
        <w:rPr>
          <w:noProof/>
          <w:szCs w:val="22"/>
          <w:lang w:val="sr-Latn-ME"/>
        </w:rPr>
        <w:t>itan</w:t>
      </w:r>
      <w:r w:rsidR="00D44807" w:rsidRPr="0094217C">
        <w:rPr>
          <w:noProof/>
          <w:szCs w:val="22"/>
          <w:lang w:val="sr-Latn-ME"/>
        </w:rPr>
        <w:t xml:space="preserve"> </w:t>
      </w:r>
      <w:r w:rsidR="00386D17" w:rsidRPr="0094217C">
        <w:rPr>
          <w:noProof/>
          <w:szCs w:val="22"/>
          <w:lang w:val="sr-Latn-ME"/>
        </w:rPr>
        <w:t>dioksid (E171)</w:t>
      </w:r>
    </w:p>
    <w:p w14:paraId="67B2BECB" w14:textId="77777777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Makrogol 3350</w:t>
      </w:r>
    </w:p>
    <w:p w14:paraId="4F4E4EBB" w14:textId="77777777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Talk</w:t>
      </w:r>
    </w:p>
    <w:p w14:paraId="0A2F45BC" w14:textId="4A2B98F3" w:rsidR="00386D1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G</w:t>
      </w:r>
      <w:r w:rsidR="00F72782" w:rsidRPr="0094217C">
        <w:rPr>
          <w:noProof/>
          <w:szCs w:val="22"/>
          <w:lang w:val="sr-Latn-ME"/>
        </w:rPr>
        <w:t>vožđe</w:t>
      </w:r>
      <w:r w:rsidR="00D44807" w:rsidRPr="0094217C">
        <w:rPr>
          <w:noProof/>
          <w:szCs w:val="22"/>
          <w:lang w:val="sr-Latn-ME"/>
        </w:rPr>
        <w:t xml:space="preserve"> </w:t>
      </w:r>
      <w:r w:rsidR="00F72782" w:rsidRPr="0094217C">
        <w:rPr>
          <w:noProof/>
          <w:szCs w:val="22"/>
          <w:lang w:val="sr-Latn-ME"/>
        </w:rPr>
        <w:t>oksid, žuti (E172)</w:t>
      </w:r>
    </w:p>
    <w:p w14:paraId="5293030E" w14:textId="77777777" w:rsidR="00E54EED" w:rsidRPr="0094217C" w:rsidRDefault="00E54EED" w:rsidP="00502D28">
      <w:pPr>
        <w:rPr>
          <w:noProof/>
          <w:szCs w:val="22"/>
          <w:u w:val="single"/>
          <w:lang w:val="sr-Latn-ME"/>
        </w:rPr>
      </w:pPr>
    </w:p>
    <w:p w14:paraId="6CE90E0B" w14:textId="77777777" w:rsidR="007541F7" w:rsidRPr="0094217C" w:rsidRDefault="001A09D9" w:rsidP="00502D28">
      <w:pPr>
        <w:rPr>
          <w:noProof/>
          <w:szCs w:val="22"/>
          <w:lang w:val="sr-Latn-ME"/>
        </w:rPr>
      </w:pPr>
      <w:r w:rsidRPr="0094217C">
        <w:rPr>
          <w:bCs/>
          <w:i/>
          <w:szCs w:val="22"/>
          <w:u w:val="single"/>
          <w:lang w:val="sr-Latn-ME"/>
        </w:rPr>
        <w:t>Keppra, film tableta</w:t>
      </w:r>
      <w:r w:rsidRPr="0094217C">
        <w:rPr>
          <w:i/>
          <w:szCs w:val="22"/>
          <w:u w:val="single"/>
          <w:lang w:val="sr-Latn-ME"/>
        </w:rPr>
        <w:t>, 1000 mg</w:t>
      </w:r>
      <w:r w:rsidR="00386D17" w:rsidRPr="0094217C">
        <w:rPr>
          <w:i/>
          <w:szCs w:val="22"/>
          <w:lang w:val="sr-Latn-ME"/>
        </w:rPr>
        <w:t xml:space="preserve"> </w:t>
      </w:r>
      <w:r w:rsidR="00386D17" w:rsidRPr="0094217C">
        <w:rPr>
          <w:noProof/>
          <w:szCs w:val="22"/>
          <w:lang w:val="sr-Latn-ME"/>
        </w:rPr>
        <w:t xml:space="preserve"> </w:t>
      </w:r>
    </w:p>
    <w:p w14:paraId="43CCB3A8" w14:textId="77777777" w:rsidR="007541F7" w:rsidRPr="0094217C" w:rsidRDefault="007541F7" w:rsidP="00502D28">
      <w:pPr>
        <w:rPr>
          <w:noProof/>
          <w:szCs w:val="22"/>
          <w:lang w:val="sr-Latn-ME"/>
        </w:rPr>
      </w:pPr>
      <w:r w:rsidRPr="0094217C">
        <w:rPr>
          <w:i/>
          <w:noProof/>
          <w:szCs w:val="22"/>
          <w:lang w:val="sr-Latn-ME"/>
        </w:rPr>
        <w:t>Opadry White</w:t>
      </w:r>
      <w:r w:rsidRPr="0094217C">
        <w:rPr>
          <w:noProof/>
          <w:szCs w:val="22"/>
          <w:lang w:val="sr-Latn-ME"/>
        </w:rPr>
        <w:t xml:space="preserve"> 85F18422:</w:t>
      </w:r>
    </w:p>
    <w:p w14:paraId="1F151105" w14:textId="0597802B" w:rsidR="007541F7" w:rsidRPr="00DA0B15" w:rsidRDefault="007541F7" w:rsidP="00502D28">
      <w:pPr>
        <w:rPr>
          <w:noProof/>
          <w:szCs w:val="22"/>
          <w:lang w:val="sr-Latn-ME"/>
        </w:rPr>
      </w:pPr>
      <w:r w:rsidRPr="0094217C">
        <w:rPr>
          <w:noProof/>
          <w:szCs w:val="22"/>
          <w:lang w:val="sr-Latn-ME"/>
        </w:rPr>
        <w:t>P</w:t>
      </w:r>
      <w:r w:rsidR="00386D17" w:rsidRPr="0094217C">
        <w:rPr>
          <w:noProof/>
          <w:szCs w:val="22"/>
          <w:lang w:val="sr-Latn-ME"/>
        </w:rPr>
        <w:t>olivinil alkohol, d</w:t>
      </w:r>
      <w:r w:rsidR="00D44807" w:rsidRPr="0094217C">
        <w:rPr>
          <w:noProof/>
          <w:szCs w:val="22"/>
          <w:lang w:val="sr-Latn-ME"/>
        </w:rPr>
        <w:t>j</w:t>
      </w:r>
      <w:r w:rsidR="00386D17" w:rsidRPr="0094217C">
        <w:rPr>
          <w:noProof/>
          <w:szCs w:val="22"/>
          <w:lang w:val="sr-Latn-ME"/>
        </w:rPr>
        <w:t>elimično hidrolizovan</w:t>
      </w:r>
    </w:p>
    <w:p w14:paraId="063AB041" w14:textId="03A37C87" w:rsidR="007541F7" w:rsidRPr="00DA0B15" w:rsidRDefault="007541F7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T</w:t>
      </w:r>
      <w:r w:rsidR="00386D17" w:rsidRPr="00DA0B15">
        <w:rPr>
          <w:noProof/>
          <w:szCs w:val="22"/>
          <w:lang w:val="sr-Latn-ME"/>
        </w:rPr>
        <w:t>itan</w:t>
      </w:r>
      <w:r w:rsidR="00D44807" w:rsidRPr="00DA0B15">
        <w:rPr>
          <w:noProof/>
          <w:szCs w:val="22"/>
          <w:lang w:val="sr-Latn-ME"/>
        </w:rPr>
        <w:t xml:space="preserve"> </w:t>
      </w:r>
      <w:r w:rsidR="00386D17" w:rsidRPr="00DA0B15">
        <w:rPr>
          <w:noProof/>
          <w:szCs w:val="22"/>
          <w:lang w:val="sr-Latn-ME"/>
        </w:rPr>
        <w:t>dioksid (E171)</w:t>
      </w:r>
    </w:p>
    <w:p w14:paraId="14887360" w14:textId="77777777" w:rsidR="007541F7" w:rsidRPr="00DA0B15" w:rsidRDefault="00F72782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M</w:t>
      </w:r>
      <w:r w:rsidR="007541F7" w:rsidRPr="00DA0B15">
        <w:rPr>
          <w:noProof/>
          <w:szCs w:val="22"/>
          <w:lang w:val="sr-Latn-ME"/>
        </w:rPr>
        <w:t>akrogol 3350</w:t>
      </w:r>
    </w:p>
    <w:p w14:paraId="51BEE179" w14:textId="77777777" w:rsidR="00E54EED" w:rsidRPr="00DA0B15" w:rsidRDefault="007541F7" w:rsidP="00502D28">
      <w:pPr>
        <w:rPr>
          <w:noProof/>
          <w:szCs w:val="22"/>
          <w:lang w:val="sr-Latn-ME"/>
        </w:rPr>
      </w:pPr>
      <w:r w:rsidRPr="00DA0B15">
        <w:rPr>
          <w:noProof/>
          <w:szCs w:val="22"/>
          <w:lang w:val="sr-Latn-ME"/>
        </w:rPr>
        <w:t>T</w:t>
      </w:r>
      <w:r w:rsidR="00F72782" w:rsidRPr="00DA0B15">
        <w:rPr>
          <w:noProof/>
          <w:szCs w:val="22"/>
          <w:lang w:val="sr-Latn-ME"/>
        </w:rPr>
        <w:t>alk</w:t>
      </w:r>
    </w:p>
    <w:p w14:paraId="22DCB042" w14:textId="77777777" w:rsidR="00CE09F3" w:rsidRPr="00DA0B15" w:rsidRDefault="00CE09F3" w:rsidP="00502D28">
      <w:pPr>
        <w:rPr>
          <w:szCs w:val="22"/>
          <w:lang w:val="sr-Latn-ME"/>
        </w:rPr>
      </w:pPr>
    </w:p>
    <w:p w14:paraId="07628A87" w14:textId="31655D38" w:rsidR="00CE09F3" w:rsidRPr="00DA0B15" w:rsidRDefault="00356217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6.2. </w:t>
      </w:r>
      <w:r w:rsidRPr="00DA0B15">
        <w:rPr>
          <w:b/>
          <w:bCs/>
          <w:szCs w:val="22"/>
          <w:lang w:val="sr-Latn-ME"/>
        </w:rPr>
        <w:tab/>
        <w:t>Inkompatibilnosti</w:t>
      </w:r>
    </w:p>
    <w:p w14:paraId="6A691982" w14:textId="77777777" w:rsidR="00CE09F3" w:rsidRPr="00DA0B15" w:rsidRDefault="00CE09F3" w:rsidP="00502D28">
      <w:pPr>
        <w:rPr>
          <w:szCs w:val="22"/>
          <w:lang w:val="sr-Latn-ME"/>
        </w:rPr>
      </w:pPr>
    </w:p>
    <w:p w14:paraId="5D048078" w14:textId="6D0C8D56" w:rsidR="00CE09F3" w:rsidRPr="00DA0B15" w:rsidRDefault="00E54EED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Nije prim</w:t>
      </w:r>
      <w:r w:rsidR="00661228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en</w:t>
      </w:r>
      <w:r w:rsidR="0094217C">
        <w:rPr>
          <w:szCs w:val="22"/>
          <w:lang w:val="sr-Latn-ME"/>
        </w:rPr>
        <w:t>l</w:t>
      </w:r>
      <w:r w:rsidRPr="00DA0B15">
        <w:rPr>
          <w:szCs w:val="22"/>
          <w:lang w:val="sr-Latn-ME"/>
        </w:rPr>
        <w:t>jivo.</w:t>
      </w:r>
    </w:p>
    <w:p w14:paraId="10C1592F" w14:textId="77777777" w:rsidR="00E54EED" w:rsidRPr="00DA0B15" w:rsidRDefault="00E54EED" w:rsidP="00502D28">
      <w:pPr>
        <w:rPr>
          <w:szCs w:val="22"/>
          <w:lang w:val="sr-Latn-ME"/>
        </w:rPr>
      </w:pPr>
    </w:p>
    <w:p w14:paraId="64870E87" w14:textId="0A5F64EE" w:rsidR="00CE09F3" w:rsidRPr="00DA0B15" w:rsidRDefault="00857FF4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6.3. </w:t>
      </w:r>
      <w:r w:rsidRPr="00DA0B15">
        <w:rPr>
          <w:b/>
          <w:bCs/>
          <w:szCs w:val="22"/>
          <w:lang w:val="sr-Latn-ME"/>
        </w:rPr>
        <w:tab/>
        <w:t>Rok upotrebe</w:t>
      </w:r>
    </w:p>
    <w:p w14:paraId="2C454290" w14:textId="77777777" w:rsidR="00E54EED" w:rsidRPr="00DA0B15" w:rsidRDefault="00E54EED" w:rsidP="00502D28">
      <w:pPr>
        <w:rPr>
          <w:szCs w:val="22"/>
          <w:lang w:val="sr-Latn-ME"/>
        </w:rPr>
      </w:pPr>
    </w:p>
    <w:p w14:paraId="781748E7" w14:textId="77777777" w:rsidR="00CE09F3" w:rsidRPr="00DA0B15" w:rsidRDefault="001A09D9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3 godine.</w:t>
      </w:r>
    </w:p>
    <w:p w14:paraId="3054C7C5" w14:textId="77777777" w:rsidR="00CE09F3" w:rsidRPr="00DA0B15" w:rsidRDefault="00CE09F3" w:rsidP="00502D28">
      <w:pPr>
        <w:rPr>
          <w:szCs w:val="22"/>
          <w:lang w:val="sr-Latn-ME"/>
        </w:rPr>
      </w:pPr>
    </w:p>
    <w:p w14:paraId="3F80A22A" w14:textId="0B4468CF" w:rsidR="00CE09F3" w:rsidRPr="00DA0B15" w:rsidRDefault="00157E2F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6.4. </w:t>
      </w:r>
      <w:r w:rsidRPr="00DA0B15">
        <w:rPr>
          <w:b/>
          <w:bCs/>
          <w:szCs w:val="22"/>
          <w:lang w:val="sr-Latn-ME"/>
        </w:rPr>
        <w:tab/>
        <w:t>Posebne mjere upozorenja pri čuvanju lijeka</w:t>
      </w:r>
    </w:p>
    <w:p w14:paraId="44D9F7AE" w14:textId="77777777" w:rsidR="00CE09F3" w:rsidRPr="00DA0B15" w:rsidRDefault="00CE09F3" w:rsidP="00502D28">
      <w:pPr>
        <w:rPr>
          <w:szCs w:val="22"/>
          <w:lang w:val="sr-Latn-ME"/>
        </w:rPr>
      </w:pPr>
    </w:p>
    <w:p w14:paraId="78FFA08E" w14:textId="2BD6BC52" w:rsidR="00CE09F3" w:rsidRPr="00DA0B15" w:rsidRDefault="001A09D9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L</w:t>
      </w:r>
      <w:r w:rsidR="00D44807" w:rsidRPr="00DA0B15">
        <w:rPr>
          <w:szCs w:val="22"/>
          <w:lang w:val="sr-Latn-ME"/>
        </w:rPr>
        <w:t>ij</w:t>
      </w:r>
      <w:r w:rsidRPr="00DA0B15">
        <w:rPr>
          <w:szCs w:val="22"/>
          <w:lang w:val="sr-Latn-ME"/>
        </w:rPr>
        <w:t>ek ne zaht</w:t>
      </w:r>
      <w:r w:rsidR="0094217C">
        <w:rPr>
          <w:szCs w:val="22"/>
          <w:lang w:val="sr-Latn-ME"/>
        </w:rPr>
        <w:t>i</w:t>
      </w:r>
      <w:r w:rsidR="00D4480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eva posebne uslove čuvanja.</w:t>
      </w:r>
    </w:p>
    <w:p w14:paraId="01BF5955" w14:textId="77777777" w:rsidR="00E54EED" w:rsidRPr="00DA0B15" w:rsidRDefault="00E54EED" w:rsidP="00502D28">
      <w:pPr>
        <w:rPr>
          <w:szCs w:val="22"/>
          <w:lang w:val="sr-Latn-ME"/>
        </w:rPr>
      </w:pPr>
    </w:p>
    <w:p w14:paraId="24D2BB2B" w14:textId="4CB1A683" w:rsidR="00CE09F3" w:rsidRPr="00DA0B15" w:rsidRDefault="003508D8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6.5. </w:t>
      </w:r>
      <w:r w:rsidRPr="00DA0B15">
        <w:rPr>
          <w:b/>
          <w:bCs/>
          <w:szCs w:val="22"/>
          <w:lang w:val="sr-Latn-ME"/>
        </w:rPr>
        <w:tab/>
        <w:t>Vrsta i sadržaj pakovanja</w:t>
      </w:r>
      <w:r w:rsidR="001A09D9" w:rsidRPr="00DA0B15">
        <w:rPr>
          <w:b/>
          <w:bCs/>
          <w:szCs w:val="22"/>
          <w:lang w:val="sr-Latn-ME"/>
        </w:rPr>
        <w:t xml:space="preserve"> </w:t>
      </w:r>
    </w:p>
    <w:p w14:paraId="43631752" w14:textId="77777777" w:rsidR="00CE09F3" w:rsidRPr="00DA0B15" w:rsidRDefault="00CE09F3" w:rsidP="00502D28">
      <w:pPr>
        <w:rPr>
          <w:szCs w:val="22"/>
          <w:lang w:val="sr-Latn-ME"/>
        </w:rPr>
      </w:pPr>
    </w:p>
    <w:p w14:paraId="4B828632" w14:textId="77777777" w:rsidR="00BE1A44" w:rsidRPr="00DA0B15" w:rsidRDefault="001A09D9" w:rsidP="00502D28">
      <w:pPr>
        <w:rPr>
          <w:bCs/>
          <w:szCs w:val="22"/>
          <w:lang w:val="sr-Latn-ME"/>
        </w:rPr>
      </w:pPr>
      <w:r w:rsidRPr="00DA0B15">
        <w:rPr>
          <w:bCs/>
          <w:szCs w:val="22"/>
          <w:lang w:val="sr-Latn-ME"/>
        </w:rPr>
        <w:t>Unutrašnje pakovanje je Aluminijum/PVC blister.</w:t>
      </w:r>
    </w:p>
    <w:p w14:paraId="69630B19" w14:textId="69EF116E" w:rsidR="00E54EED" w:rsidRPr="00DA0B15" w:rsidRDefault="001A09D9" w:rsidP="00502D28">
      <w:pPr>
        <w:rPr>
          <w:bCs/>
          <w:szCs w:val="22"/>
          <w:lang w:val="sr-Latn-ME"/>
        </w:rPr>
      </w:pPr>
      <w:r w:rsidRPr="00DA0B15">
        <w:rPr>
          <w:bCs/>
          <w:szCs w:val="22"/>
          <w:lang w:val="sr-Latn-ME"/>
        </w:rPr>
        <w:t xml:space="preserve">Spoljašnje pakovanje je složiva kartonska kutija u kojoj se nalazi 6 blistera sa po 10 film tableta </w:t>
      </w:r>
      <w:r w:rsidR="0094217C">
        <w:rPr>
          <w:bCs/>
          <w:szCs w:val="22"/>
          <w:lang w:val="sr-Latn-ME"/>
        </w:rPr>
        <w:t xml:space="preserve">(ukupno 60 film tableta) </w:t>
      </w:r>
      <w:r w:rsidRPr="00DA0B15">
        <w:rPr>
          <w:bCs/>
          <w:szCs w:val="22"/>
          <w:lang w:val="sr-Latn-ME"/>
        </w:rPr>
        <w:t>i Uputstvo za l</w:t>
      </w:r>
      <w:r w:rsidR="00D44807" w:rsidRPr="00DA0B15">
        <w:rPr>
          <w:bCs/>
          <w:szCs w:val="22"/>
          <w:lang w:val="sr-Latn-ME"/>
        </w:rPr>
        <w:t>ij</w:t>
      </w:r>
      <w:r w:rsidRPr="00DA0B15">
        <w:rPr>
          <w:bCs/>
          <w:szCs w:val="22"/>
          <w:lang w:val="sr-Latn-ME"/>
        </w:rPr>
        <w:t>ek</w:t>
      </w:r>
      <w:r w:rsidR="00E54EED" w:rsidRPr="00DA0B15">
        <w:rPr>
          <w:bCs/>
          <w:szCs w:val="22"/>
          <w:lang w:val="sr-Latn-ME"/>
        </w:rPr>
        <w:t>.</w:t>
      </w:r>
    </w:p>
    <w:p w14:paraId="17AD9D3E" w14:textId="77777777" w:rsidR="00E54EED" w:rsidRPr="00DA0B15" w:rsidRDefault="00E54EED" w:rsidP="00502D28">
      <w:pPr>
        <w:rPr>
          <w:szCs w:val="22"/>
          <w:lang w:val="sr-Latn-ME"/>
        </w:rPr>
      </w:pPr>
    </w:p>
    <w:p w14:paraId="7A762139" w14:textId="5846132F" w:rsidR="00CE09F3" w:rsidRPr="00DA0B15" w:rsidRDefault="00EA3D71" w:rsidP="00502D28">
      <w:pPr>
        <w:rPr>
          <w:b/>
          <w:bCs/>
          <w:szCs w:val="22"/>
          <w:lang w:val="sr-Latn-ME"/>
        </w:rPr>
      </w:pPr>
      <w:r w:rsidRPr="00DA0B15">
        <w:rPr>
          <w:b/>
          <w:bCs/>
          <w:szCs w:val="22"/>
          <w:lang w:val="sr-Latn-ME"/>
        </w:rPr>
        <w:t xml:space="preserve">6.6. </w:t>
      </w:r>
      <w:r w:rsidRPr="00DA0B15">
        <w:rPr>
          <w:b/>
          <w:bCs/>
          <w:szCs w:val="22"/>
          <w:lang w:val="sr-Latn-ME"/>
        </w:rPr>
        <w:tab/>
      </w:r>
      <w:r w:rsidRPr="00DA0B15">
        <w:rPr>
          <w:b/>
          <w:bCs/>
          <w:color w:val="000000"/>
          <w:szCs w:val="22"/>
          <w:lang w:val="sr-Latn-ME"/>
        </w:rPr>
        <w:t>Posebne mjere opreza pri odlaganju materijala koji treba odbaciti nakon primjene lijeka</w:t>
      </w:r>
      <w:r w:rsidRPr="00DA0B15">
        <w:rPr>
          <w:b/>
          <w:bCs/>
          <w:szCs w:val="22"/>
          <w:lang w:val="sr-Latn-ME"/>
        </w:rPr>
        <w:t xml:space="preserve"> (i druga uputstva za rukovanje lijekom) </w:t>
      </w:r>
    </w:p>
    <w:p w14:paraId="20E56F69" w14:textId="77777777" w:rsidR="00CE09F3" w:rsidRPr="00DA0B15" w:rsidRDefault="00CE09F3" w:rsidP="00502D28">
      <w:pPr>
        <w:rPr>
          <w:szCs w:val="22"/>
          <w:lang w:val="sr-Latn-ME"/>
        </w:rPr>
      </w:pPr>
    </w:p>
    <w:p w14:paraId="1CEFD19C" w14:textId="36AB462B" w:rsidR="00CE09F3" w:rsidRPr="00DA0B15" w:rsidRDefault="00E54EED" w:rsidP="00502D28">
      <w:pPr>
        <w:rPr>
          <w:bCs/>
          <w:szCs w:val="22"/>
          <w:lang w:val="sr-Latn-ME"/>
        </w:rPr>
      </w:pPr>
      <w:r w:rsidRPr="00DA0B15">
        <w:rPr>
          <w:bCs/>
          <w:szCs w:val="22"/>
          <w:lang w:val="sr-Latn-ME"/>
        </w:rPr>
        <w:t>Bilo koji neiskorišćeni l</w:t>
      </w:r>
      <w:r w:rsidR="00D44807" w:rsidRPr="00DA0B15">
        <w:rPr>
          <w:bCs/>
          <w:szCs w:val="22"/>
          <w:lang w:val="sr-Latn-ME"/>
        </w:rPr>
        <w:t>ij</w:t>
      </w:r>
      <w:r w:rsidRPr="00DA0B15">
        <w:rPr>
          <w:bCs/>
          <w:szCs w:val="22"/>
          <w:lang w:val="sr-Latn-ME"/>
        </w:rPr>
        <w:t>ek ili otpadni materijal treba ukloniti u skladu sa važećim propisima.</w:t>
      </w:r>
    </w:p>
    <w:p w14:paraId="63267C1A" w14:textId="77777777" w:rsidR="008475A7" w:rsidRPr="00DA0B15" w:rsidRDefault="008475A7" w:rsidP="00502D28">
      <w:pPr>
        <w:rPr>
          <w:bCs/>
          <w:szCs w:val="22"/>
          <w:lang w:val="sr-Latn-ME"/>
        </w:rPr>
      </w:pPr>
    </w:p>
    <w:p w14:paraId="35ABE5C6" w14:textId="77777777" w:rsidR="008475A7" w:rsidRPr="00DA0B15" w:rsidRDefault="008475A7" w:rsidP="00502D28">
      <w:pPr>
        <w:rPr>
          <w:szCs w:val="22"/>
          <w:lang w:val="sr-Latn-ME"/>
        </w:rPr>
      </w:pPr>
    </w:p>
    <w:p w14:paraId="37490592" w14:textId="631B83D9" w:rsidR="00CE09F3" w:rsidRPr="00DA0B15" w:rsidRDefault="008475A7" w:rsidP="008475A7">
      <w:pPr>
        <w:pStyle w:val="NASLOV123"/>
        <w:spacing w:before="0" w:after="0"/>
        <w:jc w:val="both"/>
        <w:rPr>
          <w:lang w:val="sr-Latn-ME"/>
        </w:rPr>
      </w:pPr>
      <w:r w:rsidRPr="00DA0B15">
        <w:rPr>
          <w:bCs/>
          <w:lang w:val="sr-Latn-ME"/>
        </w:rPr>
        <w:t>7.</w:t>
      </w:r>
      <w:r w:rsidR="00CB2C5F" w:rsidRPr="00DA0B15">
        <w:rPr>
          <w:bCs/>
          <w:lang w:val="sr-Latn-ME"/>
        </w:rPr>
        <w:tab/>
      </w:r>
      <w:r w:rsidR="00CB2C5F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>NOSILAC DOZVOLE</w:t>
      </w:r>
      <w:r w:rsidR="00CE09F3" w:rsidRPr="00DA0B15">
        <w:rPr>
          <w:lang w:val="sr-Latn-ME"/>
        </w:rPr>
        <w:t xml:space="preserve"> </w:t>
      </w:r>
    </w:p>
    <w:p w14:paraId="319EA703" w14:textId="77777777" w:rsidR="008475A7" w:rsidRPr="00DA0B15" w:rsidRDefault="008475A7" w:rsidP="008475A7">
      <w:pPr>
        <w:pStyle w:val="NASLOV123"/>
        <w:spacing w:before="0" w:after="0"/>
        <w:jc w:val="both"/>
        <w:rPr>
          <w:lang w:val="sr-Latn-ME"/>
        </w:rPr>
      </w:pPr>
    </w:p>
    <w:p w14:paraId="67CE0E6B" w14:textId="77777777" w:rsidR="00340F28" w:rsidRDefault="00340F28" w:rsidP="00502D28">
      <w:pPr>
        <w:rPr>
          <w:bCs/>
          <w:szCs w:val="22"/>
          <w:lang w:val="sr-Latn-ME"/>
        </w:rPr>
      </w:pPr>
      <w:r w:rsidRPr="00340F28">
        <w:rPr>
          <w:bCs/>
          <w:szCs w:val="22"/>
          <w:lang w:val="sr-Latn-ME"/>
        </w:rPr>
        <w:t>Glosarij d.o.o., Vojislavljevića 76, 81 000 Podgorica, Crna Gora</w:t>
      </w:r>
    </w:p>
    <w:p w14:paraId="61236B6D" w14:textId="77777777" w:rsidR="00E13909" w:rsidRPr="00DA0B15" w:rsidRDefault="00E13909" w:rsidP="00502D28">
      <w:pPr>
        <w:rPr>
          <w:szCs w:val="22"/>
          <w:lang w:val="sr-Latn-ME"/>
        </w:rPr>
      </w:pPr>
    </w:p>
    <w:p w14:paraId="2793E943" w14:textId="77777777" w:rsidR="00CE09F3" w:rsidRPr="00DA0B15" w:rsidRDefault="00CE09F3" w:rsidP="00502D28">
      <w:pPr>
        <w:rPr>
          <w:szCs w:val="22"/>
          <w:lang w:val="sr-Latn-ME"/>
        </w:rPr>
      </w:pPr>
    </w:p>
    <w:p w14:paraId="462F58D0" w14:textId="53AF6E6F" w:rsidR="00E54EED" w:rsidRPr="00DA0B15" w:rsidRDefault="00E13909" w:rsidP="00E13909">
      <w:pPr>
        <w:pStyle w:val="NASLOV123"/>
        <w:spacing w:before="0" w:after="240"/>
        <w:jc w:val="both"/>
        <w:rPr>
          <w:lang w:val="sr-Latn-ME"/>
        </w:rPr>
      </w:pPr>
      <w:r w:rsidRPr="00DA0B15">
        <w:rPr>
          <w:bCs/>
          <w:lang w:val="sr-Latn-ME"/>
        </w:rPr>
        <w:t xml:space="preserve">8. </w:t>
      </w:r>
      <w:r w:rsidRPr="00DA0B15">
        <w:rPr>
          <w:bCs/>
          <w:lang w:val="sr-Latn-ME"/>
        </w:rPr>
        <w:tab/>
      </w:r>
      <w:r w:rsidR="00CB2C5F"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>BROJ DOZVOLE ZA STAVLJANJE LIJEKA U PROMET</w:t>
      </w:r>
    </w:p>
    <w:p w14:paraId="216F0DE3" w14:textId="7742D217" w:rsidR="00E54EED" w:rsidRPr="00DA0B15" w:rsidRDefault="00E54EED" w:rsidP="00502D28">
      <w:pPr>
        <w:rPr>
          <w:i/>
          <w:szCs w:val="22"/>
          <w:lang w:val="sr-Latn-ME"/>
        </w:rPr>
      </w:pPr>
      <w:r w:rsidRPr="00DA0B15">
        <w:rPr>
          <w:szCs w:val="22"/>
          <w:lang w:val="sr-Latn-ME"/>
        </w:rPr>
        <w:t>Keppra,</w:t>
      </w:r>
      <w:r w:rsidR="00436907">
        <w:rPr>
          <w:szCs w:val="22"/>
          <w:lang w:val="sr-Latn-ME"/>
        </w:rPr>
        <w:t xml:space="preserve"> film</w:t>
      </w:r>
      <w:r w:rsidRPr="00DA0B15">
        <w:rPr>
          <w:szCs w:val="22"/>
          <w:lang w:val="sr-Latn-ME"/>
        </w:rPr>
        <w:t xml:space="preserve"> </w:t>
      </w:r>
      <w:r w:rsidR="008F72FD">
        <w:rPr>
          <w:szCs w:val="22"/>
          <w:lang w:val="sr-Latn-ME"/>
        </w:rPr>
        <w:t xml:space="preserve">tableta, </w:t>
      </w:r>
      <w:r w:rsidR="00180D41" w:rsidRPr="00DA0B15">
        <w:rPr>
          <w:szCs w:val="22"/>
          <w:lang w:val="sr-Latn-ME"/>
        </w:rPr>
        <w:t xml:space="preserve">250 mg, </w:t>
      </w:r>
      <w:r w:rsidR="008F72FD">
        <w:rPr>
          <w:szCs w:val="22"/>
          <w:lang w:val="sr-Latn-ME"/>
        </w:rPr>
        <w:t xml:space="preserve">blister, 60 </w:t>
      </w:r>
      <w:r w:rsidR="0094217C">
        <w:rPr>
          <w:szCs w:val="22"/>
          <w:lang w:val="sr-Latn-ME"/>
        </w:rPr>
        <w:t xml:space="preserve">film </w:t>
      </w:r>
      <w:r w:rsidR="008F72FD">
        <w:rPr>
          <w:szCs w:val="22"/>
          <w:lang w:val="sr-Latn-ME"/>
        </w:rPr>
        <w:t>tableta</w:t>
      </w:r>
      <w:r w:rsidR="00911F52" w:rsidRPr="00DA0B15">
        <w:rPr>
          <w:szCs w:val="22"/>
          <w:lang w:val="sr-Latn-ME"/>
        </w:rPr>
        <w:t>:</w:t>
      </w:r>
      <w:r w:rsidRPr="00DA0B15">
        <w:rPr>
          <w:szCs w:val="22"/>
          <w:lang w:val="sr-Latn-ME"/>
        </w:rPr>
        <w:t xml:space="preserve"> </w:t>
      </w:r>
      <w:r w:rsidR="00795796" w:rsidRPr="00795796">
        <w:rPr>
          <w:szCs w:val="22"/>
          <w:lang w:val="sr-Latn-ME"/>
        </w:rPr>
        <w:t>2030/24/1646 - 7331</w:t>
      </w:r>
    </w:p>
    <w:p w14:paraId="3C748DA3" w14:textId="6A57BCA2" w:rsidR="00E54EED" w:rsidRPr="00DA0B15" w:rsidRDefault="00E54EED" w:rsidP="00502D28">
      <w:pPr>
        <w:rPr>
          <w:szCs w:val="22"/>
          <w:lang w:val="sr-Latn-ME"/>
        </w:rPr>
      </w:pPr>
      <w:r w:rsidRPr="00DA0B15">
        <w:rPr>
          <w:szCs w:val="22"/>
          <w:lang w:val="sr-Latn-ME"/>
        </w:rPr>
        <w:t>Keppra,</w:t>
      </w:r>
      <w:r w:rsidR="00436907">
        <w:rPr>
          <w:szCs w:val="22"/>
          <w:lang w:val="sr-Latn-ME"/>
        </w:rPr>
        <w:t xml:space="preserve"> film</w:t>
      </w:r>
      <w:r w:rsidRPr="00DA0B15">
        <w:rPr>
          <w:szCs w:val="22"/>
          <w:lang w:val="sr-Latn-ME"/>
        </w:rPr>
        <w:t xml:space="preserve"> </w:t>
      </w:r>
      <w:r w:rsidR="008F72FD">
        <w:rPr>
          <w:szCs w:val="22"/>
          <w:lang w:val="sr-Latn-ME"/>
        </w:rPr>
        <w:t xml:space="preserve">tableta, </w:t>
      </w:r>
      <w:r w:rsidR="00E13909" w:rsidRPr="00DA0B15">
        <w:rPr>
          <w:szCs w:val="22"/>
          <w:lang w:val="sr-Latn-ME"/>
        </w:rPr>
        <w:t xml:space="preserve">500 mg, </w:t>
      </w:r>
      <w:r w:rsidR="008F72FD" w:rsidRPr="008F72FD">
        <w:rPr>
          <w:szCs w:val="22"/>
          <w:lang w:val="sr-Latn-ME"/>
        </w:rPr>
        <w:t xml:space="preserve">blister, 60 </w:t>
      </w:r>
      <w:r w:rsidR="0094217C">
        <w:rPr>
          <w:szCs w:val="22"/>
          <w:lang w:val="sr-Latn-ME"/>
        </w:rPr>
        <w:t xml:space="preserve">film </w:t>
      </w:r>
      <w:r w:rsidR="00795796">
        <w:rPr>
          <w:szCs w:val="22"/>
          <w:lang w:val="sr-Latn-ME"/>
        </w:rPr>
        <w:t>tableta:</w:t>
      </w:r>
      <w:r w:rsidR="008F72FD" w:rsidRPr="008F72FD">
        <w:rPr>
          <w:szCs w:val="22"/>
          <w:lang w:val="sr-Latn-ME"/>
        </w:rPr>
        <w:t xml:space="preserve"> </w:t>
      </w:r>
      <w:r w:rsidR="00795796" w:rsidRPr="00795796">
        <w:rPr>
          <w:szCs w:val="22"/>
          <w:lang w:val="sr-Latn-ME"/>
        </w:rPr>
        <w:t>2030/24/1647 - 7329</w:t>
      </w:r>
    </w:p>
    <w:p w14:paraId="5E6A8DB0" w14:textId="30B9AAE0" w:rsidR="00E54EED" w:rsidRPr="00DA0B15" w:rsidRDefault="00E54EED" w:rsidP="00502D28">
      <w:pPr>
        <w:rPr>
          <w:szCs w:val="22"/>
          <w:lang w:val="sr-Latn-ME"/>
        </w:rPr>
      </w:pPr>
      <w:r w:rsidRPr="00DA0B15">
        <w:rPr>
          <w:bCs/>
          <w:szCs w:val="22"/>
          <w:lang w:val="sr-Latn-ME"/>
        </w:rPr>
        <w:t>Keppra,</w:t>
      </w:r>
      <w:r w:rsidR="00436907">
        <w:rPr>
          <w:bCs/>
          <w:szCs w:val="22"/>
          <w:lang w:val="sr-Latn-ME"/>
        </w:rPr>
        <w:t xml:space="preserve"> film</w:t>
      </w:r>
      <w:r w:rsidR="00E13909" w:rsidRPr="00DA0B15">
        <w:rPr>
          <w:bCs/>
          <w:szCs w:val="22"/>
          <w:lang w:val="sr-Latn-ME"/>
        </w:rPr>
        <w:t xml:space="preserve"> </w:t>
      </w:r>
      <w:r w:rsidR="008F72FD">
        <w:rPr>
          <w:bCs/>
          <w:szCs w:val="22"/>
          <w:lang w:val="sr-Latn-ME"/>
        </w:rPr>
        <w:t xml:space="preserve">tableta, </w:t>
      </w:r>
      <w:r w:rsidR="00E13909" w:rsidRPr="00DA0B15">
        <w:rPr>
          <w:bCs/>
          <w:szCs w:val="22"/>
          <w:lang w:val="sr-Latn-ME"/>
        </w:rPr>
        <w:t>1000</w:t>
      </w:r>
      <w:r w:rsidR="008F72FD">
        <w:rPr>
          <w:bCs/>
          <w:szCs w:val="22"/>
          <w:lang w:val="sr-Latn-ME"/>
        </w:rPr>
        <w:t xml:space="preserve"> </w:t>
      </w:r>
      <w:r w:rsidR="00E13909" w:rsidRPr="00DA0B15">
        <w:rPr>
          <w:bCs/>
          <w:szCs w:val="22"/>
          <w:lang w:val="sr-Latn-ME"/>
        </w:rPr>
        <w:t>mg,</w:t>
      </w:r>
      <w:r w:rsidRPr="00DA0B15">
        <w:rPr>
          <w:bCs/>
          <w:szCs w:val="22"/>
          <w:lang w:val="sr-Latn-ME"/>
        </w:rPr>
        <w:t xml:space="preserve"> </w:t>
      </w:r>
      <w:r w:rsidR="008F72FD" w:rsidRPr="008F72FD">
        <w:rPr>
          <w:bCs/>
          <w:szCs w:val="22"/>
          <w:lang w:val="sr-Latn-ME"/>
        </w:rPr>
        <w:t xml:space="preserve">blister, 60 </w:t>
      </w:r>
      <w:r w:rsidR="0094217C">
        <w:rPr>
          <w:bCs/>
          <w:szCs w:val="22"/>
          <w:lang w:val="sr-Latn-ME"/>
        </w:rPr>
        <w:t xml:space="preserve">film </w:t>
      </w:r>
      <w:r w:rsidR="00795796">
        <w:rPr>
          <w:bCs/>
          <w:szCs w:val="22"/>
          <w:lang w:val="sr-Latn-ME"/>
        </w:rPr>
        <w:t xml:space="preserve">tableta: </w:t>
      </w:r>
      <w:r w:rsidR="00C01E62" w:rsidRPr="00C01E62">
        <w:rPr>
          <w:bCs/>
          <w:szCs w:val="22"/>
          <w:lang w:val="sr-Latn-ME"/>
        </w:rPr>
        <w:t>2030/24/1648 - 7332</w:t>
      </w:r>
    </w:p>
    <w:p w14:paraId="47F428FA" w14:textId="77777777" w:rsidR="00670934" w:rsidRPr="00DA0B15" w:rsidRDefault="00670934" w:rsidP="00502D28">
      <w:pPr>
        <w:rPr>
          <w:szCs w:val="22"/>
          <w:lang w:val="sr-Latn-ME"/>
        </w:rPr>
      </w:pPr>
    </w:p>
    <w:p w14:paraId="38CA9339" w14:textId="77777777" w:rsidR="00CE09F3" w:rsidRPr="00DA0B15" w:rsidRDefault="00CE09F3" w:rsidP="00502D28">
      <w:pPr>
        <w:rPr>
          <w:szCs w:val="22"/>
          <w:lang w:val="sr-Latn-ME"/>
        </w:rPr>
      </w:pPr>
    </w:p>
    <w:p w14:paraId="4E7EB5F7" w14:textId="6B7D1B66" w:rsidR="00E54EED" w:rsidRPr="00DA0B15" w:rsidRDefault="00C430D2" w:rsidP="00670934">
      <w:pPr>
        <w:pStyle w:val="NASLOV123"/>
        <w:spacing w:before="0" w:after="0"/>
        <w:jc w:val="both"/>
        <w:rPr>
          <w:lang w:val="sr-Latn-ME"/>
        </w:rPr>
      </w:pPr>
      <w:r w:rsidRPr="00DA0B15">
        <w:rPr>
          <w:bCs/>
          <w:lang w:val="sr-Latn-ME"/>
        </w:rPr>
        <w:t xml:space="preserve">9. </w:t>
      </w:r>
      <w:r w:rsidRPr="00DA0B15">
        <w:rPr>
          <w:bCs/>
          <w:lang w:val="sr-Latn-ME"/>
        </w:rPr>
        <w:tab/>
      </w:r>
      <w:r w:rsidRPr="00DA0B15">
        <w:rPr>
          <w:bCs/>
          <w:lang w:val="sr-Latn-ME"/>
        </w:rPr>
        <w:tab/>
        <w:t>DATUM PRVE DOZVOLE/OBNOVE DOZVOLE ZA STAVLJANJE LIJEKA U PROMET</w:t>
      </w:r>
    </w:p>
    <w:p w14:paraId="6E17B0C6" w14:textId="77777777" w:rsidR="00E54EED" w:rsidRPr="00DA0B15" w:rsidRDefault="00E54EED" w:rsidP="00502D28">
      <w:pPr>
        <w:rPr>
          <w:iCs/>
          <w:szCs w:val="22"/>
          <w:lang w:val="sr-Latn-ME"/>
        </w:rPr>
      </w:pPr>
    </w:p>
    <w:p w14:paraId="0C365B04" w14:textId="557BF16E" w:rsidR="0005798D" w:rsidRPr="00DA0B15" w:rsidRDefault="0005798D" w:rsidP="00DA0B15">
      <w:pPr>
        <w:pStyle w:val="Header"/>
        <w:tabs>
          <w:tab w:val="clear" w:pos="4536"/>
          <w:tab w:val="clear" w:pos="9072"/>
          <w:tab w:val="left" w:pos="284"/>
        </w:tabs>
        <w:rPr>
          <w:lang w:val="sr-Latn-ME"/>
        </w:rPr>
      </w:pPr>
      <w:r w:rsidRPr="00DA0B15">
        <w:rPr>
          <w:szCs w:val="22"/>
          <w:lang w:val="sr-Latn-ME"/>
        </w:rPr>
        <w:t>Datum prve dozvole:</w:t>
      </w:r>
      <w:r w:rsidR="00795796" w:rsidRPr="00795796">
        <w:t xml:space="preserve"> </w:t>
      </w:r>
      <w:r w:rsidR="00795796">
        <w:rPr>
          <w:szCs w:val="22"/>
          <w:lang w:val="sr-Latn-ME"/>
        </w:rPr>
        <w:t>15.</w:t>
      </w:r>
      <w:r w:rsidR="00DA3E11">
        <w:rPr>
          <w:szCs w:val="22"/>
          <w:lang w:val="sr-Latn-ME"/>
        </w:rPr>
        <w:t>08.2012</w:t>
      </w:r>
      <w:r w:rsidR="00795796">
        <w:rPr>
          <w:szCs w:val="22"/>
          <w:lang w:val="sr-Latn-ME"/>
        </w:rPr>
        <w:t>. godine</w:t>
      </w:r>
    </w:p>
    <w:p w14:paraId="1C4E6599" w14:textId="477CDA25" w:rsidR="00CE09F3" w:rsidRPr="00DA0B15" w:rsidRDefault="0005798D" w:rsidP="00502D28">
      <w:pPr>
        <w:autoSpaceDE w:val="0"/>
        <w:autoSpaceDN w:val="0"/>
        <w:adjustRightInd w:val="0"/>
        <w:rPr>
          <w:szCs w:val="22"/>
          <w:lang w:val="sr-Latn-ME"/>
        </w:rPr>
      </w:pPr>
      <w:r w:rsidRPr="00DA0B15">
        <w:rPr>
          <w:szCs w:val="22"/>
          <w:lang w:val="sr-Latn-ME"/>
        </w:rPr>
        <w:t>Datum posl</w:t>
      </w:r>
      <w:r w:rsidR="00D44807" w:rsidRPr="00DA0B15">
        <w:rPr>
          <w:szCs w:val="22"/>
          <w:lang w:val="sr-Latn-ME"/>
        </w:rPr>
        <w:t>j</w:t>
      </w:r>
      <w:r w:rsidRPr="00DA0B15">
        <w:rPr>
          <w:szCs w:val="22"/>
          <w:lang w:val="sr-Latn-ME"/>
        </w:rPr>
        <w:t>ednje obnove dozvole:</w:t>
      </w:r>
      <w:r w:rsidR="00795796" w:rsidRPr="00795796">
        <w:t xml:space="preserve"> </w:t>
      </w:r>
      <w:r w:rsidR="00795796">
        <w:rPr>
          <w:szCs w:val="22"/>
          <w:lang w:val="sr-Latn-ME"/>
        </w:rPr>
        <w:t>26.03.2024. godine</w:t>
      </w:r>
    </w:p>
    <w:p w14:paraId="069C5A74" w14:textId="77777777" w:rsidR="00CE09F3" w:rsidRPr="00DA0B15" w:rsidRDefault="00CE09F3" w:rsidP="00502D28">
      <w:pPr>
        <w:rPr>
          <w:szCs w:val="22"/>
          <w:lang w:val="sr-Latn-ME"/>
        </w:rPr>
      </w:pPr>
    </w:p>
    <w:p w14:paraId="14E39DB1" w14:textId="77777777" w:rsidR="00E11F11" w:rsidRPr="00DA0B15" w:rsidRDefault="00E11F11" w:rsidP="00502D28">
      <w:pPr>
        <w:rPr>
          <w:szCs w:val="22"/>
          <w:lang w:val="sr-Latn-ME"/>
        </w:rPr>
      </w:pPr>
    </w:p>
    <w:p w14:paraId="3746CCA3" w14:textId="6D2331C9" w:rsidR="00CE09F3" w:rsidRDefault="00CE09F3" w:rsidP="00E11F11">
      <w:pPr>
        <w:pStyle w:val="NASLOV123"/>
        <w:spacing w:before="0" w:after="0"/>
        <w:jc w:val="both"/>
        <w:rPr>
          <w:lang w:val="sr-Latn-ME"/>
        </w:rPr>
      </w:pPr>
      <w:r w:rsidRPr="00DA0B15">
        <w:rPr>
          <w:lang w:val="sr-Latn-ME"/>
        </w:rPr>
        <w:t xml:space="preserve">10. </w:t>
      </w:r>
      <w:r w:rsidR="00E11F11" w:rsidRPr="00DA0B15">
        <w:rPr>
          <w:lang w:val="sr-Latn-ME"/>
        </w:rPr>
        <w:tab/>
      </w:r>
      <w:r w:rsidRPr="00DA0B15">
        <w:rPr>
          <w:lang w:val="sr-Latn-ME"/>
        </w:rPr>
        <w:t>DATUM REVIZIJE TEKSTA</w:t>
      </w:r>
    </w:p>
    <w:p w14:paraId="7A39D2BE" w14:textId="34A249C3" w:rsidR="00C01E62" w:rsidRDefault="00C01E62" w:rsidP="00E11F11">
      <w:pPr>
        <w:pStyle w:val="NASLOV123"/>
        <w:spacing w:before="0" w:after="0"/>
        <w:jc w:val="both"/>
        <w:rPr>
          <w:lang w:val="sr-Latn-ME"/>
        </w:rPr>
      </w:pPr>
    </w:p>
    <w:p w14:paraId="50F47BF4" w14:textId="7665DB55" w:rsidR="00C01E62" w:rsidRPr="00C01E62" w:rsidRDefault="00C01E62" w:rsidP="00E11F11">
      <w:pPr>
        <w:pStyle w:val="NASLOV123"/>
        <w:spacing w:before="0" w:after="0"/>
        <w:jc w:val="both"/>
        <w:rPr>
          <w:b w:val="0"/>
          <w:lang w:val="sr-Latn-ME"/>
        </w:rPr>
      </w:pPr>
      <w:r w:rsidRPr="00C01E62">
        <w:rPr>
          <w:b w:val="0"/>
          <w:lang w:val="sr-Latn-ME"/>
        </w:rPr>
        <w:t>Mart, 2024. godine</w:t>
      </w:r>
    </w:p>
    <w:p w14:paraId="32256168" w14:textId="427D5C99" w:rsidR="00923865" w:rsidRPr="00923865" w:rsidRDefault="00923865" w:rsidP="00502D28">
      <w:pPr>
        <w:rPr>
          <w:bCs/>
          <w:szCs w:val="22"/>
        </w:rPr>
      </w:pPr>
    </w:p>
    <w:sectPr w:rsidR="00923865" w:rsidRPr="00923865" w:rsidSect="00DA0B15">
      <w:footerReference w:type="even" r:id="rId15"/>
      <w:footerReference w:type="default" r:id="rId16"/>
      <w:pgSz w:w="11907" w:h="16840" w:code="9"/>
      <w:pgMar w:top="905" w:right="1134" w:bottom="1701" w:left="1134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CF58E" w14:textId="77777777" w:rsidR="00884E80" w:rsidRDefault="00884E80">
      <w:r>
        <w:separator/>
      </w:r>
    </w:p>
  </w:endnote>
  <w:endnote w:type="continuationSeparator" w:id="0">
    <w:p w14:paraId="78B070A8" w14:textId="77777777" w:rsidR="00884E80" w:rsidRDefault="0088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DC9C" w14:textId="77777777" w:rsidR="00795796" w:rsidRDefault="00795796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DBF3A3" w14:textId="77777777" w:rsidR="00795796" w:rsidRDefault="0079579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7A4F8" w14:textId="433D4F9E" w:rsidR="00795796" w:rsidRPr="0096314E" w:rsidRDefault="00884E80" w:rsidP="00CE09F3">
    <w:pPr>
      <w:pStyle w:val="Footer"/>
      <w:tabs>
        <w:tab w:val="left" w:pos="5448"/>
      </w:tabs>
      <w:spacing w:before="360"/>
      <w:jc w:val="center"/>
      <w:rPr>
        <w:szCs w:val="22"/>
      </w:rPr>
    </w:pPr>
    <w:sdt>
      <w:sdtPr>
        <w:rPr>
          <w:szCs w:val="22"/>
        </w:rPr>
        <w:id w:val="2586280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Cs w:val="22"/>
            </w:rPr>
            <w:id w:val="565050477"/>
            <w:docPartObj>
              <w:docPartGallery w:val="Page Numbers (Top of Page)"/>
              <w:docPartUnique/>
            </w:docPartObj>
          </w:sdtPr>
          <w:sdtEndPr/>
          <w:sdtContent>
            <w:r w:rsidR="00795796" w:rsidRPr="00DA0B15">
              <w:rPr>
                <w:szCs w:val="22"/>
              </w:rPr>
              <w:fldChar w:fldCharType="begin"/>
            </w:r>
            <w:r w:rsidR="00795796" w:rsidRPr="00DA0B15">
              <w:rPr>
                <w:szCs w:val="22"/>
              </w:rPr>
              <w:instrText xml:space="preserve"> PAGE </w:instrText>
            </w:r>
            <w:r w:rsidR="00795796" w:rsidRPr="00DA0B15">
              <w:rPr>
                <w:szCs w:val="22"/>
              </w:rPr>
              <w:fldChar w:fldCharType="separate"/>
            </w:r>
            <w:r w:rsidR="00723407">
              <w:rPr>
                <w:noProof/>
                <w:szCs w:val="22"/>
              </w:rPr>
              <w:t>16</w:t>
            </w:r>
            <w:r w:rsidR="00795796" w:rsidRPr="00DA0B15">
              <w:rPr>
                <w:szCs w:val="22"/>
              </w:rPr>
              <w:fldChar w:fldCharType="end"/>
            </w:r>
            <w:r w:rsidR="00795796" w:rsidRPr="00DA0B15">
              <w:rPr>
                <w:szCs w:val="22"/>
              </w:rPr>
              <w:t xml:space="preserve"> / </w:t>
            </w:r>
            <w:r w:rsidR="00795796" w:rsidRPr="00DA0B15">
              <w:rPr>
                <w:szCs w:val="22"/>
              </w:rPr>
              <w:fldChar w:fldCharType="begin"/>
            </w:r>
            <w:r w:rsidR="00795796" w:rsidRPr="00DA0B15">
              <w:rPr>
                <w:szCs w:val="22"/>
              </w:rPr>
              <w:instrText xml:space="preserve"> NUMPAGES  </w:instrText>
            </w:r>
            <w:r w:rsidR="00795796" w:rsidRPr="00DA0B15">
              <w:rPr>
                <w:szCs w:val="22"/>
              </w:rPr>
              <w:fldChar w:fldCharType="separate"/>
            </w:r>
            <w:r w:rsidR="00723407">
              <w:rPr>
                <w:noProof/>
                <w:szCs w:val="22"/>
              </w:rPr>
              <w:t>16</w:t>
            </w:r>
            <w:r w:rsidR="00795796" w:rsidRPr="00DA0B15">
              <w:rPr>
                <w:szCs w:val="22"/>
              </w:rPr>
              <w:fldChar w:fldCharType="end"/>
            </w:r>
          </w:sdtContent>
        </w:sdt>
      </w:sdtContent>
    </w:sdt>
  </w:p>
  <w:p w14:paraId="6E209AA1" w14:textId="77777777" w:rsidR="00795796" w:rsidRPr="00C536C2" w:rsidRDefault="00795796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A862" w14:textId="77777777" w:rsidR="00884E80" w:rsidRDefault="00884E80">
      <w:r>
        <w:separator/>
      </w:r>
    </w:p>
  </w:footnote>
  <w:footnote w:type="continuationSeparator" w:id="0">
    <w:p w14:paraId="3E65C6DE" w14:textId="77777777" w:rsidR="00884E80" w:rsidRDefault="00884E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35024AFB"/>
    <w:multiLevelType w:val="hybridMultilevel"/>
    <w:tmpl w:val="69542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1B29"/>
    <w:rsid w:val="00017801"/>
    <w:rsid w:val="00025F1D"/>
    <w:rsid w:val="000356CE"/>
    <w:rsid w:val="00047642"/>
    <w:rsid w:val="0005798D"/>
    <w:rsid w:val="00062DB9"/>
    <w:rsid w:val="00064273"/>
    <w:rsid w:val="00083BE0"/>
    <w:rsid w:val="00092413"/>
    <w:rsid w:val="00095FB6"/>
    <w:rsid w:val="0009758B"/>
    <w:rsid w:val="000A0F4A"/>
    <w:rsid w:val="000A35C2"/>
    <w:rsid w:val="000A535F"/>
    <w:rsid w:val="000C082A"/>
    <w:rsid w:val="000C1784"/>
    <w:rsid w:val="000C7171"/>
    <w:rsid w:val="000D3EFB"/>
    <w:rsid w:val="000D5631"/>
    <w:rsid w:val="000E01C9"/>
    <w:rsid w:val="000E75C0"/>
    <w:rsid w:val="0010071A"/>
    <w:rsid w:val="00110FD5"/>
    <w:rsid w:val="00133083"/>
    <w:rsid w:val="00134F0E"/>
    <w:rsid w:val="00141639"/>
    <w:rsid w:val="0014180A"/>
    <w:rsid w:val="00143546"/>
    <w:rsid w:val="00157E2F"/>
    <w:rsid w:val="001714E8"/>
    <w:rsid w:val="00173D18"/>
    <w:rsid w:val="00175772"/>
    <w:rsid w:val="00175A7E"/>
    <w:rsid w:val="00180D41"/>
    <w:rsid w:val="00181239"/>
    <w:rsid w:val="001845D2"/>
    <w:rsid w:val="00184F91"/>
    <w:rsid w:val="0018601D"/>
    <w:rsid w:val="001A09D9"/>
    <w:rsid w:val="001A1923"/>
    <w:rsid w:val="001A4A0D"/>
    <w:rsid w:val="001B706A"/>
    <w:rsid w:val="001D10C9"/>
    <w:rsid w:val="001D7712"/>
    <w:rsid w:val="001E03CE"/>
    <w:rsid w:val="001E0A07"/>
    <w:rsid w:val="001E6145"/>
    <w:rsid w:val="001E6CFA"/>
    <w:rsid w:val="001F2D4E"/>
    <w:rsid w:val="001F39B6"/>
    <w:rsid w:val="00205768"/>
    <w:rsid w:val="0022218E"/>
    <w:rsid w:val="0022223A"/>
    <w:rsid w:val="0023695A"/>
    <w:rsid w:val="0024132F"/>
    <w:rsid w:val="00242DCD"/>
    <w:rsid w:val="00247C5C"/>
    <w:rsid w:val="00270390"/>
    <w:rsid w:val="00273223"/>
    <w:rsid w:val="00273BE0"/>
    <w:rsid w:val="002849FA"/>
    <w:rsid w:val="002A21AC"/>
    <w:rsid w:val="002B2E11"/>
    <w:rsid w:val="002B6F6A"/>
    <w:rsid w:val="002C07FB"/>
    <w:rsid w:val="002C0FBF"/>
    <w:rsid w:val="002D01C0"/>
    <w:rsid w:val="002F5E2F"/>
    <w:rsid w:val="00303922"/>
    <w:rsid w:val="0030590A"/>
    <w:rsid w:val="00316259"/>
    <w:rsid w:val="00316FC0"/>
    <w:rsid w:val="00334761"/>
    <w:rsid w:val="00340F28"/>
    <w:rsid w:val="003420B1"/>
    <w:rsid w:val="003452C0"/>
    <w:rsid w:val="003508D8"/>
    <w:rsid w:val="00355FC3"/>
    <w:rsid w:val="00356217"/>
    <w:rsid w:val="0037256C"/>
    <w:rsid w:val="00375213"/>
    <w:rsid w:val="00383195"/>
    <w:rsid w:val="00386D17"/>
    <w:rsid w:val="00395D50"/>
    <w:rsid w:val="003A2DF8"/>
    <w:rsid w:val="003A477D"/>
    <w:rsid w:val="003A6076"/>
    <w:rsid w:val="003A6C1E"/>
    <w:rsid w:val="003B2082"/>
    <w:rsid w:val="003C18A4"/>
    <w:rsid w:val="003D2EE3"/>
    <w:rsid w:val="003E3B4A"/>
    <w:rsid w:val="003E3EC7"/>
    <w:rsid w:val="003F75BF"/>
    <w:rsid w:val="004048F5"/>
    <w:rsid w:val="004051F0"/>
    <w:rsid w:val="00410D1E"/>
    <w:rsid w:val="004123CD"/>
    <w:rsid w:val="004127DB"/>
    <w:rsid w:val="004206CD"/>
    <w:rsid w:val="004234ED"/>
    <w:rsid w:val="00427D41"/>
    <w:rsid w:val="00436907"/>
    <w:rsid w:val="004504E2"/>
    <w:rsid w:val="0046239E"/>
    <w:rsid w:val="00462C33"/>
    <w:rsid w:val="00472CB2"/>
    <w:rsid w:val="00492248"/>
    <w:rsid w:val="00497648"/>
    <w:rsid w:val="004A3040"/>
    <w:rsid w:val="004B5A11"/>
    <w:rsid w:val="004B7A50"/>
    <w:rsid w:val="004C1B1D"/>
    <w:rsid w:val="004C2AF6"/>
    <w:rsid w:val="004D03DC"/>
    <w:rsid w:val="004D230F"/>
    <w:rsid w:val="004F6CDB"/>
    <w:rsid w:val="00502D28"/>
    <w:rsid w:val="00503974"/>
    <w:rsid w:val="0052230B"/>
    <w:rsid w:val="00525A8A"/>
    <w:rsid w:val="005276F0"/>
    <w:rsid w:val="00530909"/>
    <w:rsid w:val="0054583F"/>
    <w:rsid w:val="00546EF6"/>
    <w:rsid w:val="00554BE9"/>
    <w:rsid w:val="0056707E"/>
    <w:rsid w:val="00571F60"/>
    <w:rsid w:val="005B3388"/>
    <w:rsid w:val="005C3F73"/>
    <w:rsid w:val="005C3FBC"/>
    <w:rsid w:val="005C7891"/>
    <w:rsid w:val="00603302"/>
    <w:rsid w:val="00603FCF"/>
    <w:rsid w:val="00604E4F"/>
    <w:rsid w:val="006054EE"/>
    <w:rsid w:val="006118B6"/>
    <w:rsid w:val="006137DB"/>
    <w:rsid w:val="006270C0"/>
    <w:rsid w:val="00630195"/>
    <w:rsid w:val="006559AF"/>
    <w:rsid w:val="00660ED5"/>
    <w:rsid w:val="00661228"/>
    <w:rsid w:val="00666BAB"/>
    <w:rsid w:val="00670934"/>
    <w:rsid w:val="006728B9"/>
    <w:rsid w:val="0068303A"/>
    <w:rsid w:val="00693874"/>
    <w:rsid w:val="00693F46"/>
    <w:rsid w:val="006A0FD4"/>
    <w:rsid w:val="006A441F"/>
    <w:rsid w:val="006F158F"/>
    <w:rsid w:val="00704012"/>
    <w:rsid w:val="00710A03"/>
    <w:rsid w:val="00723407"/>
    <w:rsid w:val="00744CB5"/>
    <w:rsid w:val="00747996"/>
    <w:rsid w:val="00750F92"/>
    <w:rsid w:val="007541F7"/>
    <w:rsid w:val="0076105F"/>
    <w:rsid w:val="00764648"/>
    <w:rsid w:val="007672F3"/>
    <w:rsid w:val="00771869"/>
    <w:rsid w:val="00782AC7"/>
    <w:rsid w:val="00795796"/>
    <w:rsid w:val="007A482F"/>
    <w:rsid w:val="007A593E"/>
    <w:rsid w:val="007B16C4"/>
    <w:rsid w:val="007C2D7E"/>
    <w:rsid w:val="007D17FD"/>
    <w:rsid w:val="007D39EC"/>
    <w:rsid w:val="007D48C5"/>
    <w:rsid w:val="007E06F0"/>
    <w:rsid w:val="007E22F3"/>
    <w:rsid w:val="00802DFC"/>
    <w:rsid w:val="00814781"/>
    <w:rsid w:val="0081782B"/>
    <w:rsid w:val="008275CC"/>
    <w:rsid w:val="00834DBB"/>
    <w:rsid w:val="0084014E"/>
    <w:rsid w:val="00842FFB"/>
    <w:rsid w:val="008475A7"/>
    <w:rsid w:val="008501F2"/>
    <w:rsid w:val="00857FF4"/>
    <w:rsid w:val="0086351A"/>
    <w:rsid w:val="00874B61"/>
    <w:rsid w:val="00877903"/>
    <w:rsid w:val="00884E80"/>
    <w:rsid w:val="00885348"/>
    <w:rsid w:val="00887663"/>
    <w:rsid w:val="008A09AC"/>
    <w:rsid w:val="008A48B7"/>
    <w:rsid w:val="008B0134"/>
    <w:rsid w:val="008B3EB5"/>
    <w:rsid w:val="008B41E1"/>
    <w:rsid w:val="008B7711"/>
    <w:rsid w:val="008C5809"/>
    <w:rsid w:val="008D5CD8"/>
    <w:rsid w:val="008D78C9"/>
    <w:rsid w:val="008E0FC9"/>
    <w:rsid w:val="008E5526"/>
    <w:rsid w:val="008F72FD"/>
    <w:rsid w:val="00911F52"/>
    <w:rsid w:val="00913684"/>
    <w:rsid w:val="009136D5"/>
    <w:rsid w:val="00923865"/>
    <w:rsid w:val="0093016E"/>
    <w:rsid w:val="00934B4D"/>
    <w:rsid w:val="0094217C"/>
    <w:rsid w:val="00951343"/>
    <w:rsid w:val="00955C75"/>
    <w:rsid w:val="0096314E"/>
    <w:rsid w:val="00964326"/>
    <w:rsid w:val="009677DF"/>
    <w:rsid w:val="00977E9A"/>
    <w:rsid w:val="0098466C"/>
    <w:rsid w:val="009946F8"/>
    <w:rsid w:val="00994CE5"/>
    <w:rsid w:val="00996E6B"/>
    <w:rsid w:val="009A1D64"/>
    <w:rsid w:val="009B018A"/>
    <w:rsid w:val="009B1292"/>
    <w:rsid w:val="009B1F6B"/>
    <w:rsid w:val="009B2430"/>
    <w:rsid w:val="009B338B"/>
    <w:rsid w:val="009B58AD"/>
    <w:rsid w:val="009B7935"/>
    <w:rsid w:val="009C7BA2"/>
    <w:rsid w:val="009D1161"/>
    <w:rsid w:val="009D667B"/>
    <w:rsid w:val="009E48E0"/>
    <w:rsid w:val="009F4449"/>
    <w:rsid w:val="00A02252"/>
    <w:rsid w:val="00A127F1"/>
    <w:rsid w:val="00A12936"/>
    <w:rsid w:val="00A13218"/>
    <w:rsid w:val="00A27130"/>
    <w:rsid w:val="00A27DBE"/>
    <w:rsid w:val="00A631F1"/>
    <w:rsid w:val="00A70698"/>
    <w:rsid w:val="00A711DF"/>
    <w:rsid w:val="00A7147C"/>
    <w:rsid w:val="00A7660B"/>
    <w:rsid w:val="00A86897"/>
    <w:rsid w:val="00A902AB"/>
    <w:rsid w:val="00A95733"/>
    <w:rsid w:val="00AB5465"/>
    <w:rsid w:val="00AD207F"/>
    <w:rsid w:val="00B123D4"/>
    <w:rsid w:val="00B2103A"/>
    <w:rsid w:val="00B26FAC"/>
    <w:rsid w:val="00B3166F"/>
    <w:rsid w:val="00B31AA2"/>
    <w:rsid w:val="00B54563"/>
    <w:rsid w:val="00B74C0B"/>
    <w:rsid w:val="00B76714"/>
    <w:rsid w:val="00B8400D"/>
    <w:rsid w:val="00B853B1"/>
    <w:rsid w:val="00B85CF8"/>
    <w:rsid w:val="00B93338"/>
    <w:rsid w:val="00B93A37"/>
    <w:rsid w:val="00BA1819"/>
    <w:rsid w:val="00BA5A22"/>
    <w:rsid w:val="00BB55E5"/>
    <w:rsid w:val="00BD725A"/>
    <w:rsid w:val="00BE1A44"/>
    <w:rsid w:val="00BE48C5"/>
    <w:rsid w:val="00BE5D20"/>
    <w:rsid w:val="00BF122C"/>
    <w:rsid w:val="00BF3750"/>
    <w:rsid w:val="00C01E62"/>
    <w:rsid w:val="00C06244"/>
    <w:rsid w:val="00C13CF2"/>
    <w:rsid w:val="00C249BF"/>
    <w:rsid w:val="00C430D2"/>
    <w:rsid w:val="00C536C2"/>
    <w:rsid w:val="00C55F47"/>
    <w:rsid w:val="00C56E2E"/>
    <w:rsid w:val="00C63EB1"/>
    <w:rsid w:val="00C64A31"/>
    <w:rsid w:val="00C82E8B"/>
    <w:rsid w:val="00C84A47"/>
    <w:rsid w:val="00CA24DC"/>
    <w:rsid w:val="00CA3E91"/>
    <w:rsid w:val="00CB2C5F"/>
    <w:rsid w:val="00CC39EC"/>
    <w:rsid w:val="00CC4C88"/>
    <w:rsid w:val="00CC5B01"/>
    <w:rsid w:val="00CD0084"/>
    <w:rsid w:val="00CD0B1F"/>
    <w:rsid w:val="00CD2B17"/>
    <w:rsid w:val="00CD3F96"/>
    <w:rsid w:val="00CE0429"/>
    <w:rsid w:val="00CE09F3"/>
    <w:rsid w:val="00CE76DA"/>
    <w:rsid w:val="00CF5444"/>
    <w:rsid w:val="00CF7F71"/>
    <w:rsid w:val="00D02A6F"/>
    <w:rsid w:val="00D11E94"/>
    <w:rsid w:val="00D24501"/>
    <w:rsid w:val="00D30389"/>
    <w:rsid w:val="00D337F6"/>
    <w:rsid w:val="00D36458"/>
    <w:rsid w:val="00D427E0"/>
    <w:rsid w:val="00D44807"/>
    <w:rsid w:val="00D52CDB"/>
    <w:rsid w:val="00D538EA"/>
    <w:rsid w:val="00D61710"/>
    <w:rsid w:val="00D6611E"/>
    <w:rsid w:val="00D85F37"/>
    <w:rsid w:val="00D95E1D"/>
    <w:rsid w:val="00DA0B15"/>
    <w:rsid w:val="00DA3E11"/>
    <w:rsid w:val="00DA7951"/>
    <w:rsid w:val="00DB4534"/>
    <w:rsid w:val="00DC2F18"/>
    <w:rsid w:val="00DD1357"/>
    <w:rsid w:val="00DD2A82"/>
    <w:rsid w:val="00DD707E"/>
    <w:rsid w:val="00DF0146"/>
    <w:rsid w:val="00DF30C6"/>
    <w:rsid w:val="00DF46E4"/>
    <w:rsid w:val="00E04856"/>
    <w:rsid w:val="00E1069E"/>
    <w:rsid w:val="00E11F11"/>
    <w:rsid w:val="00E129E6"/>
    <w:rsid w:val="00E13909"/>
    <w:rsid w:val="00E13E35"/>
    <w:rsid w:val="00E21C80"/>
    <w:rsid w:val="00E50CD3"/>
    <w:rsid w:val="00E5279B"/>
    <w:rsid w:val="00E54EED"/>
    <w:rsid w:val="00E56089"/>
    <w:rsid w:val="00E86FE7"/>
    <w:rsid w:val="00E87BE1"/>
    <w:rsid w:val="00E94A72"/>
    <w:rsid w:val="00EA020F"/>
    <w:rsid w:val="00EA1F85"/>
    <w:rsid w:val="00EA3D71"/>
    <w:rsid w:val="00EB15E0"/>
    <w:rsid w:val="00EB6704"/>
    <w:rsid w:val="00EB7413"/>
    <w:rsid w:val="00EC74DC"/>
    <w:rsid w:val="00ED4585"/>
    <w:rsid w:val="00ED735F"/>
    <w:rsid w:val="00EE1DE8"/>
    <w:rsid w:val="00EF665A"/>
    <w:rsid w:val="00EF6B7A"/>
    <w:rsid w:val="00F37964"/>
    <w:rsid w:val="00F37FEB"/>
    <w:rsid w:val="00F42610"/>
    <w:rsid w:val="00F45587"/>
    <w:rsid w:val="00F50CDC"/>
    <w:rsid w:val="00F5775F"/>
    <w:rsid w:val="00F63F24"/>
    <w:rsid w:val="00F72782"/>
    <w:rsid w:val="00F74944"/>
    <w:rsid w:val="00FB6C61"/>
    <w:rsid w:val="00FC22F6"/>
    <w:rsid w:val="00FE1112"/>
    <w:rsid w:val="00FF0D13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538331"/>
  <w15:docId w15:val="{4974B5F5-5E9E-445D-B89D-96082AA8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NormalWeb">
    <w:name w:val="Normal (Web)"/>
    <w:basedOn w:val="Normal"/>
    <w:rsid w:val="000E01C9"/>
    <w:rPr>
      <w:sz w:val="24"/>
    </w:rPr>
  </w:style>
  <w:style w:type="character" w:customStyle="1" w:styleId="BalloonTextChar">
    <w:name w:val="Balloon Text Char"/>
    <w:link w:val="BalloonText"/>
    <w:uiPriority w:val="99"/>
    <w:semiHidden/>
    <w:rsid w:val="00E54E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46EF6"/>
    <w:rPr>
      <w:sz w:val="24"/>
      <w:szCs w:val="24"/>
    </w:rPr>
  </w:style>
  <w:style w:type="character" w:styleId="Hyperlink">
    <w:name w:val="Hyperlink"/>
    <w:basedOn w:val="DefaultParagraphFont"/>
    <w:rsid w:val="00546EF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A0B15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nmed.me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190549BEED489CAEEBE10B944C4E" ma:contentTypeVersion="25" ma:contentTypeDescription="Create a new document." ma:contentTypeScope="" ma:versionID="f11813e5a6014cb953ceb8098258989e">
  <xsd:schema xmlns:xsd="http://www.w3.org/2001/XMLSchema" xmlns:xs="http://www.w3.org/2001/XMLSchema" xmlns:p="http://schemas.microsoft.com/office/2006/metadata/properties" xmlns:ns2="b952dd15-0cc3-46e3-907b-6b87426d7430" targetNamespace="http://schemas.microsoft.com/office/2006/metadata/properties" ma:root="true" ma:fieldsID="c8f486b0a33c4f0d126ae4bfecb122ea" ns2:_="">
    <xsd:import namespace="b952dd15-0cc3-46e3-907b-6b87426d743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2dd15-0cc3-46e3-907b-6b87426d743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c487ea8-5e15-4499-a51c-3ffa2a75685b}" ma:internalName="TaxCatchAll" ma:showField="CatchAllData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c487ea8-5e15-4499-a51c-3ffa2a75685b}" ma:internalName="TaxCatchAllLabel" ma:readOnly="true" ma:showField="CatchAllDataLabel" ma:web="b952dd15-0cc3-46e3-907b-6b87426d74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2dd15-0cc3-46e3-907b-6b87426d7430">
      <Value>712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8E429-198E-4D6F-816A-91888DDEB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52dd15-0cc3-46e3-907b-6b87426d7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2340C-4D0B-4454-9AEF-8DD8231A15EF}">
  <ds:schemaRefs>
    <ds:schemaRef ds:uri="http://schemas.microsoft.com/office/2006/metadata/properties"/>
    <ds:schemaRef ds:uri="http://schemas.microsoft.com/office/infopath/2007/PartnerControls"/>
    <ds:schemaRef ds:uri="b952dd15-0cc3-46e3-907b-6b87426d7430"/>
  </ds:schemaRefs>
</ds:datastoreItem>
</file>

<file path=customXml/itemProps3.xml><?xml version="1.0" encoding="utf-8"?>
<ds:datastoreItem xmlns:ds="http://schemas.openxmlformats.org/officeDocument/2006/customXml" ds:itemID="{7D439032-72DB-4AE3-99B2-0BEA896DD6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68DEE4-B422-410D-BA1D-5BC102078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6649</Words>
  <Characters>37903</Characters>
  <Application>Microsoft Office Word</Application>
  <DocSecurity>0</DocSecurity>
  <Lines>315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Marijanović</cp:lastModifiedBy>
  <cp:revision>2</cp:revision>
  <cp:lastPrinted>2016-07-25T08:52:00Z</cp:lastPrinted>
  <dcterms:created xsi:type="dcterms:W3CDTF">2024-03-28T08:41:00Z</dcterms:created>
  <dcterms:modified xsi:type="dcterms:W3CDTF">2024-03-28T08:41:00Z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989daef41b9495a8fbce00462fa7651">
    <vt:lpwstr/>
  </property>
  <property fmtid="{D5CDD505-2E9C-101B-9397-08002B2CF9AE}" pid="3" name="k10395a1545d42c9a28bb8ddc503f409">
    <vt:lpwstr/>
  </property>
  <property fmtid="{D5CDD505-2E9C-101B-9397-08002B2CF9AE}" pid="4" name="Market">
    <vt:lpwstr/>
  </property>
  <property fmtid="{D5CDD505-2E9C-101B-9397-08002B2CF9AE}" pid="5" name="Year">
    <vt:lpwstr>712;#2019|e6e051a7-8369-4a31-990d-a93d0165c3d7</vt:lpwstr>
  </property>
  <property fmtid="{D5CDD505-2E9C-101B-9397-08002B2CF9AE}" pid="6" name="Product">
    <vt:lpwstr/>
  </property>
  <property fmtid="{D5CDD505-2E9C-101B-9397-08002B2CF9AE}" pid="7" name="ContentTypeId">
    <vt:lpwstr>0x010100F194190549BEED489CAEEBE10B944C4E</vt:lpwstr>
  </property>
  <property fmtid="{D5CDD505-2E9C-101B-9397-08002B2CF9AE}" pid="8" name="nfa878bc9a6d4a39b45b19238f9d72ba">
    <vt:lpwstr>2019|e6e051a7-8369-4a31-990d-a93d0165c3d7</vt:lpwstr>
  </property>
  <property fmtid="{D5CDD505-2E9C-101B-9397-08002B2CF9AE}" pid="9" name="_docset_NoMedatataSyncRequired">
    <vt:lpwstr>False</vt:lpwstr>
  </property>
  <property fmtid="{D5CDD505-2E9C-101B-9397-08002B2CF9AE}" pid="10" name="Doc_x0020_type_x0020_Approved">
    <vt:lpwstr/>
  </property>
  <property fmtid="{D5CDD505-2E9C-101B-9397-08002B2CF9AE}" pid="11" name="Doc type Approved">
    <vt:lpwstr/>
  </property>
</Properties>
</file>