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95BDD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38609D2" w14:textId="77777777" w:rsidR="00930311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833A3A3" w14:textId="77777777" w:rsidR="00930311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7019A936" w14:textId="77777777" w:rsidR="00930311" w:rsidRDefault="00930311" w:rsidP="00930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58AF606D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B1328C3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ARCHIFAR, 1 g, prašak za rastvor za injekciju/infuziju</w:t>
      </w:r>
    </w:p>
    <w:p w14:paraId="090FA1A7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B92ADB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INN: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</w:p>
    <w:p w14:paraId="55ADED52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7653DC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53D03E64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6F65199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Svaka bočica sadrži 1 g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u obliku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trihidrata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.</w:t>
      </w:r>
    </w:p>
    <w:p w14:paraId="62A56187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D9B5720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bookmarkStart w:id="0" w:name="_Hlk68689500"/>
      <w:r>
        <w:rPr>
          <w:rFonts w:ascii="Times New Roman" w:eastAsia="Times New Roman" w:hAnsi="Times New Roman" w:cs="Times New Roman"/>
          <w:u w:val="single"/>
          <w:lang w:val="sr-Latn-ME"/>
        </w:rPr>
        <w:t>Pomoćne supstance sa potvrđenim dejstvom</w:t>
      </w:r>
      <w:r>
        <w:rPr>
          <w:rFonts w:ascii="Times New Roman" w:eastAsia="Times New Roman" w:hAnsi="Times New Roman" w:cs="Times New Roman"/>
          <w:lang w:val="sr-Latn-ME"/>
        </w:rPr>
        <w:t xml:space="preserve">: </w:t>
      </w:r>
    </w:p>
    <w:p w14:paraId="4B6A53B8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Svaka bočica od 1 g sadrži 207.7 mg natrijum karbonata, što je ekvivalentno oko 4.0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mEq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natrijuma (oko 90 mg).</w:t>
      </w:r>
      <w:bookmarkEnd w:id="0"/>
    </w:p>
    <w:p w14:paraId="491AA5AA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Za listu svih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ekscipijenasa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, pogledati dio 6.1.</w:t>
      </w:r>
    </w:p>
    <w:p w14:paraId="574EFA09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DB06B0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3F3BEB9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8C8C98D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Prašak za rastvor za injekciju/infuziju. </w:t>
      </w:r>
    </w:p>
    <w:p w14:paraId="49E9290C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Bijeli do svijetlo žuti kristalni prašak.</w:t>
      </w:r>
    </w:p>
    <w:p w14:paraId="10D890E5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F3B6B5E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0A14243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1BCFBD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Lijek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Archifar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indikovan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za liječenje kod odraslih i djece uzrasta 3 mjeseca i starije, u terapiji sljedećih infekcija (vidjeti djelove 4.4. i 5.1):</w:t>
      </w:r>
    </w:p>
    <w:p w14:paraId="0A1615A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0C48E057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Teške pneumonije, uključujući bolničke i pneumonije povezane sa mehaničkom ventilacijom</w:t>
      </w:r>
    </w:p>
    <w:p w14:paraId="62D32014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Bronhopulmonalne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infekcije kod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cistične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fibroze</w:t>
      </w:r>
      <w:proofErr w:type="spellEnd"/>
    </w:p>
    <w:p w14:paraId="58827B20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Komplikovane infekcije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urinarnog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trakta</w:t>
      </w:r>
    </w:p>
    <w:p w14:paraId="20BA6EFE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Komplikovane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intraabdominalne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infekcije</w:t>
      </w:r>
    </w:p>
    <w:p w14:paraId="2B40BD1F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Intra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-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postpartalne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infekcije</w:t>
      </w:r>
    </w:p>
    <w:p w14:paraId="6DA4269A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Komplikovane infekcije kože i mekih tkiva</w:t>
      </w:r>
    </w:p>
    <w:p w14:paraId="4D69C1B4" w14:textId="77777777" w:rsidR="00930311" w:rsidRDefault="00930311" w:rsidP="00930311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Akutni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bakterijski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meningitis.</w:t>
      </w:r>
    </w:p>
    <w:p w14:paraId="6D38F59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3D33CFC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Lijek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Archifar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se može primjenjivati kod febrilnih pacijenata sa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neutropenijom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za koju se sumnja da je uzrokovana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bakterijskom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infekcijom.</w:t>
      </w:r>
    </w:p>
    <w:p w14:paraId="07B7827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Lijek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Archifar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se primjenjuje u terapiji pacijenata sa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bakterijemijom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koja je povezana, ili se sumnja da je povezana, sa bilo kojom od prethodno navedenih infekcija.</w:t>
      </w:r>
    </w:p>
    <w:p w14:paraId="2615531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Uvijek treba uzeti u obzir zvanične smjernice za pravilnu primjenu antibiotika.</w:t>
      </w:r>
    </w:p>
    <w:p w14:paraId="1B21923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F3214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1F733F9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235BA32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U tabelama u nastavku prikazane su opšte preporuke za doziranje.</w:t>
      </w:r>
    </w:p>
    <w:p w14:paraId="0D8EEF7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lastRenderedPageBreak/>
        <w:t xml:space="preserve">Pri određivanju doze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koju treba primijeniti i trajanja terapije treba uzeti u obzir vrstu infekcije, uključujući njenu težinu i klinički odgovor.</w:t>
      </w:r>
    </w:p>
    <w:p w14:paraId="3F84F84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6B358C0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Doze do 2 g tri puta dnevno kod odraslih i adolescenata i doze do 40 mg/kg tri puta dnevno kod djece mogu biti posebno pogodne za liječenje nekih vrsta infekcija, kao što su infekcije izazvane manje osjetljivim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bakterijskim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vrstama (npr.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>Enterobacteriaceae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>Pseudomonas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>aeruginosa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>Acinetobacter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spp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.), ili veoma teških infekcija.</w:t>
      </w:r>
    </w:p>
    <w:p w14:paraId="004A4A1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Za liječenje pacijenata sa bubrežnom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insuficijencijom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potrebna su dodatna razmatranja doze lijeka (vidjeti u nastavku).</w:t>
      </w:r>
    </w:p>
    <w:p w14:paraId="3D08B13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11835D8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iCs/>
          <w:color w:val="000000"/>
          <w:u w:val="single"/>
          <w:lang w:val="sr-Latn-ME"/>
        </w:rPr>
        <w:t>Odrasli i adolescenti</w:t>
      </w:r>
    </w:p>
    <w:p w14:paraId="77A8D8E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2983"/>
      </w:tblGrid>
      <w:tr w:rsidR="00930311" w14:paraId="3F76B8B1" w14:textId="77777777" w:rsidTr="00930311">
        <w:trPr>
          <w:trHeight w:hRule="exact" w:val="633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8789" w14:textId="77777777" w:rsidR="00930311" w:rsidRDefault="00930311">
            <w:pPr>
              <w:spacing w:after="0" w:line="22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</w:p>
          <w:p w14:paraId="3A7D4B0B" w14:textId="77777777" w:rsidR="00930311" w:rsidRDefault="00930311">
            <w:pPr>
              <w:spacing w:after="0" w:line="22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 xml:space="preserve">Infekcija </w:t>
            </w:r>
          </w:p>
          <w:p w14:paraId="73B4A847" w14:textId="77777777" w:rsidR="00930311" w:rsidRDefault="00930311">
            <w:pPr>
              <w:spacing w:after="0" w:line="22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</w:p>
          <w:p w14:paraId="74A8B057" w14:textId="77777777" w:rsidR="00930311" w:rsidRDefault="00930311">
            <w:pPr>
              <w:spacing w:after="0" w:line="22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0681DFE3" w14:textId="77777777" w:rsidR="00930311" w:rsidRDefault="00930311">
            <w:pPr>
              <w:spacing w:after="1" w:line="23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Doza koju treba primijeniti na svakih 8 sati</w:t>
            </w:r>
          </w:p>
        </w:tc>
      </w:tr>
      <w:tr w:rsidR="00930311" w14:paraId="533CC439" w14:textId="77777777" w:rsidTr="00930311">
        <w:trPr>
          <w:trHeight w:hRule="exact" w:val="510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8451A" w14:textId="77777777" w:rsidR="00930311" w:rsidRDefault="00930311">
            <w:pPr>
              <w:spacing w:after="0" w:line="233" w:lineRule="exact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Teška pneumonija uključujući bolničku i pneumoniju povezanu sa mehaničkom ventilacijom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FD861" w14:textId="77777777" w:rsidR="00930311" w:rsidRDefault="00930311">
            <w:pPr>
              <w:spacing w:after="23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500 mg ili 1 g</w:t>
            </w:r>
          </w:p>
        </w:tc>
      </w:tr>
      <w:tr w:rsidR="00930311" w14:paraId="15159526" w14:textId="77777777" w:rsidTr="00930311">
        <w:trPr>
          <w:trHeight w:hRule="exact" w:val="245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A761" w14:textId="77777777" w:rsidR="00930311" w:rsidRDefault="00930311">
            <w:pPr>
              <w:spacing w:after="0" w:line="23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Bronhopulmonalne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infekcije kod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cistične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fibroze</w:t>
            </w:r>
            <w:proofErr w:type="spellEnd"/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2AED" w14:textId="77777777" w:rsidR="00930311" w:rsidRDefault="00930311">
            <w:pPr>
              <w:spacing w:after="0" w:line="23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 g</w:t>
            </w:r>
          </w:p>
        </w:tc>
      </w:tr>
      <w:tr w:rsidR="00930311" w14:paraId="5C6FBE2A" w14:textId="77777777" w:rsidTr="00930311">
        <w:trPr>
          <w:trHeight w:hRule="exact" w:val="255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9E7B" w14:textId="77777777" w:rsidR="00930311" w:rsidRDefault="00930311">
            <w:pPr>
              <w:spacing w:after="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Komplikovane infekcije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urinarnog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trakta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7C00E" w14:textId="77777777" w:rsidR="00930311" w:rsidRDefault="00930311">
            <w:pPr>
              <w:spacing w:after="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500 mg ili 1 g</w:t>
            </w:r>
          </w:p>
        </w:tc>
      </w:tr>
      <w:tr w:rsidR="00930311" w14:paraId="6C32E0A4" w14:textId="77777777" w:rsidTr="00930311">
        <w:trPr>
          <w:trHeight w:hRule="exact" w:val="249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2C5F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Komplikovane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intraabdominalne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infekcije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0D8F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500 mg ili 1 g</w:t>
            </w:r>
          </w:p>
        </w:tc>
      </w:tr>
      <w:tr w:rsidR="00930311" w14:paraId="63688881" w14:textId="77777777" w:rsidTr="00930311">
        <w:trPr>
          <w:trHeight w:hRule="exact" w:val="255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EE88" w14:textId="77777777" w:rsidR="00930311" w:rsidRDefault="00930311">
            <w:pPr>
              <w:spacing w:after="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Intra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-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postpartalne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infekcije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DA75" w14:textId="77777777" w:rsidR="00930311" w:rsidRDefault="00930311">
            <w:pPr>
              <w:spacing w:after="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500 mg ili 1 g</w:t>
            </w:r>
          </w:p>
        </w:tc>
      </w:tr>
      <w:tr w:rsidR="00930311" w14:paraId="568B6148" w14:textId="77777777" w:rsidTr="00930311">
        <w:trPr>
          <w:trHeight w:hRule="exact" w:val="249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9A13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Komplikovane infekcije kože i mekih tkiva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A33E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500 mg ili 1 g</w:t>
            </w:r>
          </w:p>
        </w:tc>
      </w:tr>
      <w:tr w:rsidR="00930311" w14:paraId="71074037" w14:textId="77777777" w:rsidTr="00930311">
        <w:trPr>
          <w:trHeight w:hRule="exact" w:val="255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E664" w14:textId="77777777" w:rsidR="00930311" w:rsidRDefault="00930311">
            <w:pPr>
              <w:spacing w:after="0" w:line="24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Akutni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bakterijski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meningitis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5F00" w14:textId="77777777" w:rsidR="00930311" w:rsidRDefault="00930311">
            <w:pPr>
              <w:spacing w:after="0" w:line="24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 g</w:t>
            </w:r>
          </w:p>
        </w:tc>
      </w:tr>
      <w:tr w:rsidR="00930311" w14:paraId="792F5657" w14:textId="77777777" w:rsidTr="00930311">
        <w:trPr>
          <w:trHeight w:hRule="exact" w:val="255"/>
        </w:trPr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672E" w14:textId="77777777" w:rsidR="00930311" w:rsidRDefault="00930311">
            <w:pPr>
              <w:spacing w:after="6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Liječenje pacijenata sa febrilnom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neutropenijom</w:t>
            </w:r>
            <w:proofErr w:type="spellEnd"/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2A72" w14:textId="77777777" w:rsidR="00930311" w:rsidRDefault="00930311">
            <w:pPr>
              <w:spacing w:after="6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 g</w:t>
            </w:r>
          </w:p>
        </w:tc>
      </w:tr>
    </w:tbl>
    <w:p w14:paraId="28103C6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11EAB59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se obično daje putem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infuzije koja traje približno od 15 do 30 minuta (vidjeti djelove 6.2, 6.3. i 6.6).</w:t>
      </w:r>
    </w:p>
    <w:p w14:paraId="7445C1E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332C25B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Alternativno, doze do 1 g mogu se dati u vidu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bolus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injekcije u trajanju od približno 5 minuta. Podaci o bezbjednosti primjene doze od 2 g u vidu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bolus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injekcije kod odraslih su ograničeni.</w:t>
      </w:r>
    </w:p>
    <w:p w14:paraId="3FAFA7E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50C8711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  <w:t>Oštećenje funkcije bubrega</w:t>
      </w:r>
    </w:p>
    <w:p w14:paraId="34A7D0C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Doza za odrasle i adolescente mora se prilagoditi u slučaju kada je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klirens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kreatinina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manji od 51 ml/min, kao što je prikazano u tabeli. Podaci o primjeni ovih prilagođenih doza za pojedinačnu dozu od 2 g su ograničeni.</w:t>
      </w:r>
    </w:p>
    <w:p w14:paraId="2501566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4267"/>
        <w:gridCol w:w="1995"/>
      </w:tblGrid>
      <w:tr w:rsidR="00930311" w14:paraId="314F5EF9" w14:textId="77777777" w:rsidTr="00930311">
        <w:trPr>
          <w:trHeight w:hRule="exact" w:val="641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DA8A1" w14:textId="77777777" w:rsidR="00930311" w:rsidRDefault="00930311">
            <w:pPr>
              <w:spacing w:after="472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Klirens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kreatinina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 xml:space="preserve"> (ml/min)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B0D32" w14:textId="77777777" w:rsidR="00930311" w:rsidRDefault="00930311">
            <w:pPr>
              <w:spacing w:after="0" w:line="236" w:lineRule="exact"/>
              <w:ind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Doza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(na osnovu pojedinačnih doza od 500 mg ili 1 g ili 2 g, vidjeti prethodnu tabelu)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EF70" w14:textId="77777777" w:rsidR="00930311" w:rsidRDefault="00930311">
            <w:pPr>
              <w:spacing w:after="472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Učestalost</w:t>
            </w:r>
          </w:p>
        </w:tc>
      </w:tr>
      <w:tr w:rsidR="00930311" w14:paraId="2BBF58D9" w14:textId="77777777" w:rsidTr="00930311">
        <w:trPr>
          <w:trHeight w:hRule="exact" w:val="25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54A4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26-50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FDC7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jedna pojedinačna  doza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6B235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svakih 12 sati</w:t>
            </w:r>
          </w:p>
        </w:tc>
      </w:tr>
      <w:tr w:rsidR="00930311" w14:paraId="0BE26542" w14:textId="77777777" w:rsidTr="00930311">
        <w:trPr>
          <w:trHeight w:hRule="exact" w:val="254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3C25" w14:textId="77777777" w:rsidR="00930311" w:rsidRDefault="00930311">
            <w:pPr>
              <w:spacing w:after="0" w:line="24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10-25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43EF" w14:textId="77777777" w:rsidR="00930311" w:rsidRDefault="00930311">
            <w:pPr>
              <w:spacing w:after="0" w:line="24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polovina jedne pojedinačne doze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28A1" w14:textId="77777777" w:rsidR="00930311" w:rsidRDefault="00930311">
            <w:pPr>
              <w:spacing w:after="0" w:line="24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svakih 12 sati</w:t>
            </w:r>
          </w:p>
        </w:tc>
      </w:tr>
      <w:tr w:rsidR="00930311" w14:paraId="3F6A161B" w14:textId="77777777" w:rsidTr="00930311">
        <w:trPr>
          <w:trHeight w:hRule="exact" w:val="269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545F" w14:textId="77777777" w:rsidR="00930311" w:rsidRDefault="00930311">
            <w:pPr>
              <w:spacing w:after="1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&lt;10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6740" w14:textId="77777777" w:rsidR="00930311" w:rsidRDefault="00930311">
            <w:pPr>
              <w:spacing w:after="1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polovina jedne pojedinačne doze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D891" w14:textId="77777777" w:rsidR="00930311" w:rsidRDefault="00930311">
            <w:pPr>
              <w:spacing w:after="11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svaka 24 sata</w:t>
            </w:r>
          </w:p>
        </w:tc>
      </w:tr>
    </w:tbl>
    <w:p w14:paraId="63DEE51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7906C68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se eliminiše iz organizma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hemodijalizom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hemofiltracijom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. Potrebnu dozu treba primijeniti poslije završetka ciklusa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hemodijalize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.</w:t>
      </w:r>
    </w:p>
    <w:p w14:paraId="13FAB42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Nijesu utvrđene preporuke za doziranje za pacijente na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peritonealnoj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dijalizi.</w:t>
      </w:r>
    </w:p>
    <w:p w14:paraId="13DD51B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</w:p>
    <w:p w14:paraId="2C93EF3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  <w:t xml:space="preserve">Oštećenje funkcije jetre </w:t>
      </w:r>
    </w:p>
    <w:p w14:paraId="424D94E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Nije potrebno prilagođavanje doze kod pacijenata sa oštećenjem funkcije jetre (vidjeti dio 4.4).</w:t>
      </w:r>
    </w:p>
    <w:p w14:paraId="3556666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</w:pPr>
    </w:p>
    <w:p w14:paraId="4EA2E99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i/>
          <w:color w:val="000000"/>
          <w:u w:val="single"/>
          <w:lang w:val="sr-Latn-ME"/>
        </w:rPr>
        <w:t xml:space="preserve">Doze kod starijih pacijenata </w:t>
      </w:r>
    </w:p>
    <w:p w14:paraId="5AE70DF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Nije potrebno prilagođavanje doze kod starijih pacijenata čija je bubrežna funkcija normalna ili kod kojih je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klirens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kreatinina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50 ml/min.</w:t>
      </w:r>
    </w:p>
    <w:p w14:paraId="0F335185" w14:textId="77777777" w:rsidR="00E31B8B" w:rsidRDefault="00E31B8B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  <w:lang w:val="sr-Latn-ME"/>
        </w:rPr>
      </w:pPr>
    </w:p>
    <w:p w14:paraId="2284D70B" w14:textId="2F4BEF9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i/>
          <w:u w:val="single"/>
          <w:lang w:val="sr-Latn-ME"/>
        </w:rPr>
        <w:lastRenderedPageBreak/>
        <w:t xml:space="preserve">Pedijatrijska populacija </w:t>
      </w:r>
    </w:p>
    <w:p w14:paraId="5D3A755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26B5961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>
        <w:rPr>
          <w:rFonts w:ascii="Times New Roman" w:eastAsia="Times New Roman" w:hAnsi="Times New Roman" w:cs="Times New Roman"/>
          <w:bCs/>
          <w:i/>
          <w:lang w:val="sr-Latn-ME"/>
        </w:rPr>
        <w:t>Djeca mlađa od 3 mjeseca</w:t>
      </w:r>
    </w:p>
    <w:p w14:paraId="1F4B4B9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Nije ustanovljena bezbjednost ni efikasnost primjene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kod djece mlađe od 3 mjeseca pa tako ni optimalni režim doziranja. Međutim, ograničeni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farmakokinetički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podaci ukazuju da odgovarajući režim doziranja može biti 20 mg/kg svakih 8 sati (vidjeti dio 5.2).</w:t>
      </w:r>
    </w:p>
    <w:p w14:paraId="269ECC6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35142CE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>
        <w:rPr>
          <w:rFonts w:ascii="Times New Roman" w:eastAsia="Times New Roman" w:hAnsi="Times New Roman" w:cs="Times New Roman"/>
          <w:bCs/>
          <w:i/>
          <w:lang w:val="sr-Latn-ME"/>
        </w:rPr>
        <w:t>Djeca uzrasta od 3 mjeseca do 11 godina i do 50 kg tjelesne mase</w:t>
      </w:r>
    </w:p>
    <w:p w14:paraId="620BC7E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Preporučeni režimi doziranja prikazani su u tabeli ispod:</w:t>
      </w:r>
    </w:p>
    <w:p w14:paraId="7900B9E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3030"/>
      </w:tblGrid>
      <w:tr w:rsidR="00930311" w14:paraId="6411A176" w14:textId="77777777" w:rsidTr="00930311">
        <w:trPr>
          <w:trHeight w:hRule="exact" w:val="603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2D69" w14:textId="77777777" w:rsidR="00930311" w:rsidRDefault="00930311">
            <w:pPr>
              <w:spacing w:after="3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Infekcija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E219" w14:textId="77777777" w:rsidR="00930311" w:rsidRDefault="00930311">
            <w:pPr>
              <w:spacing w:after="3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 xml:space="preserve">Doza koju treba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primijenititi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 xml:space="preserve"> na svakih 8 sati</w:t>
            </w:r>
          </w:p>
        </w:tc>
      </w:tr>
      <w:tr w:rsidR="00930311" w14:paraId="265D1AF8" w14:textId="77777777" w:rsidTr="00930311">
        <w:trPr>
          <w:trHeight w:hRule="exact" w:val="546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C178B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Teška pneumonija uključujući bolničku i pneumoniju povezanu sa  mehaničkom ventilacijom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FE3A6" w14:textId="77777777" w:rsidR="00930311" w:rsidRDefault="00930311">
            <w:pPr>
              <w:spacing w:after="22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10 ili 20 mg/kg</w:t>
            </w:r>
          </w:p>
        </w:tc>
      </w:tr>
      <w:tr w:rsidR="00930311" w14:paraId="51A65D4E" w14:textId="77777777" w:rsidTr="00930311">
        <w:trPr>
          <w:trHeight w:hRule="exact" w:val="254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5064" w14:textId="77777777" w:rsidR="00930311" w:rsidRDefault="00930311">
            <w:pPr>
              <w:spacing w:after="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Bronhopulmonalne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infekcije kod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cistične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fibroze</w:t>
            </w:r>
            <w:proofErr w:type="spellEnd"/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044A" w14:textId="77777777" w:rsidR="00930311" w:rsidRDefault="00930311">
            <w:pPr>
              <w:spacing w:after="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40 mg/kg</w:t>
            </w:r>
          </w:p>
        </w:tc>
      </w:tr>
      <w:tr w:rsidR="00930311" w14:paraId="5715B74A" w14:textId="77777777" w:rsidTr="00930311">
        <w:trPr>
          <w:trHeight w:hRule="exact" w:val="25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4BAE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Komplikovane infekcije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urinarnog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trakta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43F3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10 ili 20 mg/kg</w:t>
            </w:r>
          </w:p>
        </w:tc>
      </w:tr>
      <w:tr w:rsidR="00930311" w14:paraId="04987F81" w14:textId="77777777" w:rsidTr="00930311">
        <w:trPr>
          <w:trHeight w:hRule="exact" w:val="249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6EF1" w14:textId="77777777" w:rsidR="00930311" w:rsidRDefault="00930311">
            <w:pPr>
              <w:spacing w:after="2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Komplikovane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intraabdominalne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infekcije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0451" w14:textId="77777777" w:rsidR="00930311" w:rsidRDefault="00930311">
            <w:pPr>
              <w:spacing w:after="2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10 ili 20 mg/kg</w:t>
            </w:r>
          </w:p>
        </w:tc>
      </w:tr>
      <w:tr w:rsidR="00930311" w14:paraId="719A8258" w14:textId="77777777" w:rsidTr="00930311">
        <w:trPr>
          <w:trHeight w:hRule="exact" w:val="25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36E0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Komplikovane infekcije kože i mekih tkiva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265D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10 ili 20 mg/kg</w:t>
            </w:r>
          </w:p>
        </w:tc>
      </w:tr>
      <w:tr w:rsidR="00930311" w14:paraId="24E3F7E2" w14:textId="77777777" w:rsidTr="00930311">
        <w:trPr>
          <w:trHeight w:hRule="exact" w:val="254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4B86" w14:textId="77777777" w:rsidR="00930311" w:rsidRDefault="00930311">
            <w:pPr>
              <w:spacing w:after="2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Akutni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bakterijski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meningitis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40B4" w14:textId="77777777" w:rsidR="00930311" w:rsidRDefault="00930311">
            <w:pPr>
              <w:spacing w:after="2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40 mg/kg</w:t>
            </w:r>
          </w:p>
        </w:tc>
      </w:tr>
      <w:tr w:rsidR="00930311" w14:paraId="277A59BF" w14:textId="77777777" w:rsidTr="00930311">
        <w:trPr>
          <w:trHeight w:hRule="exact" w:val="269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5F4F" w14:textId="77777777" w:rsidR="00930311" w:rsidRDefault="00930311">
            <w:pPr>
              <w:spacing w:after="2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Liječenje pacijenata sa febrilnom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neutropenijom</w:t>
            </w:r>
            <w:proofErr w:type="spellEnd"/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3B1A" w14:textId="77777777" w:rsidR="00930311" w:rsidRDefault="00930311">
            <w:pPr>
              <w:spacing w:after="2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20 mg/kg</w:t>
            </w:r>
          </w:p>
        </w:tc>
      </w:tr>
    </w:tbl>
    <w:p w14:paraId="1BD1AD4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5F091A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Djeca tjelesne mase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 50 kg </w:t>
      </w:r>
    </w:p>
    <w:p w14:paraId="09104A8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Treba primijeniti dozu za odrasle.</w:t>
      </w:r>
    </w:p>
    <w:p w14:paraId="5107B98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Ne postoje iskustva kod djece sa oštećenjem funkcije bubrega.</w:t>
      </w:r>
    </w:p>
    <w:p w14:paraId="3064D7B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7B379D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Način primjene</w:t>
      </w:r>
    </w:p>
    <w:p w14:paraId="2B5707F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44D8C80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obično primjenjuje putem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infuzije koja traje približno od 15 do 30 minuta (vidjeti djelove 6.2, 6.3. i 6.6). Alternativno, doze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do 20 mg/kg mogu se primijeniti u vidu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bolus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injekcije u trajanju od približno 5 minuta. Podaci o bezbjednosti primjene doze od 40 mg/kg kod djece u vidu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intravenske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bolus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injekcije su ograničeni.</w:t>
      </w:r>
    </w:p>
    <w:p w14:paraId="4B7D6FD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3905D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</w:rPr>
        <w:t>Za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uputstvo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</w:rPr>
        <w:t>rekonstituciji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lijeka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prije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primjene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vidjeti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6.6.</w:t>
      </w:r>
    </w:p>
    <w:p w14:paraId="74A0F3E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Kontraindikacije</w:t>
      </w:r>
      <w:proofErr w:type="spellEnd"/>
    </w:p>
    <w:p w14:paraId="589EE7A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32A538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Preosjetljivost na aktivnu supstancu ili na bilo koju od pomoćnih supstanci navedenih u dijelu 6.1.</w:t>
      </w:r>
    </w:p>
    <w:p w14:paraId="69D2412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Preosjetljivost na bilo koji drugi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karbapenemski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antibiotik.</w:t>
      </w:r>
    </w:p>
    <w:p w14:paraId="421B0F7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Teška reakcija preosjetljivosti (npr.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anafilaktička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reakcija, teška kožna reakcija) na bilo koji drugi beta-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laktamski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antibiotik (npr. penicilini ili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cefalosporini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sr-Latn-ME"/>
        </w:rPr>
        <w:t>).</w:t>
      </w:r>
    </w:p>
    <w:p w14:paraId="232E652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2E9E048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Prilikom izbora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u terapiji svakog pojedinačnog pacijenta, treba uzeti u obzir prikladnost primjene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karbapenemskog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antibiotika, u zavisnosti od težine infekcije, mogućnosti pojave rezistencije na druge odgovarajuće antibiotike i rizika pogrešnog izbora za liječenje infekcije izazvane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</w:t>
      </w:r>
      <w:proofErr w:type="spellEnd"/>
      <w:r>
        <w:rPr>
          <w:rFonts w:ascii="Times New Roman" w:eastAsia="SimSun" w:hAnsi="Times New Roman" w:cs="Times New Roman"/>
          <w:lang w:val="sr-Latn-ME"/>
        </w:rPr>
        <w:t>-rezistentnom bakterijom.</w:t>
      </w:r>
    </w:p>
    <w:p w14:paraId="214DFC81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47DCAC3E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 xml:space="preserve">Rezistencija sojeva </w:t>
      </w:r>
      <w:proofErr w:type="spellStart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Enterobacteriaceae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Pseudomonas</w:t>
      </w:r>
      <w:proofErr w:type="spellEnd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aeruginosa</w:t>
      </w:r>
      <w:proofErr w:type="spellEnd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r-Latn-ME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Acinetobacter</w:t>
      </w:r>
      <w:proofErr w:type="spellEnd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spp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>.</w:t>
      </w:r>
    </w:p>
    <w:p w14:paraId="77C89605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Rezistencija sojeva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Enterobacteriaceae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Pseudomonas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aeruginosa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lang w:val="sr-Latn-ME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Acinetobacter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spp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.</w:t>
      </w:r>
      <w:r>
        <w:rPr>
          <w:rFonts w:ascii="Times New Roman" w:eastAsia="SimSun" w:hAnsi="Times New Roman" w:cs="Times New Roman"/>
          <w:lang w:val="sr-Latn-ME"/>
        </w:rPr>
        <w:t xml:space="preserve"> na </w:t>
      </w:r>
      <w:proofErr w:type="spellStart"/>
      <w:r>
        <w:rPr>
          <w:rFonts w:ascii="Times New Roman" w:eastAsia="SimSun" w:hAnsi="Times New Roman" w:cs="Times New Roman"/>
          <w:lang w:val="sr-Latn-ME"/>
        </w:rPr>
        <w:t>peneme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varira širom Evropske unije. Ljekarima koji propisuju lijek se savjetuje da uzmu u obzir lokalnu </w:t>
      </w:r>
      <w:proofErr w:type="spellStart"/>
      <w:r>
        <w:rPr>
          <w:rFonts w:ascii="Times New Roman" w:eastAsia="SimSun" w:hAnsi="Times New Roman" w:cs="Times New Roman"/>
          <w:lang w:val="sr-Latn-ME"/>
        </w:rPr>
        <w:t>prevalencu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rezistencije ovih bakterija na </w:t>
      </w:r>
      <w:proofErr w:type="spellStart"/>
      <w:r>
        <w:rPr>
          <w:rFonts w:ascii="Times New Roman" w:eastAsia="SimSun" w:hAnsi="Times New Roman" w:cs="Times New Roman"/>
          <w:lang w:val="sr-Latn-ME"/>
        </w:rPr>
        <w:t>penem</w:t>
      </w:r>
      <w:proofErr w:type="spellEnd"/>
      <w:r>
        <w:rPr>
          <w:rFonts w:ascii="Times New Roman" w:eastAsia="SimSun" w:hAnsi="Times New Roman" w:cs="Times New Roman"/>
          <w:lang w:val="sr-Latn-ME"/>
        </w:rPr>
        <w:t>.</w:t>
      </w:r>
    </w:p>
    <w:p w14:paraId="6530334D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052D09FC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</w:p>
    <w:p w14:paraId="2BE4C970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  <w:r>
        <w:rPr>
          <w:rFonts w:ascii="Times New Roman" w:eastAsia="SimSun" w:hAnsi="Times New Roman" w:cs="Times New Roman"/>
          <w:u w:val="single"/>
          <w:lang w:val="sr-Latn-ME"/>
        </w:rPr>
        <w:lastRenderedPageBreak/>
        <w:t>Reakcije preosjetljivosti</w:t>
      </w:r>
    </w:p>
    <w:p w14:paraId="03108CB5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Kao i kod primjene svih beta-</w:t>
      </w:r>
      <w:proofErr w:type="spellStart"/>
      <w:r>
        <w:rPr>
          <w:rFonts w:ascii="Times New Roman" w:eastAsia="SimSun" w:hAnsi="Times New Roman" w:cs="Times New Roman"/>
          <w:lang w:val="sr-Latn-ME"/>
        </w:rPr>
        <w:t>laktamskih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antibiotika, prijavljene su ozbiljne, povremeno fatalne reakcije preosjetljivosti (vidjeti djelove 4.3. i 4.8).</w:t>
      </w:r>
    </w:p>
    <w:p w14:paraId="2CF2A604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73D7AC03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Pacijenti koji su imali reakcije preosjetljivosti na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karbapeneme</w:t>
      </w:r>
      <w:proofErr w:type="spellEnd"/>
      <w:r>
        <w:rPr>
          <w:rFonts w:ascii="Times New Roman" w:eastAsia="SimSun" w:hAnsi="Times New Roman" w:cs="Times New Roman"/>
          <w:lang w:val="sr-Latn-ME"/>
        </w:rPr>
        <w:t>, peniciline ili druge beta-</w:t>
      </w:r>
      <w:proofErr w:type="spellStart"/>
      <w:r>
        <w:rPr>
          <w:rFonts w:ascii="Times New Roman" w:eastAsia="SimSun" w:hAnsi="Times New Roman" w:cs="Times New Roman"/>
          <w:lang w:val="sr-Latn-ME"/>
        </w:rPr>
        <w:t>laktamske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antibiotike mogu biti preosjetljivi i na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. Prije uvođenja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u terapiju, potrebno je pažljivo ispitati ranije pojave reakcija preosjetljivosti na beta-</w:t>
      </w:r>
      <w:proofErr w:type="spellStart"/>
      <w:r>
        <w:rPr>
          <w:rFonts w:ascii="Times New Roman" w:eastAsia="SimSun" w:hAnsi="Times New Roman" w:cs="Times New Roman"/>
          <w:lang w:val="sr-Latn-ME"/>
        </w:rPr>
        <w:t>laktamske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antibiotike.</w:t>
      </w:r>
    </w:p>
    <w:p w14:paraId="33EEE7A7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6F39AF2E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Ukoliko dođe do pojave teške alergijske reakcije, potrebno je prekinuti primjenu lijeka i preduzeti odgovarajuće mjere.</w:t>
      </w:r>
    </w:p>
    <w:p w14:paraId="13027CC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9F546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Kod pacijenata koji su primali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prijavljene su teške kožne neželjene reakcije, kao što su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Stevens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>-Johnson</w:t>
      </w:r>
      <w:r>
        <w:rPr>
          <w:rFonts w:ascii="Times New Roman" w:eastAsia="Times New Roman" w:hAnsi="Times New Roman" w:cs="Times New Roman"/>
          <w:lang w:val="sr-Latn-ME"/>
        </w:rPr>
        <w:t xml:space="preserve">-ov sindrom (SJS), toksična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epidermalna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nekroliza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(TEN), reakcija na lijek sa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eozinofilijom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i sistemskim simptomima (engl. </w:t>
      </w:r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Drug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Reaction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Eosinophilia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and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Systemic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Symptoms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DRESS),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multiformni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eritem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(engl.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erythema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multiforme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EM) i akutna generalizovana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egzantematozna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pustuloza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(AGEP) (vidjeti dio 4.8). U slučaju pojave simptoma i znaka koji mogu ukazivati na ove reakcije, potrebno je odmah obustaviti primjenu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i razmotriti primjenu druge terapijske opcije.</w:t>
      </w:r>
    </w:p>
    <w:p w14:paraId="1EC3587F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</w:p>
    <w:p w14:paraId="4726C05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>Kolitis povezan sa upotrebom antibiotika</w:t>
      </w:r>
    </w:p>
    <w:p w14:paraId="34AE09B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Prijavljeni su kolitis povezan sa upotrebom antibiotika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pseudomembranozni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kolitis prilikom upotrebe skoro svih antibiotika, uključujući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a mogu varirati po težini od blage do životno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ugrožavajuće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forme. Stoga, važno je uzeti u obzir ovu dijagnozu kod pacijenata kod kojih dođe do pojave dijareje tokom ili nakon primjene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(vidjeti dio 4.8). Treba razmotriti prekid terapije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primjenu specifične terapije za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Clostridium</w:t>
      </w:r>
      <w:proofErr w:type="spellEnd"/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difficile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Ne treba koristiti ljekove koji usporavaju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peristaltiku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crijeva.</w:t>
      </w:r>
    </w:p>
    <w:p w14:paraId="13B7CD8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D55A82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Konvulzije</w:t>
      </w:r>
    </w:p>
    <w:p w14:paraId="2A20219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Tokom terapije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karbapenemima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uključujući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, konvulzije su rijetko prijavljene (vidjeti dio 4.8).</w:t>
      </w:r>
    </w:p>
    <w:p w14:paraId="2DB5F77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8E2BCD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Praćenje funkcije jetre</w:t>
      </w:r>
    </w:p>
    <w:p w14:paraId="6D733136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Tokom primjene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treba pažljivo kontrolisati funkciju jetre zbog rizika od pojave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hepatotoksičnosti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(poremećaj funkcije jetre sa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holestazom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citolizom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) (vidjeti dio 4.8).</w:t>
      </w:r>
    </w:p>
    <w:p w14:paraId="7733CBCA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91E093C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Primjena kod pacijenata sa oboljenjem jetre: kod pacijenata sa ranije postojećim oboljenjem jetre treba pratiti funkciju jetre tokom terapije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. Prilagođavanje doze nije neophodno (vidjeti dio 4.2).</w:t>
      </w:r>
    </w:p>
    <w:p w14:paraId="3054F83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6C369B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 xml:space="preserve">Direktni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antiglobulinski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 xml:space="preserve"> test (</w:t>
      </w:r>
      <w:proofErr w:type="spellStart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Coombs</w:t>
      </w:r>
      <w:proofErr w:type="spellEnd"/>
      <w:r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-</w:t>
      </w:r>
      <w:r>
        <w:rPr>
          <w:rFonts w:ascii="Times New Roman" w:eastAsia="Times New Roman" w:hAnsi="Times New Roman" w:cs="Times New Roman"/>
          <w:u w:val="single"/>
          <w:lang w:val="sr-Latn-ME"/>
        </w:rPr>
        <w:t xml:space="preserve">ov test)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serokonverzije</w:t>
      </w:r>
      <w:proofErr w:type="spellEnd"/>
    </w:p>
    <w:p w14:paraId="51BC58F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Tokom liječenja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može doći do pojave pozitivnog direktnog ili indirektnog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Coombs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-ovog testa.</w:t>
      </w:r>
    </w:p>
    <w:p w14:paraId="41AEE03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CDD677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 xml:space="preserve">Istovremena primjena sa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valproinskom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 xml:space="preserve"> kiselinom/natrijum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valproatom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>/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valpromidom</w:t>
      </w:r>
      <w:proofErr w:type="spellEnd"/>
    </w:p>
    <w:p w14:paraId="04D6276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Istovremena primjena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valproinske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kiseline/natrijum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valproata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valpromida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ne preporučuje (vidjeti dio 4.5).</w:t>
      </w:r>
    </w:p>
    <w:p w14:paraId="26B1791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17F8B2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Archifar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sadrži natrijum.</w:t>
      </w:r>
    </w:p>
    <w:p w14:paraId="150A0D32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Jedna bočica lijeka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Archifar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1 g, prašak za rastvor za injekciju/infuziju sadrži oko 4,0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mmol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oko</w:t>
      </w:r>
      <w:proofErr w:type="spellEnd"/>
      <w:r>
        <w:rPr>
          <w:rFonts w:ascii="Times New Roman" w:eastAsia="Times New Roman" w:hAnsi="Times New Roman" w:cs="Times New Roman"/>
        </w:rPr>
        <w:t xml:space="preserve"> 90 mg </w:t>
      </w:r>
      <w:r>
        <w:rPr>
          <w:rFonts w:ascii="Times New Roman" w:eastAsia="Times New Roman" w:hAnsi="Times New Roman" w:cs="Times New Roman"/>
          <w:lang w:val="sr-Latn-ME"/>
        </w:rPr>
        <w:t>natrijuma, pa se savjetuje poseban oprez prilikom upotrebe kod pacijenata koji su na dijeti u kojoj se kontroliše unos natrijuma.</w:t>
      </w:r>
    </w:p>
    <w:p w14:paraId="3DA8E938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785EB1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Nijesu sprovedene specifične studije interakcije osim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probenecidom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7992AA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A05F2D9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lang w:val="sr-Latn-ME"/>
        </w:rPr>
        <w:t>Probenecid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stupa u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kompeticiju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sa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na nivou aktivne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tubularne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sekrecije i na taj način inhibira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renalnu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ekskreciju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što utiče na produženje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poluvremena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eliminacije i povećanje koncentracije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u plazmi.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Potreban je oprez pri istovremenoj primjeni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probenecida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142792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E2E8CA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Potencijalno dejstvo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na vezivanje drugih ljekova za proteine plazme ili njihov metabolizam nije ispitivano. Međutim, vezivanje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za proteine plazme je toliko malo da se ne očekuje bilo koja interakcija sa drugim ljekovima koja bi se objasnila ovim mehanizmom.</w:t>
      </w:r>
    </w:p>
    <w:p w14:paraId="5AD5F6E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E8E1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Smanjenje koncentracije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valproinske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kiseline u krvi je zabilježeno pri istovremenoj primjeni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karbapenemima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Istovremena primjena može da dovede do 60-100% smanjenja koncentracije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valproinske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kiseline za oko dva dana. </w:t>
      </w:r>
    </w:p>
    <w:p w14:paraId="754D870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Zbog brzog efekta i visokog stepena smanjenja koncentracije, istovremena primjena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valproinske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kiseline/natrijum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valproata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valpromida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</w:rPr>
        <w:t>karbapenemskih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antibiotika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nije pogodna i treba je izbjegavati (vidjeti dio 4.4).</w:t>
      </w:r>
    </w:p>
    <w:p w14:paraId="3A41273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08AAB4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Oralni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antikoagulansi</w:t>
      </w:r>
      <w:proofErr w:type="spellEnd"/>
    </w:p>
    <w:p w14:paraId="12D94FA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Istovremena primjena antibiotika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varfarinom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može da pojača njegovo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antikoagulantno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dejstvo. Bilo je mnogo prijavljenih povećanja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antikoagulantnog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efekta oralno primijenjenih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antikoagulanasa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uljučujući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varfarin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kod pacijenata koji su istovremeno primali neki antibiotik. Rizik može varirati u zavisnosti od postojeće infekcije, starosti i opšteg stanja pacijenta, te je teško zaista procijeniti uticaj antibiotika na povećanje INR vrijednosti (engl.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international</w:t>
      </w:r>
      <w:proofErr w:type="spellEnd"/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normalised</w:t>
      </w:r>
      <w:proofErr w:type="spellEnd"/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ratio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). Preporučuje se često praćenje vrijednosti INR tokom i odmah pri započinjanju istovremene terapije antibioticima i oralnim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antikoagulansima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5D2A95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DB7545B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>
        <w:rPr>
          <w:rFonts w:ascii="Times New Roman" w:eastAsia="Times New Roman" w:hAnsi="Times New Roman" w:cs="Times New Roman"/>
          <w:i/>
          <w:iCs/>
          <w:lang w:val="sr-Latn-ME"/>
        </w:rPr>
        <w:t>Pedijatrijska populacija</w:t>
      </w:r>
    </w:p>
    <w:p w14:paraId="2D2C1A8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Ispitivanja interakcija su sprovedena samo kod odraslih.</w:t>
      </w:r>
    </w:p>
    <w:p w14:paraId="10025D1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3899CDF" w14:textId="77777777" w:rsidR="00930311" w:rsidRDefault="00930311" w:rsidP="0093031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  <w:r>
        <w:rPr>
          <w:rFonts w:ascii="Times New Roman" w:eastAsia="SimSun" w:hAnsi="Times New Roman" w:cs="Times New Roman"/>
          <w:i/>
          <w:iCs/>
          <w:color w:val="000000"/>
          <w:lang w:val="sr-Latn-ME"/>
        </w:rPr>
        <w:t>Trudnoća</w:t>
      </w:r>
    </w:p>
    <w:p w14:paraId="4153EB75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>
        <w:rPr>
          <w:rFonts w:ascii="Times New Roman" w:eastAsia="SimSun" w:hAnsi="Times New Roman" w:cs="Times New Roman"/>
          <w:color w:val="000000"/>
          <w:lang w:val="sr-Latn-ME"/>
        </w:rPr>
        <w:t xml:space="preserve">Podaci o upotrebi </w:t>
      </w:r>
      <w:proofErr w:type="spellStart"/>
      <w:r>
        <w:rPr>
          <w:rFonts w:ascii="Times New Roman" w:eastAsia="SimSun" w:hAnsi="Times New Roman" w:cs="Times New Roman"/>
          <w:color w:val="000000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 kod trudnica ne postoje ili su ograničeni.</w:t>
      </w:r>
    </w:p>
    <w:p w14:paraId="4B7CB62E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>
        <w:rPr>
          <w:rFonts w:ascii="Times New Roman" w:eastAsia="SimSun" w:hAnsi="Times New Roman" w:cs="Times New Roman"/>
          <w:color w:val="000000"/>
          <w:lang w:val="sr-Latn-ME"/>
        </w:rPr>
        <w:t>Studije na životinjama ne ukazuju na direktna ili indirektna štetna dejstva u smislu reproduktivne toksičnosti (vidjeti dio 5.3).</w:t>
      </w:r>
    </w:p>
    <w:p w14:paraId="0A65D1EA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color w:val="000000"/>
          <w:lang w:val="sr-Latn-ME"/>
        </w:rPr>
        <w:t xml:space="preserve">Kao mjera predostrožnosti, preporučuje se da se primjena </w:t>
      </w:r>
      <w:proofErr w:type="spellStart"/>
      <w:r>
        <w:rPr>
          <w:rFonts w:ascii="Times New Roman" w:eastAsia="SimSun" w:hAnsi="Times New Roman" w:cs="Times New Roman"/>
          <w:color w:val="000000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 izbjegava za vrijeme trudnoće.</w:t>
      </w:r>
    </w:p>
    <w:p w14:paraId="7F32B141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</w:p>
    <w:p w14:paraId="56C7141B" w14:textId="77777777" w:rsidR="00930311" w:rsidRDefault="00930311" w:rsidP="0093031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  <w:r>
        <w:rPr>
          <w:rFonts w:ascii="Times New Roman" w:eastAsia="SimSun" w:hAnsi="Times New Roman" w:cs="Times New Roman"/>
          <w:i/>
          <w:iCs/>
          <w:color w:val="000000"/>
          <w:lang w:val="sr-Latn-ME"/>
        </w:rPr>
        <w:t>Dojenje</w:t>
      </w:r>
    </w:p>
    <w:p w14:paraId="2E5B35A3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Zabilježeno je da se male količine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izlučuju u majčino mlijeko.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ne treba da se koristi kod žena koje doje osim kada potencijalna korist od terapije za majku opravdava potencijalni rizik za bebu. </w:t>
      </w:r>
    </w:p>
    <w:p w14:paraId="7C25824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03FCB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2202DC5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2CC942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Nijesu sprovedene studije uticaja na sposobnosti upravljanja vozilima i rukovanja mašinama.</w:t>
      </w:r>
    </w:p>
    <w:p w14:paraId="5D5BA69B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Međutim, prilikom upravljanja vozilima i rukovanja mašinama, treba uzeti u obzir da su glavobolja,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parestezija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i konvulzije prijavljeni pri primjeni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.</w:t>
      </w:r>
    </w:p>
    <w:p w14:paraId="2013626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1BD17" w14:textId="77777777" w:rsidR="00930311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272C6F3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 xml:space="preserve">Sažetak </w:t>
      </w:r>
      <w:proofErr w:type="spellStart"/>
      <w:r>
        <w:rPr>
          <w:rFonts w:ascii="Times New Roman" w:eastAsia="Times New Roman" w:hAnsi="Times New Roman" w:cs="Times New Roman"/>
          <w:u w:val="single"/>
          <w:lang w:val="sr-Latn-ME"/>
        </w:rPr>
        <w:t>bezbjednosnog</w:t>
      </w:r>
      <w:proofErr w:type="spellEnd"/>
      <w:r>
        <w:rPr>
          <w:rFonts w:ascii="Times New Roman" w:eastAsia="Times New Roman" w:hAnsi="Times New Roman" w:cs="Times New Roman"/>
          <w:u w:val="single"/>
          <w:lang w:val="sr-Latn-ME"/>
        </w:rPr>
        <w:t xml:space="preserve"> profila</w:t>
      </w:r>
    </w:p>
    <w:p w14:paraId="18473FD5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lang w:val="sr-Latn-ME"/>
        </w:rPr>
        <w:t>Pregledom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podataka od 4872 pacijenta kod kojih je primijenjeno</w:t>
      </w:r>
      <w:r>
        <w:rPr>
          <w:rFonts w:ascii="Times New Roman" w:eastAsia="SimSun" w:hAnsi="Times New Roman" w:cs="Times New Roman"/>
          <w:lang w:val="sr-Latn-ME"/>
        </w:rPr>
        <w:t xml:space="preserve"> 5,026 terapijskih ciklusa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meropenemom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, najčešće prijavljivane neželjene reakcije na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su bile dijareja (2.3%), osip (1.4%), mučnina/povraćanje (1.4%) i zapaljenje na mjestu injekcije (1.1%). </w:t>
      </w:r>
      <w:r>
        <w:rPr>
          <w:rFonts w:ascii="Times New Roman" w:eastAsia="Times New Roman" w:hAnsi="Times New Roman" w:cs="Times New Roman"/>
          <w:lang w:val="sr-Latn-ME"/>
        </w:rPr>
        <w:t xml:space="preserve">Najčešće prijavljivani </w:t>
      </w:r>
      <w:r>
        <w:rPr>
          <w:rFonts w:ascii="Times New Roman" w:eastAsia="Times New Roman" w:hAnsi="Times New Roman" w:cs="Times New Roman"/>
          <w:lang w:val="sr-Latn-ME"/>
        </w:rPr>
        <w:lastRenderedPageBreak/>
        <w:t>neželjeni događaji vezano za rezultate laboratorijskih analiza</w:t>
      </w:r>
      <w:r>
        <w:rPr>
          <w:rFonts w:ascii="Times New Roman" w:eastAsia="SimSun" w:hAnsi="Times New Roman" w:cs="Times New Roman"/>
          <w:lang w:val="sr-Latn-ME"/>
        </w:rPr>
        <w:t xml:space="preserve"> su bili </w:t>
      </w:r>
      <w:proofErr w:type="spellStart"/>
      <w:r>
        <w:rPr>
          <w:rFonts w:ascii="Times New Roman" w:eastAsia="SimSun" w:hAnsi="Times New Roman" w:cs="Times New Roman"/>
          <w:lang w:val="sr-Latn-ME"/>
        </w:rPr>
        <w:t>trombocitoza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(1.6%) i povećanje nivoa enzima jetre (1.5 – 4.3%).</w:t>
      </w:r>
    </w:p>
    <w:p w14:paraId="006882E8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4472BE6C" w14:textId="77777777" w:rsidR="00930311" w:rsidRDefault="00930311" w:rsidP="0093031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lang w:val="sr-Latn-ME"/>
        </w:rPr>
      </w:pPr>
      <w:r>
        <w:rPr>
          <w:rFonts w:ascii="Times New Roman" w:eastAsia="SimSun" w:hAnsi="Times New Roman" w:cs="Times New Roman"/>
          <w:b/>
          <w:lang w:val="sr-Latn-ME"/>
        </w:rPr>
        <w:t>Tabelarni prikaz neželjenih reakcija</w:t>
      </w:r>
    </w:p>
    <w:p w14:paraId="00FFFB4C" w14:textId="77777777" w:rsidR="00930311" w:rsidRDefault="00930311" w:rsidP="0093031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sr-Latn-ME"/>
        </w:rPr>
      </w:pPr>
    </w:p>
    <w:p w14:paraId="77584E19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U Tabeli ispod sve neželjene reakcije su razvrstane  prema </w:t>
      </w:r>
      <w:r>
        <w:rPr>
          <w:rFonts w:ascii="Times New Roman" w:eastAsia="Times New Roman" w:hAnsi="Times New Roman" w:cs="Times New Roman"/>
          <w:lang w:val="sr-Latn-ME"/>
        </w:rPr>
        <w:t>klasi sistema organa</w:t>
      </w:r>
      <w:r>
        <w:rPr>
          <w:rFonts w:ascii="Times New Roman" w:eastAsia="SimSun" w:hAnsi="Times New Roman" w:cs="Times New Roman"/>
          <w:lang w:val="sr-Latn-ME"/>
        </w:rPr>
        <w:t xml:space="preserve"> i učestalosti: veoma često (</w:t>
      </w:r>
      <w:r>
        <w:rPr>
          <w:rFonts w:ascii="Times New Roman" w:eastAsia="SimSun" w:hAnsi="Times New Roman" w:cs="Times New Roman" w:hint="eastAsia"/>
          <w:lang w:val="sr-Latn-ME"/>
        </w:rPr>
        <w:t>≥</w:t>
      </w:r>
      <w:r>
        <w:rPr>
          <w:rFonts w:ascii="Times New Roman" w:eastAsia="SimSun" w:hAnsi="Times New Roman" w:cs="Times New Roman"/>
          <w:lang w:val="sr-Latn-ME"/>
        </w:rPr>
        <w:t> 1/10), često (</w:t>
      </w:r>
      <w:r>
        <w:rPr>
          <w:rFonts w:ascii="Times New Roman" w:eastAsia="SimSun" w:hAnsi="Times New Roman" w:cs="Times New Roman" w:hint="eastAsia"/>
          <w:lang w:val="sr-Latn-ME"/>
        </w:rPr>
        <w:t>≥</w:t>
      </w:r>
      <w:r>
        <w:rPr>
          <w:rFonts w:ascii="Times New Roman" w:eastAsia="SimSun" w:hAnsi="Times New Roman" w:cs="Times New Roman"/>
          <w:lang w:val="sr-Latn-ME"/>
        </w:rPr>
        <w:t> 1/100 i &lt; 1/10), povremeno (</w:t>
      </w:r>
      <w:r>
        <w:rPr>
          <w:rFonts w:ascii="Times New Roman" w:eastAsia="SimSun" w:hAnsi="Times New Roman" w:cs="Times New Roman" w:hint="eastAsia"/>
          <w:lang w:val="sr-Latn-ME"/>
        </w:rPr>
        <w:t>≥</w:t>
      </w:r>
      <w:r>
        <w:rPr>
          <w:rFonts w:ascii="Times New Roman" w:eastAsia="SimSun" w:hAnsi="Times New Roman" w:cs="Times New Roman"/>
          <w:lang w:val="sr-Latn-ME"/>
        </w:rPr>
        <w:t> 1/1000 i &lt; 1/100), rijetko (</w:t>
      </w:r>
      <w:r>
        <w:rPr>
          <w:rFonts w:ascii="Times New Roman" w:eastAsia="SimSun" w:hAnsi="Times New Roman" w:cs="Times New Roman" w:hint="eastAsia"/>
          <w:lang w:val="sr-Latn-ME"/>
        </w:rPr>
        <w:t>≥</w:t>
      </w:r>
      <w:r>
        <w:rPr>
          <w:rFonts w:ascii="Times New Roman" w:eastAsia="SimSun" w:hAnsi="Times New Roman" w:cs="Times New Roman"/>
          <w:lang w:val="sr-Latn-ME"/>
        </w:rPr>
        <w:t xml:space="preserve"> 1/10 000 i &lt; 1/1000) ili veoma rijetko (&lt; 1/10 000) i nepoznata učestalost (ne može se procijeniti iz dostupnih podataka). U okviru svake grupe učestalosti neželjena dejstva su predstavljena po </w:t>
      </w:r>
      <w:proofErr w:type="spellStart"/>
      <w:r>
        <w:rPr>
          <w:rFonts w:ascii="Times New Roman" w:eastAsia="SimSun" w:hAnsi="Times New Roman" w:cs="Times New Roman"/>
          <w:lang w:val="sr-Latn-ME"/>
        </w:rPr>
        <w:t>opadajućoj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ozbiljnosti.</w:t>
      </w:r>
    </w:p>
    <w:p w14:paraId="11B91DD5" w14:textId="77777777" w:rsidR="00930311" w:rsidRDefault="00930311" w:rsidP="00930311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ME"/>
        </w:rPr>
      </w:pPr>
    </w:p>
    <w:p w14:paraId="05BA2011" w14:textId="77777777" w:rsidR="00930311" w:rsidRDefault="00930311" w:rsidP="00930311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ME"/>
        </w:rPr>
      </w:pPr>
      <w:r>
        <w:rPr>
          <w:rFonts w:ascii="Times New Roman" w:eastAsia="SimSun" w:hAnsi="Times New Roman" w:cs="Times New Roman"/>
          <w:b/>
          <w:bCs/>
          <w:lang w:val="sr-Latn-ME"/>
        </w:rPr>
        <w:t>Tabela 1</w:t>
      </w:r>
    </w:p>
    <w:tbl>
      <w:tblPr>
        <w:tblW w:w="9375" w:type="dxa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121"/>
        <w:gridCol w:w="3116"/>
        <w:gridCol w:w="8"/>
      </w:tblGrid>
      <w:tr w:rsidR="00930311" w14:paraId="72E0771D" w14:textId="77777777" w:rsidTr="00930311">
        <w:trPr>
          <w:gridAfter w:val="1"/>
          <w:wAfter w:w="8" w:type="dxa"/>
          <w:trHeight w:hRule="exact" w:val="25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DBAE" w14:textId="77777777" w:rsidR="00930311" w:rsidRDefault="00930311">
            <w:pPr>
              <w:spacing w:after="0" w:line="229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bookmarkStart w:id="1" w:name="p4558014291400860130"/>
            <w:bookmarkStart w:id="2" w:name="table_4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Klasa sistema organa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8231" w14:textId="77777777" w:rsidR="00930311" w:rsidRDefault="00930311">
            <w:pPr>
              <w:spacing w:after="0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Učestalost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85CB" w14:textId="77777777" w:rsidR="00930311" w:rsidRDefault="00930311">
            <w:pPr>
              <w:spacing w:after="0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Neželjeni događaj</w:t>
            </w:r>
          </w:p>
        </w:tc>
      </w:tr>
      <w:tr w:rsidR="00930311" w14:paraId="70B115F6" w14:textId="77777777" w:rsidTr="00930311">
        <w:trPr>
          <w:gridAfter w:val="1"/>
          <w:wAfter w:w="8" w:type="dxa"/>
          <w:trHeight w:hRule="exact" w:val="24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807C" w14:textId="77777777" w:rsidR="00930311" w:rsidRDefault="00930311">
            <w:pPr>
              <w:spacing w:after="0" w:line="23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Infekcije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infestacije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CCB8" w14:textId="77777777" w:rsidR="00930311" w:rsidRDefault="00930311">
            <w:pPr>
              <w:spacing w:after="0" w:line="23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871C" w14:textId="77777777" w:rsidR="00930311" w:rsidRDefault="00930311">
            <w:pPr>
              <w:spacing w:after="0" w:line="23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Oralna i vaginalna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kandidijaza</w:t>
            </w:r>
            <w:proofErr w:type="spellEnd"/>
          </w:p>
        </w:tc>
      </w:tr>
      <w:tr w:rsidR="00930311" w14:paraId="2E3E85FC" w14:textId="77777777" w:rsidTr="00930311">
        <w:trPr>
          <w:gridAfter w:val="1"/>
          <w:wAfter w:w="8" w:type="dxa"/>
          <w:trHeight w:hRule="exact" w:val="432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A46192" w14:textId="77777777" w:rsidR="00930311" w:rsidRDefault="00930311">
            <w:pPr>
              <w:spacing w:after="423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Poremećaji krvi i limfnog sistema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00AC3" w14:textId="77777777" w:rsidR="00930311" w:rsidRDefault="00930311">
            <w:pPr>
              <w:spacing w:after="174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A3D2" w14:textId="77777777" w:rsidR="00930311" w:rsidRDefault="00930311">
            <w:pPr>
              <w:spacing w:after="174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Trombocitemija</w:t>
            </w:r>
            <w:proofErr w:type="spellEnd"/>
          </w:p>
        </w:tc>
      </w:tr>
      <w:tr w:rsidR="00930311" w14:paraId="40CB3424" w14:textId="77777777" w:rsidTr="00930311">
        <w:trPr>
          <w:gridAfter w:val="1"/>
          <w:wAfter w:w="8" w:type="dxa"/>
          <w:trHeight w:hRule="exact" w:val="1154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A6CE18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3561" w14:textId="77777777" w:rsidR="00930311" w:rsidRDefault="00930311">
            <w:pPr>
              <w:spacing w:after="236" w:line="23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88BB" w14:textId="77777777" w:rsidR="00930311" w:rsidRDefault="00930311">
            <w:pPr>
              <w:spacing w:after="0" w:line="236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sr-Latn-ME"/>
              </w:rPr>
              <w:t>Agranulocitoza,hemolitička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sr-Latn-ME"/>
              </w:rPr>
              <w:t xml:space="preserve"> anemija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trombocitopenija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leukopenija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neutropenija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eozinofilija</w:t>
            </w:r>
            <w:proofErr w:type="spellEnd"/>
          </w:p>
        </w:tc>
      </w:tr>
      <w:tr w:rsidR="00930311" w14:paraId="182E55E6" w14:textId="77777777" w:rsidTr="00930311">
        <w:trPr>
          <w:trHeight w:hRule="exact" w:val="533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2A7C" w14:textId="77777777" w:rsidR="00930311" w:rsidRDefault="00930311">
            <w:pPr>
              <w:spacing w:after="23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Poremećaji imunog sistema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B5FB" w14:textId="77777777" w:rsidR="00930311" w:rsidRDefault="00930311">
            <w:pPr>
              <w:spacing w:after="23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3D57" w14:textId="77777777" w:rsidR="00930311" w:rsidRDefault="00930311">
            <w:pPr>
              <w:tabs>
                <w:tab w:val="left" w:pos="1368"/>
                <w:tab w:val="right" w:pos="3024"/>
              </w:tabs>
              <w:spacing w:after="0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Anafilaksa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(vidjeti</w:t>
            </w:r>
          </w:p>
          <w:p w14:paraId="734E26AB" w14:textId="77777777" w:rsidR="00930311" w:rsidRDefault="00930311">
            <w:pPr>
              <w:spacing w:after="1" w:line="23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odjeljke 4.3 i 4.4),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angioedem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ab/>
            </w:r>
          </w:p>
        </w:tc>
      </w:tr>
      <w:tr w:rsidR="00930311" w14:paraId="5AF9D35E" w14:textId="77777777" w:rsidTr="00930311">
        <w:trPr>
          <w:trHeight w:hRule="exact" w:val="48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220F" w14:textId="77777777" w:rsidR="00930311" w:rsidRDefault="00930311">
            <w:pPr>
              <w:spacing w:after="23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Psihijatrijski poremećaji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7A8F" w14:textId="77777777" w:rsidR="00930311" w:rsidRDefault="00930311">
            <w:pPr>
              <w:spacing w:after="23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Rijetko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8303" w14:textId="77777777" w:rsidR="00930311" w:rsidRDefault="00930311">
            <w:pPr>
              <w:tabs>
                <w:tab w:val="left" w:pos="1368"/>
                <w:tab w:val="right" w:pos="3024"/>
              </w:tabs>
              <w:spacing w:after="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Delirijum</w:t>
            </w:r>
          </w:p>
        </w:tc>
      </w:tr>
      <w:tr w:rsidR="00930311" w14:paraId="7CF23973" w14:textId="77777777" w:rsidTr="00930311">
        <w:trPr>
          <w:trHeight w:hRule="exact" w:val="245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AFB7" w14:textId="77777777" w:rsidR="00930311" w:rsidRDefault="00930311">
            <w:pPr>
              <w:spacing w:after="49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Poremećaji nervnog sistema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7CEE8" w14:textId="77777777" w:rsidR="00930311" w:rsidRDefault="00930311">
            <w:pPr>
              <w:spacing w:after="1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6271" w14:textId="77777777" w:rsidR="00930311" w:rsidRDefault="00930311">
            <w:pPr>
              <w:spacing w:after="1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Glavobolja</w:t>
            </w:r>
          </w:p>
        </w:tc>
      </w:tr>
      <w:tr w:rsidR="00930311" w14:paraId="7358D58B" w14:textId="77777777" w:rsidTr="00930311">
        <w:trPr>
          <w:trHeight w:hRule="exact" w:val="24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FE04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86D" w14:textId="77777777" w:rsidR="00930311" w:rsidRDefault="00930311">
            <w:pPr>
              <w:spacing w:after="0" w:line="23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E9DF" w14:textId="77777777" w:rsidR="00930311" w:rsidRDefault="00930311">
            <w:pPr>
              <w:spacing w:after="0" w:line="23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Parestezija</w:t>
            </w:r>
            <w:proofErr w:type="spellEnd"/>
          </w:p>
        </w:tc>
      </w:tr>
      <w:tr w:rsidR="00930311" w14:paraId="14445C92" w14:textId="77777777" w:rsidTr="00930311">
        <w:trPr>
          <w:trHeight w:hRule="exact" w:val="25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24EA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02BF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Rijetko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415C8" w14:textId="77777777" w:rsidR="00930311" w:rsidRDefault="00930311">
            <w:pPr>
              <w:spacing w:after="0" w:line="23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Konvulzije (vidjeti odjeljak 4.4)</w:t>
            </w:r>
          </w:p>
        </w:tc>
      </w:tr>
      <w:tr w:rsidR="00930311" w14:paraId="1AA22C36" w14:textId="77777777" w:rsidTr="00930311">
        <w:trPr>
          <w:trHeight w:hRule="exact" w:val="480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0862" w14:textId="77777777" w:rsidR="00930311" w:rsidRDefault="00930311">
            <w:pPr>
              <w:spacing w:after="72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Gastrointestinalni poremećaji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6C0C" w14:textId="77777777" w:rsidR="00930311" w:rsidRDefault="00930311">
            <w:pPr>
              <w:spacing w:after="23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D708" w14:textId="77777777" w:rsidR="00930311" w:rsidRDefault="00930311">
            <w:pPr>
              <w:tabs>
                <w:tab w:val="left" w:pos="1080"/>
                <w:tab w:val="right" w:pos="3024"/>
              </w:tabs>
              <w:spacing w:after="0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Dijareja, povraćanje, mučnina,</w:t>
            </w:r>
          </w:p>
          <w:p w14:paraId="61CD4378" w14:textId="77777777" w:rsidR="00930311" w:rsidRDefault="00930311">
            <w:pPr>
              <w:spacing w:after="1" w:line="23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abdominalni bol</w:t>
            </w:r>
          </w:p>
        </w:tc>
      </w:tr>
      <w:tr w:rsidR="00930311" w14:paraId="3818B837" w14:textId="77777777" w:rsidTr="00930311">
        <w:trPr>
          <w:trHeight w:hRule="exact" w:val="48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D062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255C" w14:textId="77777777" w:rsidR="00930311" w:rsidRDefault="00930311">
            <w:pPr>
              <w:spacing w:after="237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E129" w14:textId="77777777" w:rsidR="00930311" w:rsidRDefault="00930311">
            <w:pPr>
              <w:spacing w:after="2" w:line="23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Kolitis povezan sa primjenom antibiotika (vidjeti odjeljak 4.4)</w:t>
            </w:r>
          </w:p>
        </w:tc>
      </w:tr>
      <w:tr w:rsidR="00930311" w14:paraId="774240E7" w14:textId="77777777" w:rsidTr="00930311">
        <w:trPr>
          <w:trHeight w:hRule="exact" w:val="1479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DE83" w14:textId="77777777" w:rsidR="00930311" w:rsidRDefault="00930311" w:rsidP="00E31B8B">
            <w:pPr>
              <w:spacing w:after="952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Hepatobilijarni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poremećaji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1AD6" w14:textId="77777777" w:rsidR="00930311" w:rsidRDefault="00930311">
            <w:pPr>
              <w:spacing w:after="707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5604" w14:textId="77777777" w:rsidR="00930311" w:rsidRDefault="00930311">
            <w:pPr>
              <w:tabs>
                <w:tab w:val="left" w:pos="1152"/>
                <w:tab w:val="right" w:pos="3024"/>
              </w:tabs>
              <w:spacing w:after="0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Povećanje vrijednosti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transaminaza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,</w:t>
            </w:r>
          </w:p>
          <w:p w14:paraId="16A29BDE" w14:textId="77777777" w:rsidR="00930311" w:rsidRDefault="00930311">
            <w:pPr>
              <w:spacing w:after="0" w:line="23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povećanje vrijednosti alkalne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fosfataze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u krvi, povećanje vrijednosti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laktatne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dehidrogenaze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u krvi</w:t>
            </w:r>
          </w:p>
        </w:tc>
      </w:tr>
      <w:tr w:rsidR="00930311" w14:paraId="642ED616" w14:textId="77777777" w:rsidTr="00930311">
        <w:trPr>
          <w:trHeight w:hRule="exact" w:val="24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D308" w14:textId="77777777" w:rsidR="00930311" w:rsidRDefault="00930311" w:rsidP="00E31B8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B026" w14:textId="77777777" w:rsidR="00930311" w:rsidRDefault="00930311">
            <w:pPr>
              <w:spacing w:after="0" w:line="23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7E43" w14:textId="77777777" w:rsidR="00930311" w:rsidRDefault="00930311">
            <w:pPr>
              <w:spacing w:after="0" w:line="23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Povećanje nivoa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bilirubina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u krvi</w:t>
            </w:r>
          </w:p>
        </w:tc>
      </w:tr>
      <w:tr w:rsidR="00930311" w14:paraId="0D1F0EB1" w14:textId="77777777" w:rsidTr="00930311">
        <w:trPr>
          <w:trHeight w:hRule="exact" w:val="250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ECAB" w14:textId="77777777" w:rsidR="00930311" w:rsidRDefault="00930311" w:rsidP="00E31B8B">
            <w:pPr>
              <w:spacing w:after="708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Poremećaji  kože i potkožnog tkiva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64CA" w14:textId="77777777" w:rsidR="00930311" w:rsidRDefault="00930311">
            <w:pPr>
              <w:spacing w:after="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7F36" w14:textId="77777777" w:rsidR="00930311" w:rsidRDefault="00930311">
            <w:pPr>
              <w:spacing w:after="6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Osip,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pruritus</w:t>
            </w:r>
            <w:proofErr w:type="spellEnd"/>
          </w:p>
        </w:tc>
      </w:tr>
      <w:tr w:rsidR="00930311" w14:paraId="1AAE4DE2" w14:textId="77777777" w:rsidTr="00930311">
        <w:trPr>
          <w:trHeight w:hRule="exact" w:val="1058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4821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2427" w14:textId="77777777" w:rsidR="00930311" w:rsidRDefault="00930311">
            <w:pPr>
              <w:spacing w:after="1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EA46" w14:textId="77777777" w:rsidR="00930311" w:rsidRDefault="00930311">
            <w:pPr>
              <w:spacing w:after="1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Toksična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epidermalna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nekroliza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Stevens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Johnson sindrom,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multiformni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eritem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(vidjeti odjeljak 4.4), urtikarija</w:t>
            </w:r>
          </w:p>
        </w:tc>
      </w:tr>
      <w:tr w:rsidR="00930311" w14:paraId="22C3D11D" w14:textId="77777777" w:rsidTr="00930311">
        <w:trPr>
          <w:trHeight w:hRule="exact" w:val="2561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9166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B5AA" w14:textId="77777777" w:rsidR="00930311" w:rsidRDefault="00930311">
            <w:pPr>
              <w:spacing w:after="472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Nepoznato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4320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Reakcija na lijek sa</w:t>
            </w:r>
          </w:p>
          <w:p w14:paraId="623612F1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sr-Latn-ME"/>
              </w:rPr>
              <w:t>eozinofilijom</w:t>
            </w:r>
            <w:proofErr w:type="spellEnd"/>
            <w:r>
              <w:rPr>
                <w:rFonts w:ascii="Times New Roman" w:eastAsia="Times New Roman" w:hAnsi="Times New Roman" w:cs="Times New Roman"/>
                <w:lang w:val="sr-Latn-ME"/>
              </w:rPr>
              <w:t xml:space="preserve"> i sistemskim</w:t>
            </w:r>
          </w:p>
          <w:p w14:paraId="4F818C2E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simptomima (DRESS</w:t>
            </w:r>
          </w:p>
          <w:p w14:paraId="37EB9861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sindrom), akutna</w:t>
            </w:r>
          </w:p>
          <w:p w14:paraId="644188A5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generalizovana</w:t>
            </w:r>
          </w:p>
          <w:p w14:paraId="4123FFC0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sr-Latn-ME"/>
              </w:rPr>
              <w:t>egzantematozna</w:t>
            </w:r>
            <w:proofErr w:type="spellEnd"/>
            <w:r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sr-Latn-ME"/>
              </w:rPr>
              <w:t>pustuloza</w:t>
            </w:r>
            <w:proofErr w:type="spellEnd"/>
          </w:p>
          <w:p w14:paraId="1D17527A" w14:textId="77777777" w:rsidR="00930311" w:rsidRDefault="00930311">
            <w:pPr>
              <w:spacing w:after="0" w:line="239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(AGEP) (vidjeti odjeljak 4.4)</w:t>
            </w:r>
          </w:p>
        </w:tc>
      </w:tr>
      <w:tr w:rsidR="00930311" w14:paraId="6F1CE6F6" w14:textId="77777777" w:rsidTr="00930311">
        <w:trPr>
          <w:trHeight w:hRule="exact" w:val="85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A0141" w14:textId="77777777" w:rsidR="00930311" w:rsidRDefault="00930311" w:rsidP="00E31B8B">
            <w:pPr>
              <w:spacing w:after="1" w:line="241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lastRenderedPageBreak/>
              <w:t xml:space="preserve">Poremećaji  bubrega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urinarnog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sistema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EB89" w14:textId="77777777" w:rsidR="00930311" w:rsidRDefault="00930311">
            <w:pPr>
              <w:spacing w:after="241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733" w14:textId="77777777" w:rsidR="00930311" w:rsidRDefault="00930311">
            <w:pPr>
              <w:spacing w:after="1" w:line="24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Povećanje vrijednosti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kreatinina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u krvi, povećanje vrijednosti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uree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u krvi</w:t>
            </w:r>
          </w:p>
        </w:tc>
      </w:tr>
      <w:tr w:rsidR="00930311" w14:paraId="45A4DF7D" w14:textId="77777777" w:rsidTr="00930311">
        <w:trPr>
          <w:trHeight w:hRule="exact" w:val="245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D559E3" w14:textId="77777777" w:rsidR="00930311" w:rsidRDefault="00930311" w:rsidP="00E31B8B">
            <w:pPr>
              <w:spacing w:after="251" w:line="235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Opšti poremećaji i reakcije na mjestu primjene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304F" w14:textId="77777777" w:rsidR="00930311" w:rsidRDefault="00930311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Često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0E2E" w14:textId="77777777" w:rsidR="00930311" w:rsidRDefault="00930311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Zapaljenje, bol</w:t>
            </w:r>
          </w:p>
        </w:tc>
      </w:tr>
      <w:tr w:rsidR="00930311" w14:paraId="254564D6" w14:textId="77777777" w:rsidTr="00930311">
        <w:trPr>
          <w:trHeight w:hRule="exact" w:val="45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11EA403" w14:textId="77777777" w:rsidR="00930311" w:rsidRDefault="009303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6EC9D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Povremeno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47F6" w14:textId="77777777" w:rsidR="00930311" w:rsidRDefault="00930311" w:rsidP="00E31B8B">
            <w:pPr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Tromboflebitis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, bol na mjestu primjene</w:t>
            </w:r>
          </w:p>
        </w:tc>
      </w:tr>
    </w:tbl>
    <w:p w14:paraId="723A2F9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D41C459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>
        <w:rPr>
          <w:rFonts w:ascii="Times New Roman" w:eastAsia="Times New Roman" w:hAnsi="Times New Roman" w:cs="Times New Roman"/>
          <w:u w:val="single"/>
          <w:lang w:val="sr-Latn-ME"/>
        </w:rPr>
        <w:t>Pedijatrijska populacija</w:t>
      </w:r>
    </w:p>
    <w:p w14:paraId="1F165F3A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je odobren za primjenu kod djece uzrasta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preko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3 mjeseca. Na osnovu ograničenih dostupnih podataka nema dokaza o povećanom riziku od bilo koje neželjene reakcije kod djece. Sve prijave su bile u skladu sa neželjenim događajima koji su zabilježeni kod odraslih.</w:t>
      </w:r>
    </w:p>
    <w:p w14:paraId="38500631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77777777" w:rsidR="00930311" w:rsidRDefault="00930311" w:rsidP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Default="00930311" w:rsidP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Odjeljenje za </w:t>
      </w:r>
      <w:proofErr w:type="spellStart"/>
      <w:r>
        <w:rPr>
          <w:rFonts w:ascii="Times New Roman" w:eastAsia="Calibri" w:hAnsi="Times New Roman" w:cs="Times New Roman"/>
          <w:lang w:val="sr-Latn-ME"/>
        </w:rPr>
        <w:t>farmakovigilancu</w:t>
      </w:r>
      <w:proofErr w:type="spellEnd"/>
    </w:p>
    <w:p w14:paraId="2275DA22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1E3E0480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proofErr w:type="spellStart"/>
      <w:r>
        <w:rPr>
          <w:rFonts w:ascii="Times New Roman" w:eastAsia="Calibri" w:hAnsi="Times New Roman" w:cs="Times New Roman"/>
          <w:lang w:val="sr-Latn-ME"/>
        </w:rPr>
        <w:t>fax</w:t>
      </w:r>
      <w:proofErr w:type="spellEnd"/>
      <w:r>
        <w:rPr>
          <w:rFonts w:ascii="Times New Roman" w:eastAsia="Calibri" w:hAnsi="Times New Roman" w:cs="Times New Roman"/>
          <w:lang w:val="sr-Latn-ME"/>
        </w:rPr>
        <w:t>: +382 (0) 20 310 581</w:t>
      </w:r>
    </w:p>
    <w:p w14:paraId="26F4B2CA" w14:textId="77777777" w:rsidR="00930311" w:rsidRDefault="00F15E65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7" w:history="1">
        <w:r w:rsidR="00930311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Default="00F15E65" w:rsidP="00930311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8" w:history="1">
        <w:r w:rsidR="00930311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1777DFB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Predoziranje</w:t>
      </w:r>
      <w:proofErr w:type="spellEnd"/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</w:p>
    <w:p w14:paraId="24322AC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39F3B8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Relativno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predoziranje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moguće je kod pacijenata sa oštećenom bubrežnom funkcijom ukoliko doza nije prilagođena kao što je opisano u dijelu 4.2. Ograničena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postmarketinška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iskustva ukazuju da su neželjena dejstva </w:t>
      </w:r>
      <w:r>
        <w:rPr>
          <w:rFonts w:ascii="Times New Roman" w:eastAsia="Times New Roman" w:hAnsi="Times New Roman" w:cs="Times New Roman"/>
          <w:lang w:val="sr-Latn-ME"/>
        </w:rPr>
        <w:t xml:space="preserve">koja se javljaju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usljed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predoziranja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u skladu sa opisanim profilom neželjenih dejstava u dijelu 4.8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, obično su blaga i povlače se nakon smanjenja doze ili obustave primjene lijeka. Ponekad je potrebna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simptomatska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terapija..</w:t>
      </w:r>
    </w:p>
    <w:p w14:paraId="7EBA945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6D9843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Kod osoba sa normalnom bubrežnom funkcijom </w:t>
      </w:r>
      <w:r>
        <w:rPr>
          <w:rFonts w:ascii="Times New Roman" w:eastAsia="Times New Roman" w:hAnsi="Times New Roman" w:cs="Times New Roman"/>
          <w:lang w:val="sr-Latn-ME"/>
        </w:rPr>
        <w:t>dolazi do brze eliminacije putem bubrega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 . </w:t>
      </w:r>
    </w:p>
    <w:p w14:paraId="71B28EF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Hemodijaliza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će ukloniti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njegove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metabolite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A22A6A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E5FBB6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9A5C98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Farmakodinamski</w:t>
      </w:r>
      <w:proofErr w:type="spellEnd"/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 podaci</w:t>
      </w:r>
    </w:p>
    <w:p w14:paraId="4BC45E0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Farmakoterapijska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grupa: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Antibakterijski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ljekovi za sistemsku primjenu,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karbapenemi</w:t>
      </w:r>
      <w:proofErr w:type="spellEnd"/>
    </w:p>
    <w:p w14:paraId="3E0A45B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ATC kod: J01DH02</w:t>
      </w:r>
    </w:p>
    <w:p w14:paraId="2B20922F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B94EAB8" w14:textId="77777777" w:rsidR="00930311" w:rsidRDefault="00930311" w:rsidP="00930311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  <w:r>
        <w:rPr>
          <w:rFonts w:ascii="Times New Roman" w:eastAsia="SimSun" w:hAnsi="Times New Roman" w:cs="Times New Roman"/>
          <w:u w:val="single"/>
          <w:lang w:val="sr-Latn-ME"/>
        </w:rPr>
        <w:t>Mehanizam dejstva</w:t>
      </w:r>
    </w:p>
    <w:p w14:paraId="3AFD5FEC" w14:textId="77777777" w:rsidR="00930311" w:rsidRDefault="00930311" w:rsidP="0093031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ME"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Meropenem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djeluje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baktericidno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putem inhibicije sinteze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bakterijskog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ćelijskog zida kod Gram-pozitivnih i Gram-negativnih bakterija vezivanjem za penicilin vezujuće proteine (</w:t>
      </w:r>
      <w:r>
        <w:rPr>
          <w:rFonts w:ascii="Times New Roman" w:eastAsia="Times New Roman" w:hAnsi="Times New Roman" w:cs="Times New Roman"/>
          <w:lang w:val="sr-Latn-ME"/>
        </w:rPr>
        <w:t xml:space="preserve">engl.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penicillin-binding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proteins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PBPs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).</w:t>
      </w:r>
    </w:p>
    <w:p w14:paraId="2555BABA" w14:textId="77777777" w:rsidR="00930311" w:rsidRDefault="00930311" w:rsidP="00930311">
      <w:pPr>
        <w:autoSpaceDE w:val="0"/>
        <w:autoSpaceDN w:val="0"/>
        <w:adjustRightInd w:val="0"/>
        <w:snapToGrid w:val="0"/>
        <w:spacing w:before="222" w:after="0" w:line="240" w:lineRule="auto"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sr-Latn-ME" w:eastAsia="hr-HR"/>
        </w:rPr>
        <w:t xml:space="preserve">Odnos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 w:eastAsia="hr-HR"/>
        </w:rPr>
        <w:t>Farmakokinetika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 w:eastAsia="hr-HR"/>
        </w:rPr>
        <w:t>Farmakodinamika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 w:eastAsia="hr-HR"/>
        </w:rPr>
        <w:t xml:space="preserve"> (PK/PD</w:t>
      </w:r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)</w:t>
      </w:r>
    </w:p>
    <w:p w14:paraId="64E92AD0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Slično ostalim beta-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laktamskim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antibioticima, pokazano je </w:t>
      </w:r>
      <w:r>
        <w:rPr>
          <w:rFonts w:ascii="Times New Roman" w:eastAsia="Times New Roman" w:hAnsi="Times New Roman" w:cs="Times New Roman"/>
          <w:lang w:val="sr-Latn-ME"/>
        </w:rPr>
        <w:t xml:space="preserve">da je dužina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vremena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tokom kojeg je koncentracija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veća od minimalne inhibitorne koncentracije (T&gt;MIC) u najboljoj korelaciji </w:t>
      </w:r>
      <w:r>
        <w:rPr>
          <w:rFonts w:ascii="Times New Roman" w:eastAsia="Times New Roman" w:hAnsi="Times New Roman" w:cs="Times New Roman"/>
          <w:lang w:val="sr-Latn-ME"/>
        </w:rPr>
        <w:lastRenderedPageBreak/>
        <w:t xml:space="preserve">sa efikasnošću. </w:t>
      </w:r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lang w:val="sr-Latn-ME" w:eastAsia="hr-HR"/>
        </w:rPr>
        <w:t>pretkliničkim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modelima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meropenem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je pokazao aktivnost u situacijama kada je koncentracija u plazmi bila veća od MIC </w:t>
      </w:r>
      <w:r>
        <w:rPr>
          <w:rFonts w:ascii="Times New Roman" w:eastAsia="Times New Roman" w:hAnsi="Times New Roman" w:cs="Times New Roman"/>
          <w:lang w:val="sr-Latn-ME"/>
        </w:rPr>
        <w:t>za datog uzročnika</w:t>
      </w:r>
      <w:r>
        <w:rPr>
          <w:rFonts w:ascii="Times New Roman" w:eastAsia="Times New Roman" w:hAnsi="Times New Roman" w:cs="Times New Roman"/>
          <w:color w:val="000000"/>
          <w:lang w:val="sr-Latn-ME" w:eastAsia="hr-HR"/>
        </w:rPr>
        <w:t xml:space="preserve"> u trajanju od oko 40 % intervala doziranja. U kliničkim uslovima ova ciljna vrijednost nije utvrđena.</w:t>
      </w:r>
    </w:p>
    <w:p w14:paraId="601C6512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lang w:val="sr-Latn-ME"/>
        </w:rPr>
      </w:pPr>
      <w:bookmarkStart w:id="3" w:name="p727042291447953902"/>
      <w:bookmarkEnd w:id="3"/>
      <w:r>
        <w:rPr>
          <w:rFonts w:ascii="Times New Roman" w:eastAsia="SimSun" w:hAnsi="Times New Roman" w:cs="Times New Roman"/>
          <w:u w:val="single"/>
          <w:lang w:val="sr-Latn-ME"/>
        </w:rPr>
        <w:t>Mehanizam rezistencije</w:t>
      </w:r>
    </w:p>
    <w:p w14:paraId="3C5E58E1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proofErr w:type="spellStart"/>
      <w:r>
        <w:rPr>
          <w:rFonts w:ascii="Times New Roman" w:eastAsia="SimSun" w:hAnsi="Times New Roman" w:cs="Times New Roman"/>
          <w:lang w:val="sr-Latn-ME"/>
        </w:rPr>
        <w:t>Bakterijska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rezistencija na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može da nastane zbog: (1) smanjene permeabilnosti spoljašnje</w:t>
      </w:r>
    </w:p>
    <w:p w14:paraId="0A847473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membrane Gram-negativnih bakterija (zbog smanjenog stvaranja porina) (2) smanjenog afiniteta ciljnih </w:t>
      </w:r>
      <w:proofErr w:type="spellStart"/>
      <w:r>
        <w:rPr>
          <w:rFonts w:ascii="Times New Roman" w:eastAsia="SimSun" w:hAnsi="Times New Roman" w:cs="Times New Roman"/>
          <w:lang w:val="sr-Latn-ME"/>
        </w:rPr>
        <w:t>PBPs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(3) povećane ekspresije komponenti </w:t>
      </w:r>
      <w:proofErr w:type="spellStart"/>
      <w:r>
        <w:rPr>
          <w:rFonts w:ascii="Times New Roman" w:eastAsia="SimSun" w:hAnsi="Times New Roman" w:cs="Times New Roman"/>
          <w:lang w:val="sr-Latn-ME"/>
        </w:rPr>
        <w:t>efluks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pumpe i (4) proizvodnje beta-</w:t>
      </w:r>
      <w:proofErr w:type="spellStart"/>
      <w:r>
        <w:rPr>
          <w:rFonts w:ascii="Times New Roman" w:eastAsia="SimSun" w:hAnsi="Times New Roman" w:cs="Times New Roman"/>
          <w:lang w:val="sr-Latn-ME"/>
        </w:rPr>
        <w:t>laktamaza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koje mogu da </w:t>
      </w:r>
      <w:proofErr w:type="spellStart"/>
      <w:r>
        <w:rPr>
          <w:rFonts w:ascii="Times New Roman" w:eastAsia="SimSun" w:hAnsi="Times New Roman" w:cs="Times New Roman"/>
          <w:lang w:val="sr-Latn-ME"/>
        </w:rPr>
        <w:t>hidrolizuju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karbapeneme</w:t>
      </w:r>
      <w:proofErr w:type="spellEnd"/>
      <w:r>
        <w:rPr>
          <w:rFonts w:ascii="Times New Roman" w:eastAsia="SimSun" w:hAnsi="Times New Roman" w:cs="Times New Roman"/>
          <w:lang w:val="sr-Latn-ME"/>
        </w:rPr>
        <w:t>.</w:t>
      </w:r>
    </w:p>
    <w:p w14:paraId="167428E9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015230EA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Lokalizovane grupe infekcija izazvanih bakterijama rezistentnim na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zabilježene su u Evropskoj Uniji.</w:t>
      </w:r>
    </w:p>
    <w:p w14:paraId="492B324F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1935EE79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Ne postoji ciljna unakrsna rezistencija između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i ljekova iz grupe </w:t>
      </w:r>
      <w:proofErr w:type="spellStart"/>
      <w:r>
        <w:rPr>
          <w:rFonts w:ascii="Times New Roman" w:eastAsia="SimSun" w:hAnsi="Times New Roman" w:cs="Times New Roman"/>
          <w:lang w:val="sr-Latn-ME"/>
        </w:rPr>
        <w:t>hinolona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, </w:t>
      </w:r>
      <w:proofErr w:type="spellStart"/>
      <w:r>
        <w:rPr>
          <w:rFonts w:ascii="Times New Roman" w:eastAsia="SimSun" w:hAnsi="Times New Roman" w:cs="Times New Roman"/>
          <w:lang w:val="sr-Latn-ME"/>
        </w:rPr>
        <w:t>aminoglikozida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, </w:t>
      </w:r>
      <w:proofErr w:type="spellStart"/>
      <w:r>
        <w:rPr>
          <w:rFonts w:ascii="Times New Roman" w:eastAsia="SimSun" w:hAnsi="Times New Roman" w:cs="Times New Roman"/>
          <w:lang w:val="sr-Latn-ME"/>
        </w:rPr>
        <w:t>makrolida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i </w:t>
      </w:r>
      <w:proofErr w:type="spellStart"/>
      <w:r>
        <w:rPr>
          <w:rFonts w:ascii="Times New Roman" w:eastAsia="SimSun" w:hAnsi="Times New Roman" w:cs="Times New Roman"/>
          <w:lang w:val="sr-Latn-ME"/>
        </w:rPr>
        <w:t>tetraciklina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. Međutim, bakterije mogu pokazivati rezistenciju na više od jedne klase antibiotika ukoliko je u osnovi mehanizma rezistencije </w:t>
      </w:r>
      <w:proofErr w:type="spellStart"/>
      <w:r>
        <w:rPr>
          <w:rFonts w:ascii="Times New Roman" w:eastAsia="SimSun" w:hAnsi="Times New Roman" w:cs="Times New Roman"/>
          <w:lang w:val="sr-Latn-ME"/>
        </w:rPr>
        <w:t>nepermeabilnost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i/ili </w:t>
      </w:r>
      <w:proofErr w:type="spellStart"/>
      <w:r>
        <w:rPr>
          <w:rFonts w:ascii="Times New Roman" w:eastAsia="SimSun" w:hAnsi="Times New Roman" w:cs="Times New Roman"/>
          <w:lang w:val="sr-Latn-ME"/>
        </w:rPr>
        <w:t>efluks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pumpa.</w:t>
      </w:r>
    </w:p>
    <w:p w14:paraId="450A5ADE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394CD85B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  <w:r>
        <w:rPr>
          <w:rFonts w:ascii="Times New Roman" w:eastAsia="SimSun" w:hAnsi="Times New Roman" w:cs="Times New Roman"/>
          <w:u w:val="single"/>
          <w:lang w:val="sr-Latn-ME"/>
        </w:rPr>
        <w:t xml:space="preserve">Granične vrijednosti </w:t>
      </w:r>
    </w:p>
    <w:p w14:paraId="5414EF80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ME"/>
        </w:rPr>
      </w:pPr>
    </w:p>
    <w:p w14:paraId="4234F68A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Evropski komitet za ispitivanje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antimikrobne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osjetljivosti </w:t>
      </w:r>
      <w:r>
        <w:rPr>
          <w:rFonts w:ascii="Times New Roman" w:eastAsia="SimSun" w:hAnsi="Times New Roman" w:cs="Times New Roman"/>
          <w:lang w:val="sr-Latn-ME"/>
        </w:rPr>
        <w:t xml:space="preserve">EUCAST (engl.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European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Committee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for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Antimicrobial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Sensitivity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Testing</w:t>
      </w:r>
      <w:proofErr w:type="spellEnd"/>
      <w:r>
        <w:rPr>
          <w:rFonts w:ascii="Times New Roman" w:eastAsia="SimSun" w:hAnsi="Times New Roman" w:cs="Times New Roman"/>
          <w:lang w:val="sr-Latn-ME"/>
        </w:rPr>
        <w:t>) odredio je kliničke granične vrijednosti predstavljene u tabeli.</w:t>
      </w:r>
    </w:p>
    <w:p w14:paraId="04E2DB56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0E05257F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Latn-ME"/>
        </w:rPr>
      </w:pPr>
      <w:r>
        <w:rPr>
          <w:rFonts w:ascii="Times New Roman" w:eastAsia="SimSun" w:hAnsi="Times New Roman" w:cs="Times New Roman"/>
          <w:b/>
          <w:lang w:val="sr-Latn-ME"/>
        </w:rPr>
        <w:t xml:space="preserve">EUCAST kliničke MIC granične vrijednosti za </w:t>
      </w:r>
      <w:proofErr w:type="spellStart"/>
      <w:r>
        <w:rPr>
          <w:rFonts w:ascii="Times New Roman" w:eastAsia="SimSun" w:hAnsi="Times New Roman" w:cs="Times New Roman"/>
          <w:b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b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/>
          <w:lang w:val="sr-Latn-ME"/>
        </w:rPr>
        <w:t>(2013-02-11</w:t>
      </w:r>
      <w:r>
        <w:rPr>
          <w:rFonts w:ascii="Times New Roman" w:eastAsia="SimSun" w:hAnsi="Times New Roman" w:cs="Times New Roman"/>
          <w:b/>
          <w:lang w:val="sr-Latn-ME"/>
        </w:rPr>
        <w:t>, v 3.1)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772"/>
        <w:gridCol w:w="7"/>
        <w:gridCol w:w="252"/>
        <w:gridCol w:w="2188"/>
        <w:gridCol w:w="311"/>
        <w:gridCol w:w="963"/>
        <w:gridCol w:w="1822"/>
      </w:tblGrid>
      <w:tr w:rsidR="00930311" w14:paraId="06EB9729" w14:textId="77777777" w:rsidTr="00930311">
        <w:trPr>
          <w:trHeight w:hRule="exact" w:val="926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35E7" w14:textId="77777777" w:rsidR="00930311" w:rsidRDefault="00930311">
            <w:pPr>
              <w:spacing w:after="0" w:line="251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Mikroorganizam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C4AC" w14:textId="77777777" w:rsidR="00930311" w:rsidRDefault="0093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Osjetljiv (engl.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ME"/>
              </w:rPr>
              <w:t>susceptible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, S)</w:t>
            </w:r>
          </w:p>
          <w:p w14:paraId="4E81C7BC" w14:textId="77777777" w:rsidR="00930311" w:rsidRDefault="00930311">
            <w:pPr>
              <w:spacing w:after="0" w:line="251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(mg/l)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5B8D" w14:textId="77777777" w:rsidR="00930311" w:rsidRDefault="00930311">
            <w:pPr>
              <w:spacing w:after="0" w:line="251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Rezistentan (R)</w:t>
            </w:r>
          </w:p>
          <w:p w14:paraId="7E3D0B68" w14:textId="77777777" w:rsidR="00930311" w:rsidRDefault="00930311">
            <w:pPr>
              <w:spacing w:after="0" w:line="251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Latn-ME"/>
              </w:rPr>
              <w:t>(mg/l)</w:t>
            </w:r>
          </w:p>
        </w:tc>
      </w:tr>
      <w:tr w:rsidR="00930311" w14:paraId="6A2724D5" w14:textId="77777777" w:rsidTr="00930311">
        <w:trPr>
          <w:trHeight w:hRule="exact" w:val="264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B579" w14:textId="77777777" w:rsidR="00930311" w:rsidRDefault="00930311">
            <w:pPr>
              <w:spacing w:after="0" w:line="23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Enterobacteriaceae</w:t>
            </w:r>
            <w:proofErr w:type="spellEnd"/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89190" w14:textId="77777777" w:rsidR="00930311" w:rsidRDefault="00930311">
            <w:pPr>
              <w:spacing w:after="0" w:line="25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≤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1A68" w14:textId="77777777" w:rsidR="00930311" w:rsidRDefault="00930311">
            <w:pPr>
              <w:spacing w:after="0" w:line="246" w:lineRule="exact"/>
              <w:ind w:right="19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2BA23" w14:textId="77777777" w:rsidR="00930311" w:rsidRDefault="00930311">
            <w:pPr>
              <w:spacing w:after="0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8697" w14:textId="77777777" w:rsidR="00930311" w:rsidRDefault="00930311">
            <w:pPr>
              <w:spacing w:after="0" w:line="246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8</w:t>
            </w:r>
          </w:p>
        </w:tc>
      </w:tr>
      <w:tr w:rsidR="00930311" w14:paraId="739D286C" w14:textId="77777777" w:rsidTr="00930311">
        <w:trPr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FCF5" w14:textId="77777777" w:rsidR="00930311" w:rsidRDefault="00930311">
            <w:pPr>
              <w:spacing w:after="0" w:line="24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Pseudomonas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.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12D54" w14:textId="77777777" w:rsidR="00930311" w:rsidRDefault="00930311">
            <w:pPr>
              <w:spacing w:after="0" w:line="259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≤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BFC4" w14:textId="77777777" w:rsidR="00930311" w:rsidRDefault="00930311">
            <w:pPr>
              <w:spacing w:after="0" w:line="250" w:lineRule="exact"/>
              <w:ind w:right="19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D8A4A" w14:textId="77777777" w:rsidR="00930311" w:rsidRDefault="00930311">
            <w:pPr>
              <w:spacing w:after="0" w:line="25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E252" w14:textId="77777777" w:rsidR="00930311" w:rsidRDefault="00930311">
            <w:pPr>
              <w:spacing w:after="0" w:line="250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8</w:t>
            </w:r>
          </w:p>
        </w:tc>
      </w:tr>
      <w:tr w:rsidR="00930311" w14:paraId="712902DE" w14:textId="77777777" w:rsidTr="00930311">
        <w:trPr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9FC2" w14:textId="77777777" w:rsidR="00930311" w:rsidRDefault="00930311">
            <w:pPr>
              <w:spacing w:after="0" w:line="24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Acinetobacter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.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1BE4D" w14:textId="77777777" w:rsidR="00930311" w:rsidRDefault="00930311">
            <w:pPr>
              <w:spacing w:after="0" w:line="26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≤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E6E4F" w14:textId="77777777" w:rsidR="00930311" w:rsidRDefault="00930311">
            <w:pPr>
              <w:spacing w:after="0" w:line="255" w:lineRule="exact"/>
              <w:ind w:right="19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A9A8C" w14:textId="77777777" w:rsidR="00930311" w:rsidRDefault="00930311">
            <w:pPr>
              <w:spacing w:after="0" w:line="25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E280" w14:textId="77777777" w:rsidR="00930311" w:rsidRDefault="00930311">
            <w:pPr>
              <w:spacing w:after="0" w:line="255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8</w:t>
            </w:r>
          </w:p>
        </w:tc>
      </w:tr>
      <w:tr w:rsidR="00930311" w14:paraId="4BB45463" w14:textId="77777777" w:rsidTr="00930311">
        <w:trPr>
          <w:trHeight w:hRule="exact" w:val="528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EB98" w14:textId="77777777" w:rsidR="00930311" w:rsidRDefault="00930311">
            <w:pPr>
              <w:spacing w:after="0" w:line="25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Streptococcus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grupe A, B, C, G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0440" w14:textId="77777777" w:rsidR="00930311" w:rsidRDefault="00930311">
            <w:pPr>
              <w:spacing w:after="240" w:line="260" w:lineRule="exact"/>
              <w:ind w:right="-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609E1" w14:textId="77777777" w:rsidR="00930311" w:rsidRDefault="00930311">
            <w:pPr>
              <w:spacing w:after="240" w:line="260" w:lineRule="exact"/>
              <w:ind w:right="-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napomena 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5D5AE" w14:textId="77777777" w:rsidR="00930311" w:rsidRDefault="00930311">
            <w:pPr>
              <w:spacing w:after="240" w:line="260" w:lineRule="exact"/>
              <w:ind w:right="-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napomena 6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33EFE" w14:textId="77777777" w:rsidR="00930311" w:rsidRDefault="00930311">
            <w:pPr>
              <w:spacing w:after="240" w:line="260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</w:tr>
      <w:tr w:rsidR="00930311" w14:paraId="157F184A" w14:textId="77777777" w:rsidTr="00930311">
        <w:trPr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64A0F" w14:textId="77777777" w:rsidR="00930311" w:rsidRDefault="00930311">
            <w:pPr>
              <w:spacing w:after="0" w:line="254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Streptococcus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pneumoniae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val="sr-Latn-M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4081A" w14:textId="77777777" w:rsidR="00930311" w:rsidRDefault="00930311">
            <w:pPr>
              <w:spacing w:after="0" w:line="259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≤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A171" w14:textId="77777777" w:rsidR="00930311" w:rsidRDefault="00930311">
            <w:pPr>
              <w:spacing w:after="0" w:line="250" w:lineRule="exact"/>
              <w:ind w:right="19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93747" w14:textId="77777777" w:rsidR="00930311" w:rsidRDefault="00930311">
            <w:pPr>
              <w:spacing w:after="0" w:line="25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86B8" w14:textId="77777777" w:rsidR="00930311" w:rsidRDefault="00930311">
            <w:pPr>
              <w:spacing w:after="0" w:line="250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</w:tr>
      <w:tr w:rsidR="00930311" w14:paraId="793DCE64" w14:textId="77777777" w:rsidTr="00930311">
        <w:trPr>
          <w:trHeight w:hRule="exact" w:val="277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8162" w14:textId="77777777" w:rsidR="00930311" w:rsidRDefault="00930311">
            <w:pPr>
              <w:spacing w:after="0" w:line="25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sr-Latn-ME"/>
              </w:rPr>
              <w:t>Viridans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Latn-ME"/>
              </w:rPr>
              <w:t>grupa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streptococci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ME"/>
              </w:rPr>
              <w:t>2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776C7" w14:textId="77777777" w:rsidR="00930311" w:rsidRDefault="00930311">
            <w:pPr>
              <w:spacing w:after="0" w:line="259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≤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7287" w14:textId="77777777" w:rsidR="00930311" w:rsidRDefault="00930311">
            <w:pPr>
              <w:spacing w:after="0" w:line="250" w:lineRule="exact"/>
              <w:ind w:right="19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A94C4" w14:textId="77777777" w:rsidR="00930311" w:rsidRDefault="00930311">
            <w:pPr>
              <w:spacing w:after="0" w:line="25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D003" w14:textId="77777777" w:rsidR="00930311" w:rsidRDefault="00930311">
            <w:pPr>
              <w:spacing w:after="0" w:line="250" w:lineRule="exact"/>
              <w:ind w:right="19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</w:tr>
      <w:tr w:rsidR="00930311" w14:paraId="704B5D85" w14:textId="77777777" w:rsidTr="00930311">
        <w:trPr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C139" w14:textId="77777777" w:rsidR="00930311" w:rsidRDefault="00930311">
            <w:pPr>
              <w:spacing w:after="0" w:line="25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Enterococcus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.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87AF4" w14:textId="77777777" w:rsidR="00930311" w:rsidRDefault="00930311">
            <w:pPr>
              <w:spacing w:after="0" w:line="25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7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7"/>
                <w:lang w:val="sr-Latn-ME"/>
              </w:rPr>
              <w:t>--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1B4E9" w14:textId="77777777" w:rsidR="00930311" w:rsidRDefault="00930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6396A" w14:textId="77777777" w:rsidR="00930311" w:rsidRDefault="00930311">
            <w:pPr>
              <w:spacing w:after="0" w:line="25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--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5917E" w14:textId="77777777" w:rsidR="00930311" w:rsidRDefault="009303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</w:p>
        </w:tc>
      </w:tr>
      <w:tr w:rsidR="00930311" w14:paraId="46AC330B" w14:textId="77777777" w:rsidTr="00930311">
        <w:trPr>
          <w:gridBefore w:val="1"/>
          <w:wBefore w:w="7" w:type="dxa"/>
          <w:trHeight w:hRule="exact" w:val="255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B3DA" w14:textId="77777777" w:rsidR="00930311" w:rsidRDefault="00930311">
            <w:pPr>
              <w:spacing w:after="0" w:line="25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Staphylococcus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spp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617B" w14:textId="77777777" w:rsidR="00930311" w:rsidRDefault="00930311">
            <w:pPr>
              <w:spacing w:after="240" w:line="260" w:lineRule="exact"/>
              <w:ind w:right="-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napomena 3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5067" w14:textId="77777777" w:rsidR="00930311" w:rsidRDefault="00930311">
            <w:pPr>
              <w:spacing w:after="240" w:line="260" w:lineRule="exact"/>
              <w:ind w:right="-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napomena 3</w:t>
            </w:r>
          </w:p>
        </w:tc>
      </w:tr>
      <w:tr w:rsidR="00930311" w14:paraId="6FC5AD64" w14:textId="77777777" w:rsidTr="00930311">
        <w:trPr>
          <w:gridBefore w:val="1"/>
          <w:wBefore w:w="7" w:type="dxa"/>
          <w:trHeight w:hRule="exact" w:val="528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0C9A" w14:textId="77777777" w:rsidR="00930311" w:rsidRDefault="00930311">
            <w:pPr>
              <w:spacing w:after="0" w:line="25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Haemophilus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influenzae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val="sr-Latn-ME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Moraxella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catarrhalis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val="sr-Latn-ME"/>
              </w:rPr>
              <w:t>2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6775" w14:textId="77777777" w:rsidR="00930311" w:rsidRDefault="00930311">
            <w:pPr>
              <w:spacing w:after="231" w:line="268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>≤ 2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C27A" w14:textId="77777777" w:rsidR="00930311" w:rsidRDefault="00930311">
            <w:pPr>
              <w:spacing w:after="240" w:line="26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2</w:t>
            </w:r>
          </w:p>
        </w:tc>
      </w:tr>
      <w:tr w:rsidR="00930311" w14:paraId="3A318422" w14:textId="77777777" w:rsidTr="00930311">
        <w:trPr>
          <w:gridBefore w:val="1"/>
          <w:wBefore w:w="7" w:type="dxa"/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C4E6" w14:textId="77777777" w:rsidR="00930311" w:rsidRDefault="00930311">
            <w:pPr>
              <w:spacing w:after="0" w:line="249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Neisseria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meningitidis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val="sr-Latn-ME"/>
              </w:rPr>
              <w:t>2,4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70DD" w14:textId="77777777" w:rsidR="00930311" w:rsidRDefault="00930311">
            <w:pPr>
              <w:spacing w:after="0" w:line="258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0,25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8CC" w14:textId="77777777" w:rsidR="00930311" w:rsidRDefault="00930311">
            <w:pPr>
              <w:spacing w:after="0" w:line="25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0,25</w:t>
            </w:r>
          </w:p>
        </w:tc>
      </w:tr>
      <w:tr w:rsidR="00930311" w14:paraId="633CC4FD" w14:textId="77777777" w:rsidTr="00930311">
        <w:trPr>
          <w:gridBefore w:val="1"/>
          <w:wBefore w:w="7" w:type="dxa"/>
          <w:trHeight w:hRule="exact" w:val="60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E718" w14:textId="77777777" w:rsidR="00930311" w:rsidRDefault="00930311">
            <w:pPr>
              <w:spacing w:after="0" w:line="26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Gram-pozitivni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anaerobi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osim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Clostridium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difficile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35EB" w14:textId="77777777" w:rsidR="00930311" w:rsidRDefault="00930311">
            <w:pPr>
              <w:spacing w:after="0" w:line="263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6D09" w14:textId="77777777" w:rsidR="00930311" w:rsidRDefault="00930311">
            <w:pPr>
              <w:spacing w:after="0" w:line="26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8</w:t>
            </w:r>
          </w:p>
        </w:tc>
      </w:tr>
      <w:tr w:rsidR="00930311" w14:paraId="56E64980" w14:textId="77777777" w:rsidTr="00930311">
        <w:trPr>
          <w:gridBefore w:val="1"/>
          <w:wBefore w:w="7" w:type="dxa"/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0C22" w14:textId="77777777" w:rsidR="00930311" w:rsidRDefault="00930311">
            <w:pPr>
              <w:spacing w:after="0" w:line="26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Gram-negativni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anaerobi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2F40" w14:textId="77777777" w:rsidR="00930311" w:rsidRDefault="00930311">
            <w:pPr>
              <w:spacing w:after="0" w:line="268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54E3" w14:textId="77777777" w:rsidR="00930311" w:rsidRDefault="00930311">
            <w:pPr>
              <w:spacing w:after="0" w:line="26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8</w:t>
            </w:r>
          </w:p>
        </w:tc>
      </w:tr>
      <w:tr w:rsidR="00930311" w14:paraId="72C17B50" w14:textId="77777777" w:rsidTr="00930311">
        <w:trPr>
          <w:gridBefore w:val="1"/>
          <w:wBefore w:w="7" w:type="dxa"/>
          <w:trHeight w:hRule="exact" w:val="269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A6D0" w14:textId="77777777" w:rsidR="00930311" w:rsidRDefault="00930311">
            <w:pPr>
              <w:spacing w:after="0" w:line="26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Listeria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val="sr-Latn-ME"/>
              </w:rPr>
              <w:t>monocytogenes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684E" w14:textId="77777777" w:rsidR="00930311" w:rsidRDefault="00930311">
            <w:pPr>
              <w:spacing w:after="0" w:line="258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0,25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6401" w14:textId="77777777" w:rsidR="00930311" w:rsidRDefault="00930311">
            <w:pPr>
              <w:spacing w:after="0" w:line="25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0,25</w:t>
            </w:r>
          </w:p>
        </w:tc>
      </w:tr>
      <w:tr w:rsidR="00930311" w14:paraId="0F14D9DD" w14:textId="77777777" w:rsidTr="00930311">
        <w:trPr>
          <w:gridBefore w:val="1"/>
          <w:wBefore w:w="7" w:type="dxa"/>
          <w:trHeight w:hRule="exact" w:val="773"/>
        </w:trPr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49D22" w14:textId="77777777" w:rsidR="00930311" w:rsidRDefault="00930311">
            <w:pPr>
              <w:tabs>
                <w:tab w:val="left" w:pos="1152"/>
                <w:tab w:val="right" w:pos="2736"/>
              </w:tabs>
              <w:spacing w:after="0" w:line="255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Granične vrijednosti koje nijesu vezane za određene sojeve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M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D892" w14:textId="77777777" w:rsidR="00930311" w:rsidRDefault="00930311">
            <w:pPr>
              <w:spacing w:after="481" w:line="268" w:lineRule="exact"/>
              <w:jc w:val="both"/>
              <w:textAlignment w:val="baseline"/>
              <w:rPr>
                <w:rFonts w:ascii="Times New Roman" w:eastAsia="Garamond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Garamond" w:hAnsi="Times New Roman" w:cs="Times New Roman"/>
                <w:color w:val="000000"/>
                <w:lang w:val="sr-Latn-ME"/>
              </w:rPr>
              <w:t>≤ 2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D5439" w14:textId="77777777" w:rsidR="00930311" w:rsidRDefault="00930311">
            <w:pPr>
              <w:spacing w:after="490" w:line="268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/>
              </w:rPr>
              <w:t>&gt; 8</w:t>
            </w:r>
          </w:p>
        </w:tc>
      </w:tr>
    </w:tbl>
    <w:p w14:paraId="2DF6ADE1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vertAlign w:val="superscript"/>
          <w:lang w:val="sr-Latn-ME"/>
        </w:rPr>
        <w:t>1</w:t>
      </w:r>
      <w:r>
        <w:rPr>
          <w:rFonts w:ascii="Times New Roman" w:eastAsia="SimSun" w:hAnsi="Times New Roman" w:cs="Times New Roman"/>
          <w:lang w:val="sr-Latn-ME"/>
        </w:rPr>
        <w:t xml:space="preserve"> Granične vrijednosti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za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Streptococcus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pneumoniae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i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Haemophilus</w:t>
      </w:r>
      <w:proofErr w:type="spellEnd"/>
      <w:r>
        <w:rPr>
          <w:rFonts w:ascii="Times New Roman" w:eastAsia="SimSun" w:hAnsi="Times New Roman" w:cs="Times New Roman"/>
          <w:i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lang w:val="sr-Latn-ME"/>
        </w:rPr>
        <w:t>influenzae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kod meningitisa su 0,25 mg/l (osjetljiv) i 1 mg/ml (rezistentan).</w:t>
      </w:r>
    </w:p>
    <w:p w14:paraId="6B796C39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vertAlign w:val="superscript"/>
          <w:lang w:val="sr-Latn-ME"/>
        </w:rPr>
        <w:t>2</w:t>
      </w:r>
      <w:r>
        <w:rPr>
          <w:rFonts w:ascii="Times New Roman" w:eastAsia="SimSu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sr-Latn-ME"/>
        </w:rPr>
        <w:t>Izolati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sa MIC vrijednostima iznad graničnih vrijednosti osjetljivosti su rijetki ili nijesu uopšte zabilježeni. Testovi identifikacije i </w:t>
      </w:r>
      <w:proofErr w:type="spellStart"/>
      <w:r>
        <w:rPr>
          <w:rFonts w:ascii="Times New Roman" w:eastAsia="SimSun" w:hAnsi="Times New Roman" w:cs="Times New Roman"/>
          <w:lang w:val="sr-Latn-ME"/>
        </w:rPr>
        <w:t>antimikrobne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osjetljivosti na bilo kom od tih </w:t>
      </w:r>
      <w:proofErr w:type="spellStart"/>
      <w:r>
        <w:rPr>
          <w:rFonts w:ascii="Times New Roman" w:eastAsia="SimSun" w:hAnsi="Times New Roman" w:cs="Times New Roman"/>
          <w:lang w:val="sr-Latn-ME"/>
        </w:rPr>
        <w:t>izolata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moraju se ponoviti, pa ako se rezultati potvrde, </w:t>
      </w:r>
      <w:proofErr w:type="spellStart"/>
      <w:r>
        <w:rPr>
          <w:rFonts w:ascii="Times New Roman" w:eastAsia="SimSun" w:hAnsi="Times New Roman" w:cs="Times New Roman"/>
          <w:lang w:val="sr-Latn-ME"/>
        </w:rPr>
        <w:t>izolat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se šalje u referentnu laboratoriju. Sve dok ne postoje dokazi u vezi sa kliničkim odgovorom za </w:t>
      </w:r>
      <w:proofErr w:type="spellStart"/>
      <w:r>
        <w:rPr>
          <w:rFonts w:ascii="Times New Roman" w:eastAsia="SimSun" w:hAnsi="Times New Roman" w:cs="Times New Roman"/>
          <w:lang w:val="sr-Latn-ME"/>
        </w:rPr>
        <w:t>izolate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sa MIC iznad važeće granične vrijednosti rezistencije, treba ih smatrati rezistentnim.</w:t>
      </w:r>
    </w:p>
    <w:p w14:paraId="2C39BE98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vertAlign w:val="superscript"/>
          <w:lang w:val="sr-Latn-ME"/>
        </w:rPr>
        <w:t>3</w:t>
      </w:r>
      <w:r>
        <w:rPr>
          <w:rFonts w:ascii="Times New Roman" w:eastAsia="SimSun" w:hAnsi="Times New Roman" w:cs="Times New Roman"/>
          <w:lang w:val="sr-Latn-ME"/>
        </w:rPr>
        <w:t xml:space="preserve"> Osjetljivost stafilokoka na </w:t>
      </w:r>
      <w:proofErr w:type="spellStart"/>
      <w:r>
        <w:rPr>
          <w:rFonts w:ascii="Times New Roman" w:eastAsia="SimSun" w:hAnsi="Times New Roman" w:cs="Times New Roman"/>
          <w:lang w:val="sr-Latn-ME"/>
        </w:rPr>
        <w:t>karbapeneme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zaključuje se na osnovu osjetljivosti na </w:t>
      </w:r>
      <w:proofErr w:type="spellStart"/>
      <w:r>
        <w:rPr>
          <w:rFonts w:ascii="Times New Roman" w:eastAsia="SimSun" w:hAnsi="Times New Roman" w:cs="Times New Roman"/>
          <w:lang w:val="sr-Latn-ME"/>
        </w:rPr>
        <w:t>cefoksitin</w:t>
      </w:r>
      <w:proofErr w:type="spellEnd"/>
      <w:r>
        <w:rPr>
          <w:rFonts w:ascii="Times New Roman" w:eastAsia="SimSun" w:hAnsi="Times New Roman" w:cs="Times New Roman"/>
          <w:lang w:val="sr-Latn-ME"/>
        </w:rPr>
        <w:t>.</w:t>
      </w:r>
    </w:p>
    <w:p w14:paraId="3E5198AC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vertAlign w:val="superscript"/>
          <w:lang w:val="sr-Latn-ME"/>
        </w:rPr>
        <w:t>4</w:t>
      </w:r>
      <w:r>
        <w:rPr>
          <w:rFonts w:ascii="Times New Roman" w:eastAsia="SimSun" w:hAnsi="Times New Roman" w:cs="Times New Roman"/>
          <w:lang w:val="sr-Latn-ME"/>
        </w:rPr>
        <w:t xml:space="preserve"> Granične vrijednosti odnose se samo na meningitis.</w:t>
      </w:r>
    </w:p>
    <w:p w14:paraId="5B5AD4F3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vertAlign w:val="superscript"/>
          <w:lang w:val="sr-Latn-ME"/>
        </w:rPr>
        <w:lastRenderedPageBreak/>
        <w:t>5</w:t>
      </w:r>
      <w:r>
        <w:rPr>
          <w:rFonts w:ascii="Times New Roman" w:eastAsia="SimSun" w:hAnsi="Times New Roman" w:cs="Times New Roman"/>
          <w:lang w:val="sr-Latn-ME"/>
        </w:rPr>
        <w:t xml:space="preserve"> Granične vrijednosti koje nijesu vezane za određene sojeve su uglavnom iz PK/PD podataka i nezavisne su od distribucija MIC specifičnih sojeva. One služe kod mikroorganizama koji nemaju specifične granične vrijednosti. Granične vrijednosti koje nijesu vezane za određene sojeve određene su na osnovu sljedećih doza: EUCAST graničnih vrijednosti koje se odnose na </w:t>
      </w:r>
      <w:proofErr w:type="spellStart"/>
      <w:r>
        <w:rPr>
          <w:rFonts w:ascii="Times New Roman" w:eastAsia="SimSun" w:hAnsi="Times New Roman" w:cs="Times New Roman"/>
          <w:lang w:val="sr-Latn-ME"/>
        </w:rPr>
        <w:t>meropenem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1000 mg 3 puta dnevno, primijenjeno </w:t>
      </w:r>
      <w:proofErr w:type="spellStart"/>
      <w:r>
        <w:rPr>
          <w:rFonts w:ascii="Times New Roman" w:eastAsia="SimSun" w:hAnsi="Times New Roman" w:cs="Times New Roman"/>
          <w:lang w:val="sr-Latn-ME"/>
        </w:rPr>
        <w:t>intravenski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duže od 30 minuta, kao najniža doza. Primjena 2 g 3 puta dnevno je razmatrana kod teških infekcija i u određivanju I/R granične vrijednosti.</w:t>
      </w:r>
    </w:p>
    <w:p w14:paraId="46A85FA5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6 Osjetljivost streptokoka grupa A, B, C i G na beta-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laktame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utvrđuje se na osnovu osjetljivosti na penicilin.</w:t>
      </w:r>
    </w:p>
    <w:p w14:paraId="446A0FF6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-- = Testiranje osjetljivosti se ne preporučuje jer je </w:t>
      </w:r>
      <w:r>
        <w:rPr>
          <w:rFonts w:ascii="Times New Roman" w:eastAsia="Times New Roman" w:hAnsi="Times New Roman" w:cs="Times New Roman"/>
          <w:lang w:val="sr-Latn-ME"/>
        </w:rPr>
        <w:t xml:space="preserve">bakterija slabo osjetljiva na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. </w:t>
      </w:r>
      <w:proofErr w:type="spellStart"/>
      <w:r>
        <w:rPr>
          <w:rFonts w:ascii="Times New Roman" w:eastAsia="SimSun" w:hAnsi="Times New Roman" w:cs="Times New Roman"/>
          <w:lang w:val="sr-Latn-ME"/>
        </w:rPr>
        <w:t>Izolati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mogu da se prijave kao rezistentni (R) bez prethodnog testiranja.</w:t>
      </w:r>
    </w:p>
    <w:p w14:paraId="33F33419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142273DC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proofErr w:type="spellStart"/>
      <w:r>
        <w:rPr>
          <w:rFonts w:ascii="Times New Roman" w:eastAsia="SimSun" w:hAnsi="Times New Roman" w:cs="Times New Roman"/>
          <w:lang w:val="sr-Latn-ME"/>
        </w:rPr>
        <w:t>Prevalenca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stečene rezistencije može da varira geografski i vremenski za pojedine sojeve i lokalne informacije o rezistenciji su poželjne, posebno kod liječenja teških infekcija. Ako je neophodno, treba potražiti stručno mišljenje kada je lokalna </w:t>
      </w:r>
      <w:proofErr w:type="spellStart"/>
      <w:r>
        <w:rPr>
          <w:rFonts w:ascii="Times New Roman" w:eastAsia="SimSun" w:hAnsi="Times New Roman" w:cs="Times New Roman"/>
          <w:lang w:val="sr-Latn-ME"/>
        </w:rPr>
        <w:t>prevalenca</w:t>
      </w:r>
      <w:proofErr w:type="spellEnd"/>
      <w:r>
        <w:rPr>
          <w:rFonts w:ascii="Times New Roman" w:eastAsia="SimSun" w:hAnsi="Times New Roman" w:cs="Times New Roman"/>
          <w:lang w:val="sr-Latn-ME"/>
        </w:rPr>
        <w:t xml:space="preserve"> rezistencije takva da </w:t>
      </w:r>
      <w:r>
        <w:rPr>
          <w:rFonts w:ascii="Times New Roman" w:eastAsia="Times New Roman" w:hAnsi="Times New Roman" w:cs="Times New Roman"/>
          <w:lang w:val="sr-Latn-ME"/>
        </w:rPr>
        <w:t>je efikasnost lijeka upitna, makar</w:t>
      </w:r>
      <w:r>
        <w:rPr>
          <w:rFonts w:ascii="Times New Roman" w:eastAsia="SimSun" w:hAnsi="Times New Roman" w:cs="Times New Roman"/>
          <w:lang w:val="sr-Latn-ME"/>
        </w:rPr>
        <w:t xml:space="preserve"> kod nekih tipova infekcija.</w:t>
      </w:r>
    </w:p>
    <w:p w14:paraId="08C36B0F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4BEED166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Lista patogena u nastavku je nastala </w:t>
      </w:r>
      <w:r>
        <w:rPr>
          <w:rFonts w:ascii="Times New Roman" w:eastAsia="SimSun" w:hAnsi="Times New Roman" w:cs="Times New Roman"/>
          <w:lang w:val="sr-Latn-ME"/>
        </w:rPr>
        <w:t>na osnovu kliničkog iskustva i terapijskih vodiča.</w:t>
      </w:r>
    </w:p>
    <w:p w14:paraId="23E423AD" w14:textId="77777777" w:rsidR="00930311" w:rsidRDefault="00930311" w:rsidP="00930311">
      <w:pPr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</w:p>
    <w:p w14:paraId="023973BA" w14:textId="77777777" w:rsidR="00930311" w:rsidRDefault="00930311" w:rsidP="00930311">
      <w:pPr>
        <w:spacing w:after="0" w:line="257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sr-Latn-ME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sr-Latn-ME"/>
        </w:rPr>
        <w:t>Uobičajeno osjetljivi mikroorganizmi</w:t>
      </w:r>
    </w:p>
    <w:p w14:paraId="71194BCF" w14:textId="77777777" w:rsidR="00930311" w:rsidRDefault="00930311" w:rsidP="00930311">
      <w:pPr>
        <w:spacing w:before="2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 xml:space="preserve">Gram-pozitivni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>aerobi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 xml:space="preserve"> </w:t>
      </w:r>
    </w:p>
    <w:p w14:paraId="727E289A" w14:textId="77777777" w:rsidR="00930311" w:rsidRDefault="00930311" w:rsidP="00930311">
      <w:pPr>
        <w:spacing w:before="21"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Enterococcus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faecalis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$</w:t>
      </w:r>
    </w:p>
    <w:p w14:paraId="6CE89C25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>Staphylococcus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>aureus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lang w:val="sr-Latn-ME"/>
        </w:rPr>
        <w:t xml:space="preserve">(osjetljivi na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lang w:val="sr-Latn-ME"/>
        </w:rPr>
        <w:t>meticilin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lang w:val="sr-Latn-ME"/>
        </w:rPr>
        <w:t>)</w:t>
      </w:r>
      <w:r>
        <w:rPr>
          <w:rFonts w:ascii="Times New Roman" w:eastAsia="Times New Roman" w:hAnsi="Times New Roman" w:cs="Times New Roman"/>
          <w:lang w:val="sr-Latn-ME"/>
        </w:rPr>
        <w:t xml:space="preserve"> £</w:t>
      </w:r>
    </w:p>
    <w:p w14:paraId="32BB2F8D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Staphylococcus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sojevi (osjetljivi na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meticilin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) uključujući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Staphylococcus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epidermidis</w:t>
      </w:r>
      <w:proofErr w:type="spellEnd"/>
    </w:p>
    <w:p w14:paraId="521C14A8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Streptococcus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agalactiae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(grupa B)</w:t>
      </w:r>
    </w:p>
    <w:p w14:paraId="1A51421B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Streptococcus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milleri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grupa </w:t>
      </w:r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(S.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anginosus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constellatus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i 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intermedius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)</w:t>
      </w:r>
    </w:p>
    <w:p w14:paraId="3A61CDD1" w14:textId="77777777" w:rsidR="00930311" w:rsidRDefault="00930311" w:rsidP="00930311">
      <w:pPr>
        <w:spacing w:before="5"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Streptococcus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pneumoniae</w:t>
      </w:r>
      <w:proofErr w:type="spellEnd"/>
    </w:p>
    <w:p w14:paraId="552193C1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Streptococcus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pyogenes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(grupa A)</w:t>
      </w:r>
    </w:p>
    <w:p w14:paraId="042E423C" w14:textId="77777777" w:rsidR="00930311" w:rsidRDefault="00930311" w:rsidP="00930311">
      <w:pPr>
        <w:spacing w:before="265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Gram-negativni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>aerobi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Citrobacter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freudii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Citrobacter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koseri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Enterobacter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aerogenes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Enterobacter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cloacae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Escherichia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coli</w:t>
      </w:r>
    </w:p>
    <w:p w14:paraId="7DAFB995" w14:textId="77777777" w:rsidR="00930311" w:rsidRDefault="00930311" w:rsidP="00930311">
      <w:pPr>
        <w:spacing w:after="0" w:line="276" w:lineRule="auto"/>
        <w:rPr>
          <w:rFonts w:ascii="Times New Roman" w:eastAsia="SimSu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Haemophilus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influenzae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oxytoca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pneumonia</w:t>
      </w:r>
      <w:proofErr w:type="spellEnd"/>
    </w:p>
    <w:p w14:paraId="596F7566" w14:textId="77777777" w:rsidR="00930311" w:rsidRDefault="00930311" w:rsidP="00930311">
      <w:pPr>
        <w:spacing w:after="0" w:line="276" w:lineRule="auto"/>
        <w:rPr>
          <w:rFonts w:ascii="Times New Roman" w:eastAsia="SimSu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Morganella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morganii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Neisseria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meningitides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  <w:t xml:space="preserve">Proteus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mirabilis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  <w:t xml:space="preserve">Proteus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vulgaris</w:t>
      </w:r>
      <w:proofErr w:type="spellEnd"/>
    </w:p>
    <w:p w14:paraId="23F7B607" w14:textId="77777777" w:rsidR="00930311" w:rsidRDefault="00930311" w:rsidP="0093031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Serratia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marcescens</w:t>
      </w:r>
      <w:proofErr w:type="spellEnd"/>
    </w:p>
    <w:p w14:paraId="710EFA90" w14:textId="77777777" w:rsidR="00930311" w:rsidRDefault="00930311" w:rsidP="00930311">
      <w:pPr>
        <w:spacing w:before="258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 xml:space="preserve">Gram-pozitivni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>anaerobi</w:t>
      </w:r>
      <w:proofErr w:type="spellEnd"/>
    </w:p>
    <w:p w14:paraId="66AF6637" w14:textId="77777777" w:rsidR="00930311" w:rsidRDefault="00930311" w:rsidP="00930311">
      <w:pPr>
        <w:spacing w:before="5"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>Clostridium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  <w:lang w:val="sr-Latn-ME"/>
        </w:rPr>
        <w:t>perfringens</w:t>
      </w:r>
      <w:proofErr w:type="spellEnd"/>
    </w:p>
    <w:p w14:paraId="71F12837" w14:textId="77777777" w:rsidR="00930311" w:rsidRDefault="00930311" w:rsidP="0093031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Peptoniphilus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asaccharolyticus</w:t>
      </w:r>
      <w:proofErr w:type="spellEnd"/>
    </w:p>
    <w:p w14:paraId="4BA0B6D2" w14:textId="77777777" w:rsidR="00930311" w:rsidRDefault="00930311" w:rsidP="00930311">
      <w:pPr>
        <w:spacing w:before="5"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Peptostreptococcus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/>
        </w:rPr>
        <w:t>species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/>
        </w:rPr>
        <w:t xml:space="preserve"> (uključujući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micros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, P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anaerobius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magnus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/>
        </w:rPr>
        <w:t>)</w:t>
      </w:r>
    </w:p>
    <w:p w14:paraId="6F928568" w14:textId="77777777" w:rsidR="00930311" w:rsidRDefault="00930311" w:rsidP="00930311">
      <w:pPr>
        <w:spacing w:before="258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Gram-negativni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>anaerobi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Bacteroides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caccae</w:t>
      </w:r>
      <w:proofErr w:type="spellEnd"/>
    </w:p>
    <w:p w14:paraId="6314CEEE" w14:textId="77777777" w:rsidR="00930311" w:rsidRDefault="00930311" w:rsidP="0093031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lastRenderedPageBreak/>
        <w:t>Bacteroides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fragilis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Latn-ME"/>
        </w:rPr>
        <w:t xml:space="preserve">grupa </w:t>
      </w:r>
      <w:r>
        <w:rPr>
          <w:rFonts w:ascii="Times New Roman" w:eastAsia="Times New Roman" w:hAnsi="Times New Roman" w:cs="Times New Roman"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Prevotella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bivia</w:t>
      </w:r>
      <w:proofErr w:type="spellEnd"/>
    </w:p>
    <w:p w14:paraId="30536CE2" w14:textId="77777777" w:rsidR="00930311" w:rsidRDefault="00930311" w:rsidP="0093031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Prevotella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disiens</w:t>
      </w:r>
      <w:proofErr w:type="spellEnd"/>
    </w:p>
    <w:p w14:paraId="0B84ED93" w14:textId="77777777" w:rsidR="00930311" w:rsidRDefault="00930311" w:rsidP="00930311">
      <w:pPr>
        <w:spacing w:before="258"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sr-Latn-ME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sr-Latn-ME"/>
        </w:rPr>
        <w:t xml:space="preserve">Mikroorganizmi kod kojih stečena rezistencija može biti problem </w:t>
      </w:r>
    </w:p>
    <w:p w14:paraId="059AE138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 xml:space="preserve">Gram-pozitivni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>aerobi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u w:val="single"/>
          <w:lang w:val="sr-Latn-ME"/>
        </w:rPr>
        <w:t xml:space="preserve"> </w:t>
      </w:r>
    </w:p>
    <w:p w14:paraId="21BED964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4"/>
          <w:lang w:val="sr-Latn-ME"/>
        </w:rPr>
        <w:t>Enterococcus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4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4"/>
          <w:lang w:val="sr-Latn-ME"/>
        </w:rPr>
        <w:t>faecium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$+</w:t>
      </w:r>
    </w:p>
    <w:p w14:paraId="31A6A613" w14:textId="77777777" w:rsidR="00930311" w:rsidRDefault="00930311" w:rsidP="00930311">
      <w:pPr>
        <w:spacing w:before="274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Gram-negativni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>aerobi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Acinetobacter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/>
        </w:rPr>
        <w:t>species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Burkholderia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cepacia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Pseudomonas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aeruginosa</w:t>
      </w:r>
      <w:proofErr w:type="spellEnd"/>
    </w:p>
    <w:p w14:paraId="613DEB16" w14:textId="77777777" w:rsidR="00930311" w:rsidRDefault="00930311" w:rsidP="00930311">
      <w:pPr>
        <w:spacing w:before="26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b/>
          <w:color w:val="000000"/>
          <w:lang w:val="sr-Latn-ME"/>
        </w:rPr>
        <w:t>Prirodno rezistentni mikroorganizmi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br/>
        <w:t xml:space="preserve">Gram-negativni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>aerobi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</w:t>
      </w:r>
    </w:p>
    <w:p w14:paraId="1F709013" w14:textId="77777777" w:rsidR="00930311" w:rsidRDefault="00930311" w:rsidP="00930311">
      <w:pPr>
        <w:spacing w:before="1"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Stenotrophomonas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maltophilia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Legionella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Latn-ME"/>
        </w:rPr>
        <w:t>sojevi</w:t>
      </w:r>
    </w:p>
    <w:p w14:paraId="3C53DDA7" w14:textId="77777777" w:rsidR="00930311" w:rsidRDefault="00930311" w:rsidP="00930311">
      <w:pPr>
        <w:spacing w:before="26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sr-Latn-ME"/>
        </w:rPr>
      </w:pPr>
      <w:r>
        <w:rPr>
          <w:rFonts w:ascii="Times New Roman" w:eastAsia="Times New Roman" w:hAnsi="Times New Roman" w:cs="Times New Roman"/>
          <w:b/>
          <w:color w:val="000000"/>
          <w:lang w:val="sr-Latn-ME"/>
        </w:rPr>
        <w:t>Ostali mikroorganizmi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u w:val="single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Chlamydophila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pneumoniae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Chlamydophila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psittaci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Latn-ME"/>
        </w:rPr>
        <w:br/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Coxiella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Latn-ME"/>
        </w:rPr>
        <w:t>burnetii</w:t>
      </w:r>
      <w:proofErr w:type="spellEnd"/>
    </w:p>
    <w:p w14:paraId="786B24B5" w14:textId="77777777" w:rsidR="00930311" w:rsidRDefault="00930311" w:rsidP="0093031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Mycoplasma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lang w:val="sr-Latn-ME"/>
        </w:rPr>
        <w:t>pneumonia</w:t>
      </w:r>
      <w:proofErr w:type="spellEnd"/>
    </w:p>
    <w:p w14:paraId="416C3A2D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sr-Latn-ME"/>
        </w:rPr>
      </w:pPr>
    </w:p>
    <w:p w14:paraId="7000A517" w14:textId="77777777" w:rsidR="00930311" w:rsidRDefault="00930311" w:rsidP="009303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$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Sojevi koji pokazuju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intermedijarnu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 osjetljivost</w:t>
      </w:r>
    </w:p>
    <w:p w14:paraId="63CA4DE7" w14:textId="77777777" w:rsidR="00930311" w:rsidRDefault="00930311" w:rsidP="00930311">
      <w:pPr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£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meticilin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 xml:space="preserve">-rezistentni stafilokoki rezistentni su na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meropenem</w:t>
      </w:r>
      <w:proofErr w:type="spellEnd"/>
    </w:p>
    <w:p w14:paraId="631B7C25" w14:textId="77777777" w:rsidR="00930311" w:rsidRDefault="00930311" w:rsidP="00930311">
      <w:pPr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vertAlign w:val="superscript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sr-Latn-ME"/>
        </w:rPr>
        <w:t>Stopa rezistencije ≥ 50% u jednoj ili više EU država.</w:t>
      </w:r>
    </w:p>
    <w:p w14:paraId="3076807E" w14:textId="77777777" w:rsidR="00930311" w:rsidRDefault="00930311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D2C2E93" w14:textId="77777777" w:rsidR="00930311" w:rsidRDefault="00930311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Sakagija 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melioidoza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: </w:t>
      </w:r>
      <w:r>
        <w:rPr>
          <w:rFonts w:ascii="Times New Roman" w:eastAsia="SimSun" w:hAnsi="Times New Roman" w:cs="Times New Roman"/>
          <w:color w:val="000000"/>
          <w:lang w:val="sr-Latn-ME"/>
        </w:rPr>
        <w:t xml:space="preserve">Primjena </w:t>
      </w:r>
      <w:proofErr w:type="spellStart"/>
      <w:r>
        <w:rPr>
          <w:rFonts w:ascii="Times New Roman" w:eastAsia="SimSun" w:hAnsi="Times New Roman" w:cs="Times New Roman"/>
          <w:color w:val="000000"/>
          <w:lang w:val="sr-Latn-ME"/>
        </w:rPr>
        <w:t>meropenema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 kod </w:t>
      </w:r>
      <w:proofErr w:type="spellStart"/>
      <w:r>
        <w:rPr>
          <w:rFonts w:ascii="Times New Roman" w:eastAsia="SimSun" w:hAnsi="Times New Roman" w:cs="Times New Roman"/>
          <w:color w:val="000000"/>
          <w:lang w:val="sr-Latn-ME"/>
        </w:rPr>
        <w:t>ljudi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 se bazira na </w:t>
      </w:r>
      <w:r>
        <w:rPr>
          <w:rFonts w:ascii="Times New Roman" w:eastAsia="SimSun" w:hAnsi="Times New Roman" w:cs="Times New Roman"/>
          <w:i/>
          <w:color w:val="000000"/>
          <w:lang w:val="sr-Latn-ME"/>
        </w:rPr>
        <w:t xml:space="preserve">in </w:t>
      </w:r>
      <w:proofErr w:type="spellStart"/>
      <w:r>
        <w:rPr>
          <w:rFonts w:ascii="Times New Roman" w:eastAsia="SimSun" w:hAnsi="Times New Roman" w:cs="Times New Roman"/>
          <w:i/>
          <w:color w:val="000000"/>
          <w:lang w:val="sr-Latn-ME"/>
        </w:rPr>
        <w:t>vitro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 rezultatima osjetljivosti </w:t>
      </w:r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mallei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lang w:val="sr-Latn-ME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i/>
          <w:iCs/>
          <w:lang w:val="sr-Latn-ME"/>
        </w:rPr>
        <w:t>pseudomallei</w:t>
      </w:r>
      <w:proofErr w:type="spellEnd"/>
      <w:r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lang w:val="sr-Latn-ME"/>
        </w:rPr>
        <w:t xml:space="preserve">i na ograničenim podacima primjene na </w:t>
      </w:r>
      <w:proofErr w:type="spellStart"/>
      <w:r>
        <w:rPr>
          <w:rFonts w:ascii="Times New Roman" w:eastAsia="SimSun" w:hAnsi="Times New Roman" w:cs="Times New Roman"/>
          <w:color w:val="000000"/>
          <w:lang w:val="sr-Latn-ME"/>
        </w:rPr>
        <w:t>ljudima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 xml:space="preserve">. Ordinirajući ljekar treba da se osloni na nacionalne i/ili internacionalne smjernice za liječenje </w:t>
      </w:r>
      <w:r>
        <w:rPr>
          <w:rFonts w:ascii="Times New Roman" w:eastAsia="Times New Roman" w:hAnsi="Times New Roman" w:cs="Times New Roman"/>
          <w:lang w:val="sr-Latn-ME"/>
        </w:rPr>
        <w:t xml:space="preserve">sakagije 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melioidoze</w:t>
      </w:r>
      <w:proofErr w:type="spellEnd"/>
      <w:r>
        <w:rPr>
          <w:rFonts w:ascii="Times New Roman" w:eastAsia="SimSun" w:hAnsi="Times New Roman" w:cs="Times New Roman"/>
          <w:color w:val="000000"/>
          <w:lang w:val="sr-Latn-ME"/>
        </w:rPr>
        <w:t>.</w:t>
      </w:r>
    </w:p>
    <w:p w14:paraId="33039E36" w14:textId="77777777" w:rsidR="00930311" w:rsidRDefault="00930311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Farmakokinetički</w:t>
      </w:r>
      <w:proofErr w:type="spellEnd"/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 podaci</w:t>
      </w:r>
    </w:p>
    <w:p w14:paraId="27258A6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63AC2AB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Kod zdravih ispitanika srednje poluvrijeme eliminacije iz plazme je oko 1 sat, srednji volumen distribucije je oko 0,25 l/kg (11-27 l) i srednji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je 287 ml/min pri primjeni doze od 250 mg, a pada na 205 ml/min pri primjeni doze od 2 g. Nakon infuzije doza od 500 mg, 1 g ili 2 g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dobijene su </w:t>
      </w:r>
      <w:r>
        <w:rPr>
          <w:rFonts w:ascii="Times New Roman" w:eastAsia="Times New Roman" w:hAnsi="Times New Roman" w:cs="Times New Roman"/>
          <w:lang w:val="sr-Latn-ME"/>
        </w:rPr>
        <w:t xml:space="preserve">srednje vrijednosti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Cmax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od oko 23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/ml, 49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/ml i 115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/ml, redom. Odgovarajuće vrijednosti </w:t>
      </w:r>
      <w:r>
        <w:rPr>
          <w:rFonts w:ascii="Times New Roman" w:eastAsia="Times New Roman" w:hAnsi="Times New Roman" w:cs="Times New Roman"/>
          <w:lang w:val="sr-Latn-ME"/>
        </w:rPr>
        <w:t>površine ispod krive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 (PIK) su bile 39,3, 62,3 i 153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r>
        <w:rPr>
          <w:rFonts w:ascii="Times New Roman" w:eastAsia="Times New Roman" w:hAnsi="Times New Roman" w:cs="Times New Roman"/>
          <w:bCs/>
          <w:lang w:val="sr-Latn-ME"/>
        </w:rPr>
        <w:t>.h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/ml. </w:t>
      </w:r>
      <w:r>
        <w:rPr>
          <w:rFonts w:ascii="Times New Roman" w:eastAsia="Times New Roman" w:hAnsi="Times New Roman" w:cs="Times New Roman"/>
          <w:lang w:val="sr-Latn-ME"/>
        </w:rPr>
        <w:t xml:space="preserve">Nakon primjene doza od 500 mg i 1 g infuzijom u trajanju od 5 minuta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izmjerene su maksimalne koncentracije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Cmax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od 52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/ml i 112 </w:t>
      </w:r>
      <w:proofErr w:type="spellStart"/>
      <w:r>
        <w:rPr>
          <w:rFonts w:ascii="Times New Roman" w:eastAsia="Times New Roman" w:hAnsi="Times New Roman" w:cs="Times New Roman"/>
          <w:color w:val="000000"/>
          <w:lang w:val="sr-Latn-ME" w:eastAsia="hr-HR"/>
        </w:rPr>
        <w:t>μg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/ml. Poslije ponovljenog doziranja, na svakih  8 sati, kod osoba sa normalnom funkcijom bubrega ne dolazi do akumulacije lijeka.</w:t>
      </w:r>
    </w:p>
    <w:p w14:paraId="774AF7A1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20ACFB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Studija na 12 pacijenata kojima je primijenjen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1000 mg na 8 h poslije hirurške procedure, u terapiji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intraabdominalnih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infekcija, pokazala je uporedive vrijednosti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C</w:t>
      </w:r>
      <w:r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poluvremena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eliminacije sa istim vrijednostima kod zdravih pacijenata, a volumen distribucije je bio veći, iznosio je 27 l.</w:t>
      </w:r>
    </w:p>
    <w:p w14:paraId="43CEFBB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769C693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Distribucija </w:t>
      </w:r>
    </w:p>
    <w:p w14:paraId="697D178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Prosječno vezivanje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za proteine plazme je oko 2% i nezavisno je od koncentracije. Poslije brze primjene lijeka (5 minuta ili manje)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farmakokinetika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bieksponencijalna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ali je to mnogo manje izraženo nakon infuzije u trajanju od 30 minuta. </w:t>
      </w:r>
      <w:r>
        <w:rPr>
          <w:rFonts w:ascii="Times New Roman" w:eastAsia="Times New Roman" w:hAnsi="Times New Roman" w:cs="Times New Roman"/>
          <w:lang w:val="sr-Latn-ME"/>
        </w:rPr>
        <w:t xml:space="preserve">Pokazano je da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dobro prodire u većinu </w:t>
      </w:r>
      <w:r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tjelesnih tkiva i tjelesnih tečnosti uključujući: pluća,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brohijalni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sekret, žuč, cerebrospinalnu tečnost, ginekološka tkiva, kožu,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fascije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mišiće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peritonealni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eksudat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EFB967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14C73A1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u w:val="single"/>
          <w:lang w:val="sr-Latn-ME"/>
        </w:rPr>
        <w:t>Biotransformacija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</w:t>
      </w:r>
    </w:p>
    <w:p w14:paraId="3A0BE09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metaboliše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hidrolizom beta-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laktamskog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prstena u mikrobiološki neaktivan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metabolit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vitro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pokazuje smanjenu osjetljivost na hidrolizu humanom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dehidropeptidazom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-I (DHP-I) u poređenju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imipenemom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nije potrebno primjenjivati ga zajedno sa DHP-I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inhibitorom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4B4CE9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7662B6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Eliminacija </w:t>
      </w:r>
    </w:p>
    <w:p w14:paraId="059B0ED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primarno eliminiše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nepromijenjen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preko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bubrega: oko 70% (50-75%) primijenjene doze izluči se tokom 12 sati urinom 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nepromijenjenom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obliku. Dodatnih 28% se izlučuje u vidu mikrobiološki neaktivnog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metabolita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Samo oko 2% primijenjene doze se eliminiše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fecesom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Izmjeren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renalni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efekat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probenecida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pokazuju da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podlježe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filtraciji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tubularnoj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sekreciji.</w:t>
      </w:r>
    </w:p>
    <w:p w14:paraId="289434F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58C043F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u w:val="single"/>
          <w:lang w:val="sr-Latn-ME"/>
        </w:rPr>
        <w:t>Insuficijencija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bubrega</w:t>
      </w:r>
    </w:p>
    <w:p w14:paraId="62FD287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Oštećenje funkcije bubrega dovodi do povećanja vrijednosti PIK i dužeg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poluvremena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eliminacije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 Kod pacijenata sa umjerenim oštećenjem funkcije bubrega (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CrCL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33-74 ml/min) došlo je do povećanja vrijednosti PIK 2,4 puta, kod pacijenata sa teškim oštećenjem funkcije bubrega (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CrCL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4-23 ml/min) došlo je do povećanja vrijednosti PIK 5 puta, a kod pacijenata 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hemodijalizi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CrCL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&lt; 2 ml/min) 10 puta u odnosu na zdrave ispitanike (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CrCL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&gt;80 ml/min). Vrijednost PIK mikrobiološki neaktivnog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metabolita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otvorenog prstena bila je takođe značajno povećana kod pacijenata sa oštećenjem  funkcije bubrega. </w:t>
      </w:r>
    </w:p>
    <w:p w14:paraId="250611C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Preporučuje se prilagođavanje doze kod pacijenata sa umjerenim i teškim oštećenjem funkcije bubrega (vidjeti dio 4.2).</w:t>
      </w:r>
    </w:p>
    <w:p w14:paraId="74E3FF9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D2167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eliminiše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hemodijalizom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za vrijeme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hemodijalize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je oko 4 puta veći nego kod pacijenata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anurijom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BB45A0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EF6C8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u w:val="single"/>
          <w:lang w:val="sr-Latn-ME"/>
        </w:rPr>
        <w:t>Insuficijencija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jetre</w:t>
      </w:r>
    </w:p>
    <w:p w14:paraId="4C226B2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U studiji na pacijentima sa alkoholnom cirozom je pokazano da oboljenje jetre nema uticaja 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farmakokinetiku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poslije ponovljenih doza.</w:t>
      </w:r>
    </w:p>
    <w:p w14:paraId="5F758C4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B93B38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Odrasli pacijenti</w:t>
      </w:r>
    </w:p>
    <w:p w14:paraId="2C5BD25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Farmakokinetičke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studije na pacijentima nijesu pokazale značajne razlike u odnosu 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farmakokinetiku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zdravih ispitanika sa ekvivalentnom funkcijom bubrega. Populacioni model razvijen iz podataka na 79 pacijenata sa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intraabdominalnom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infekcijom ili pneumonijom je pokazao zavisnost centralnog volumena od tjelesne mase i zavisnost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 godina starosti.</w:t>
      </w:r>
    </w:p>
    <w:p w14:paraId="59A0E3D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527F1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Pedijatrijska populacija</w:t>
      </w:r>
    </w:p>
    <w:p w14:paraId="53E234C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Ispitivanjem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farmakokinetike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kod odojčadi i djece sa infekcijom koja su primala doze od 10, 20 i 40 mg/kg pokazano je da 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C</w:t>
      </w:r>
      <w:r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imala vrijednosti slične kao kod odraslih nakon primjene doza od 500, 1000 i 2000 mg, redom. Poređenje je pokazalo konzistentnu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farmakokinetiku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između doze 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poluvremena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eliminacije, slično kao kod odraslih, izuzev u slučaju najmlađih (kod djece mlađe od 6 mjeseci poluvrijeme eliminacije je bilo 1,6 h). Srednje vrijednosti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bile su 5,8 ml/min/kg (6-12 godina), 6,2 ml/min/kg (2-5 godina), 5,3 ml/min/kg (6-23 mjeseca) i 4,3 ml/min/kg (2-5 mjeseci). Oko 60% doze se izlučuje urinom 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nepromijenjenom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obliku u toku 12 h, a 12% u obliku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metabolita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. Koncentracije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u cerebrospinalnoj tečnosti djece sa meningitisom iznose oko 20% koncentracija u plazmi, iako postoji značajna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interindividualna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varijabilnost.</w:t>
      </w:r>
    </w:p>
    <w:p w14:paraId="280E87B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079226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Ispitivanje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farmakokinetike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kod novorođenčadi kojima je potrebna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antiinfektivna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terapija pokazalo je veću vrijednost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kod novorođenčadi</w:t>
      </w:r>
      <w:r>
        <w:rPr>
          <w:rFonts w:ascii="Times New Roman" w:eastAsia="Times New Roman" w:hAnsi="Times New Roman" w:cs="Times New Roman"/>
          <w:lang w:val="sr-Latn-ME"/>
        </w:rPr>
        <w:t xml:space="preserve"> sa većom hronološkom ili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gestacionom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dobi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, a ukupno prosječno poluvrijeme eliminacije je 2,9 h. </w:t>
      </w:r>
      <w:r>
        <w:rPr>
          <w:rFonts w:ascii="Times New Roman" w:eastAsia="Times New Roman" w:hAnsi="Times New Roman" w:cs="Times New Roman"/>
          <w:bCs/>
          <w:i/>
          <w:lang w:val="sr-Latn-ME"/>
        </w:rPr>
        <w:t>Monte Karlo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 simulacija bazirana na populacionom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farmakokinetičkom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modelu pokazala je da se režimom doziranja od 20 mg/kg na 8 sati postiže 60% T &gt; MIC za </w:t>
      </w:r>
      <w:r>
        <w:rPr>
          <w:rFonts w:ascii="Times New Roman" w:eastAsia="Times New Roman" w:hAnsi="Times New Roman" w:cs="Times New Roman"/>
          <w:bCs/>
          <w:i/>
          <w:lang w:val="sr-Latn-ME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bCs/>
          <w:i/>
          <w:lang w:val="sr-Latn-ME"/>
        </w:rPr>
        <w:t>aeruginosa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kod 95% prijevremeno rođenih novorođenčadi i 91% novorođenčadi rođenih u terminu.</w:t>
      </w:r>
    </w:p>
    <w:p w14:paraId="522A196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lastRenderedPageBreak/>
        <w:t xml:space="preserve">Starije osobe </w:t>
      </w:r>
    </w:p>
    <w:p w14:paraId="341E00B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Farmakokinetičke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studije na zdravim ispitanicima starije životne dobi (65-80 godina) su pokazale smanjenje plazma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što je povezano sa smanjenjem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sa godinama starosti, i manje izraženo smanjenje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nerenalnog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 Nije potrebno prilagođavanje doze kod starijih pacijenata, osim u slučaju umjerenog do teškog oštećenja funkcije bubrega (vidjeti dio 4.2).</w:t>
      </w:r>
    </w:p>
    <w:p w14:paraId="7E0DC34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Pretklinički</w:t>
      </w:r>
      <w:proofErr w:type="spellEnd"/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 podaci o bezbjednosti </w:t>
      </w:r>
    </w:p>
    <w:p w14:paraId="0310DA9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89D9882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Ispitivanja na životinjama pokazala su dobru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podnošljivost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od strane bubrega. </w:t>
      </w:r>
    </w:p>
    <w:p w14:paraId="10F09709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Histološki dokazi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renalnog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tubularnog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oštećenja su zabilježeni kod miševa i pasa samo pri dozama od 2000 mg/kg i većim, nakon pojedinačne ili ponovljene primjene, a kod majmuna pri dozi od 500 mg/kg u studiji koja je trajala 7 dana</w:t>
      </w:r>
    </w:p>
    <w:p w14:paraId="78DEFCA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D8F57F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generalno dobro podnosi od strane centralnog nervnog sistema. Efekti su se vidjeli u studijama akutne toksičnosti kod glodara pri primjeni doza većih od 1000 mg/kg.</w:t>
      </w:r>
    </w:p>
    <w:p w14:paraId="1F2EEC6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63042C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Pri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intravenskoj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primjeni vrijednost LD50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kod glodara je veća od 2000 mg/kg.</w:t>
      </w:r>
    </w:p>
    <w:p w14:paraId="647E7C7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379FFE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U studijama ponovljenih doza na psima u trajanju do 6 mjeseci zapaženi su samo manji efekti uključujući smanjenje parametara vezanih za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eritrocite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A5C1C5C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Primjenom konvencionalnih testova nije dokazan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mutageni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potencijal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, kao ni reproduktivna toksičnost, uključujući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teratogeni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potencijal, pri dozama do 750 mg/kg u studijama na pacovima i do 360 mg/kg u studijama na majmunima.</w:t>
      </w:r>
    </w:p>
    <w:p w14:paraId="1AB8D98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7DDD4B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Nije bilo dokaza povećane osjetljivosti na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kod mladunaca u odnosu na odrasle životinje.</w:t>
      </w:r>
    </w:p>
    <w:p w14:paraId="379F6A80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lang w:val="sr-Latn-ME"/>
        </w:rPr>
        <w:t>Intravenska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formulacija se dobro podnosila u studijama na životinjama.</w:t>
      </w:r>
    </w:p>
    <w:p w14:paraId="79C58BAF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A8CBAF3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U ispitivanjima na životinjama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toksikološki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profil jednog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metabolita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bio je sličan samom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meropenemu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>.</w:t>
      </w:r>
    </w:p>
    <w:p w14:paraId="73ECD83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02F8AF3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</w:t>
      </w:r>
      <w:proofErr w:type="spellStart"/>
      <w:r>
        <w:rPr>
          <w:rFonts w:ascii="Times New Roman" w:eastAsia="Times New Roman" w:hAnsi="Times New Roman" w:cs="Times New Roman"/>
          <w:b/>
          <w:bCs/>
          <w:lang w:val="sr-Latn-ME"/>
        </w:rPr>
        <w:t>ekscipijenasa</w:t>
      </w:r>
      <w:proofErr w:type="spellEnd"/>
      <w:r>
        <w:rPr>
          <w:rFonts w:ascii="Times New Roman" w:eastAsia="Times New Roman" w:hAnsi="Times New Roman" w:cs="Times New Roman"/>
          <w:b/>
          <w:bCs/>
          <w:lang w:val="sr-Latn-ME"/>
        </w:rPr>
        <w:t>)</w:t>
      </w:r>
    </w:p>
    <w:p w14:paraId="35082891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509043E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Natrijum karbonat, bezvodni.</w:t>
      </w:r>
    </w:p>
    <w:p w14:paraId="15F46F88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61D8687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2D1EE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Ovaj lijek se ne smije miješati sa drugim ljekovima, osim onih koji su navedeni u odjeljku 6.6.</w:t>
      </w:r>
    </w:p>
    <w:p w14:paraId="4C079D8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B32DF1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9263CF1" w14:textId="77777777" w:rsidR="00930311" w:rsidRDefault="00930311" w:rsidP="00930311">
      <w:pPr>
        <w:tabs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>
        <w:rPr>
          <w:rFonts w:ascii="Times New Roman" w:eastAsia="SimSun" w:hAnsi="Times New Roman" w:cs="Times New Roman"/>
          <w:color w:val="000000"/>
          <w:u w:val="single"/>
          <w:lang w:val="sr-Latn-ME"/>
        </w:rPr>
        <w:t xml:space="preserve">Rok upotrebe </w:t>
      </w:r>
      <w:proofErr w:type="spellStart"/>
      <w:r>
        <w:rPr>
          <w:rFonts w:ascii="Times New Roman" w:eastAsia="SimSun" w:hAnsi="Times New Roman" w:cs="Times New Roman"/>
          <w:color w:val="000000"/>
          <w:u w:val="single"/>
          <w:lang w:val="sr-Latn-ME"/>
        </w:rPr>
        <w:t>neotvorene</w:t>
      </w:r>
      <w:proofErr w:type="spellEnd"/>
      <w:r>
        <w:rPr>
          <w:rFonts w:ascii="Times New Roman" w:eastAsia="SimSun" w:hAnsi="Times New Roman" w:cs="Times New Roman"/>
          <w:color w:val="000000"/>
          <w:u w:val="single"/>
          <w:lang w:val="sr-Latn-ME"/>
        </w:rPr>
        <w:t xml:space="preserve"> bočice:</w:t>
      </w:r>
      <w:r>
        <w:rPr>
          <w:rFonts w:ascii="Times New Roman" w:eastAsia="SimSun" w:hAnsi="Times New Roman" w:cs="Times New Roman"/>
          <w:color w:val="000000"/>
          <w:lang w:val="sr-Latn-ME"/>
        </w:rPr>
        <w:t xml:space="preserve"> 3 godine.</w:t>
      </w:r>
    </w:p>
    <w:p w14:paraId="7AFCD718" w14:textId="77777777" w:rsidR="00930311" w:rsidRDefault="00930311" w:rsidP="00930311">
      <w:pPr>
        <w:tabs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50D4A2FD" w14:textId="77777777" w:rsidR="00930311" w:rsidRPr="00930311" w:rsidRDefault="00930311" w:rsidP="00930311">
      <w:pPr>
        <w:jc w:val="both"/>
        <w:rPr>
          <w:rFonts w:ascii="Times New Roman" w:hAnsi="Times New Roman" w:cs="Times New Roman"/>
          <w:u w:val="single"/>
        </w:rPr>
      </w:pPr>
      <w:proofErr w:type="spellStart"/>
      <w:r w:rsidRPr="00930311">
        <w:rPr>
          <w:rFonts w:ascii="Times New Roman" w:hAnsi="Times New Roman" w:cs="Times New Roman"/>
          <w:u w:val="single"/>
        </w:rPr>
        <w:t>Rok</w:t>
      </w:r>
      <w:proofErr w:type="spellEnd"/>
      <w:r w:rsidRPr="0093031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30311">
        <w:rPr>
          <w:rFonts w:ascii="Times New Roman" w:hAnsi="Times New Roman" w:cs="Times New Roman"/>
          <w:u w:val="single"/>
        </w:rPr>
        <w:t>upotrebe</w:t>
      </w:r>
      <w:proofErr w:type="spellEnd"/>
      <w:r w:rsidRPr="0093031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30311">
        <w:rPr>
          <w:rFonts w:ascii="Times New Roman" w:hAnsi="Times New Roman" w:cs="Times New Roman"/>
          <w:u w:val="single"/>
        </w:rPr>
        <w:t>nakon</w:t>
      </w:r>
      <w:proofErr w:type="spellEnd"/>
      <w:r w:rsidRPr="0093031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30311">
        <w:rPr>
          <w:rFonts w:ascii="Times New Roman" w:hAnsi="Times New Roman" w:cs="Times New Roman"/>
          <w:u w:val="single"/>
        </w:rPr>
        <w:t>rekonstitucije</w:t>
      </w:r>
      <w:proofErr w:type="spellEnd"/>
      <w:r w:rsidRPr="00930311">
        <w:rPr>
          <w:rFonts w:ascii="Times New Roman" w:hAnsi="Times New Roman" w:cs="Times New Roman"/>
          <w:u w:val="single"/>
        </w:rPr>
        <w:t>/</w:t>
      </w:r>
      <w:proofErr w:type="spellStart"/>
      <w:r w:rsidRPr="00930311">
        <w:rPr>
          <w:rFonts w:ascii="Times New Roman" w:hAnsi="Times New Roman" w:cs="Times New Roman"/>
          <w:u w:val="single"/>
        </w:rPr>
        <w:t>razblaženja</w:t>
      </w:r>
      <w:proofErr w:type="spellEnd"/>
      <w:r w:rsidRPr="00930311">
        <w:rPr>
          <w:rFonts w:ascii="Times New Roman" w:hAnsi="Times New Roman" w:cs="Times New Roman"/>
          <w:u w:val="single"/>
        </w:rPr>
        <w:t>:</w:t>
      </w:r>
    </w:p>
    <w:p w14:paraId="087D93B6" w14:textId="77777777" w:rsidR="00930311" w:rsidRPr="00930311" w:rsidRDefault="00930311" w:rsidP="00930311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30311">
        <w:rPr>
          <w:rFonts w:ascii="Times New Roman" w:hAnsi="Times New Roman" w:cs="Times New Roman"/>
          <w:b/>
          <w:bCs/>
        </w:rPr>
        <w:t>Primjena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11">
        <w:rPr>
          <w:rFonts w:ascii="Times New Roman" w:hAnsi="Times New Roman" w:cs="Times New Roman"/>
          <w:b/>
          <w:bCs/>
        </w:rPr>
        <w:t>putem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11">
        <w:rPr>
          <w:rFonts w:ascii="Times New Roman" w:hAnsi="Times New Roman" w:cs="Times New Roman"/>
          <w:b/>
          <w:bCs/>
        </w:rPr>
        <w:t>intravenske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bolus </w:t>
      </w:r>
      <w:proofErr w:type="spellStart"/>
      <w:r w:rsidRPr="00930311">
        <w:rPr>
          <w:rFonts w:ascii="Times New Roman" w:hAnsi="Times New Roman" w:cs="Times New Roman"/>
          <w:b/>
          <w:bCs/>
        </w:rPr>
        <w:t>injekcije</w:t>
      </w:r>
      <w:proofErr w:type="spellEnd"/>
      <w:r w:rsidRPr="00930311">
        <w:rPr>
          <w:rFonts w:ascii="Times New Roman" w:hAnsi="Times New Roman" w:cs="Times New Roman"/>
          <w:b/>
          <w:bCs/>
        </w:rPr>
        <w:t>:</w:t>
      </w:r>
    </w:p>
    <w:p w14:paraId="549871C0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Rastvor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za</w:t>
      </w:r>
      <w:proofErr w:type="spellEnd"/>
      <w:r w:rsidRPr="00930311">
        <w:rPr>
          <w:rFonts w:ascii="Times New Roman" w:hAnsi="Times New Roman" w:cs="Times New Roman"/>
        </w:rPr>
        <w:t xml:space="preserve"> bolus </w:t>
      </w:r>
      <w:proofErr w:type="spellStart"/>
      <w:r w:rsidRPr="00930311">
        <w:rPr>
          <w:rFonts w:ascii="Times New Roman" w:hAnsi="Times New Roman" w:cs="Times New Roman"/>
        </w:rPr>
        <w:t>injekciju</w:t>
      </w:r>
      <w:proofErr w:type="spellEnd"/>
      <w:r w:rsidRPr="00930311">
        <w:rPr>
          <w:rFonts w:ascii="Times New Roman" w:hAnsi="Times New Roman" w:cs="Times New Roman"/>
        </w:rPr>
        <w:t xml:space="preserve"> je </w:t>
      </w:r>
      <w:proofErr w:type="spellStart"/>
      <w:r w:rsidRPr="00930311">
        <w:rPr>
          <w:rFonts w:ascii="Times New Roman" w:hAnsi="Times New Roman" w:cs="Times New Roman"/>
        </w:rPr>
        <w:t>priprema</w:t>
      </w:r>
      <w:proofErr w:type="spellEnd"/>
      <w:r w:rsidRPr="00930311">
        <w:rPr>
          <w:rFonts w:ascii="Times New Roman" w:hAnsi="Times New Roman" w:cs="Times New Roman"/>
        </w:rPr>
        <w:t xml:space="preserve"> se </w:t>
      </w:r>
      <w:proofErr w:type="spellStart"/>
      <w:r w:rsidRPr="00930311">
        <w:rPr>
          <w:rFonts w:ascii="Times New Roman" w:hAnsi="Times New Roman" w:cs="Times New Roman"/>
        </w:rPr>
        <w:t>rastvaranjem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lijeka</w:t>
      </w:r>
      <w:proofErr w:type="spellEnd"/>
      <w:r w:rsidRPr="00930311">
        <w:rPr>
          <w:rFonts w:ascii="Times New Roman" w:hAnsi="Times New Roman" w:cs="Times New Roman"/>
        </w:rPr>
        <w:t xml:space="preserve"> ARCHIFAR u </w:t>
      </w:r>
      <w:proofErr w:type="spellStart"/>
      <w:r w:rsidRPr="00930311">
        <w:rPr>
          <w:rFonts w:ascii="Times New Roman" w:hAnsi="Times New Roman" w:cs="Times New Roman"/>
        </w:rPr>
        <w:t>vodi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za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injekcije</w:t>
      </w:r>
      <w:proofErr w:type="spellEnd"/>
      <w:r w:rsidRPr="00930311">
        <w:rPr>
          <w:rFonts w:ascii="Times New Roman" w:hAnsi="Times New Roman" w:cs="Times New Roman"/>
        </w:rPr>
        <w:t xml:space="preserve"> do </w:t>
      </w:r>
      <w:proofErr w:type="spellStart"/>
      <w:r w:rsidRPr="00930311">
        <w:rPr>
          <w:rFonts w:ascii="Times New Roman" w:hAnsi="Times New Roman" w:cs="Times New Roman"/>
        </w:rPr>
        <w:t>finalne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koncentracije</w:t>
      </w:r>
      <w:proofErr w:type="spellEnd"/>
      <w:r w:rsidRPr="00930311">
        <w:rPr>
          <w:rFonts w:ascii="Times New Roman" w:hAnsi="Times New Roman" w:cs="Times New Roman"/>
        </w:rPr>
        <w:t xml:space="preserve"> od 50 mg/ml.</w:t>
      </w:r>
    </w:p>
    <w:p w14:paraId="7750BB46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Upotrijebiti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odmah</w:t>
      </w:r>
      <w:proofErr w:type="spellEnd"/>
      <w:r w:rsidRPr="00930311">
        <w:rPr>
          <w:rFonts w:ascii="Times New Roman" w:hAnsi="Times New Roman" w:cs="Times New Roman"/>
        </w:rPr>
        <w:t>.</w:t>
      </w:r>
    </w:p>
    <w:p w14:paraId="6F2D552D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Vremenski</w:t>
      </w:r>
      <w:proofErr w:type="spellEnd"/>
      <w:r w:rsidRPr="00930311">
        <w:rPr>
          <w:rFonts w:ascii="Times New Roman" w:hAnsi="Times New Roman" w:cs="Times New Roman"/>
        </w:rPr>
        <w:t xml:space="preserve"> interval </w:t>
      </w:r>
      <w:proofErr w:type="spellStart"/>
      <w:r w:rsidRPr="00930311">
        <w:rPr>
          <w:rFonts w:ascii="Times New Roman" w:hAnsi="Times New Roman" w:cs="Times New Roman"/>
        </w:rPr>
        <w:t>koji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protekne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između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početka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pripreme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završetka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primjene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intravenske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injekcije</w:t>
      </w:r>
      <w:proofErr w:type="spellEnd"/>
      <w:r w:rsidRPr="00930311">
        <w:rPr>
          <w:rFonts w:ascii="Times New Roman" w:hAnsi="Times New Roman" w:cs="Times New Roman"/>
        </w:rPr>
        <w:t xml:space="preserve"> ne </w:t>
      </w:r>
      <w:proofErr w:type="spellStart"/>
      <w:r w:rsidRPr="00930311">
        <w:rPr>
          <w:rFonts w:ascii="Times New Roman" w:hAnsi="Times New Roman" w:cs="Times New Roman"/>
        </w:rPr>
        <w:t>smije</w:t>
      </w:r>
      <w:proofErr w:type="spellEnd"/>
      <w:r w:rsidRPr="00930311">
        <w:rPr>
          <w:rFonts w:ascii="Times New Roman" w:hAnsi="Times New Roman" w:cs="Times New Roman"/>
        </w:rPr>
        <w:t xml:space="preserve"> da </w:t>
      </w:r>
      <w:proofErr w:type="spellStart"/>
      <w:r w:rsidRPr="00930311">
        <w:rPr>
          <w:rFonts w:ascii="Times New Roman" w:hAnsi="Times New Roman" w:cs="Times New Roman"/>
        </w:rPr>
        <w:t>pređe</w:t>
      </w:r>
      <w:proofErr w:type="spellEnd"/>
      <w:r w:rsidRPr="00930311">
        <w:rPr>
          <w:rFonts w:ascii="Times New Roman" w:hAnsi="Times New Roman" w:cs="Times New Roman"/>
        </w:rPr>
        <w:t xml:space="preserve"> 1 sat.</w:t>
      </w:r>
    </w:p>
    <w:p w14:paraId="39299D27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r w:rsidRPr="00930311">
        <w:rPr>
          <w:rFonts w:ascii="Times New Roman" w:hAnsi="Times New Roman" w:cs="Times New Roman"/>
        </w:rPr>
        <w:lastRenderedPageBreak/>
        <w:t xml:space="preserve">Ne </w:t>
      </w:r>
      <w:proofErr w:type="spellStart"/>
      <w:r w:rsidRPr="00930311">
        <w:rPr>
          <w:rFonts w:ascii="Times New Roman" w:hAnsi="Times New Roman" w:cs="Times New Roman"/>
        </w:rPr>
        <w:t>zamrzavati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pripremljeni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</w:t>
      </w:r>
      <w:proofErr w:type="spellEnd"/>
      <w:r w:rsidRPr="00930311">
        <w:rPr>
          <w:rFonts w:ascii="Times New Roman" w:hAnsi="Times New Roman" w:cs="Times New Roman"/>
        </w:rPr>
        <w:t>.</w:t>
      </w:r>
    </w:p>
    <w:p w14:paraId="0C7EBA1C" w14:textId="77777777" w:rsidR="00930311" w:rsidRPr="00930311" w:rsidRDefault="00930311" w:rsidP="00930311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30311">
        <w:rPr>
          <w:rFonts w:ascii="Times New Roman" w:hAnsi="Times New Roman" w:cs="Times New Roman"/>
          <w:b/>
          <w:bCs/>
        </w:rPr>
        <w:t>Primjena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11">
        <w:rPr>
          <w:rFonts w:ascii="Times New Roman" w:hAnsi="Times New Roman" w:cs="Times New Roman"/>
          <w:b/>
          <w:bCs/>
        </w:rPr>
        <w:t>putem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11">
        <w:rPr>
          <w:rFonts w:ascii="Times New Roman" w:hAnsi="Times New Roman" w:cs="Times New Roman"/>
          <w:b/>
          <w:bCs/>
        </w:rPr>
        <w:t>intravenske</w:t>
      </w:r>
      <w:proofErr w:type="spellEnd"/>
      <w:r w:rsidRPr="00930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11">
        <w:rPr>
          <w:rFonts w:ascii="Times New Roman" w:hAnsi="Times New Roman" w:cs="Times New Roman"/>
          <w:b/>
          <w:bCs/>
        </w:rPr>
        <w:t>infuzije</w:t>
      </w:r>
      <w:proofErr w:type="spellEnd"/>
      <w:r w:rsidRPr="00930311">
        <w:rPr>
          <w:rFonts w:ascii="Times New Roman" w:hAnsi="Times New Roman" w:cs="Times New Roman"/>
          <w:b/>
          <w:bCs/>
        </w:rPr>
        <w:t>:</w:t>
      </w:r>
    </w:p>
    <w:p w14:paraId="74B68EF3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Rastvor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za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infuziju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priprema</w:t>
      </w:r>
      <w:proofErr w:type="spellEnd"/>
      <w:r w:rsidRPr="00930311">
        <w:rPr>
          <w:rFonts w:ascii="Times New Roman" w:hAnsi="Times New Roman" w:cs="Times New Roman"/>
        </w:rPr>
        <w:t xml:space="preserve"> se </w:t>
      </w:r>
      <w:proofErr w:type="spellStart"/>
      <w:r w:rsidRPr="00930311">
        <w:rPr>
          <w:rFonts w:ascii="Times New Roman" w:hAnsi="Times New Roman" w:cs="Times New Roman"/>
        </w:rPr>
        <w:t>rastvaranjem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lijeka</w:t>
      </w:r>
      <w:proofErr w:type="spellEnd"/>
      <w:r w:rsidRPr="00930311">
        <w:rPr>
          <w:rFonts w:ascii="Times New Roman" w:hAnsi="Times New Roman" w:cs="Times New Roman"/>
        </w:rPr>
        <w:t xml:space="preserve"> ARCHIFAR u 0,9% </w:t>
      </w:r>
      <w:proofErr w:type="spellStart"/>
      <w:r w:rsidRPr="00930311">
        <w:rPr>
          <w:rFonts w:ascii="Times New Roman" w:hAnsi="Times New Roman" w:cs="Times New Roman"/>
        </w:rPr>
        <w:t>infuzionom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rastvoru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natrijum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hlorida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ili</w:t>
      </w:r>
      <w:proofErr w:type="spellEnd"/>
      <w:r w:rsidRPr="00930311">
        <w:rPr>
          <w:rFonts w:ascii="Times New Roman" w:hAnsi="Times New Roman" w:cs="Times New Roman"/>
        </w:rPr>
        <w:t xml:space="preserve"> 5% </w:t>
      </w:r>
      <w:proofErr w:type="spellStart"/>
      <w:r w:rsidRPr="00930311">
        <w:rPr>
          <w:rFonts w:ascii="Times New Roman" w:hAnsi="Times New Roman" w:cs="Times New Roman"/>
        </w:rPr>
        <w:t>infuzionom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rastvoru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glukoze</w:t>
      </w:r>
      <w:proofErr w:type="spellEnd"/>
      <w:r w:rsidRPr="00930311">
        <w:rPr>
          <w:rFonts w:ascii="Times New Roman" w:hAnsi="Times New Roman" w:cs="Times New Roman"/>
        </w:rPr>
        <w:t xml:space="preserve"> do </w:t>
      </w:r>
      <w:proofErr w:type="spellStart"/>
      <w:r w:rsidRPr="00930311">
        <w:rPr>
          <w:rFonts w:ascii="Times New Roman" w:hAnsi="Times New Roman" w:cs="Times New Roman"/>
        </w:rPr>
        <w:t>finalne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koncentracije</w:t>
      </w:r>
      <w:proofErr w:type="spellEnd"/>
      <w:r w:rsidRPr="00930311">
        <w:rPr>
          <w:rFonts w:ascii="Times New Roman" w:hAnsi="Times New Roman" w:cs="Times New Roman"/>
        </w:rPr>
        <w:t xml:space="preserve"> od 1 do 20 mg/ml.</w:t>
      </w:r>
    </w:p>
    <w:p w14:paraId="1A96E4C2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Upotrijebiti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odmah</w:t>
      </w:r>
      <w:proofErr w:type="spellEnd"/>
      <w:r w:rsidRPr="00930311">
        <w:rPr>
          <w:rFonts w:ascii="Times New Roman" w:hAnsi="Times New Roman" w:cs="Times New Roman"/>
        </w:rPr>
        <w:t>.</w:t>
      </w:r>
    </w:p>
    <w:p w14:paraId="29D2B048" w14:textId="77777777" w:rsidR="00930311" w:rsidRPr="00930311" w:rsidRDefault="00930311" w:rsidP="00930311">
      <w:pPr>
        <w:jc w:val="both"/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Vremenski</w:t>
      </w:r>
      <w:proofErr w:type="spellEnd"/>
      <w:r w:rsidRPr="00930311">
        <w:rPr>
          <w:rFonts w:ascii="Times New Roman" w:hAnsi="Times New Roman" w:cs="Times New Roman"/>
        </w:rPr>
        <w:t xml:space="preserve"> interval </w:t>
      </w:r>
      <w:proofErr w:type="spellStart"/>
      <w:r w:rsidRPr="00930311">
        <w:rPr>
          <w:rFonts w:ascii="Times New Roman" w:hAnsi="Times New Roman" w:cs="Times New Roman"/>
        </w:rPr>
        <w:t>koji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protekne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između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početka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pripreme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završetka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primjene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intravenske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infuzije</w:t>
      </w:r>
      <w:proofErr w:type="spellEnd"/>
      <w:r w:rsidRPr="00930311">
        <w:rPr>
          <w:rFonts w:ascii="Times New Roman" w:hAnsi="Times New Roman" w:cs="Times New Roman"/>
        </w:rPr>
        <w:t xml:space="preserve"> ne </w:t>
      </w:r>
      <w:proofErr w:type="spellStart"/>
      <w:r w:rsidRPr="00930311">
        <w:rPr>
          <w:rFonts w:ascii="Times New Roman" w:hAnsi="Times New Roman" w:cs="Times New Roman"/>
        </w:rPr>
        <w:t>smije</w:t>
      </w:r>
      <w:proofErr w:type="spellEnd"/>
      <w:r w:rsidRPr="00930311">
        <w:rPr>
          <w:rFonts w:ascii="Times New Roman" w:hAnsi="Times New Roman" w:cs="Times New Roman"/>
        </w:rPr>
        <w:t xml:space="preserve"> da </w:t>
      </w:r>
      <w:proofErr w:type="spellStart"/>
      <w:r w:rsidRPr="00930311">
        <w:rPr>
          <w:rFonts w:ascii="Times New Roman" w:hAnsi="Times New Roman" w:cs="Times New Roman"/>
        </w:rPr>
        <w:t>pređe</w:t>
      </w:r>
      <w:proofErr w:type="spellEnd"/>
      <w:r w:rsidRPr="00930311">
        <w:rPr>
          <w:rFonts w:ascii="Times New Roman" w:hAnsi="Times New Roman" w:cs="Times New Roman"/>
        </w:rPr>
        <w:t xml:space="preserve"> 1 sat.</w:t>
      </w:r>
    </w:p>
    <w:p w14:paraId="26DBD4DF" w14:textId="0A2955DB" w:rsidR="00930311" w:rsidRPr="00E31B8B" w:rsidRDefault="00930311" w:rsidP="00E31B8B">
      <w:pPr>
        <w:spacing w:after="0"/>
        <w:jc w:val="both"/>
        <w:rPr>
          <w:rFonts w:ascii="Times New Roman" w:hAnsi="Times New Roman" w:cs="Times New Roman"/>
        </w:rPr>
      </w:pPr>
      <w:r w:rsidRPr="00930311">
        <w:rPr>
          <w:rFonts w:ascii="Times New Roman" w:hAnsi="Times New Roman" w:cs="Times New Roman"/>
        </w:rPr>
        <w:t xml:space="preserve">Ne </w:t>
      </w:r>
      <w:proofErr w:type="spellStart"/>
      <w:r w:rsidRPr="00930311">
        <w:rPr>
          <w:rFonts w:ascii="Times New Roman" w:hAnsi="Times New Roman" w:cs="Times New Roman"/>
        </w:rPr>
        <w:t>zamrzavati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pripremljeni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rastvor</w:t>
      </w:r>
      <w:proofErr w:type="spellEnd"/>
      <w:r w:rsidRPr="00930311">
        <w:rPr>
          <w:rFonts w:ascii="Times New Roman" w:hAnsi="Times New Roman" w:cs="Times New Roman"/>
        </w:rPr>
        <w:t>.</w:t>
      </w:r>
    </w:p>
    <w:p w14:paraId="183D7A8F" w14:textId="77777777" w:rsidR="00E31B8B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Default="00930311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930311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930311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038E9D22" w14:textId="77777777" w:rsidR="00E31B8B" w:rsidRPr="00E31B8B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D458E04" w14:textId="77777777" w:rsidR="00930311" w:rsidRPr="00930311" w:rsidRDefault="00930311" w:rsidP="00930311">
      <w:pPr>
        <w:rPr>
          <w:rFonts w:ascii="Times New Roman" w:hAnsi="Times New Roman" w:cs="Times New Roman"/>
        </w:rPr>
      </w:pPr>
      <w:proofErr w:type="spellStart"/>
      <w:r w:rsidRPr="00930311">
        <w:rPr>
          <w:rFonts w:ascii="Times New Roman" w:hAnsi="Times New Roman" w:cs="Times New Roman"/>
        </w:rPr>
        <w:t>Uslovi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čuvanja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neotvorene</w:t>
      </w:r>
      <w:proofErr w:type="spellEnd"/>
      <w:r w:rsidRPr="00930311">
        <w:rPr>
          <w:rFonts w:ascii="Times New Roman" w:hAnsi="Times New Roman" w:cs="Times New Roman"/>
        </w:rPr>
        <w:t xml:space="preserve"> </w:t>
      </w:r>
      <w:proofErr w:type="spellStart"/>
      <w:r w:rsidRPr="00930311">
        <w:rPr>
          <w:rFonts w:ascii="Times New Roman" w:hAnsi="Times New Roman" w:cs="Times New Roman"/>
        </w:rPr>
        <w:t>bočice</w:t>
      </w:r>
      <w:proofErr w:type="spellEnd"/>
      <w:r w:rsidRPr="00930311">
        <w:rPr>
          <w:rFonts w:ascii="Times New Roman" w:hAnsi="Times New Roman" w:cs="Times New Roman"/>
        </w:rPr>
        <w:t>:</w:t>
      </w:r>
    </w:p>
    <w:p w14:paraId="1065FF1B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Lijek ne zahtijeva posebne uslove čuvanja</w:t>
      </w:r>
      <w:bookmarkStart w:id="4" w:name="p041"/>
      <w:bookmarkEnd w:id="4"/>
      <w:r>
        <w:rPr>
          <w:rFonts w:ascii="Times New Roman" w:eastAsia="SimSun" w:hAnsi="Times New Roman" w:cs="Times New Roman"/>
          <w:lang w:val="sr-Latn-ME"/>
        </w:rPr>
        <w:t>.</w:t>
      </w:r>
      <w:r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33F86582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Latn-ME"/>
        </w:rPr>
      </w:pPr>
    </w:p>
    <w:p w14:paraId="5B5AF6A1" w14:textId="77777777" w:rsidR="00930311" w:rsidRDefault="00930311" w:rsidP="0093031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lang w:val="sr-Latn-ME"/>
        </w:rPr>
      </w:pPr>
      <w:r>
        <w:rPr>
          <w:rFonts w:ascii="Times New Roman" w:eastAsia="Times New Roman" w:hAnsi="Times New Roman" w:cs="Times New Roman"/>
          <w:iCs/>
          <w:lang w:val="sr-Latn-ME"/>
        </w:rPr>
        <w:t xml:space="preserve">Za uslove čuvanja nakon </w:t>
      </w:r>
      <w:proofErr w:type="spellStart"/>
      <w:r>
        <w:rPr>
          <w:rFonts w:ascii="Times New Roman" w:eastAsia="Times New Roman" w:hAnsi="Times New Roman" w:cs="Times New Roman"/>
          <w:iCs/>
          <w:lang w:val="sr-Latn-ME"/>
        </w:rPr>
        <w:t>rekonstitucije</w:t>
      </w:r>
      <w:proofErr w:type="spellEnd"/>
      <w:r>
        <w:rPr>
          <w:rFonts w:ascii="Times New Roman" w:eastAsia="Times New Roman" w:hAnsi="Times New Roman" w:cs="Times New Roman"/>
          <w:iCs/>
          <w:lang w:val="sr-Latn-ME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lang w:val="sr-Latn-ME"/>
        </w:rPr>
        <w:t>razblaženja</w:t>
      </w:r>
      <w:proofErr w:type="spellEnd"/>
      <w:r>
        <w:rPr>
          <w:rFonts w:ascii="Times New Roman" w:eastAsia="Times New Roman" w:hAnsi="Times New Roman" w:cs="Times New Roman"/>
          <w:iCs/>
          <w:lang w:val="sr-Latn-ME"/>
        </w:rPr>
        <w:t xml:space="preserve"> lijeka, vidjeti odjeljak 6.3.</w:t>
      </w:r>
    </w:p>
    <w:p w14:paraId="62CCA7BE" w14:textId="16ECF2D1" w:rsidR="00930311" w:rsidRDefault="00930311" w:rsidP="0093031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7593803" w14:textId="388C4834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color w:val="000000"/>
          <w:lang w:val="sr-Latn-ME"/>
        </w:rPr>
        <w:t xml:space="preserve">Bočica od providnog stakla tipa I, zapremine 30 ml </w:t>
      </w:r>
      <w:bookmarkStart w:id="5" w:name="_Hlk68856417"/>
      <w:r>
        <w:rPr>
          <w:rFonts w:ascii="Times New Roman" w:eastAsia="Times New Roman" w:hAnsi="Times New Roman" w:cs="Times New Roman"/>
          <w:lang w:val="sr-Latn-ME"/>
        </w:rPr>
        <w:t xml:space="preserve">koja je zatvorena čepom od </w:t>
      </w:r>
      <w:proofErr w:type="spellStart"/>
      <w:r>
        <w:rPr>
          <w:rFonts w:ascii="Times New Roman" w:eastAsia="Times New Roman" w:hAnsi="Times New Roman" w:cs="Times New Roman"/>
          <w:lang w:val="sr-Latn-ME"/>
        </w:rPr>
        <w:t>brombutil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 gume i </w:t>
      </w:r>
      <w:r w:rsidR="009C4809">
        <w:rPr>
          <w:rFonts w:ascii="Times New Roman" w:eastAsia="Times New Roman" w:hAnsi="Times New Roman" w:cs="Times New Roman"/>
          <w:lang w:val="sr-Latn-ME"/>
        </w:rPr>
        <w:t xml:space="preserve">zaštitnom </w:t>
      </w:r>
      <w:r>
        <w:rPr>
          <w:rFonts w:ascii="Times New Roman" w:eastAsia="Times New Roman" w:hAnsi="Times New Roman" w:cs="Times New Roman"/>
          <w:lang w:val="sr-Latn-ME"/>
        </w:rPr>
        <w:t>aluminijumskom kapom</w:t>
      </w:r>
      <w:r w:rsidR="009C4809">
        <w:rPr>
          <w:rFonts w:ascii="Times New Roman" w:eastAsia="Times New Roman" w:hAnsi="Times New Roman" w:cs="Times New Roman"/>
          <w:lang w:val="sr-Latn-ME"/>
        </w:rPr>
        <w:t xml:space="preserve"> ili aluminijumskom kapom sa plastičnim </w:t>
      </w:r>
      <w:proofErr w:type="spellStart"/>
      <w:r w:rsidR="009C4809">
        <w:rPr>
          <w:rFonts w:ascii="Times New Roman" w:eastAsia="Times New Roman" w:hAnsi="Times New Roman" w:cs="Times New Roman"/>
          <w:lang w:val="sr-Latn-ME"/>
        </w:rPr>
        <w:t>flip-off</w:t>
      </w:r>
      <w:proofErr w:type="spellEnd"/>
      <w:r w:rsidR="009C4809">
        <w:rPr>
          <w:rFonts w:ascii="Times New Roman" w:eastAsia="Times New Roman" w:hAnsi="Times New Roman" w:cs="Times New Roman"/>
          <w:lang w:val="sr-Latn-ME"/>
        </w:rPr>
        <w:t xml:space="preserve"> poklopcem</w:t>
      </w:r>
      <w:bookmarkStart w:id="6" w:name="_GoBack"/>
      <w:bookmarkEnd w:id="6"/>
      <w:r>
        <w:rPr>
          <w:rFonts w:ascii="Times New Roman" w:eastAsia="Times New Roman" w:hAnsi="Times New Roman" w:cs="Times New Roman"/>
          <w:lang w:val="sr-Latn-ME"/>
        </w:rPr>
        <w:t>.</w:t>
      </w:r>
    </w:p>
    <w:bookmarkEnd w:id="5"/>
    <w:p w14:paraId="34C6D017" w14:textId="77777777" w:rsidR="00930311" w:rsidRDefault="00930311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color w:val="000000"/>
          <w:lang w:val="sr-Latn-ME"/>
        </w:rPr>
        <w:t>Kutija sadrži 10 bočica</w:t>
      </w:r>
      <w:r>
        <w:rPr>
          <w:rFonts w:ascii="Times New Roman" w:eastAsia="Times New Roman" w:hAnsi="Times New Roman" w:cs="Times New Roman"/>
          <w:lang w:val="sr-Latn-ME"/>
        </w:rPr>
        <w:t xml:space="preserve"> sa po 1 g praška za rastvor za injekciju/infuziju (10 x 1 g)</w:t>
      </w:r>
      <w:r>
        <w:rPr>
          <w:rFonts w:ascii="Times New Roman" w:eastAsia="SimSun" w:hAnsi="Times New Roman" w:cs="Times New Roman"/>
          <w:color w:val="000000"/>
          <w:lang w:val="sr-Latn-ME"/>
        </w:rPr>
        <w:t>.</w:t>
      </w:r>
    </w:p>
    <w:p w14:paraId="4A29C5B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4CD9BBE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bookmarkStart w:id="7" w:name="_Hlk70079922"/>
      <w:r>
        <w:rPr>
          <w:rFonts w:ascii="Times New Roman" w:eastAsia="Times New Roman" w:hAnsi="Times New Roman" w:cs="Times New Roman"/>
          <w:bCs/>
          <w:u w:val="single"/>
          <w:lang w:val="sr-Latn-ME"/>
        </w:rPr>
        <w:t>Injekcija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koji se daje 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bolus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intravenskoj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injekciji treba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rekonstituisati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sterilnom vodom za injekcije. </w:t>
      </w:r>
    </w:p>
    <w:p w14:paraId="0EDCCED3" w14:textId="77777777" w:rsidR="00930311" w:rsidRDefault="00930311" w:rsidP="00930311">
      <w:pPr>
        <w:tabs>
          <w:tab w:val="left" w:pos="540"/>
          <w:tab w:val="left" w:pos="56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F72AFA" w14:textId="77777777" w:rsidR="00930311" w:rsidRDefault="00930311" w:rsidP="00930311">
      <w:pPr>
        <w:tabs>
          <w:tab w:val="left" w:pos="540"/>
          <w:tab w:val="left" w:pos="56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u w:val="single"/>
          <w:lang w:val="sr-Latn-ME"/>
        </w:rPr>
        <w:t>Infuzija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: Za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intravensku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infuziju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meropenem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se može direktno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rekonstituisati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sa 0.9%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infuzionim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rastvorom natrijum hlorida ili 5% rastvorom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dekstroze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za infuzije.</w:t>
      </w:r>
    </w:p>
    <w:p w14:paraId="703886BE" w14:textId="77777777" w:rsidR="00930311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39623A1" w14:textId="77777777" w:rsidR="00930311" w:rsidRDefault="00930311" w:rsidP="00930311">
      <w:pPr>
        <w:tabs>
          <w:tab w:val="left" w:pos="540"/>
          <w:tab w:val="left" w:pos="56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Sve bočice namijenjene su isključivo za jednokratnu upotrebu.</w:t>
      </w:r>
    </w:p>
    <w:p w14:paraId="71E1B406" w14:textId="77777777" w:rsidR="00930311" w:rsidRDefault="00930311" w:rsidP="00930311">
      <w:pPr>
        <w:tabs>
          <w:tab w:val="left" w:pos="540"/>
          <w:tab w:val="left" w:pos="56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Tokom pripreme i primjene rastvora moraju se poštovati osnovni principi aseptičnog rada.</w:t>
      </w:r>
    </w:p>
    <w:p w14:paraId="7AC43087" w14:textId="77777777" w:rsidR="00930311" w:rsidRDefault="00930311" w:rsidP="00930311">
      <w:pPr>
        <w:tabs>
          <w:tab w:val="left" w:pos="540"/>
          <w:tab w:val="left" w:pos="56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 xml:space="preserve">Prije upotrebe promućkati pripremljen rastvor. </w:t>
      </w:r>
    </w:p>
    <w:p w14:paraId="5386B00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ukloniti, u skladu sa važećim propisima.</w:t>
      </w:r>
    </w:p>
    <w:bookmarkEnd w:id="7"/>
    <w:p w14:paraId="711C595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79CDD36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775B277D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Društvo za trgovinu, promet i usluge “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Pontera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Pharma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Solutions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lang w:val="sr-Latn-ME"/>
        </w:rPr>
        <w:t>doo</w:t>
      </w:r>
      <w:proofErr w:type="spellEnd"/>
      <w:r>
        <w:rPr>
          <w:rFonts w:ascii="Times New Roman" w:eastAsia="Times New Roman" w:hAnsi="Times New Roman" w:cs="Times New Roman"/>
          <w:bCs/>
          <w:lang w:val="sr-Latn-ME"/>
        </w:rPr>
        <w:t xml:space="preserve"> Podgorica</w:t>
      </w:r>
    </w:p>
    <w:p w14:paraId="7F06DE9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Cijevna bb, Podgorica, Crna Gora</w:t>
      </w:r>
    </w:p>
    <w:p w14:paraId="333644EB" w14:textId="4F9A5339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FEBED7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F64A46C" w14:textId="6521FDAF" w:rsidR="00930311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945270">
        <w:rPr>
          <w:rFonts w:ascii="Times New Roman" w:eastAsia="Times New Roman" w:hAnsi="Times New Roman" w:cs="Times New Roman"/>
          <w:bCs/>
          <w:lang w:val="sr-Latn-ME"/>
        </w:rPr>
        <w:t>Archifar</w:t>
      </w:r>
      <w:proofErr w:type="spellEnd"/>
      <w:r w:rsidRPr="00945270">
        <w:rPr>
          <w:rFonts w:ascii="Times New Roman" w:eastAsia="Times New Roman" w:hAnsi="Times New Roman" w:cs="Times New Roman"/>
          <w:bCs/>
          <w:lang w:val="sr-Latn-ME"/>
        </w:rPr>
        <w:t>, prašak za rastvor za injekci</w:t>
      </w:r>
      <w:r>
        <w:rPr>
          <w:rFonts w:ascii="Times New Roman" w:eastAsia="Times New Roman" w:hAnsi="Times New Roman" w:cs="Times New Roman"/>
          <w:bCs/>
          <w:lang w:val="sr-Latn-ME"/>
        </w:rPr>
        <w:t>ju/infuziju, 1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g, bočica, 10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x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1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g: </w:t>
      </w:r>
      <w:r w:rsidR="005A04D0" w:rsidRPr="005A04D0">
        <w:rPr>
          <w:rFonts w:ascii="Times New Roman" w:eastAsia="Times New Roman" w:hAnsi="Times New Roman" w:cs="Times New Roman"/>
          <w:bCs/>
          <w:lang w:val="sr-Latn-ME"/>
        </w:rPr>
        <w:t>2030/21/680 - 3822</w:t>
      </w:r>
    </w:p>
    <w:p w14:paraId="2198D9A2" w14:textId="02A0BC93" w:rsidR="00945270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B6F1590" w14:textId="77777777" w:rsidR="00945270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04876B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1FCBF8F4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A7C5AD" w14:textId="5826CB03" w:rsidR="00945270" w:rsidRDefault="00945270" w:rsidP="0094527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945270">
        <w:rPr>
          <w:rFonts w:ascii="Times New Roman" w:eastAsia="Times New Roman" w:hAnsi="Times New Roman" w:cs="Times New Roman"/>
          <w:bCs/>
          <w:lang w:val="sr-Latn-ME"/>
        </w:rPr>
        <w:t>Archifar</w:t>
      </w:r>
      <w:proofErr w:type="spellEnd"/>
      <w:r w:rsidRPr="00945270">
        <w:rPr>
          <w:rFonts w:ascii="Times New Roman" w:eastAsia="Times New Roman" w:hAnsi="Times New Roman" w:cs="Times New Roman"/>
          <w:bCs/>
          <w:lang w:val="sr-Latn-ME"/>
        </w:rPr>
        <w:t>, prašak za rastvor za injekci</w:t>
      </w:r>
      <w:r>
        <w:rPr>
          <w:rFonts w:ascii="Times New Roman" w:eastAsia="Times New Roman" w:hAnsi="Times New Roman" w:cs="Times New Roman"/>
          <w:bCs/>
          <w:lang w:val="sr-Latn-ME"/>
        </w:rPr>
        <w:t>ju/infuziju, 1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g, bočica, 10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x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>1</w:t>
      </w:r>
      <w:r w:rsidR="006F1DB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Cs/>
          <w:lang w:val="sr-Latn-ME"/>
        </w:rPr>
        <w:t xml:space="preserve">g: </w:t>
      </w:r>
      <w:r w:rsidR="005A04D0">
        <w:rPr>
          <w:rFonts w:ascii="Times New Roman" w:eastAsia="Times New Roman" w:hAnsi="Times New Roman" w:cs="Times New Roman"/>
          <w:bCs/>
          <w:lang w:val="sr-Latn-ME"/>
        </w:rPr>
        <w:t>29.04.2021. godine</w:t>
      </w:r>
    </w:p>
    <w:p w14:paraId="6F1A5D63" w14:textId="59B2819E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236B35" w14:textId="77777777" w:rsidR="00945270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CA4F931" w14:textId="39561D25" w:rsidR="005A04D0" w:rsidRPr="005A04D0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5A04D0">
        <w:rPr>
          <w:rFonts w:ascii="Times New Roman" w:eastAsia="Times New Roman" w:hAnsi="Times New Roman" w:cs="Times New Roman"/>
          <w:bCs/>
          <w:lang w:val="sr-Latn-ME"/>
        </w:rPr>
        <w:t>April, 2021. godine</w:t>
      </w:r>
    </w:p>
    <w:p w14:paraId="2A980EA5" w14:textId="77777777" w:rsidR="00930311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76AB81" w14:textId="77777777" w:rsidR="00930311" w:rsidRDefault="00930311" w:rsidP="00930311"/>
    <w:p w14:paraId="3800F0E4" w14:textId="77777777" w:rsidR="00651BFF" w:rsidRDefault="00651BFF"/>
    <w:sectPr w:rsidR="00651BFF" w:rsidSect="00E31B8B">
      <w:footerReference w:type="default" r:id="rId9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E2A45" w14:textId="77777777" w:rsidR="00F15E65" w:rsidRDefault="00F15E65" w:rsidP="00E31B8B">
      <w:pPr>
        <w:spacing w:after="0" w:line="240" w:lineRule="auto"/>
      </w:pPr>
      <w:r>
        <w:separator/>
      </w:r>
    </w:p>
  </w:endnote>
  <w:endnote w:type="continuationSeparator" w:id="0">
    <w:p w14:paraId="45CEFBDF" w14:textId="77777777" w:rsidR="00F15E65" w:rsidRDefault="00F15E65" w:rsidP="00E3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6524B464" w:rsidR="00E31B8B" w:rsidRDefault="00E31B8B">
            <w:pPr>
              <w:pStyle w:val="Footer"/>
              <w:jc w:val="center"/>
            </w:pP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C480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C480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B00418" w14:textId="77777777" w:rsidR="00E31B8B" w:rsidRDefault="00E3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D3A87" w14:textId="77777777" w:rsidR="00F15E65" w:rsidRDefault="00F15E65" w:rsidP="00E31B8B">
      <w:pPr>
        <w:spacing w:after="0" w:line="240" w:lineRule="auto"/>
      </w:pPr>
      <w:r>
        <w:separator/>
      </w:r>
    </w:p>
  </w:footnote>
  <w:footnote w:type="continuationSeparator" w:id="0">
    <w:p w14:paraId="6A2C532F" w14:textId="77777777" w:rsidR="00F15E65" w:rsidRDefault="00F15E65" w:rsidP="00E3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335090"/>
    <w:rsid w:val="00570955"/>
    <w:rsid w:val="005A04D0"/>
    <w:rsid w:val="00651BFF"/>
    <w:rsid w:val="006F1DB2"/>
    <w:rsid w:val="008964EA"/>
    <w:rsid w:val="00930311"/>
    <w:rsid w:val="00945270"/>
    <w:rsid w:val="009C4809"/>
    <w:rsid w:val="00C1088F"/>
    <w:rsid w:val="00E31B8B"/>
    <w:rsid w:val="00F1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B0F"/>
  <w15:chartTrackingRefBased/>
  <w15:docId w15:val="{54588D87-986E-43C8-80C8-3C65B17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4859</Words>
  <Characters>27701</Characters>
  <Application>Microsoft Office Word</Application>
  <DocSecurity>0</DocSecurity>
  <Lines>230</Lines>
  <Paragraphs>64</Paragraphs>
  <ScaleCrop>false</ScaleCrop>
  <Company/>
  <LinksUpToDate>false</LinksUpToDate>
  <CharactersWithSpaces>32496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Jovana Jovanovic</cp:lastModifiedBy>
  <cp:revision>9</cp:revision>
  <dcterms:created xsi:type="dcterms:W3CDTF">2021-04-29T07:13:00Z</dcterms:created>
  <dcterms:modified xsi:type="dcterms:W3CDTF">2024-03-28T12:01:00Z</dcterms:modified>
</cp:coreProperties>
</file>