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F0" w:rsidRPr="0009563C" w:rsidRDefault="00935DF0" w:rsidP="0009563C">
      <w:pPr>
        <w:tabs>
          <w:tab w:val="left" w:pos="284"/>
        </w:tabs>
        <w:spacing w:after="0" w:line="240" w:lineRule="auto"/>
        <w:jc w:val="center"/>
        <w:rPr>
          <w:rFonts w:ascii="Times New Roman" w:eastAsia="Times New Roman" w:hAnsi="Times New Roman" w:cs="Times New Roman"/>
          <w:b/>
          <w:bCs/>
          <w:iCs/>
          <w:u w:val="single"/>
          <w:lang w:val="sr-Latn-ME"/>
        </w:rPr>
      </w:pPr>
      <w:r w:rsidRPr="0009563C">
        <w:rPr>
          <w:rFonts w:ascii="Times New Roman" w:eastAsia="Times New Roman" w:hAnsi="Times New Roman" w:cs="Times New Roman"/>
          <w:b/>
          <w:bCs/>
          <w:iCs/>
          <w:u w:val="single"/>
          <w:lang w:val="sr-Latn-ME"/>
        </w:rPr>
        <w:t>САЖЕТАК КАРАКТЕРИСТИКА ЛИЈЕКА</w:t>
      </w:r>
    </w:p>
    <w:p w:rsidR="00F1527C" w:rsidRPr="0009563C" w:rsidRDefault="00F1527C" w:rsidP="00F1527C">
      <w:pPr>
        <w:rPr>
          <w:rFonts w:ascii="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1. НАЗИВ ЛИЈЕКА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OMEZOL, 20 mg, гастрорезистентна капсула, тврда </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ИНН:</w:t>
      </w:r>
      <w:r w:rsidRPr="000C28F4">
        <w:rPr>
          <w:rFonts w:ascii="Times New Roman" w:eastAsia="Times New Roman" w:hAnsi="Times New Roman" w:cs="Times New Roman"/>
          <w:lang w:val="sr-Latn-ME"/>
        </w:rPr>
        <w:tab/>
        <w:t>омепразол</w:t>
      </w:r>
    </w:p>
    <w:p w:rsidR="00233AC6" w:rsidRPr="000C28F4" w:rsidRDefault="00233AC6" w:rsidP="004C33B2">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tabs>
          <w:tab w:val="left" w:pos="936"/>
        </w:tabs>
        <w:spacing w:after="0" w:line="240" w:lineRule="auto"/>
        <w:ind w:left="108" w:right="441"/>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2. КВАЛИТАТИВНИ И КВАНТИТАТИВНИ САСТАВ</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Једна гастрорезистентна капсула, тврда садржи 20 mg oмепразола.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Помоћне супстанце са потврђеним дејством: сахароза, боја Е122.</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За листу свих помоћних супстанци,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6.1.</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3. ФАРМАЦЕУТСКИ ОБЛИК</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Гастрорезистентна капсулa, тврда.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Тврде желатинске капсуле са мат браон капом и мат розе тијелом. Бијеле до скоро бијеле сферичне пелете испуњавају тврду желатинску капсулу величине 2.</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4. КЛИНИЧКИ ПОДАЦИ</w:t>
      </w:r>
    </w:p>
    <w:p w:rsidR="00233AC6" w:rsidRPr="000C28F4" w:rsidRDefault="00233AC6" w:rsidP="000C28F4">
      <w:pPr>
        <w:tabs>
          <w:tab w:val="left" w:pos="284"/>
        </w:tabs>
        <w:spacing w:after="0" w:line="240" w:lineRule="auto"/>
        <w:jc w:val="both"/>
        <w:rPr>
          <w:rFonts w:ascii="Times New Roman" w:eastAsia="Times New Roman" w:hAnsi="Times New Roman" w:cs="Times New Roman"/>
          <w:b/>
          <w:bCs/>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4.1. Терапијске индикације</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OMEZOL гастрорезистентне капсуле, тврде индиковане су за: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u w:val="single"/>
          <w:lang w:val="sr-Latn-ME"/>
        </w:rPr>
        <w:t>Одрасли: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 лијечење дуоденалног улкуса,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превенцију рецидива дуоденалног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лијечење желудачног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превенцију рецидива желудачног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 ерадикацију </w:t>
      </w:r>
      <w:r w:rsidRPr="000C28F4">
        <w:rPr>
          <w:rFonts w:ascii="Times New Roman" w:eastAsia="Times New Roman" w:hAnsi="Times New Roman" w:cs="Times New Roman"/>
          <w:i/>
          <w:lang w:val="sr-Latn-ME"/>
        </w:rPr>
        <w:t xml:space="preserve">Helicobacter pylori </w:t>
      </w:r>
      <w:r w:rsidRPr="000C28F4">
        <w:rPr>
          <w:rFonts w:ascii="Times New Roman" w:eastAsia="Times New Roman" w:hAnsi="Times New Roman" w:cs="Times New Roman"/>
          <w:lang w:val="sr-Latn-ME"/>
        </w:rPr>
        <w:t>код болести пептичког улкуса, у комбинацији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одговарајућим антибиотицима,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лијечење дуоденалног и желудачног улкуса повезанo</w:t>
      </w:r>
      <w:r w:rsidRPr="000C28F4">
        <w:rPr>
          <w:rFonts w:ascii="Times New Roman" w:eastAsia="Times New Roman" w:hAnsi="Times New Roman" w:cs="Times New Roman"/>
          <w:lang w:val="mk-MK"/>
        </w:rPr>
        <w:t>г</w:t>
      </w:r>
      <w:r w:rsidRPr="000C28F4">
        <w:rPr>
          <w:rFonts w:ascii="Times New Roman" w:eastAsia="Times New Roman" w:hAnsi="Times New Roman" w:cs="Times New Roman"/>
          <w:lang w:val="sr-Latn-ME"/>
        </w:rPr>
        <w:t xml:space="preserve"> са примјеном НСАИЛ-а,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превенцију дуоденалног и желудачног улкуса повезанo</w:t>
      </w:r>
      <w:r w:rsidRPr="000C28F4">
        <w:rPr>
          <w:rFonts w:ascii="Times New Roman" w:eastAsia="Times New Roman" w:hAnsi="Times New Roman" w:cs="Times New Roman"/>
          <w:lang w:val="mk-MK"/>
        </w:rPr>
        <w:t>г</w:t>
      </w:r>
      <w:r w:rsidRPr="000C28F4">
        <w:rPr>
          <w:rFonts w:ascii="Times New Roman" w:eastAsia="Times New Roman" w:hAnsi="Times New Roman" w:cs="Times New Roman"/>
          <w:lang w:val="sr-Latn-ME"/>
        </w:rPr>
        <w:t xml:space="preserve"> са примјеном НСАИЛ-а код пацијената који су под ризиком,</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лијечење рефлуксног езофагитиса,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дуготрајна терапија код пацијената са залијеченим рефлуксним езофагитисом,</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симптоматско лијечење болести гастроезофагеалног рефлукса 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 лијечење Zollinger-Ellison-овог синдрома.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u w:val="single"/>
          <w:lang w:val="sr-Latn-ME"/>
        </w:rPr>
        <w:t>Примјена код дјеце: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Дјеца која имају више од годину дана и ≥10 kg</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лијечење рефлуксног езофагитиса, 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 симптоматско лијечење горушице и регургитације киселине код болести гастроезофагеалног рефлукса.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lastRenderedPageBreak/>
        <w:t xml:space="preserve">Дјеца која имају више од 4 године и адолесценти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 лијечење дуоденалног улкуса узрокованог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lang w:val="sr-Latn-ME"/>
        </w:rPr>
        <w:t>, у комбинацији с антибиотицима.</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4.2. Дозирање и начин примјене</w:t>
      </w:r>
    </w:p>
    <w:p w:rsidR="00233AC6" w:rsidRPr="000C28F4" w:rsidRDefault="00233AC6" w:rsidP="000C28F4">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color w:val="000000"/>
          <w:u w:val="single"/>
          <w:lang w:val="sr-Latn-ME" w:eastAsia="mk-MK"/>
        </w:rPr>
      </w:pPr>
      <w:r w:rsidRPr="000C28F4">
        <w:rPr>
          <w:rFonts w:ascii="Times New Roman" w:eastAsia="Times New Roman" w:hAnsi="Times New Roman" w:cs="Times New Roman"/>
          <w:color w:val="000000"/>
          <w:u w:val="single"/>
          <w:lang w:val="sr-Latn-ME" w:eastAsia="mk-MK"/>
        </w:rPr>
        <w:t>Дозирање</w:t>
      </w:r>
    </w:p>
    <w:p w:rsidR="00233AC6" w:rsidRPr="000C28F4" w:rsidRDefault="00233AC6">
      <w:pPr>
        <w:tabs>
          <w:tab w:val="left" w:pos="284"/>
        </w:tabs>
        <w:spacing w:after="0" w:line="240" w:lineRule="auto"/>
        <w:jc w:val="both"/>
        <w:rPr>
          <w:rFonts w:ascii="Times New Roman" w:eastAsia="Times New Roman" w:hAnsi="Times New Roman" w:cs="Times New Roman"/>
          <w:color w:val="000000"/>
          <w:lang w:val="sr-Latn-ME" w:eastAsia="mk-MK"/>
        </w:rPr>
      </w:pPr>
    </w:p>
    <w:p w:rsidR="00233AC6" w:rsidRPr="000C28F4" w:rsidRDefault="00233AC6">
      <w:pPr>
        <w:tabs>
          <w:tab w:val="left" w:pos="284"/>
        </w:tabs>
        <w:spacing w:after="0" w:line="240" w:lineRule="auto"/>
        <w:jc w:val="both"/>
        <w:rPr>
          <w:rFonts w:ascii="Times New Roman" w:eastAsia="Times New Roman" w:hAnsi="Times New Roman" w:cs="Times New Roman"/>
          <w:color w:val="000000"/>
          <w:lang w:val="sr-Latn-ME" w:eastAsia="mk-MK"/>
        </w:rPr>
      </w:pPr>
      <w:r w:rsidRPr="000C28F4">
        <w:rPr>
          <w:rFonts w:ascii="Times New Roman" w:eastAsia="Times New Roman" w:hAnsi="Times New Roman" w:cs="Times New Roman"/>
          <w:i/>
          <w:iCs/>
          <w:color w:val="000000"/>
          <w:u w:val="single"/>
          <w:lang w:val="sr-Latn-ME" w:eastAsia="mk-MK"/>
        </w:rPr>
        <w:t>Одрасли</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Лијечење дуоденалног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Препоручена доза код пацијената са активним дуоденалним улкусом је 20 mg OMEZOL-а једном дневно. Код већине пацијената изл</w:t>
      </w:r>
      <w:r w:rsidR="000C28F4">
        <w:rPr>
          <w:rFonts w:ascii="Times New Roman" w:eastAsia="Times New Roman" w:hAnsi="Times New Roman" w:cs="Times New Roman"/>
          <w:lang w:val="sr-Cyrl-RS"/>
        </w:rPr>
        <w:t>иј</w:t>
      </w:r>
      <w:r w:rsidRPr="000C28F4">
        <w:rPr>
          <w:rFonts w:ascii="Times New Roman" w:eastAsia="Times New Roman" w:hAnsi="Times New Roman" w:cs="Times New Roman"/>
          <w:lang w:val="sr-Latn-ME"/>
        </w:rPr>
        <w:t>ечење се јавља у року од 2 недјеље. За оне пацијенте који ни</w:t>
      </w:r>
      <w:r w:rsidRPr="000C28F4">
        <w:rPr>
          <w:rFonts w:ascii="Times New Roman" w:eastAsia="Times New Roman" w:hAnsi="Times New Roman" w:cs="Times New Roman"/>
          <w:lang w:val="sr-Cyrl-RS"/>
        </w:rPr>
        <w:t>је</w:t>
      </w:r>
      <w:r w:rsidRPr="000C28F4">
        <w:rPr>
          <w:rFonts w:ascii="Times New Roman" w:eastAsia="Times New Roman" w:hAnsi="Times New Roman" w:cs="Times New Roman"/>
          <w:lang w:val="sr-Latn-ME"/>
        </w:rPr>
        <w:t>су у потпуности били излијечени након почетне терапије, из</w:t>
      </w:r>
      <w:r w:rsidR="000C28F4">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обично јавља у току сљедеће 2 недјеље терапије. Код пацијената са слабо реагујућим дуоденалним улкусом препоручује се 40 mg OMEZOL-а  једном дневно и из</w:t>
      </w:r>
      <w:r w:rsidR="000C28F4">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обично постиже у року од 4 недјеље.</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lang w:val="sr-Latn-ME"/>
        </w:rPr>
        <w:br/>
      </w:r>
      <w:r w:rsidRPr="000C28F4">
        <w:rPr>
          <w:rFonts w:ascii="Times New Roman" w:eastAsia="Times New Roman" w:hAnsi="Times New Roman" w:cs="Times New Roman"/>
          <w:i/>
          <w:lang w:val="sr-Latn-ME"/>
        </w:rPr>
        <w:t>Превенција рецидива дуоденалног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За спр</w:t>
      </w:r>
      <w:r w:rsidR="000C28F4">
        <w:rPr>
          <w:rFonts w:ascii="Times New Roman" w:eastAsia="Times New Roman" w:hAnsi="Times New Roman" w:cs="Times New Roman"/>
        </w:rPr>
        <w:t>ј</w:t>
      </w:r>
      <w:r w:rsidRPr="000C28F4">
        <w:rPr>
          <w:rFonts w:ascii="Times New Roman" w:eastAsia="Times New Roman" w:hAnsi="Times New Roman" w:cs="Times New Roman"/>
          <w:lang w:val="sr-Latn-ME"/>
        </w:rPr>
        <w:t xml:space="preserve">ечавање рецидива дуоденалног улкуса код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color w:val="000000"/>
          <w:lang w:val="sr-Latn-ME" w:eastAsia="mk-MK"/>
        </w:rPr>
        <w:t xml:space="preserve"> </w:t>
      </w:r>
      <w:r w:rsidRPr="000C28F4">
        <w:rPr>
          <w:rFonts w:ascii="Times New Roman" w:eastAsia="Times New Roman" w:hAnsi="Times New Roman" w:cs="Times New Roman"/>
          <w:lang w:val="sr-Latn-ME"/>
        </w:rPr>
        <w:t xml:space="preserve">- негативних пацијената или када ерадикација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color w:val="000000"/>
          <w:lang w:val="sr-Latn-ME" w:eastAsia="mk-MK"/>
        </w:rPr>
        <w:t xml:space="preserve"> </w:t>
      </w:r>
      <w:r w:rsidRPr="000C28F4">
        <w:rPr>
          <w:rFonts w:ascii="Times New Roman" w:eastAsia="Times New Roman" w:hAnsi="Times New Roman" w:cs="Times New Roman"/>
          <w:lang w:val="sr-Latn-ME"/>
        </w:rPr>
        <w:t>није могућа, препоручена доза је 20 mg OMEZOL-а једном дневно. Код неких пацијената нижа доза од 10 mg може бити довољна. У случају неуспјеха терапије, доза се може повећати до 40 mg.</w:t>
      </w:r>
    </w:p>
    <w:p w:rsidR="00233AC6" w:rsidRPr="000C28F4" w:rsidRDefault="00233AC6">
      <w:pPr>
        <w:tabs>
          <w:tab w:val="left" w:pos="284"/>
        </w:tabs>
        <w:spacing w:after="0" w:line="240" w:lineRule="auto"/>
        <w:jc w:val="both"/>
        <w:rPr>
          <w:rFonts w:ascii="Times New Roman" w:eastAsia="Times New Roman" w:hAnsi="Times New Roman" w:cs="Times New Roman"/>
          <w:color w:val="000000"/>
          <w:lang w:val="sr-Latn-ME" w:eastAsia="mk-MK"/>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Лијечење желудачног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Препоручена доза је 20 mg OMEZOL-а једном дневно. Код већине пацијената из</w:t>
      </w:r>
      <w:r w:rsidR="000C28F4">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јавља у року од 4 недјеље. Код оних пацијената који не буду у потпуности излијечени након почетне терапије, из</w:t>
      </w:r>
      <w:r w:rsidR="000C28F4">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обично јавља у току наредне 4 недјеље третмана. Код пацијената са слабо реагујућим желудачним улкусом препоручује се</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40 mg OMEZOL-а једном дневно и из</w:t>
      </w:r>
      <w:r w:rsidR="000C28F4">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обично постиже у року од 8 недјеља.</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lang w:val="sr-Latn-ME"/>
        </w:rPr>
        <w:br/>
      </w:r>
      <w:r w:rsidRPr="000C28F4">
        <w:rPr>
          <w:rFonts w:ascii="Times New Roman" w:eastAsia="Times New Roman" w:hAnsi="Times New Roman" w:cs="Times New Roman"/>
          <w:i/>
          <w:lang w:val="sr-Latn-ME"/>
        </w:rPr>
        <w:t>Превенција рецидива желудачног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За спр</w:t>
      </w:r>
      <w:r w:rsidR="000C28F4">
        <w:rPr>
          <w:rFonts w:ascii="Times New Roman" w:eastAsia="Times New Roman" w:hAnsi="Times New Roman" w:cs="Times New Roman"/>
        </w:rPr>
        <w:t>ј</w:t>
      </w:r>
      <w:r w:rsidRPr="000C28F4">
        <w:rPr>
          <w:rFonts w:ascii="Times New Roman" w:eastAsia="Times New Roman" w:hAnsi="Times New Roman" w:cs="Times New Roman"/>
          <w:lang w:val="sr-Latn-ME"/>
        </w:rPr>
        <w:t>ечавање рецидива код пацијената са слабо реагујућим желудачним улкусом, препоручена доза је 20 mg OMEZOL-а једном дневно. Ако је потребно, доза се може повећати до 40 mg OMEZOL-а једанпут дневно.</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Ерадикација </w:t>
      </w:r>
      <w:r w:rsidRPr="000C28F4">
        <w:rPr>
          <w:rFonts w:ascii="Times New Roman" w:eastAsia="Times New Roman" w:hAnsi="Times New Roman" w:cs="Times New Roman"/>
          <w:i/>
          <w:iCs/>
          <w:color w:val="000000"/>
          <w:lang w:val="sr-Latn-ME" w:eastAsia="mk-MK"/>
        </w:rPr>
        <w:t xml:space="preserve">H. pylori </w:t>
      </w:r>
      <w:r w:rsidRPr="000C28F4">
        <w:rPr>
          <w:rFonts w:ascii="Times New Roman" w:eastAsia="Times New Roman" w:hAnsi="Times New Roman" w:cs="Times New Roman"/>
          <w:i/>
          <w:lang w:val="sr-Latn-ME"/>
        </w:rPr>
        <w:t>код болести пептичког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За ерадикацију </w:t>
      </w:r>
      <w:r w:rsidRPr="000C28F4">
        <w:rPr>
          <w:rFonts w:ascii="Times New Roman" w:eastAsia="Times New Roman" w:hAnsi="Times New Roman" w:cs="Times New Roman"/>
          <w:i/>
          <w:iCs/>
          <w:color w:val="000000"/>
          <w:lang w:val="sr-Latn-ME" w:eastAsia="mk-MK"/>
        </w:rPr>
        <w:t xml:space="preserve">H. pylori, </w:t>
      </w:r>
      <w:r w:rsidRPr="000C28F4">
        <w:rPr>
          <w:rFonts w:ascii="Times New Roman" w:eastAsia="Times New Roman" w:hAnsi="Times New Roman" w:cs="Times New Roman"/>
          <w:lang w:val="sr-Latn-ME"/>
        </w:rPr>
        <w:t>избор антибиотика треба да буде према индивидуалној подношљивости  на лијек сваког пацијента и треба да буде у складу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националним, регионалним и локалним информацијама о резистентности и терапијским водичима.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OMEZOL 20 mg + кларитромицин 500 mg + амоксицилин 1.000 mg, сваки два пута дневно недјељу дана, или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OMEZOL 20 mg + кларитромицин 250 mg (алтернативно 500 mg) + метронидазол 400 mg (или 500 mg или тинидазол 500 mg), сваки два пута дневно за недјељу дана, или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OMEZOL 40 mg једном дневно са амоксицилином 500 mg и 400 mg метронидазола (или 500 mg или тинидазол 500 mg), оба три пута дневно, недјељу дана.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У сваком режиму, ако је пацијент и даље </w:t>
      </w:r>
      <w:r w:rsidRPr="000C28F4">
        <w:rPr>
          <w:rFonts w:ascii="Times New Roman" w:eastAsia="Times New Roman" w:hAnsi="Times New Roman" w:cs="Times New Roman"/>
          <w:i/>
          <w:iCs/>
          <w:color w:val="000000"/>
          <w:lang w:val="sr-Latn-ME" w:eastAsia="mk-MK"/>
        </w:rPr>
        <w:t xml:space="preserve">H. pylori  </w:t>
      </w:r>
      <w:r w:rsidRPr="000C28F4">
        <w:rPr>
          <w:rFonts w:ascii="Times New Roman" w:eastAsia="Times New Roman" w:hAnsi="Times New Roman" w:cs="Times New Roman"/>
          <w:lang w:val="sr-Latn-ME"/>
        </w:rPr>
        <w:t>позитиван, лијечење се може поновити.</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Лијечење дуоденалног и желудачног улкуса повезаних с</w:t>
      </w:r>
      <w:r w:rsidRPr="000C28F4">
        <w:rPr>
          <w:rFonts w:ascii="Times New Roman" w:eastAsia="Times New Roman" w:hAnsi="Times New Roman" w:cs="Times New Roman"/>
          <w:i/>
          <w:lang w:val="sr-Cyrl-RS"/>
        </w:rPr>
        <w:t>а</w:t>
      </w:r>
      <w:r w:rsidRPr="000C28F4">
        <w:rPr>
          <w:rFonts w:ascii="Times New Roman" w:eastAsia="Times New Roman" w:hAnsi="Times New Roman" w:cs="Times New Roman"/>
          <w:i/>
          <w:lang w:val="sr-Latn-ME"/>
        </w:rPr>
        <w:t xml:space="preserve"> примјеном НСАИЛ-а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За лијечење дуоденалног и желудачног улкуса повезаних са примјеном НСАИЛ-а, препоручена доза је 20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OMEZOL-а</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једном дневно. Код већине пацијената, из</w:t>
      </w:r>
      <w:r w:rsidR="00FD19CD">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јавља у року од 4 недјеље. За оне пацијенте који не могу у потпуности бити излијечени након почетног третмана, из</w:t>
      </w:r>
      <w:r w:rsidR="00FD19CD">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обично јавља током наредне 4 недјеље третмана.</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color w:val="222222"/>
          <w:lang w:val="sr-Latn-ME"/>
        </w:rPr>
      </w:pPr>
      <w:r w:rsidRPr="000C28F4">
        <w:rPr>
          <w:rFonts w:ascii="Times New Roman" w:eastAsia="Times New Roman" w:hAnsi="Times New Roman" w:cs="Times New Roman"/>
          <w:i/>
          <w:color w:val="222222"/>
          <w:lang w:val="sr-Latn-ME"/>
        </w:rPr>
        <w:lastRenderedPageBreak/>
        <w:t>Превенција НСАИЛ-повезаних улкуса желуца и дуоденума код пацијената са повећаним ризиком</w:t>
      </w:r>
    </w:p>
    <w:p w:rsidR="00233AC6" w:rsidRPr="000C28F4" w:rsidRDefault="00233AC6">
      <w:pPr>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 xml:space="preserve">За превенцију НСАИЛ-повезаних улкуса желуца или дуоденума код пацијената са повећаним ризиком (старост &gt; 60 година, пацијенти са ранијом историјом улкуса желуца и дуоденума, пацијенти са ранијом историјом крварења из горњих дјелова гастроинтестиналног тракта), препоручена доза је 20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OMEZOL-а</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color w:val="222222"/>
          <w:lang w:val="sr-Latn-ME"/>
        </w:rPr>
        <w:t>једном дневно.</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r w:rsidRPr="000C28F4">
        <w:rPr>
          <w:rFonts w:ascii="Times New Roman" w:eastAsia="Times New Roman" w:hAnsi="Times New Roman" w:cs="Times New Roman"/>
          <w:i/>
          <w:lang w:val="sr-Latn-ME"/>
        </w:rPr>
        <w:t>Лијечење рефлуксног езофагитиса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Препоручена доза је 20 mg OMEZOL-а</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једном дневно. Код већине пацијената, из</w:t>
      </w:r>
      <w:r w:rsidR="00FD19CD">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ечење се јавља у року од 4 недјеље. За оне пацијенте који нијесу у потпуности излијечени након почетног третмана, из</w:t>
      </w:r>
      <w:r w:rsidR="00FD19CD">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 xml:space="preserve">ечење се обично јавља током наредне 4 недјеље третмана.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Код пацијената са тешким езофагитисом препоручује се 40 mg OMEZOL-а</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једном дневно и  из</w:t>
      </w:r>
      <w:r w:rsidR="00FD19CD">
        <w:rPr>
          <w:rFonts w:ascii="Times New Roman" w:eastAsia="Times New Roman" w:hAnsi="Times New Roman" w:cs="Times New Roman"/>
          <w:lang w:val="sr-Cyrl-RS"/>
        </w:rPr>
        <w:t>лиј</w:t>
      </w:r>
      <w:r w:rsidRPr="000C28F4">
        <w:rPr>
          <w:rFonts w:ascii="Times New Roman" w:eastAsia="Times New Roman" w:hAnsi="Times New Roman" w:cs="Times New Roman"/>
          <w:lang w:val="sr-Latn-ME"/>
        </w:rPr>
        <w:t xml:space="preserve">ечење се обично постиже у року од 8 недјеља.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Дуготрајно збрињавање пацијената с</w:t>
      </w:r>
      <w:r w:rsidRPr="000C28F4">
        <w:rPr>
          <w:rFonts w:ascii="Times New Roman" w:eastAsia="Times New Roman" w:hAnsi="Times New Roman" w:cs="Times New Roman"/>
          <w:i/>
          <w:lang w:val="sr-Cyrl-RS"/>
        </w:rPr>
        <w:t>а</w:t>
      </w:r>
      <w:r w:rsidRPr="000C28F4">
        <w:rPr>
          <w:rFonts w:ascii="Times New Roman" w:eastAsia="Times New Roman" w:hAnsi="Times New Roman" w:cs="Times New Roman"/>
          <w:i/>
          <w:lang w:val="sr-Latn-ME"/>
        </w:rPr>
        <w:t xml:space="preserve"> излијеченим рефлуксним езофагитисом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За дуготрајно збрињавање пацијената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излијеченим рефлуксним езофагитисом препоручена доза је 10 mg OMEZOL-а једном дневно. Ако је потребно, доза се може повећати до 20 - 40 mg OMEZOL-а једанпут дневно.</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Симптоматско лијечење болести гастроезофагеалног рефлукса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Препоручена доза је 20 mg OMEZOL-а</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једном дневно. Пацијенти могу одговорити адекватно и на нижу дозу, те је потребно узети у обзир индивидуално прилагођавање дозе.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Ако контрола симптома није постигнута након 4 недјеље лијечења са 20 mg OMEZOL-а једном дневно, препоручује се даљи третман.</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bCs/>
          <w:i/>
          <w:lang w:val="sr-Latn-ME" w:eastAsia="en-GB"/>
        </w:rPr>
        <w:t xml:space="preserve">Лијечење Zollinger-Ellison-овог синдрома </w:t>
      </w:r>
    </w:p>
    <w:p w:rsidR="00233AC6" w:rsidRPr="000C28F4" w:rsidRDefault="00233AC6">
      <w:pPr>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Код пацијената са </w:t>
      </w:r>
      <w:r w:rsidRPr="000C28F4">
        <w:rPr>
          <w:rFonts w:ascii="Times New Roman" w:eastAsia="Times New Roman" w:hAnsi="Times New Roman" w:cs="Times New Roman"/>
          <w:bCs/>
          <w:i/>
          <w:lang w:val="sr-Latn-ME" w:eastAsia="en-GB"/>
        </w:rPr>
        <w:t xml:space="preserve">Zollinger-Ellison-овим </w:t>
      </w:r>
      <w:r w:rsidRPr="000C28F4">
        <w:rPr>
          <w:rFonts w:ascii="Times New Roman" w:eastAsia="Times New Roman" w:hAnsi="Times New Roman" w:cs="Times New Roman"/>
          <w:lang w:val="sr-Latn-ME" w:eastAsia="en-GB"/>
        </w:rPr>
        <w:t>синдромом, дозу треба индивидуално прилагодити, а лијечење наставити онолико дуго колико је клинички индиковано. Препоручена почетна доза је 60 mg OMEZOL-а дневно. Сви пацијенти са тешким обликом обољења и неадекватним одговором на друге терапије ефикасно су контролисани. Више од 90% пацијената са тешком клиничком сликом и неадекватним одговором на другу терапију успјешно се лијечи са 20-120 mg дневно. Уколико је доза већа од 80 mg дневно, треба да се подијели и даје двапут дневно.</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u w:val="single"/>
          <w:lang w:val="sr-Latn-ME"/>
        </w:rPr>
        <w:t>Педијатријска популација</w:t>
      </w: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i/>
          <w:u w:val="single"/>
          <w:lang w:val="sr-Latn-ME"/>
        </w:rPr>
        <w:t>Дјеца која имају више од годину дана и ≥</w:t>
      </w:r>
      <w:r w:rsidRPr="000C28F4">
        <w:rPr>
          <w:rFonts w:ascii="Times New Roman" w:eastAsia="Times New Roman" w:hAnsi="Times New Roman" w:cs="Times New Roman"/>
          <w:i/>
          <w:u w:val="single"/>
          <w:lang w:val="sr-Cyrl-RS"/>
        </w:rPr>
        <w:t xml:space="preserve"> </w:t>
      </w:r>
      <w:r w:rsidRPr="000C28F4">
        <w:rPr>
          <w:rFonts w:ascii="Times New Roman" w:eastAsia="Times New Roman" w:hAnsi="Times New Roman" w:cs="Times New Roman"/>
          <w:i/>
          <w:u w:val="single"/>
          <w:lang w:val="sr-Latn-ME"/>
        </w:rPr>
        <w:t xml:space="preserve">10 </w:t>
      </w:r>
      <w:r w:rsidRPr="000C28F4">
        <w:rPr>
          <w:rFonts w:ascii="Times New Roman" w:eastAsia="Times New Roman" w:hAnsi="Times New Roman" w:cs="Times New Roman"/>
          <w:lang w:val="sr-Latn-ME"/>
        </w:rPr>
        <w:t>kg</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Лијечење рефлуксног езофагитиса и симптоматско лијечење горушице и регургитације киселине код болести гастроезофагеалног рефлукса </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Препоруке за дозирање су сљедеће:</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402"/>
        <w:gridCol w:w="1442"/>
        <w:gridCol w:w="5767"/>
      </w:tblGrid>
      <w:tr w:rsidR="005C3606" w:rsidRPr="000C28F4" w:rsidTr="00716FC3">
        <w:trPr>
          <w:tblCellSpacing w:w="0" w:type="dxa"/>
        </w:trPr>
        <w:tc>
          <w:tcPr>
            <w:tcW w:w="1250" w:type="pct"/>
            <w:tcBorders>
              <w:top w:val="outset" w:sz="6" w:space="0" w:color="auto"/>
              <w:left w:val="outset" w:sz="6" w:space="0" w:color="auto"/>
              <w:bottom w:val="outset" w:sz="6" w:space="0" w:color="auto"/>
              <w:right w:val="outset" w:sz="6" w:space="0" w:color="auto"/>
            </w:tcBorders>
          </w:tcPr>
          <w:p w:rsidR="005C3606" w:rsidRPr="000C28F4" w:rsidRDefault="005C360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Узраст</w:t>
            </w:r>
          </w:p>
        </w:tc>
        <w:tc>
          <w:tcPr>
            <w:tcW w:w="750" w:type="pct"/>
            <w:tcBorders>
              <w:top w:val="outset" w:sz="6" w:space="0" w:color="auto"/>
              <w:left w:val="outset" w:sz="6" w:space="0" w:color="auto"/>
              <w:bottom w:val="outset" w:sz="6" w:space="0" w:color="auto"/>
              <w:right w:val="outset" w:sz="6" w:space="0" w:color="auto"/>
            </w:tcBorders>
          </w:tcPr>
          <w:p w:rsidR="005C3606" w:rsidRPr="000C28F4" w:rsidRDefault="005C360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Тежина</w:t>
            </w:r>
          </w:p>
        </w:tc>
        <w:tc>
          <w:tcPr>
            <w:tcW w:w="3000" w:type="pct"/>
            <w:tcBorders>
              <w:top w:val="outset" w:sz="6" w:space="0" w:color="auto"/>
              <w:left w:val="outset" w:sz="6" w:space="0" w:color="auto"/>
              <w:bottom w:val="outset" w:sz="6" w:space="0" w:color="auto"/>
              <w:right w:val="outset" w:sz="6" w:space="0" w:color="auto"/>
            </w:tcBorders>
          </w:tcPr>
          <w:p w:rsidR="005C3606" w:rsidRPr="000C28F4" w:rsidRDefault="005C360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Дозирање</w:t>
            </w:r>
          </w:p>
        </w:tc>
      </w:tr>
      <w:tr w:rsidR="005C3606" w:rsidRPr="000C28F4" w:rsidTr="00716FC3">
        <w:trPr>
          <w:tblCellSpacing w:w="0" w:type="dxa"/>
        </w:trPr>
        <w:tc>
          <w:tcPr>
            <w:tcW w:w="1250" w:type="pct"/>
            <w:tcBorders>
              <w:top w:val="outset" w:sz="6" w:space="0" w:color="auto"/>
              <w:left w:val="outset" w:sz="6" w:space="0" w:color="auto"/>
              <w:bottom w:val="outset" w:sz="6" w:space="0" w:color="auto"/>
              <w:right w:val="outset" w:sz="6" w:space="0" w:color="auto"/>
            </w:tcBorders>
          </w:tcPr>
          <w:p w:rsidR="005C3606" w:rsidRPr="000C28F4" w:rsidRDefault="005C3606"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1 година</w:t>
            </w:r>
          </w:p>
        </w:tc>
        <w:tc>
          <w:tcPr>
            <w:tcW w:w="750" w:type="pct"/>
            <w:tcBorders>
              <w:top w:val="outset" w:sz="6" w:space="0" w:color="auto"/>
              <w:left w:val="outset" w:sz="6" w:space="0" w:color="auto"/>
              <w:bottom w:val="outset" w:sz="6" w:space="0" w:color="auto"/>
              <w:right w:val="outset" w:sz="6" w:space="0" w:color="auto"/>
            </w:tcBorders>
          </w:tcPr>
          <w:p w:rsidR="005C3606" w:rsidRPr="000C28F4" w:rsidRDefault="005C3606"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10-20 kg</w:t>
            </w:r>
          </w:p>
        </w:tc>
        <w:tc>
          <w:tcPr>
            <w:tcW w:w="3000" w:type="pct"/>
            <w:tcBorders>
              <w:top w:val="outset" w:sz="6" w:space="0" w:color="auto"/>
              <w:left w:val="outset" w:sz="6" w:space="0" w:color="auto"/>
              <w:bottom w:val="outset" w:sz="6" w:space="0" w:color="auto"/>
              <w:right w:val="outset" w:sz="6" w:space="0" w:color="auto"/>
            </w:tcBorders>
          </w:tcPr>
          <w:p w:rsidR="005C3606" w:rsidRPr="000C28F4" w:rsidRDefault="005C360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1</w:t>
            </w:r>
            <w:r w:rsidRPr="000C28F4">
              <w:rPr>
                <w:rFonts w:ascii="Times New Roman" w:eastAsia="Times New Roman" w:hAnsi="Times New Roman" w:cs="Times New Roman"/>
                <w:lang w:val="sr-Latn-ME"/>
              </w:rPr>
              <w:t>0 mg једанпут дневно; доза се може повећати до 20 mg једанпут дневно ако је потребно</w:t>
            </w:r>
          </w:p>
        </w:tc>
      </w:tr>
      <w:tr w:rsidR="005C3606" w:rsidRPr="000C28F4" w:rsidTr="00716FC3">
        <w:trPr>
          <w:tblCellSpacing w:w="0" w:type="dxa"/>
        </w:trPr>
        <w:tc>
          <w:tcPr>
            <w:tcW w:w="1250" w:type="pct"/>
            <w:tcBorders>
              <w:top w:val="outset" w:sz="6" w:space="0" w:color="auto"/>
              <w:left w:val="outset" w:sz="6" w:space="0" w:color="auto"/>
              <w:bottom w:val="outset" w:sz="6" w:space="0" w:color="auto"/>
              <w:right w:val="outset" w:sz="6" w:space="0" w:color="auto"/>
            </w:tcBorders>
          </w:tcPr>
          <w:p w:rsidR="005C3606" w:rsidRPr="000C28F4" w:rsidRDefault="005C3606"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2 године</w:t>
            </w:r>
          </w:p>
        </w:tc>
        <w:tc>
          <w:tcPr>
            <w:tcW w:w="750" w:type="pct"/>
            <w:tcBorders>
              <w:top w:val="outset" w:sz="6" w:space="0" w:color="auto"/>
              <w:left w:val="outset" w:sz="6" w:space="0" w:color="auto"/>
              <w:bottom w:val="outset" w:sz="6" w:space="0" w:color="auto"/>
              <w:right w:val="outset" w:sz="6" w:space="0" w:color="auto"/>
            </w:tcBorders>
          </w:tcPr>
          <w:p w:rsidR="005C3606" w:rsidRPr="000C28F4" w:rsidRDefault="005C3606"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&gt; 20 </w:t>
            </w:r>
            <w:r w:rsidRPr="000C28F4">
              <w:rPr>
                <w:rFonts w:ascii="Times New Roman" w:eastAsia="Times New Roman" w:hAnsi="Times New Roman" w:cs="Times New Roman"/>
                <w:lang w:val="sr-Latn-ME"/>
              </w:rPr>
              <w:t>kg</w:t>
            </w:r>
          </w:p>
        </w:tc>
        <w:tc>
          <w:tcPr>
            <w:tcW w:w="3000" w:type="pct"/>
            <w:tcBorders>
              <w:top w:val="outset" w:sz="6" w:space="0" w:color="auto"/>
              <w:left w:val="outset" w:sz="6" w:space="0" w:color="auto"/>
              <w:bottom w:val="outset" w:sz="6" w:space="0" w:color="auto"/>
              <w:right w:val="outset" w:sz="6" w:space="0" w:color="auto"/>
            </w:tcBorders>
          </w:tcPr>
          <w:p w:rsidR="005C3606" w:rsidRPr="000C28F4" w:rsidRDefault="005C360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2</w:t>
            </w:r>
            <w:r w:rsidRPr="000C28F4">
              <w:rPr>
                <w:rFonts w:ascii="Times New Roman" w:eastAsia="Times New Roman" w:hAnsi="Times New Roman" w:cs="Times New Roman"/>
                <w:lang w:val="sr-Latn-ME"/>
              </w:rPr>
              <w:t>0 mg једанпут дневно; доза се може повећати до 40 mg једанпут дневно ако је потребно</w:t>
            </w:r>
          </w:p>
        </w:tc>
      </w:tr>
    </w:tbl>
    <w:p w:rsidR="00233AC6" w:rsidRPr="000C28F4" w:rsidRDefault="00233AC6" w:rsidP="000C28F4">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i/>
          <w:lang w:val="sr-Latn-ME"/>
        </w:rPr>
        <w:t>Рефлуксни езофагитис</w:t>
      </w:r>
      <w:r w:rsidRPr="000C28F4">
        <w:rPr>
          <w:rFonts w:ascii="Times New Roman" w:eastAsia="Times New Roman" w:hAnsi="Times New Roman" w:cs="Times New Roman"/>
          <w:lang w:val="sr-Latn-ME" w:eastAsia="en-GB"/>
        </w:rPr>
        <w:t xml:space="preserve">: </w:t>
      </w:r>
      <w:r w:rsidRPr="000C28F4">
        <w:rPr>
          <w:rFonts w:ascii="Times New Roman" w:eastAsia="Times New Roman" w:hAnsi="Times New Roman" w:cs="Times New Roman"/>
          <w:lang w:val="sr-Latn-ME"/>
        </w:rPr>
        <w:t>трајање лијечења је 4 до 8 недјеља.</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 xml:space="preserve">Симптоматско лијечење горушице и регургитације киселине код болести гастроезофагеалног рефлукса: </w:t>
      </w:r>
      <w:r w:rsidRPr="000C28F4">
        <w:rPr>
          <w:rFonts w:ascii="Times New Roman" w:eastAsia="Times New Roman" w:hAnsi="Times New Roman" w:cs="Times New Roman"/>
          <w:lang w:val="sr-Latn-ME"/>
        </w:rPr>
        <w:t>трајање лијечења је 2 до 4 недјеље. Ако контрола симптома није постигнута након 2 до 4 недјеље лијечења, препоручује се даље испитивање.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i/>
          <w:u w:val="single"/>
          <w:lang w:val="sr-Latn-ME"/>
        </w:rPr>
        <w:t xml:space="preserve">Дјеца која имају више од 4 године и адолесценти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Лијечење дуоденалног улкуса узрокованог </w:t>
      </w:r>
      <w:r w:rsidRPr="000C28F4">
        <w:rPr>
          <w:rFonts w:ascii="Times New Roman" w:eastAsia="Times New Roman" w:hAnsi="Times New Roman" w:cs="Times New Roman"/>
          <w:i/>
          <w:iCs/>
          <w:color w:val="000000"/>
          <w:lang w:val="sr-Latn-ME" w:eastAsia="mk-MK"/>
        </w:rPr>
        <w:t>H. pylori</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Приликом одабира одговарајуће комбиноване терапије, треба размотрити националне, регионалне и локалне терапијске водиче везано за резистенцију бактерија, вријеме трајања лијечења (најчешће 7 дана, али понекад и до 14 дана) и одговарајуће кориштење антибактеријских љекова.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Третман би требало да буде под надзором стручњака.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Препоруке за дозирање су сљедеће: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1922"/>
        <w:gridCol w:w="7689"/>
      </w:tblGrid>
      <w:tr w:rsidR="008D322C" w:rsidRPr="000C28F4" w:rsidTr="00716FC3">
        <w:trPr>
          <w:tblCellSpacing w:w="0" w:type="dxa"/>
        </w:trPr>
        <w:tc>
          <w:tcPr>
            <w:tcW w:w="1000" w:type="pct"/>
            <w:tcBorders>
              <w:top w:val="outset" w:sz="6" w:space="0" w:color="auto"/>
              <w:left w:val="outset" w:sz="6" w:space="0" w:color="auto"/>
              <w:bottom w:val="outset" w:sz="6" w:space="0" w:color="auto"/>
              <w:right w:val="outset" w:sz="6" w:space="0" w:color="auto"/>
            </w:tcBorders>
          </w:tcPr>
          <w:p w:rsidR="008D322C" w:rsidRPr="000C28F4" w:rsidRDefault="008D322C">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Тјелесна тежина</w:t>
            </w:r>
          </w:p>
        </w:tc>
        <w:tc>
          <w:tcPr>
            <w:tcW w:w="4000" w:type="pct"/>
            <w:tcBorders>
              <w:top w:val="outset" w:sz="6" w:space="0" w:color="auto"/>
              <w:left w:val="outset" w:sz="6" w:space="0" w:color="auto"/>
              <w:bottom w:val="outset" w:sz="6" w:space="0" w:color="auto"/>
              <w:right w:val="outset" w:sz="6" w:space="0" w:color="auto"/>
            </w:tcBorders>
          </w:tcPr>
          <w:p w:rsidR="008D322C" w:rsidRPr="000C28F4" w:rsidRDefault="008D322C">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Дозирање</w:t>
            </w:r>
          </w:p>
        </w:tc>
      </w:tr>
      <w:tr w:rsidR="008D322C" w:rsidRPr="000C28F4" w:rsidTr="00716FC3">
        <w:trPr>
          <w:tblCellSpacing w:w="0" w:type="dxa"/>
        </w:trPr>
        <w:tc>
          <w:tcPr>
            <w:tcW w:w="1000" w:type="pct"/>
            <w:tcBorders>
              <w:top w:val="outset" w:sz="6" w:space="0" w:color="auto"/>
              <w:left w:val="outset" w:sz="6" w:space="0" w:color="auto"/>
              <w:bottom w:val="outset" w:sz="6" w:space="0" w:color="auto"/>
              <w:right w:val="outset" w:sz="6" w:space="0" w:color="auto"/>
            </w:tcBorders>
          </w:tcPr>
          <w:p w:rsidR="008D322C" w:rsidRPr="000C28F4" w:rsidRDefault="008D322C"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color w:val="000000"/>
                <w:lang w:val="sr-Latn-ME" w:eastAsia="mk-MK"/>
              </w:rPr>
              <w:t>15 kg</w:t>
            </w:r>
            <w:r w:rsidRPr="000C28F4">
              <w:rPr>
                <w:rFonts w:ascii="Times New Roman" w:eastAsia="Times New Roman" w:hAnsi="Times New Roman" w:cs="Times New Roman"/>
                <w:lang w:val="sr-Latn-ME" w:eastAsia="en-GB"/>
              </w:rPr>
              <w:t xml:space="preserve"> до </w:t>
            </w:r>
            <w:r w:rsidRPr="000C28F4">
              <w:rPr>
                <w:rFonts w:ascii="Times New Roman" w:eastAsia="Times New Roman" w:hAnsi="Times New Roman" w:cs="Times New Roman"/>
                <w:color w:val="000000"/>
                <w:lang w:val="sr-Latn-ME" w:eastAsia="mk-MK"/>
              </w:rPr>
              <w:t>30 kg</w:t>
            </w:r>
          </w:p>
        </w:tc>
        <w:tc>
          <w:tcPr>
            <w:tcW w:w="4000" w:type="pct"/>
            <w:tcBorders>
              <w:top w:val="outset" w:sz="6" w:space="0" w:color="auto"/>
              <w:left w:val="outset" w:sz="6" w:space="0" w:color="auto"/>
              <w:bottom w:val="outset" w:sz="6" w:space="0" w:color="auto"/>
              <w:right w:val="outset" w:sz="6" w:space="0" w:color="auto"/>
            </w:tcBorders>
          </w:tcPr>
          <w:p w:rsidR="008D322C" w:rsidRPr="000C28F4" w:rsidRDefault="008D322C"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color w:val="000000"/>
                <w:lang w:val="sr-Latn-ME" w:eastAsia="mk-MK"/>
              </w:rPr>
              <w:t>комбинација са два антибиотика:</w:t>
            </w:r>
            <w:r w:rsidRPr="000C28F4">
              <w:rPr>
                <w:rFonts w:ascii="Times New Roman" w:eastAsia="Times New Roman" w:hAnsi="Times New Roman" w:cs="Times New Roman"/>
                <w:lang w:val="sr-Latn-ME"/>
              </w:rPr>
              <w:t xml:space="preserve">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 xml:space="preserve">10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амоксицилин 25 </w:t>
            </w:r>
            <w:r w:rsidRPr="000C28F4">
              <w:rPr>
                <w:rFonts w:ascii="Times New Roman" w:eastAsia="Times New Roman" w:hAnsi="Times New Roman" w:cs="Times New Roman"/>
                <w:color w:val="000000"/>
                <w:lang w:val="sr-Latn-ME" w:eastAsia="mk-MK"/>
              </w:rPr>
              <w:t xml:space="preserve">mg/kg тјелесне тежине </w:t>
            </w:r>
            <w:r w:rsidRPr="000C28F4">
              <w:rPr>
                <w:rFonts w:ascii="Times New Roman" w:eastAsia="Times New Roman" w:hAnsi="Times New Roman" w:cs="Times New Roman"/>
                <w:lang w:val="sr-Latn-ME"/>
              </w:rPr>
              <w:t>и кларитромицин 7</w:t>
            </w:r>
            <w:r w:rsidRPr="000C28F4">
              <w:rPr>
                <w:rFonts w:ascii="Times New Roman" w:eastAsia="Times New Roman" w:hAnsi="Times New Roman" w:cs="Times New Roman"/>
                <w:lang w:val="sr-Cyrl-RS"/>
              </w:rPr>
              <w:t>.</w:t>
            </w:r>
            <w:r w:rsidRPr="000C28F4">
              <w:rPr>
                <w:rFonts w:ascii="Times New Roman" w:eastAsia="Times New Roman" w:hAnsi="Times New Roman" w:cs="Times New Roman"/>
                <w:lang w:val="sr-Latn-ME"/>
              </w:rPr>
              <w:t xml:space="preserve">5 </w:t>
            </w:r>
            <w:r w:rsidRPr="000C28F4">
              <w:rPr>
                <w:rFonts w:ascii="Times New Roman" w:eastAsia="Times New Roman" w:hAnsi="Times New Roman" w:cs="Times New Roman"/>
                <w:color w:val="000000"/>
                <w:lang w:val="sr-Latn-ME" w:eastAsia="mk-MK"/>
              </w:rPr>
              <w:t xml:space="preserve">mg/kg </w:t>
            </w:r>
            <w:r w:rsidRPr="000C28F4">
              <w:rPr>
                <w:rFonts w:ascii="Times New Roman" w:eastAsia="Times New Roman" w:hAnsi="Times New Roman" w:cs="Times New Roman"/>
                <w:lang w:val="sr-Latn-ME"/>
              </w:rPr>
              <w:t>тјелесне тежине; сви љекови се примјењују заједно два пута дневно у току једне недјеље</w:t>
            </w:r>
            <w:r w:rsidRPr="000C28F4">
              <w:rPr>
                <w:rFonts w:ascii="Times New Roman" w:eastAsia="Times New Roman" w:hAnsi="Times New Roman" w:cs="Times New Roman"/>
                <w:color w:val="000000"/>
                <w:lang w:val="sr-Latn-ME" w:eastAsia="mk-MK"/>
              </w:rPr>
              <w:t xml:space="preserve"> </w:t>
            </w:r>
          </w:p>
        </w:tc>
      </w:tr>
      <w:tr w:rsidR="008D322C" w:rsidRPr="000C28F4" w:rsidTr="00716FC3">
        <w:trPr>
          <w:tblCellSpacing w:w="0" w:type="dxa"/>
        </w:trPr>
        <w:tc>
          <w:tcPr>
            <w:tcW w:w="1000" w:type="pct"/>
            <w:tcBorders>
              <w:top w:val="outset" w:sz="6" w:space="0" w:color="auto"/>
              <w:left w:val="outset" w:sz="6" w:space="0" w:color="auto"/>
              <w:bottom w:val="outset" w:sz="6" w:space="0" w:color="auto"/>
              <w:right w:val="outset" w:sz="6" w:space="0" w:color="auto"/>
            </w:tcBorders>
          </w:tcPr>
          <w:p w:rsidR="008D322C" w:rsidRPr="000C28F4" w:rsidRDefault="008D322C"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31 </w:t>
            </w:r>
            <w:r w:rsidRPr="000C28F4">
              <w:rPr>
                <w:rFonts w:ascii="Times New Roman" w:eastAsia="Times New Roman" w:hAnsi="Times New Roman" w:cs="Times New Roman"/>
                <w:color w:val="000000"/>
                <w:lang w:val="sr-Latn-ME" w:eastAsia="mk-MK"/>
              </w:rPr>
              <w:t>kg</w:t>
            </w:r>
            <w:r w:rsidRPr="000C28F4">
              <w:rPr>
                <w:rFonts w:ascii="Times New Roman" w:eastAsia="Times New Roman" w:hAnsi="Times New Roman" w:cs="Times New Roman"/>
                <w:lang w:val="sr-Latn-ME" w:eastAsia="en-GB"/>
              </w:rPr>
              <w:t xml:space="preserve"> до 40 </w:t>
            </w:r>
            <w:r w:rsidRPr="000C28F4">
              <w:rPr>
                <w:rFonts w:ascii="Times New Roman" w:eastAsia="Times New Roman" w:hAnsi="Times New Roman" w:cs="Times New Roman"/>
                <w:color w:val="000000"/>
                <w:lang w:val="sr-Latn-ME" w:eastAsia="mk-MK"/>
              </w:rPr>
              <w:t>kg</w:t>
            </w:r>
          </w:p>
        </w:tc>
        <w:tc>
          <w:tcPr>
            <w:tcW w:w="4000" w:type="pct"/>
            <w:tcBorders>
              <w:top w:val="outset" w:sz="6" w:space="0" w:color="auto"/>
              <w:left w:val="outset" w:sz="6" w:space="0" w:color="auto"/>
              <w:bottom w:val="outset" w:sz="6" w:space="0" w:color="auto"/>
              <w:right w:val="outset" w:sz="6" w:space="0" w:color="auto"/>
            </w:tcBorders>
          </w:tcPr>
          <w:p w:rsidR="008D322C" w:rsidRPr="000C28F4" w:rsidRDefault="008D322C"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комбинација са два антибиотика: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 xml:space="preserve">20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амоксицилин 750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и кларитромицин 7</w:t>
            </w:r>
            <w:r w:rsidRPr="000C28F4">
              <w:rPr>
                <w:rFonts w:ascii="Times New Roman" w:eastAsia="Times New Roman" w:hAnsi="Times New Roman" w:cs="Times New Roman"/>
                <w:lang w:val="sr-Cyrl-RS"/>
              </w:rPr>
              <w:t>.</w:t>
            </w:r>
            <w:r w:rsidRPr="000C28F4">
              <w:rPr>
                <w:rFonts w:ascii="Times New Roman" w:eastAsia="Times New Roman" w:hAnsi="Times New Roman" w:cs="Times New Roman"/>
                <w:lang w:val="sr-Latn-ME"/>
              </w:rPr>
              <w:t xml:space="preserve">5 </w:t>
            </w:r>
            <w:r w:rsidRPr="000C28F4">
              <w:rPr>
                <w:rFonts w:ascii="Times New Roman" w:eastAsia="Times New Roman" w:hAnsi="Times New Roman" w:cs="Times New Roman"/>
                <w:color w:val="000000"/>
                <w:lang w:val="sr-Latn-ME" w:eastAsia="mk-MK"/>
              </w:rPr>
              <w:t xml:space="preserve">mg/kg </w:t>
            </w:r>
            <w:r w:rsidRPr="000C28F4">
              <w:rPr>
                <w:rFonts w:ascii="Times New Roman" w:eastAsia="Times New Roman" w:hAnsi="Times New Roman" w:cs="Times New Roman"/>
                <w:lang w:val="sr-Latn-ME"/>
              </w:rPr>
              <w:t>тјелесне тежине; сви љекови се примјењују заједно два пута дневно у току једне недјеље</w:t>
            </w:r>
          </w:p>
        </w:tc>
      </w:tr>
      <w:tr w:rsidR="008D322C" w:rsidRPr="000C28F4" w:rsidTr="00716FC3">
        <w:trPr>
          <w:tblCellSpacing w:w="0" w:type="dxa"/>
        </w:trPr>
        <w:tc>
          <w:tcPr>
            <w:tcW w:w="1000" w:type="pct"/>
            <w:tcBorders>
              <w:top w:val="outset" w:sz="6" w:space="0" w:color="auto"/>
              <w:left w:val="outset" w:sz="6" w:space="0" w:color="auto"/>
              <w:bottom w:val="outset" w:sz="6" w:space="0" w:color="auto"/>
              <w:right w:val="outset" w:sz="6" w:space="0" w:color="auto"/>
            </w:tcBorders>
          </w:tcPr>
          <w:p w:rsidR="008D322C" w:rsidRPr="000C28F4" w:rsidRDefault="008D322C"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&gt; 40 </w:t>
            </w:r>
            <w:r w:rsidRPr="000C28F4">
              <w:rPr>
                <w:rFonts w:ascii="Times New Roman" w:eastAsia="Times New Roman" w:hAnsi="Times New Roman" w:cs="Times New Roman"/>
                <w:color w:val="000000"/>
                <w:lang w:val="sr-Latn-ME" w:eastAsia="mk-MK"/>
              </w:rPr>
              <w:t>kg</w:t>
            </w:r>
          </w:p>
        </w:tc>
        <w:tc>
          <w:tcPr>
            <w:tcW w:w="4000" w:type="pct"/>
            <w:tcBorders>
              <w:top w:val="outset" w:sz="6" w:space="0" w:color="auto"/>
              <w:left w:val="outset" w:sz="6" w:space="0" w:color="auto"/>
              <w:bottom w:val="outset" w:sz="6" w:space="0" w:color="auto"/>
              <w:right w:val="outset" w:sz="6" w:space="0" w:color="auto"/>
            </w:tcBorders>
          </w:tcPr>
          <w:p w:rsidR="008D322C" w:rsidRPr="000C28F4" w:rsidRDefault="008D322C"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комбинација са два антибиотика: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 xml:space="preserve">20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амоксицилин 1 </w:t>
            </w:r>
            <w:r w:rsidRPr="000C28F4">
              <w:rPr>
                <w:rFonts w:ascii="Times New Roman" w:eastAsia="Times New Roman" w:hAnsi="Times New Roman" w:cs="Times New Roman"/>
                <w:color w:val="000000"/>
                <w:lang w:val="sr-Latn-ME" w:eastAsia="mk-MK"/>
              </w:rPr>
              <w:t>g</w:t>
            </w:r>
            <w:r w:rsidRPr="000C28F4">
              <w:rPr>
                <w:rFonts w:ascii="Times New Roman" w:eastAsia="Times New Roman" w:hAnsi="Times New Roman" w:cs="Times New Roman"/>
                <w:lang w:val="sr-Latn-ME"/>
              </w:rPr>
              <w:t xml:space="preserve"> и кларитромицин 500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сви љекови се примјењују заједно два пута дневно у току једне недјеље</w:t>
            </w:r>
          </w:p>
        </w:tc>
      </w:tr>
    </w:tbl>
    <w:p w:rsidR="00233AC6" w:rsidRPr="000C28F4" w:rsidRDefault="00233AC6" w:rsidP="000C28F4">
      <w:pPr>
        <w:tabs>
          <w:tab w:val="left" w:pos="284"/>
        </w:tabs>
        <w:spacing w:after="0" w:line="240" w:lineRule="auto"/>
        <w:jc w:val="both"/>
        <w:rPr>
          <w:rFonts w:ascii="Times New Roman" w:eastAsia="Times New Roman" w:hAnsi="Times New Roman" w:cs="Times New Roman"/>
          <w:u w:val="single"/>
          <w:lang w:val="sr-Latn-ME" w:eastAsia="en-GB"/>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i/>
          <w:u w:val="single"/>
          <w:lang w:val="sr-Latn-ME" w:eastAsia="en-GB"/>
        </w:rPr>
      </w:pPr>
      <w:r w:rsidRPr="000C28F4">
        <w:rPr>
          <w:rFonts w:ascii="Times New Roman" w:eastAsia="Times New Roman" w:hAnsi="Times New Roman" w:cs="Times New Roman"/>
          <w:i/>
          <w:u w:val="single"/>
          <w:lang w:val="sr-Latn-ME" w:eastAsia="en-GB"/>
        </w:rPr>
        <w:t>Посебне популације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Оштећење бубрежне функције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Прилагођавање дозе код пацијената са </w:t>
      </w:r>
      <w:r w:rsidRPr="000C28F4">
        <w:rPr>
          <w:rFonts w:ascii="Times New Roman" w:eastAsia="Times New Roman" w:hAnsi="Times New Roman" w:cs="Times New Roman"/>
          <w:lang w:val="sr-Latn-ME" w:eastAsia="en-GB"/>
        </w:rPr>
        <w:t xml:space="preserve">оштећеном бубрежном функцијом </w:t>
      </w:r>
      <w:r w:rsidRPr="000C28F4">
        <w:rPr>
          <w:rFonts w:ascii="Times New Roman" w:eastAsia="Times New Roman" w:hAnsi="Times New Roman" w:cs="Times New Roman"/>
          <w:lang w:val="sr-Latn-ME"/>
        </w:rPr>
        <w:t>није потребна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5.2).  </w:t>
      </w:r>
    </w:p>
    <w:p w:rsidR="00233AC6" w:rsidRPr="000C28F4" w:rsidRDefault="00233AC6">
      <w:pPr>
        <w:autoSpaceDE w:val="0"/>
        <w:autoSpaceDN w:val="0"/>
        <w:adjustRightInd w:val="0"/>
        <w:spacing w:after="0" w:line="240" w:lineRule="auto"/>
        <w:jc w:val="both"/>
        <w:rPr>
          <w:rFonts w:ascii="Times New Roman" w:eastAsia="Times New Roman" w:hAnsi="Times New Roman" w:cs="Times New Roman"/>
          <w:i/>
          <w:iCs/>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Оштећење функције јетре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 xml:space="preserve">За пацијенте са </w:t>
      </w:r>
      <w:r w:rsidRPr="000C28F4">
        <w:rPr>
          <w:rFonts w:ascii="Times New Roman" w:eastAsia="Times New Roman" w:hAnsi="Times New Roman" w:cs="Times New Roman"/>
          <w:lang w:val="sr-Latn-ME" w:eastAsia="en-GB"/>
        </w:rPr>
        <w:t>оштећењем функције јетре</w:t>
      </w:r>
      <w:r w:rsidRPr="000C28F4">
        <w:rPr>
          <w:rFonts w:ascii="Times New Roman" w:eastAsia="Times New Roman" w:hAnsi="Times New Roman" w:cs="Times New Roman"/>
          <w:lang w:val="sr-Latn-ME"/>
        </w:rPr>
        <w:t xml:space="preserve">, </w:t>
      </w:r>
      <w:r w:rsidRPr="000C28F4">
        <w:rPr>
          <w:rFonts w:ascii="Times New Roman" w:eastAsia="Times New Roman" w:hAnsi="Times New Roman" w:cs="Times New Roman"/>
          <w:lang w:val="sr-Latn-ME" w:eastAsia="en-GB"/>
        </w:rPr>
        <w:t xml:space="preserve">дневна доза од </w:t>
      </w:r>
      <w:r w:rsidRPr="000C28F4">
        <w:rPr>
          <w:rFonts w:ascii="Times New Roman" w:eastAsia="Times New Roman" w:hAnsi="Times New Roman" w:cs="Times New Roman"/>
          <w:lang w:val="sr-Latn-ME"/>
        </w:rPr>
        <w:t>10 - 20 mg</w:t>
      </w:r>
      <w:r w:rsidRPr="000C28F4">
        <w:rPr>
          <w:rFonts w:ascii="Times New Roman" w:eastAsia="Times New Roman" w:hAnsi="Times New Roman" w:cs="Times New Roman"/>
          <w:lang w:val="sr-Latn-ME" w:eastAsia="en-GB"/>
        </w:rPr>
        <w:t xml:space="preserve"> може бити довољна (</w:t>
      </w:r>
      <w:r w:rsidRPr="000C28F4">
        <w:rPr>
          <w:rFonts w:ascii="Times New Roman" w:eastAsia="Times New Roman" w:hAnsi="Times New Roman" w:cs="Times New Roman"/>
          <w:lang w:val="sr-Cyrl-RS" w:eastAsia="en-GB"/>
        </w:rPr>
        <w:t>погледати дио</w:t>
      </w:r>
      <w:r w:rsidRPr="000C28F4">
        <w:rPr>
          <w:rFonts w:ascii="Times New Roman" w:eastAsia="Times New Roman" w:hAnsi="Times New Roman" w:cs="Times New Roman"/>
          <w:lang w:val="sr-Latn-ME" w:eastAsia="en-GB"/>
        </w:rPr>
        <w:t xml:space="preserve"> 5.2)</w:t>
      </w:r>
      <w:r w:rsidRPr="000C28F4">
        <w:rPr>
          <w:rFonts w:ascii="Times New Roman" w:eastAsia="Times New Roman" w:hAnsi="Times New Roman" w:cs="Times New Roman"/>
          <w:lang w:val="sr-Latn-ME"/>
        </w:rPr>
        <w:t>.</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 xml:space="preserve">Старији пацијенти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Подешавање дозе код ових пацијената није потребно </w:t>
      </w:r>
      <w:r w:rsidRPr="000C28F4">
        <w:rPr>
          <w:rFonts w:ascii="Times New Roman" w:eastAsia="Times New Roman" w:hAnsi="Times New Roman" w:cs="Times New Roman"/>
          <w:lang w:val="sr-Latn-ME" w:eastAsia="en-GB"/>
        </w:rPr>
        <w:t>(</w:t>
      </w:r>
      <w:r w:rsidRPr="000C28F4">
        <w:rPr>
          <w:rFonts w:ascii="Times New Roman" w:eastAsia="Times New Roman" w:hAnsi="Times New Roman" w:cs="Times New Roman"/>
          <w:lang w:val="sr-Cyrl-RS" w:eastAsia="en-GB"/>
        </w:rPr>
        <w:t>погледати дио</w:t>
      </w:r>
      <w:r w:rsidRPr="000C28F4">
        <w:rPr>
          <w:rFonts w:ascii="Times New Roman" w:eastAsia="Times New Roman" w:hAnsi="Times New Roman" w:cs="Times New Roman"/>
          <w:lang w:val="sr-Latn-ME" w:eastAsia="en-GB"/>
        </w:rPr>
        <w:t xml:space="preserve"> 5.2)</w:t>
      </w:r>
      <w:r w:rsidRPr="000C28F4">
        <w:rPr>
          <w:rFonts w:ascii="Times New Roman" w:eastAsia="Times New Roman" w:hAnsi="Times New Roman" w:cs="Times New Roman"/>
          <w:lang w:val="sr-Latn-ME"/>
        </w:rPr>
        <w:t xml:space="preserve">. </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Начин примјене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Препоручује се да се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гастрорезистентне капсуле, тврде узимају ујутро, прогутати их цијеле са водом (пола чаше), након оброка. Капсуле се не смију жвакати или ломити.</w:t>
      </w:r>
    </w:p>
    <w:p w:rsidR="00233AC6" w:rsidRPr="000C28F4" w:rsidRDefault="00233AC6">
      <w:pPr>
        <w:tabs>
          <w:tab w:val="left" w:pos="284"/>
        </w:tabs>
        <w:spacing w:after="0" w:line="240" w:lineRule="auto"/>
        <w:jc w:val="both"/>
        <w:rPr>
          <w:rFonts w:ascii="Times New Roman" w:eastAsia="Times New Roman" w:hAnsi="Times New Roman" w:cs="Times New Roman"/>
          <w:b/>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За пацијенте који имају потешкоће с</w:t>
      </w:r>
      <w:r w:rsidRPr="000C28F4">
        <w:rPr>
          <w:rFonts w:ascii="Times New Roman" w:eastAsia="Times New Roman" w:hAnsi="Times New Roman" w:cs="Times New Roman"/>
          <w:i/>
          <w:lang w:val="sr-Cyrl-RS"/>
        </w:rPr>
        <w:t>а</w:t>
      </w:r>
      <w:r w:rsidRPr="000C28F4">
        <w:rPr>
          <w:rFonts w:ascii="Times New Roman" w:eastAsia="Times New Roman" w:hAnsi="Times New Roman" w:cs="Times New Roman"/>
          <w:i/>
          <w:lang w:val="sr-Latn-ME"/>
        </w:rPr>
        <w:t xml:space="preserve"> гутањем и за дјецу која могу да пију или гутају круту получврсту храну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Пацијенти могу отворити капсулу и садржај капсуле прогутати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водом (пола чаше) или након мијешања садржаја у лагано киселој течности, нпр. воћни сок или сок од јабуке, или са негазираном водом. Пацијенте треба савјетовати да дисперзију треба узети одмах (или у року од 30 минута) и да садржај увијек треба промијешати прије пијења, те испрати водом (пола чаше).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lastRenderedPageBreak/>
        <w:t>Алтернативно, пацијенти могу сисати и гутати куглице капсуле са водом (пола чаше). Обложене пелете се не смију жвакати.</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4.3. Контраиндикације</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Преосјетљивост на омепразол, супституисане бензимидазоле или на било који састојак лијека (наведен у дијелу 6.1).</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Oмепразол се, као и други инхибитори протонске пумпе (ИПП), не смије употребљавати истовремено са нелфинавиром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4.5).</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40274B">
        <w:rPr>
          <w:rFonts w:ascii="Times New Roman" w:eastAsia="Times New Roman" w:hAnsi="Times New Roman" w:cs="Times New Roman"/>
          <w:b/>
          <w:lang w:val="sr-Latn-ME"/>
        </w:rPr>
        <w:t>4.4</w:t>
      </w:r>
      <w:r w:rsidRPr="000C28F4">
        <w:rPr>
          <w:rFonts w:ascii="Times New Roman" w:eastAsia="Times New Roman" w:hAnsi="Times New Roman" w:cs="Times New Roman"/>
          <w:b/>
          <w:lang w:val="sr-Latn-ME"/>
        </w:rPr>
        <w:t>. Посебна упозорења и мјере опреза при употреби лијека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У случају постојања било којег аларм</w:t>
      </w:r>
      <w:r w:rsidR="0040274B">
        <w:rPr>
          <w:rFonts w:ascii="Times New Roman" w:eastAsia="Times New Roman" w:hAnsi="Times New Roman" w:cs="Times New Roman"/>
        </w:rPr>
        <w:t>а</w:t>
      </w:r>
      <w:r w:rsidRPr="000C28F4">
        <w:rPr>
          <w:rFonts w:ascii="Times New Roman" w:eastAsia="Times New Roman" w:hAnsi="Times New Roman" w:cs="Times New Roman"/>
          <w:lang w:val="sr-Latn-ME"/>
        </w:rPr>
        <w:t>н</w:t>
      </w:r>
      <w:r w:rsidR="0040274B">
        <w:rPr>
          <w:rFonts w:ascii="Times New Roman" w:eastAsia="Times New Roman" w:hAnsi="Times New Roman" w:cs="Times New Roman"/>
        </w:rPr>
        <w:t>тн</w:t>
      </w:r>
      <w:r w:rsidRPr="000C28F4">
        <w:rPr>
          <w:rFonts w:ascii="Times New Roman" w:eastAsia="Times New Roman" w:hAnsi="Times New Roman" w:cs="Times New Roman"/>
          <w:lang w:val="sr-Latn-ME"/>
        </w:rPr>
        <w:t>ог симптома (нпр. значајан ненамјерни губитак тежине, рекурентно повраћање, дисфагија, хематемеза или мелена), када се сумња или постоји чир на желуцу, потребно је искључити малигнитет, јер омепразол може прекрити симптоме и одложити дијагнозу.</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Не препоручује се истовремена примјена инхибитора протонске пумпе са атазанавиром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4.5). Ако се процијени да је комбинација атазанавира са инхибитором протонске пумпе неизбјежно потребна, препоручује се строг клинички надзор (нпр. праћење вирусног титра) при повећању дозе атазанавира до 400 </w:t>
      </w:r>
      <w:r w:rsidRPr="000C28F4">
        <w:rPr>
          <w:rFonts w:ascii="Times New Roman" w:eastAsia="Times New Roman" w:hAnsi="Times New Roman" w:cs="Times New Roman"/>
          <w:color w:val="000000"/>
          <w:lang w:val="sr-Latn-ME" w:eastAsia="mk-MK"/>
        </w:rPr>
        <w:t xml:space="preserve">mg у комбинацији </w:t>
      </w:r>
      <w:r w:rsidRPr="000C28F4">
        <w:rPr>
          <w:rFonts w:ascii="Times New Roman" w:eastAsia="Times New Roman" w:hAnsi="Times New Roman" w:cs="Times New Roman"/>
          <w:lang w:val="sr-Latn-ME"/>
        </w:rPr>
        <w:t xml:space="preserve">са 100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 xml:space="preserve">ритонавира, при чему доза омепразола не смије бити већа од 20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Oмепразол, као и сви љекови који блокирају киселине, може смањити ресорпцију витамина B</w:t>
      </w:r>
      <w:r w:rsidRPr="000C28F4">
        <w:rPr>
          <w:rFonts w:ascii="Times New Roman" w:eastAsia="Times New Roman" w:hAnsi="Times New Roman" w:cs="Times New Roman"/>
          <w:vertAlign w:val="subscript"/>
          <w:lang w:val="sr-Latn-ME"/>
        </w:rPr>
        <w:t xml:space="preserve">12 </w:t>
      </w:r>
      <w:r w:rsidRPr="000C28F4">
        <w:rPr>
          <w:rFonts w:ascii="Times New Roman" w:eastAsia="Times New Roman" w:hAnsi="Times New Roman" w:cs="Times New Roman"/>
          <w:lang w:val="sr-Latn-ME"/>
        </w:rPr>
        <w:t>(цијанокобаламин) због хипохидрије или ахлорхидрије. То треба узети у обзир код пацијената са смањеном резервом витамина B</w:t>
      </w:r>
      <w:r w:rsidRPr="000C28F4">
        <w:rPr>
          <w:rFonts w:ascii="Times New Roman" w:eastAsia="Times New Roman" w:hAnsi="Times New Roman" w:cs="Times New Roman"/>
          <w:vertAlign w:val="subscript"/>
          <w:lang w:val="sr-Latn-ME"/>
        </w:rPr>
        <w:t>12</w:t>
      </w:r>
      <w:r w:rsidRPr="000C28F4">
        <w:rPr>
          <w:rFonts w:ascii="Times New Roman" w:eastAsia="Times New Roman" w:hAnsi="Times New Roman" w:cs="Times New Roman"/>
          <w:lang w:val="sr-Latn-ME"/>
        </w:rPr>
        <w:t xml:space="preserve"> или са факторима ризика за смањену ресорпцију витамина B</w:t>
      </w:r>
      <w:r w:rsidRPr="000C28F4">
        <w:rPr>
          <w:rFonts w:ascii="Times New Roman" w:eastAsia="Times New Roman" w:hAnsi="Times New Roman" w:cs="Times New Roman"/>
          <w:vertAlign w:val="subscript"/>
          <w:lang w:val="sr-Latn-ME"/>
        </w:rPr>
        <w:t>12</w:t>
      </w:r>
      <w:r w:rsidRPr="000C28F4">
        <w:rPr>
          <w:rFonts w:ascii="Times New Roman" w:eastAsia="Times New Roman" w:hAnsi="Times New Roman" w:cs="Times New Roman"/>
          <w:lang w:val="sr-Latn-ME"/>
        </w:rPr>
        <w:t xml:space="preserve"> при дуготрајној терапији.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Омепразол је </w:t>
      </w:r>
      <w:r w:rsidRPr="000C28F4">
        <w:rPr>
          <w:rFonts w:ascii="Times New Roman" w:eastAsia="Times New Roman" w:hAnsi="Times New Roman" w:cs="Times New Roman"/>
          <w:color w:val="000000"/>
          <w:lang w:val="sr-Latn-ME" w:eastAsia="mk-MK"/>
        </w:rPr>
        <w:t xml:space="preserve">CYP2C19 </w:t>
      </w:r>
      <w:r w:rsidRPr="000C28F4">
        <w:rPr>
          <w:rFonts w:ascii="Times New Roman" w:eastAsia="Times New Roman" w:hAnsi="Times New Roman" w:cs="Times New Roman"/>
          <w:lang w:val="sr-Latn-ME"/>
        </w:rPr>
        <w:t xml:space="preserve">инхибитор. Када се започиње или завршава лијечење омепразолом, треба узети у обзир потенцијал за интеракције са љековима који се метаболишу путем </w:t>
      </w:r>
      <w:r w:rsidRPr="000C28F4">
        <w:rPr>
          <w:rFonts w:ascii="Times New Roman" w:eastAsia="Times New Roman" w:hAnsi="Times New Roman" w:cs="Times New Roman"/>
          <w:color w:val="000000"/>
          <w:lang w:val="sr-Latn-ME" w:eastAsia="mk-MK"/>
        </w:rPr>
        <w:t>CYP2C19</w:t>
      </w:r>
      <w:r w:rsidRPr="000C28F4">
        <w:rPr>
          <w:rFonts w:ascii="Times New Roman" w:eastAsia="Times New Roman" w:hAnsi="Times New Roman" w:cs="Times New Roman"/>
          <w:lang w:val="sr-Latn-ME"/>
        </w:rPr>
        <w:t>. Позната је интеракција између клопидогрела и омепразола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4.5). Клинички значај те интеракције није утврђен. Као мјера опреза, истовремену примјену омепразола и клопидогрела треба избјегавати.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Тешка хипомагнеземија је забиљежена код пацијената лијечених инхибиторима протонске пумпе (ППИ), као што је омепразол, у периоду од најмање три мјесеца, а у већини случајева годину дана. Озбиљне манифестације хипомагнеземије као што су умор, тетанија, делиријум, конвулзије, вртоглавица и вентрикуларне аритмије могу се јавити, али могу почети подмукло и због тога се могу лако занемарити. Код најугроженијих пацијената, хипомагнеземија се може побољшати након додатка магнезијума и прекида примјене инхибитора протонске пумпе (ППИ).</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Код пацијената код којих се очекује да ће бити на дужем лијечењу или који узимају ППИ са дигоксином или љековима који могу изазвати хипомагнеземију (нпр. диуретици), здравствени радници треба да размотре мјерење вриједности магнезијума прије почетка третмана са ППИ и периодично током лијечења.</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6C19E5" w:rsidRPr="000C28F4" w:rsidRDefault="006C19E5">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Тешк</w:t>
      </w:r>
      <w:r w:rsidR="00A2295B" w:rsidRPr="000C28F4">
        <w:rPr>
          <w:rFonts w:ascii="Times New Roman" w:eastAsia="Times New Roman" w:hAnsi="Times New Roman" w:cs="Times New Roman"/>
          <w:color w:val="222222"/>
          <w:lang w:val="sr-Cyrl-RS"/>
        </w:rPr>
        <w:t>а</w:t>
      </w:r>
      <w:r w:rsidR="00BB1858" w:rsidRPr="000C28F4">
        <w:rPr>
          <w:rFonts w:ascii="Times New Roman" w:eastAsia="Times New Roman" w:hAnsi="Times New Roman" w:cs="Times New Roman"/>
          <w:color w:val="222222"/>
          <w:lang w:val="sr-Cyrl-RS"/>
        </w:rPr>
        <w:t xml:space="preserve"> </w:t>
      </w:r>
      <w:r w:rsidRPr="000C28F4">
        <w:rPr>
          <w:rFonts w:ascii="Times New Roman" w:eastAsia="Times New Roman" w:hAnsi="Times New Roman" w:cs="Times New Roman"/>
          <w:color w:val="222222"/>
          <w:lang w:val="sr-Latn-ME"/>
        </w:rPr>
        <w:t>кожн</w:t>
      </w:r>
      <w:r w:rsidR="00A2295B"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xml:space="preserve"> </w:t>
      </w:r>
      <w:r w:rsidR="002D7AFB" w:rsidRPr="000C28F4">
        <w:rPr>
          <w:rFonts w:ascii="Times New Roman" w:eastAsia="Times New Roman" w:hAnsi="Times New Roman" w:cs="Times New Roman"/>
          <w:color w:val="222222"/>
          <w:lang w:val="sr-Cyrl-RS"/>
        </w:rPr>
        <w:t>нежељена д</w:t>
      </w:r>
      <w:r w:rsidR="0040274B">
        <w:rPr>
          <w:rFonts w:ascii="Times New Roman" w:eastAsia="Times New Roman" w:hAnsi="Times New Roman" w:cs="Times New Roman"/>
          <w:color w:val="222222"/>
          <w:lang w:val="sr-Cyrl-RS"/>
        </w:rPr>
        <w:t>ејства</w:t>
      </w:r>
      <w:r w:rsidRPr="000C28F4">
        <w:rPr>
          <w:rFonts w:ascii="Times New Roman" w:eastAsia="Times New Roman" w:hAnsi="Times New Roman" w:cs="Times New Roman"/>
          <w:color w:val="222222"/>
          <w:lang w:val="sr-Latn-ME"/>
        </w:rPr>
        <w:t xml:space="preserve"> (енгл. severe cutaenous adverse reactions, SCARs), укључујући </w:t>
      </w:r>
      <w:r w:rsidR="00DD35ED" w:rsidRPr="000C28F4">
        <w:rPr>
          <w:rFonts w:ascii="Times New Roman" w:eastAsia="Times New Roman" w:hAnsi="Times New Roman" w:cs="Times New Roman"/>
          <w:color w:val="222222"/>
          <w:lang w:val="en-US"/>
        </w:rPr>
        <w:t>Stevens – Johnson-</w:t>
      </w:r>
      <w:r w:rsidR="00DD35ED" w:rsidRPr="000C28F4">
        <w:rPr>
          <w:rFonts w:ascii="Times New Roman" w:eastAsia="Times New Roman" w:hAnsi="Times New Roman" w:cs="Times New Roman"/>
          <w:color w:val="222222"/>
          <w:lang w:val="mk-MK"/>
        </w:rPr>
        <w:t xml:space="preserve">ов </w:t>
      </w:r>
      <w:r w:rsidRPr="000C28F4">
        <w:rPr>
          <w:rFonts w:ascii="Times New Roman" w:eastAsia="Times New Roman" w:hAnsi="Times New Roman" w:cs="Times New Roman"/>
          <w:color w:val="222222"/>
          <w:lang w:val="sr-Latn-ME"/>
        </w:rPr>
        <w:t>синдром (СЈС), токсичн</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епидермалн</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некролиз</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(ТЕН), реакциј</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на лијек с</w:t>
      </w:r>
      <w:r w:rsidR="00BB1858"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xml:space="preserve"> еозинофилијом и системским симптомима (енгл. drug reaction wtih eosinphilia and systemic reactions, DRESS) те акутн</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генерализ</w:t>
      </w:r>
      <w:r w:rsidR="00A2295B" w:rsidRPr="000C28F4">
        <w:rPr>
          <w:rFonts w:ascii="Times New Roman" w:eastAsia="Times New Roman" w:hAnsi="Times New Roman" w:cs="Times New Roman"/>
          <w:color w:val="222222"/>
          <w:lang w:val="sr-Cyrl-RS"/>
        </w:rPr>
        <w:t>ов</w:t>
      </w:r>
      <w:r w:rsidRPr="000C28F4">
        <w:rPr>
          <w:rFonts w:ascii="Times New Roman" w:eastAsia="Times New Roman" w:hAnsi="Times New Roman" w:cs="Times New Roman"/>
          <w:color w:val="222222"/>
          <w:lang w:val="sr-Latn-ME"/>
        </w:rPr>
        <w:t>ан</w:t>
      </w:r>
      <w:r w:rsidR="00BB1858" w:rsidRPr="000C28F4">
        <w:rPr>
          <w:rFonts w:ascii="Times New Roman" w:eastAsia="Times New Roman" w:hAnsi="Times New Roman" w:cs="Times New Roman"/>
          <w:color w:val="222222"/>
          <w:lang w:val="sr-Cyrl-RS"/>
        </w:rPr>
        <w:t>у</w:t>
      </w:r>
      <w:r w:rsidRPr="000C28F4">
        <w:rPr>
          <w:rFonts w:ascii="Times New Roman" w:eastAsia="Times New Roman" w:hAnsi="Times New Roman" w:cs="Times New Roman"/>
          <w:color w:val="222222"/>
          <w:lang w:val="sr-Latn-ME"/>
        </w:rPr>
        <w:t xml:space="preserve"> егзантематозну пустулозу (АГЕП), кој</w:t>
      </w:r>
      <w:r w:rsidR="00A2295B"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xml:space="preserve"> мо</w:t>
      </w:r>
      <w:r w:rsidR="00BB1858" w:rsidRPr="000C28F4">
        <w:rPr>
          <w:rFonts w:ascii="Times New Roman" w:eastAsia="Times New Roman" w:hAnsi="Times New Roman" w:cs="Times New Roman"/>
          <w:color w:val="222222"/>
          <w:lang w:val="sr-Cyrl-RS"/>
        </w:rPr>
        <w:t>гу</w:t>
      </w:r>
      <w:r w:rsidRPr="000C28F4">
        <w:rPr>
          <w:rFonts w:ascii="Times New Roman" w:eastAsia="Times New Roman" w:hAnsi="Times New Roman" w:cs="Times New Roman"/>
          <w:color w:val="222222"/>
          <w:lang w:val="sr-Latn-ME"/>
        </w:rPr>
        <w:t xml:space="preserve"> бити по живот опасн</w:t>
      </w:r>
      <w:r w:rsidR="00A2295B"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xml:space="preserve"> или фаталн</w:t>
      </w:r>
      <w:r w:rsidR="00A2295B"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забиљежен</w:t>
      </w:r>
      <w:r w:rsidR="00A2295B" w:rsidRPr="000C28F4">
        <w:rPr>
          <w:rFonts w:ascii="Times New Roman" w:eastAsia="Times New Roman" w:hAnsi="Times New Roman" w:cs="Times New Roman"/>
          <w:color w:val="222222"/>
          <w:lang w:val="sr-Cyrl-RS"/>
        </w:rPr>
        <w:t>а</w:t>
      </w:r>
      <w:r w:rsidRPr="000C28F4">
        <w:rPr>
          <w:rFonts w:ascii="Times New Roman" w:eastAsia="Times New Roman" w:hAnsi="Times New Roman" w:cs="Times New Roman"/>
          <w:color w:val="222222"/>
          <w:lang w:val="sr-Latn-ME"/>
        </w:rPr>
        <w:t xml:space="preserve"> су врло ријетко, односно ријетко </w:t>
      </w:r>
      <w:r w:rsidR="00A2295B" w:rsidRPr="000C28F4">
        <w:rPr>
          <w:rFonts w:ascii="Times New Roman" w:eastAsia="Times New Roman" w:hAnsi="Times New Roman" w:cs="Times New Roman"/>
          <w:color w:val="222222"/>
          <w:lang w:val="sr-Cyrl-RS"/>
        </w:rPr>
        <w:t>током</w:t>
      </w:r>
      <w:r w:rsidRPr="000C28F4">
        <w:rPr>
          <w:rFonts w:ascii="Times New Roman" w:eastAsia="Times New Roman" w:hAnsi="Times New Roman" w:cs="Times New Roman"/>
          <w:color w:val="222222"/>
          <w:lang w:val="sr-Latn-ME"/>
        </w:rPr>
        <w:t xml:space="preserve"> лијечења омепразолом.</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 xml:space="preserve">Инхибитори протонске пумпе, поготово ако се користе у високим дозама и током дужег временског периода (&gt;1 године), могу умјерено повећати ризик од фрактуре кука, ручног зглоба и кичме, нарочито </w:t>
      </w:r>
      <w:r w:rsidRPr="000C28F4">
        <w:rPr>
          <w:rFonts w:ascii="Times New Roman" w:eastAsia="Times New Roman" w:hAnsi="Times New Roman" w:cs="Times New Roman"/>
          <w:color w:val="222222"/>
          <w:lang w:val="sr-Latn-ME"/>
        </w:rPr>
        <w:lastRenderedPageBreak/>
        <w:t>код старијих особа или уз присуство других познатих фактора ризика. Опсервацијске студије показују да инхибитори протонске пумпе могу повећати укупни ризик од настанка фрактуре за 10-40%. Нека од ових повећања могу бити због других фактора ризика. Пацијенти са повећаним ризиком од остеопорозе треба да добију посебну његу у складу са тренутним клиничким смјерницама и треба да имају адекватан унос витамина Д и калцијума.</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u w:val="single"/>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u w:val="single"/>
          <w:lang w:val="sr-Latn-ME"/>
        </w:rPr>
      </w:pPr>
      <w:r w:rsidRPr="000C28F4">
        <w:rPr>
          <w:rFonts w:ascii="Times New Roman" w:eastAsia="Times New Roman" w:hAnsi="Times New Roman" w:cs="Times New Roman"/>
          <w:color w:val="222222"/>
          <w:u w:val="single"/>
          <w:lang w:val="sr-Latn-ME"/>
        </w:rPr>
        <w:t>Субакутни кожни лупус еритематозус (СКЛЕ)</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lang w:val="sr-Latn-ME"/>
        </w:rPr>
        <w:t>Инхибитори протонске пумпе су у врло ријетким случајевима повезани са СКЛЕ. Ако дође до оштећења, посебно у подручјима коже изложеним сунцу, праћених артралгијом, пацијент треба одмах да затражи медицинску помоћ и здравствени радник треба да размотри прекид терапије лијеком OMEZOL</w:t>
      </w:r>
      <w:r w:rsidRPr="000C28F4">
        <w:rPr>
          <w:rFonts w:ascii="Times New Roman" w:eastAsia="Times New Roman" w:hAnsi="Times New Roman" w:cs="Times New Roman"/>
          <w:color w:val="222222"/>
          <w:vertAlign w:val="superscript"/>
          <w:lang w:val="sr-Latn-ME"/>
        </w:rPr>
        <w:t>®</w:t>
      </w:r>
      <w:r w:rsidRPr="000C28F4">
        <w:rPr>
          <w:rFonts w:ascii="Times New Roman" w:eastAsia="Times New Roman" w:hAnsi="Times New Roman" w:cs="Times New Roman"/>
          <w:color w:val="222222"/>
          <w:lang w:val="sr-Latn-ME"/>
        </w:rPr>
        <w:t>. СКЛЕ након претходног лијечења инхибиторима протонске пумпе може повећати ризик од појаве СКЛЕ и код примјене других инхибитора протонске пумпе.</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u w:val="single"/>
          <w:lang w:val="mk-MK"/>
        </w:rPr>
      </w:pPr>
      <w:r w:rsidRPr="000C28F4">
        <w:rPr>
          <w:rFonts w:ascii="Times New Roman" w:eastAsia="Times New Roman" w:hAnsi="Times New Roman" w:cs="Times New Roman"/>
          <w:color w:val="222222"/>
          <w:u w:val="single"/>
          <w:lang w:val="mk-MK"/>
        </w:rPr>
        <w:t>Оште</w:t>
      </w:r>
      <w:r w:rsidRPr="000C28F4">
        <w:rPr>
          <w:rFonts w:ascii="Times New Roman" w:eastAsia="Times New Roman" w:hAnsi="Times New Roman" w:cs="Times New Roman"/>
          <w:color w:val="222222"/>
          <w:u w:val="single"/>
          <w:lang w:val="sr-Latn-ME"/>
        </w:rPr>
        <w:t>ћ</w:t>
      </w:r>
      <w:r w:rsidRPr="000C28F4">
        <w:rPr>
          <w:rFonts w:ascii="Times New Roman" w:eastAsia="Times New Roman" w:hAnsi="Times New Roman" w:cs="Times New Roman"/>
          <w:color w:val="222222"/>
          <w:u w:val="single"/>
          <w:lang w:val="mk-MK"/>
        </w:rPr>
        <w:t>ење финкције бубрега</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mk-MK"/>
        </w:rPr>
      </w:pPr>
      <w:r w:rsidRPr="000C28F4">
        <w:rPr>
          <w:rFonts w:ascii="Times New Roman" w:eastAsia="Times New Roman" w:hAnsi="Times New Roman" w:cs="Times New Roman"/>
          <w:color w:val="222222"/>
          <w:lang w:val="mk-MK"/>
        </w:rPr>
        <w:t>Код пацијената који су узимали омепразол уочена је појава акутног тубулоинтерстициј</w:t>
      </w:r>
      <w:r w:rsidR="00750529" w:rsidRPr="000C28F4">
        <w:rPr>
          <w:rFonts w:ascii="Times New Roman" w:eastAsia="Times New Roman" w:hAnsi="Times New Roman" w:cs="Times New Roman"/>
          <w:color w:val="222222"/>
          <w:lang w:val="mk-MK"/>
        </w:rPr>
        <w:t>а</w:t>
      </w:r>
      <w:r w:rsidR="00750529" w:rsidRPr="000C28F4">
        <w:rPr>
          <w:rFonts w:ascii="Times New Roman" w:eastAsia="Times New Roman" w:hAnsi="Times New Roman" w:cs="Times New Roman"/>
          <w:color w:val="222222"/>
          <w:lang w:val="sr-Cyrl-RS"/>
        </w:rPr>
        <w:t>лн</w:t>
      </w:r>
      <w:r w:rsidRPr="000C28F4">
        <w:rPr>
          <w:rFonts w:ascii="Times New Roman" w:eastAsia="Times New Roman" w:hAnsi="Times New Roman" w:cs="Times New Roman"/>
          <w:color w:val="222222"/>
          <w:lang w:val="mk-MK"/>
        </w:rPr>
        <w:t>ог нефритиса (</w:t>
      </w:r>
      <w:r w:rsidRPr="000C28F4">
        <w:rPr>
          <w:rFonts w:ascii="Times New Roman" w:eastAsia="Times New Roman" w:hAnsi="Times New Roman" w:cs="Times New Roman"/>
          <w:color w:val="222222"/>
          <w:lang w:val="en-US"/>
        </w:rPr>
        <w:t xml:space="preserve">TIN) </w:t>
      </w:r>
      <w:r w:rsidRPr="000C28F4">
        <w:rPr>
          <w:rFonts w:ascii="Times New Roman" w:eastAsia="Times New Roman" w:hAnsi="Times New Roman" w:cs="Times New Roman"/>
          <w:color w:val="222222"/>
          <w:lang w:val="mk-MK"/>
        </w:rPr>
        <w:t>који се може појавити било када током лијечења омепразолом (погледати дио 4.8). Акутни тубулоинтерстициј</w:t>
      </w:r>
      <w:r w:rsidR="006D691A" w:rsidRPr="000C28F4">
        <w:rPr>
          <w:rFonts w:ascii="Times New Roman" w:eastAsia="Times New Roman" w:hAnsi="Times New Roman" w:cs="Times New Roman"/>
          <w:color w:val="222222"/>
          <w:lang w:val="sr-Cyrl-RS"/>
        </w:rPr>
        <w:t>ални</w:t>
      </w:r>
      <w:r w:rsidR="00A2295B" w:rsidRPr="000C28F4">
        <w:rPr>
          <w:rFonts w:ascii="Times New Roman" w:eastAsia="Times New Roman" w:hAnsi="Times New Roman" w:cs="Times New Roman"/>
          <w:color w:val="222222"/>
          <w:lang w:val="mk-MK"/>
        </w:rPr>
        <w:t xml:space="preserve"> </w:t>
      </w:r>
      <w:r w:rsidRPr="000C28F4">
        <w:rPr>
          <w:rFonts w:ascii="Times New Roman" w:eastAsia="Times New Roman" w:hAnsi="Times New Roman" w:cs="Times New Roman"/>
          <w:color w:val="222222"/>
          <w:lang w:val="mk-MK"/>
        </w:rPr>
        <w:t xml:space="preserve">нефритис може </w:t>
      </w:r>
      <w:r w:rsidR="00251B60" w:rsidRPr="000C28F4">
        <w:rPr>
          <w:rFonts w:ascii="Times New Roman" w:eastAsia="Times New Roman" w:hAnsi="Times New Roman" w:cs="Times New Roman"/>
          <w:color w:val="222222"/>
          <w:lang w:val="mk-MK"/>
        </w:rPr>
        <w:t>напредовати</w:t>
      </w:r>
      <w:r w:rsidRPr="000C28F4">
        <w:rPr>
          <w:rFonts w:ascii="Times New Roman" w:eastAsia="Times New Roman" w:hAnsi="Times New Roman" w:cs="Times New Roman"/>
          <w:color w:val="222222"/>
          <w:lang w:val="mk-MK"/>
        </w:rPr>
        <w:t xml:space="preserve"> до</w:t>
      </w:r>
      <w:r w:rsidRPr="000C28F4">
        <w:rPr>
          <w:rFonts w:ascii="Times New Roman" w:eastAsia="Times New Roman" w:hAnsi="Times New Roman" w:cs="Times New Roman"/>
          <w:color w:val="222222"/>
          <w:lang w:val="en-US"/>
        </w:rPr>
        <w:t xml:space="preserve"> </w:t>
      </w:r>
      <w:r w:rsidR="00251B60" w:rsidRPr="000C28F4">
        <w:rPr>
          <w:rFonts w:ascii="Times New Roman" w:eastAsia="Times New Roman" w:hAnsi="Times New Roman" w:cs="Times New Roman"/>
          <w:color w:val="222222"/>
          <w:lang w:val="mk-MK"/>
        </w:rPr>
        <w:t>инсуфицијенције</w:t>
      </w:r>
      <w:r w:rsidRPr="000C28F4">
        <w:rPr>
          <w:rFonts w:ascii="Times New Roman" w:eastAsia="Times New Roman" w:hAnsi="Times New Roman" w:cs="Times New Roman"/>
          <w:color w:val="222222"/>
          <w:lang w:val="mk-MK"/>
        </w:rPr>
        <w:t xml:space="preserve"> бубрега. У случају сумње на </w:t>
      </w:r>
      <w:r w:rsidRPr="000C28F4">
        <w:rPr>
          <w:rFonts w:ascii="Times New Roman" w:eastAsia="Times New Roman" w:hAnsi="Times New Roman" w:cs="Times New Roman"/>
          <w:color w:val="222222"/>
          <w:lang w:val="en-US"/>
        </w:rPr>
        <w:t xml:space="preserve">TIN, </w:t>
      </w:r>
      <w:r w:rsidRPr="000C28F4">
        <w:rPr>
          <w:rFonts w:ascii="Times New Roman" w:eastAsia="Times New Roman" w:hAnsi="Times New Roman" w:cs="Times New Roman"/>
          <w:color w:val="222222"/>
          <w:lang w:val="mk-MK"/>
        </w:rPr>
        <w:t>потребно је прекинути примјену омепразола и што прије започети одговарају</w:t>
      </w:r>
      <w:r w:rsidRPr="000C28F4">
        <w:rPr>
          <w:rFonts w:ascii="Times New Roman" w:eastAsia="Times New Roman" w:hAnsi="Times New Roman" w:cs="Times New Roman"/>
          <w:color w:val="222222"/>
          <w:lang w:val="sr-Latn-ME"/>
        </w:rPr>
        <w:t>ћ</w:t>
      </w:r>
      <w:r w:rsidRPr="000C28F4">
        <w:rPr>
          <w:rFonts w:ascii="Times New Roman" w:eastAsia="Times New Roman" w:hAnsi="Times New Roman" w:cs="Times New Roman"/>
          <w:color w:val="222222"/>
          <w:lang w:val="mk-MK"/>
        </w:rPr>
        <w:t>е лијечење.</w:t>
      </w:r>
    </w:p>
    <w:p w:rsidR="002A42C5" w:rsidRPr="000C28F4" w:rsidRDefault="002A42C5">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u w:val="single"/>
          <w:lang w:val="sr-Latn-ME"/>
        </w:rPr>
      </w:pPr>
      <w:r w:rsidRPr="000C28F4">
        <w:rPr>
          <w:rFonts w:ascii="Times New Roman" w:eastAsia="Times New Roman" w:hAnsi="Times New Roman" w:cs="Times New Roman"/>
          <w:color w:val="222222"/>
          <w:u w:val="single"/>
          <w:lang w:val="sr-Latn-ME"/>
        </w:rPr>
        <w:t>Интерференција са лабораторијским тестовима</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000000"/>
          <w:lang w:val="sr-Latn-ME"/>
        </w:rPr>
      </w:pPr>
      <w:r w:rsidRPr="000C28F4">
        <w:rPr>
          <w:rFonts w:ascii="Times New Roman" w:eastAsia="Times New Roman" w:hAnsi="Times New Roman" w:cs="Times New Roman"/>
          <w:color w:val="222222"/>
          <w:lang w:val="sr-Latn-ME"/>
        </w:rPr>
        <w:t>Повећане вриједности хромогранина А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color w:val="222222"/>
          <w:lang w:val="sr-Latn-ME"/>
        </w:rPr>
        <w:t xml:space="preserve">) могу ометати испитивање </w:t>
      </w:r>
      <w:r w:rsidRPr="000C28F4">
        <w:rPr>
          <w:rFonts w:ascii="Times New Roman" w:eastAsia="Times New Roman" w:hAnsi="Times New Roman" w:cs="Times New Roman"/>
          <w:lang w:val="sr-Latn-ME"/>
        </w:rPr>
        <w:t xml:space="preserve">за откривање </w:t>
      </w:r>
      <w:r w:rsidRPr="000C28F4">
        <w:rPr>
          <w:rFonts w:ascii="Times New Roman" w:eastAsia="Times New Roman" w:hAnsi="Times New Roman" w:cs="Times New Roman"/>
          <w:color w:val="222222"/>
          <w:lang w:val="sr-Latn-ME"/>
        </w:rPr>
        <w:t xml:space="preserve">неуроендокриних тумора. Да би избјегли ове сметње, терапију омепразолом треба прекинути најмање 5 дана прије мјерења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color w:val="222222"/>
          <w:lang w:val="sr-Latn-ME"/>
        </w:rPr>
        <w:t xml:space="preserve"> (</w:t>
      </w:r>
      <w:r w:rsidRPr="000C28F4">
        <w:rPr>
          <w:rFonts w:ascii="Times New Roman" w:eastAsia="Times New Roman" w:hAnsi="Times New Roman" w:cs="Times New Roman"/>
          <w:color w:val="222222"/>
          <w:lang w:val="sr-Cyrl-RS"/>
        </w:rPr>
        <w:t>погледати дио</w:t>
      </w:r>
      <w:r w:rsidRPr="000C28F4">
        <w:rPr>
          <w:rFonts w:ascii="Times New Roman" w:eastAsia="Times New Roman" w:hAnsi="Times New Roman" w:cs="Times New Roman"/>
          <w:color w:val="222222"/>
          <w:lang w:val="sr-Latn-ME"/>
        </w:rPr>
        <w:t xml:space="preserve"> 5.1).</w:t>
      </w:r>
      <w:r w:rsidRPr="000C28F4">
        <w:rPr>
          <w:rFonts w:ascii="Times New Roman" w:eastAsia="Times New Roman" w:hAnsi="Times New Roman" w:cs="Times New Roman"/>
          <w:lang w:val="sr-Latn-ME"/>
        </w:rPr>
        <w:t xml:space="preserve"> Ако се вриједности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lang w:val="sr-Latn-ME"/>
        </w:rPr>
        <w:t xml:space="preserve"> и гастрина не врате у оквир референтних вриједности након почетног мјерења, мјерење треба поновити након 14 дана по прекиду терапије инхибиторима протонске пумпе.</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Код неке дјеце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хроничним болестима може бити потребно дуготрајно лијечење, иако то није препоручљиво.</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lang w:val="sr-Latn-ME"/>
        </w:rPr>
        <w:t xml:space="preserve">Лијечење инхибиторима протонске пумпе може довести до повећаног ризика од гастринтестиналних инфекција, као што су </w:t>
      </w:r>
      <w:r w:rsidRPr="000C28F4">
        <w:rPr>
          <w:rFonts w:ascii="Times New Roman" w:eastAsia="Times New Roman" w:hAnsi="Times New Roman" w:cs="Times New Roman"/>
          <w:i/>
          <w:lang w:val="sr-Latn-ME"/>
        </w:rPr>
        <w:t>Salmonella</w:t>
      </w:r>
      <w:r w:rsidRPr="000C28F4">
        <w:rPr>
          <w:rFonts w:ascii="Times New Roman" w:eastAsia="Times New Roman" w:hAnsi="Times New Roman" w:cs="Times New Roman"/>
          <w:lang w:val="sr-Latn-ME"/>
        </w:rPr>
        <w:t xml:space="preserve"> и </w:t>
      </w:r>
      <w:r w:rsidRPr="000C28F4">
        <w:rPr>
          <w:rFonts w:ascii="Times New Roman" w:eastAsia="Times New Roman" w:hAnsi="Times New Roman" w:cs="Times New Roman"/>
          <w:i/>
          <w:lang w:val="sr-Latn-ME"/>
        </w:rPr>
        <w:t>Campylobacter</w:t>
      </w:r>
      <w:r w:rsidRPr="000C28F4">
        <w:rPr>
          <w:rFonts w:ascii="Times New Roman" w:eastAsia="Times New Roman" w:hAnsi="Times New Roman" w:cs="Times New Roman"/>
          <w:lang w:val="sr-Latn-ME"/>
        </w:rPr>
        <w:t>, а код хоспитализованих пацијената могуће</w:t>
      </w:r>
      <w:r w:rsidRPr="000C28F4">
        <w:rPr>
          <w:rFonts w:ascii="Times New Roman" w:eastAsia="Times New Roman" w:hAnsi="Times New Roman" w:cs="Times New Roman"/>
          <w:lang w:val="sr-Cyrl-RS"/>
        </w:rPr>
        <w:t xml:space="preserve"> су</w:t>
      </w:r>
      <w:r w:rsidRPr="000C28F4">
        <w:rPr>
          <w:rFonts w:ascii="Times New Roman" w:eastAsia="Times New Roman" w:hAnsi="Times New Roman" w:cs="Times New Roman"/>
          <w:lang w:val="sr-Latn-ME"/>
        </w:rPr>
        <w:t xml:space="preserve"> такође инфекције врстом </w:t>
      </w:r>
      <w:r w:rsidRPr="000C28F4">
        <w:rPr>
          <w:rFonts w:ascii="Times New Roman" w:eastAsia="Times New Roman" w:hAnsi="Times New Roman" w:cs="Times New Roman"/>
          <w:i/>
          <w:lang w:val="sr-Latn-ME"/>
        </w:rPr>
        <w:t xml:space="preserve">Clostridium difficile </w:t>
      </w:r>
      <w:r w:rsidRPr="000C28F4">
        <w:rPr>
          <w:rFonts w:ascii="Times New Roman" w:eastAsia="Times New Roman" w:hAnsi="Times New Roman" w:cs="Times New Roman"/>
          <w:lang w:val="sr-Latn-ME"/>
        </w:rPr>
        <w:t>(</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5.1).</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Као и код свих дуготрајних лијечења, посебно када је лијечење дуже од годину дана, пацијент треба да буде под сталним надзором љекара.</w:t>
      </w:r>
    </w:p>
    <w:p w:rsidR="00233AC6" w:rsidRPr="000C28F4" w:rsidRDefault="00233AC6">
      <w:pPr>
        <w:shd w:val="clear" w:color="auto" w:fill="FFFFFF"/>
        <w:tabs>
          <w:tab w:val="left" w:pos="284"/>
        </w:tabs>
        <w:spacing w:after="0" w:line="240" w:lineRule="auto"/>
        <w:jc w:val="both"/>
        <w:rPr>
          <w:rFonts w:ascii="Times New Roman" w:eastAsia="Times New Roman" w:hAnsi="Times New Roman" w:cs="Times New Roman"/>
          <w:color w:val="222222"/>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Лијек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садржи сахарозу. Пацијенти са ријетким насљедним обољењем интолеранције на фруктозу, глукозно-галактозном малапсорпцијом или недостатком сахароза-изомалтазе, не смију да узимају овај лијек.</w:t>
      </w:r>
    </w:p>
    <w:p w:rsidR="00E86DB9" w:rsidRDefault="00E86DB9" w:rsidP="00E86DB9">
      <w:pPr>
        <w:jc w:val="both"/>
        <w:rPr>
          <w:rFonts w:ascii="Times New Roman" w:eastAsia="Times New Roman" w:hAnsi="Times New Roman" w:cs="Times New Roman"/>
          <w:lang w:val="sr-Latn-ME"/>
        </w:rPr>
      </w:pPr>
    </w:p>
    <w:p w:rsidR="00233AC6" w:rsidRPr="000C28F4" w:rsidRDefault="00233AC6" w:rsidP="00E86DB9">
      <w:pPr>
        <w:jc w:val="both"/>
        <w:rPr>
          <w:rFonts w:ascii="Times New Roman" w:hAnsi="Times New Roman" w:cs="Times New Roman"/>
          <w:lang w:val="sr-Cyrl-RS"/>
        </w:rPr>
      </w:pPr>
      <w:r w:rsidRPr="000C28F4">
        <w:rPr>
          <w:rFonts w:ascii="Times New Roman" w:hAnsi="Times New Roman" w:cs="Times New Roman"/>
          <w:lang w:val="sr-Cyrl-RS"/>
        </w:rPr>
        <w:t xml:space="preserve">Овај лијек садржи мање од 1 </w:t>
      </w:r>
      <w:r w:rsidRPr="000C28F4">
        <w:rPr>
          <w:rFonts w:ascii="Times New Roman" w:hAnsi="Times New Roman" w:cs="Times New Roman"/>
        </w:rPr>
        <w:t xml:space="preserve">mmol </w:t>
      </w:r>
      <w:r w:rsidRPr="000C28F4">
        <w:rPr>
          <w:rFonts w:ascii="Times New Roman" w:hAnsi="Times New Roman" w:cs="Times New Roman"/>
          <w:lang w:val="mk-MK"/>
        </w:rPr>
        <w:t xml:space="preserve">натријума </w:t>
      </w:r>
      <w:r w:rsidRPr="000C28F4">
        <w:rPr>
          <w:rFonts w:ascii="Times New Roman" w:hAnsi="Times New Roman" w:cs="Times New Roman"/>
          <w:lang w:val="sr-Latn-RS"/>
        </w:rPr>
        <w:t xml:space="preserve">(23 mg) </w:t>
      </w:r>
      <w:r w:rsidRPr="000C28F4">
        <w:rPr>
          <w:rFonts w:ascii="Times New Roman" w:hAnsi="Times New Roman" w:cs="Times New Roman"/>
          <w:lang w:val="sr-Cyrl-RS"/>
        </w:rPr>
        <w:t xml:space="preserve">по таблети, количина која је занемарљива. То је у суштини „без натријума“. </w:t>
      </w:r>
    </w:p>
    <w:p w:rsidR="00233AC6" w:rsidRPr="000C28F4" w:rsidRDefault="00233AC6" w:rsidP="00E86DB9">
      <w:pPr>
        <w:spacing w:after="0" w:line="240" w:lineRule="auto"/>
        <w:jc w:val="both"/>
        <w:rPr>
          <w:rFonts w:ascii="Times New Roman" w:eastAsia="Times New Roman" w:hAnsi="Times New Roman" w:cs="Times New Roman"/>
          <w:b/>
          <w:bCs/>
          <w:lang w:val="sr-Latn-ME"/>
        </w:rPr>
      </w:pPr>
      <w:r w:rsidRPr="000C28F4">
        <w:rPr>
          <w:rFonts w:ascii="Times New Roman" w:eastAsia="Times New Roman" w:hAnsi="Times New Roman" w:cs="Times New Roman"/>
          <w:b/>
          <w:lang w:val="sr-Latn-ME"/>
        </w:rPr>
        <w:t>4.5. Интеракције са другим љековима и друге врсте интеракција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Default="00233AC6" w:rsidP="00FD19CD">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Ефекти омепразола на фармакокинетику других активних супстанци</w:t>
      </w:r>
    </w:p>
    <w:p w:rsidR="00E57B14" w:rsidRPr="000C28F4" w:rsidRDefault="00E57B14" w:rsidP="00FD19CD">
      <w:pPr>
        <w:tabs>
          <w:tab w:val="left" w:pos="284"/>
        </w:tabs>
        <w:spacing w:after="0" w:line="240" w:lineRule="auto"/>
        <w:jc w:val="both"/>
        <w:rPr>
          <w:rFonts w:ascii="Times New Roman" w:eastAsia="Times New Roman" w:hAnsi="Times New Roman" w:cs="Times New Roman"/>
          <w:u w:val="single"/>
          <w:lang w:val="sr-Latn-ME"/>
        </w:rPr>
      </w:pPr>
    </w:p>
    <w:p w:rsidR="00233AC6" w:rsidRPr="000C28F4" w:rsidRDefault="00233AC6">
      <w:pPr>
        <w:tabs>
          <w:tab w:val="left" w:pos="284"/>
        </w:tabs>
        <w:spacing w:after="0" w:line="240" w:lineRule="auto"/>
        <w:jc w:val="both"/>
        <w:outlineLvl w:val="0"/>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Активне супстанце чија ресорпција зависи од вриједности желудачне pH</w:t>
      </w:r>
    </w:p>
    <w:p w:rsidR="00233AC6" w:rsidRPr="000C28F4" w:rsidRDefault="00233AC6">
      <w:pPr>
        <w:tabs>
          <w:tab w:val="left" w:pos="284"/>
        </w:tabs>
        <w:spacing w:after="0" w:line="240" w:lineRule="auto"/>
        <w:jc w:val="both"/>
        <w:outlineLvl w:val="0"/>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Смањена киселост у желуцу током лијечења омепразолом може повећати или смањити ресорпцију активних супстанци чији степен ресорпције зависи од вриједности </w:t>
      </w:r>
      <w:r w:rsidRPr="000C28F4">
        <w:rPr>
          <w:rFonts w:ascii="Times New Roman" w:eastAsia="Times New Roman" w:hAnsi="Times New Roman" w:cs="Times New Roman"/>
          <w:iCs/>
          <w:color w:val="000000"/>
          <w:lang w:val="sr-Latn-ME" w:eastAsia="mk-MK"/>
        </w:rPr>
        <w:t>pH у желуцу</w:t>
      </w:r>
      <w:r w:rsidRPr="000C28F4">
        <w:rPr>
          <w:rFonts w:ascii="Times New Roman" w:eastAsia="Times New Roman" w:hAnsi="Times New Roman" w:cs="Times New Roman"/>
          <w:lang w:val="sr-Latn-ME"/>
        </w:rPr>
        <w:t>.</w:t>
      </w:r>
    </w:p>
    <w:p w:rsidR="00233AC6" w:rsidRPr="000C28F4" w:rsidRDefault="00233AC6">
      <w:pPr>
        <w:tabs>
          <w:tab w:val="left" w:pos="284"/>
        </w:tabs>
        <w:spacing w:after="0" w:line="240" w:lineRule="auto"/>
        <w:jc w:val="both"/>
        <w:outlineLvl w:val="0"/>
        <w:rPr>
          <w:rFonts w:ascii="Times New Roman" w:eastAsia="Times New Roman" w:hAnsi="Times New Roman" w:cs="Times New Roman"/>
          <w:i/>
          <w:lang w:val="sr-Latn-ME"/>
        </w:rPr>
      </w:pPr>
      <w:proofErr w:type="spellStart"/>
      <w:r w:rsidRPr="000C28F4">
        <w:rPr>
          <w:rFonts w:ascii="Times New Roman" w:eastAsia="Times New Roman" w:hAnsi="Times New Roman" w:cs="Times New Roman"/>
          <w:i/>
          <w:lang w:val="sr-Latn-ME"/>
        </w:rPr>
        <w:lastRenderedPageBreak/>
        <w:t>Нелфинавир</w:t>
      </w:r>
      <w:proofErr w:type="spellEnd"/>
      <w:r w:rsidRPr="000C28F4">
        <w:rPr>
          <w:rFonts w:ascii="Times New Roman" w:eastAsia="Times New Roman" w:hAnsi="Times New Roman" w:cs="Times New Roman"/>
          <w:i/>
          <w:lang w:val="sr-Latn-ME"/>
        </w:rPr>
        <w:t xml:space="preserve">, </w:t>
      </w:r>
      <w:proofErr w:type="spellStart"/>
      <w:r w:rsidRPr="000C28F4">
        <w:rPr>
          <w:rFonts w:ascii="Times New Roman" w:eastAsia="Times New Roman" w:hAnsi="Times New Roman" w:cs="Times New Roman"/>
          <w:i/>
          <w:lang w:val="sr-Latn-ME"/>
        </w:rPr>
        <w:t>атазанавир</w:t>
      </w:r>
      <w:proofErr w:type="spellEnd"/>
    </w:p>
    <w:p w:rsidR="00233AC6" w:rsidRPr="000C28F4" w:rsidRDefault="00233AC6">
      <w:pPr>
        <w:tabs>
          <w:tab w:val="left" w:pos="284"/>
        </w:tabs>
        <w:spacing w:after="0" w:line="240" w:lineRule="auto"/>
        <w:jc w:val="both"/>
        <w:outlineLvl w:val="0"/>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Плазматске вриједности нелфинавира и атазанавира су смањене ако се примјењују истовремено с</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омепразолом.</w:t>
      </w:r>
      <w:r w:rsidRPr="000C28F4">
        <w:rPr>
          <w:rFonts w:ascii="Times New Roman" w:eastAsia="Times New Roman" w:hAnsi="Times New Roman" w:cs="Times New Roman"/>
          <w:lang w:val="sr-Latn-ME"/>
        </w:rPr>
        <w:br/>
        <w:t>Истовремена примјена омепразола са нелфинавиром је контраиндикована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4.3). Истовремена примјена омепразола (40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 xml:space="preserve">једном дневно) смањује просјечну изложеност нелфинавиру за приближно 40%, а његовом главном активном метаболиту М8 за приближно 75% до 90%. Интеракција такође може укључивати </w:t>
      </w:r>
      <w:r w:rsidRPr="000C28F4">
        <w:rPr>
          <w:rFonts w:ascii="Times New Roman" w:eastAsia="Times New Roman" w:hAnsi="Times New Roman" w:cs="Times New Roman"/>
          <w:color w:val="000000"/>
          <w:lang w:val="sr-Latn-ME" w:eastAsia="mk-MK"/>
        </w:rPr>
        <w:t xml:space="preserve">CYP2C19 </w:t>
      </w:r>
      <w:r w:rsidRPr="000C28F4">
        <w:rPr>
          <w:rFonts w:ascii="Times New Roman" w:eastAsia="Times New Roman" w:hAnsi="Times New Roman" w:cs="Times New Roman"/>
          <w:lang w:val="sr-Latn-ME"/>
        </w:rPr>
        <w:t>инхибицију.</w:t>
      </w:r>
    </w:p>
    <w:p w:rsidR="00233AC6" w:rsidRPr="000C28F4" w:rsidRDefault="00233AC6">
      <w:pPr>
        <w:tabs>
          <w:tab w:val="left" w:pos="284"/>
        </w:tabs>
        <w:spacing w:after="0" w:line="240" w:lineRule="auto"/>
        <w:jc w:val="both"/>
        <w:outlineLvl w:val="0"/>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Не препоручује се истовремена примјена омепразола са атазанавиром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4.4). Истовремена примјена омепразола (40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 xml:space="preserve">једном дневно) и атазанавира 300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/ритонавира 100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 xml:space="preserve">код здравих добровољаца доводи до смањења изложености атазанавиру за 75%. Повећање дозе атазанавира до 400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 xml:space="preserve">не компензује утицај омепразола на изложеност атазанавиру. Истовремена примјена омепразола (20 mg једном дневно) са атазанавиром 400 </w:t>
      </w:r>
      <w:r w:rsidRPr="000C28F4">
        <w:rPr>
          <w:rFonts w:ascii="Times New Roman" w:eastAsia="Times New Roman" w:hAnsi="Times New Roman" w:cs="Times New Roman"/>
          <w:color w:val="000000"/>
          <w:lang w:val="sr-Latn-ME" w:eastAsia="mk-MK"/>
        </w:rPr>
        <w:t>mg</w:t>
      </w:r>
      <w:r w:rsidR="00D97F8C">
        <w:rPr>
          <w:rFonts w:ascii="Times New Roman" w:eastAsia="Times New Roman" w:hAnsi="Times New Roman" w:cs="Times New Roman"/>
          <w:color w:val="000000"/>
          <w:lang w:eastAsia="mk-MK"/>
        </w:rPr>
        <w:t xml:space="preserve"> </w:t>
      </w:r>
      <w:r w:rsidRPr="000C28F4">
        <w:rPr>
          <w:rFonts w:ascii="Times New Roman" w:eastAsia="Times New Roman" w:hAnsi="Times New Roman" w:cs="Times New Roman"/>
          <w:lang w:val="sr-Latn-ME"/>
        </w:rPr>
        <w:t>/</w:t>
      </w:r>
      <w:r w:rsidR="00D97F8C">
        <w:rPr>
          <w:rFonts w:ascii="Times New Roman" w:eastAsia="Times New Roman" w:hAnsi="Times New Roman" w:cs="Times New Roman"/>
        </w:rPr>
        <w:t xml:space="preserve"> </w:t>
      </w:r>
      <w:r w:rsidRPr="000C28F4">
        <w:rPr>
          <w:rFonts w:ascii="Times New Roman" w:eastAsia="Times New Roman" w:hAnsi="Times New Roman" w:cs="Times New Roman"/>
          <w:lang w:val="sr-Latn-ME"/>
        </w:rPr>
        <w:t xml:space="preserve">ритонавиром 100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код здравих добровољаца резултира смањењ</w:t>
      </w:r>
      <w:r w:rsidR="00D97F8C">
        <w:rPr>
          <w:rFonts w:ascii="Times New Roman" w:eastAsia="Times New Roman" w:hAnsi="Times New Roman" w:cs="Times New Roman"/>
        </w:rPr>
        <w:t>ем</w:t>
      </w:r>
      <w:r w:rsidRPr="000C28F4">
        <w:rPr>
          <w:rFonts w:ascii="Times New Roman" w:eastAsia="Times New Roman" w:hAnsi="Times New Roman" w:cs="Times New Roman"/>
          <w:lang w:val="sr-Latn-ME"/>
        </w:rPr>
        <w:t xml:space="preserve"> расположивости атазанавира за око 30% у поређењу са атазанавиром 300 </w:t>
      </w:r>
      <w:r w:rsidRPr="000C28F4">
        <w:rPr>
          <w:rFonts w:ascii="Times New Roman" w:eastAsia="Times New Roman" w:hAnsi="Times New Roman" w:cs="Times New Roman"/>
          <w:color w:val="000000"/>
          <w:lang w:val="sr-Latn-ME" w:eastAsia="mk-MK"/>
        </w:rPr>
        <w:t>mg</w:t>
      </w:r>
      <w:r w:rsidR="00D97F8C">
        <w:rPr>
          <w:rFonts w:ascii="Times New Roman" w:eastAsia="Times New Roman" w:hAnsi="Times New Roman" w:cs="Times New Roman"/>
          <w:color w:val="000000"/>
          <w:lang w:eastAsia="mk-MK"/>
        </w:rPr>
        <w:t xml:space="preserve"> </w:t>
      </w:r>
      <w:r w:rsidRPr="000C28F4">
        <w:rPr>
          <w:rFonts w:ascii="Times New Roman" w:eastAsia="Times New Roman" w:hAnsi="Times New Roman" w:cs="Times New Roman"/>
          <w:lang w:val="sr-Latn-ME"/>
        </w:rPr>
        <w:t>/</w:t>
      </w:r>
      <w:r w:rsidR="00D97F8C">
        <w:rPr>
          <w:rFonts w:ascii="Times New Roman" w:eastAsia="Times New Roman" w:hAnsi="Times New Roman" w:cs="Times New Roman"/>
        </w:rPr>
        <w:t xml:space="preserve"> </w:t>
      </w:r>
      <w:r w:rsidRPr="000C28F4">
        <w:rPr>
          <w:rFonts w:ascii="Times New Roman" w:eastAsia="Times New Roman" w:hAnsi="Times New Roman" w:cs="Times New Roman"/>
          <w:lang w:val="sr-Latn-ME"/>
        </w:rPr>
        <w:t xml:space="preserve">ритонавиром 100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једном дневно.</w:t>
      </w:r>
    </w:p>
    <w:p w:rsidR="00233AC6" w:rsidRPr="000C28F4" w:rsidRDefault="00233AC6">
      <w:pPr>
        <w:tabs>
          <w:tab w:val="left" w:pos="284"/>
        </w:tabs>
        <w:spacing w:after="0" w:line="240" w:lineRule="auto"/>
        <w:jc w:val="both"/>
        <w:outlineLvl w:val="0"/>
        <w:rPr>
          <w:rFonts w:ascii="Times New Roman" w:eastAsia="Times New Roman" w:hAnsi="Times New Roman" w:cs="Times New Roman"/>
          <w:noProof/>
          <w:lang w:val="sr-Latn-ME"/>
        </w:rPr>
      </w:pPr>
    </w:p>
    <w:p w:rsidR="00233AC6" w:rsidRPr="000C28F4" w:rsidRDefault="00233AC6">
      <w:pPr>
        <w:tabs>
          <w:tab w:val="left" w:pos="284"/>
        </w:tabs>
        <w:autoSpaceDE w:val="0"/>
        <w:autoSpaceDN w:val="0"/>
        <w:adjustRightInd w:val="0"/>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Дигоксин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Истовремена терапија са омепразолом </w:t>
      </w:r>
      <w:r w:rsidRPr="000C28F4">
        <w:rPr>
          <w:rFonts w:ascii="Times New Roman" w:eastAsia="Times New Roman" w:hAnsi="Times New Roman" w:cs="Times New Roman"/>
          <w:color w:val="000000"/>
          <w:lang w:val="sr-Latn-ME" w:eastAsia="mk-MK"/>
        </w:rPr>
        <w:t>(20 mg дневно)</w:t>
      </w:r>
      <w:r w:rsidRPr="000C28F4">
        <w:rPr>
          <w:rFonts w:ascii="Times New Roman" w:eastAsia="Times New Roman" w:hAnsi="Times New Roman" w:cs="Times New Roman"/>
          <w:lang w:val="sr-Latn-ME"/>
        </w:rPr>
        <w:t xml:space="preserve"> код здравих добровољаца повећава биорасположивост дигоксина за 10%. Токсичност дигоксина је ријетко забиљежена. Међутим, опрез је потребан када се омепразол даје старијим пацијентима у високим дозама. Терапијско праћење лијека дигоксина треба да буде појачано.</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Клопидогрел</w:t>
      </w:r>
      <w:r w:rsidRPr="000C28F4">
        <w:rPr>
          <w:rFonts w:ascii="Times New Roman" w:eastAsia="Times New Roman" w:hAnsi="Times New Roman" w:cs="Times New Roman"/>
          <w:i/>
          <w:lang w:val="sr-Latn-ME"/>
        </w:rPr>
        <w:br/>
      </w:r>
      <w:r w:rsidRPr="000C28F4">
        <w:rPr>
          <w:rFonts w:ascii="Times New Roman" w:eastAsia="Times New Roman" w:hAnsi="Times New Roman" w:cs="Times New Roman"/>
          <w:color w:val="222222"/>
          <w:lang w:val="sr-Latn-ME"/>
        </w:rPr>
        <w:t xml:space="preserve">Резултати испитивања код здравих испитаника су показали фармакокинетичку (ПК)/фармакодинамску (ПД) интеракцију између клопидогрела (300 mg ударна доза/75 mg/дан доза одржавања) и омепразола (80 mg </w:t>
      </w:r>
      <w:r w:rsidRPr="000C28F4">
        <w:rPr>
          <w:rFonts w:ascii="Times New Roman" w:eastAsia="Times New Roman" w:hAnsi="Times New Roman" w:cs="Times New Roman"/>
          <w:i/>
          <w:color w:val="222222"/>
          <w:lang w:val="sr-Latn-ME"/>
        </w:rPr>
        <w:t xml:space="preserve">р.о. </w:t>
      </w:r>
      <w:r w:rsidRPr="000C28F4">
        <w:rPr>
          <w:rFonts w:ascii="Times New Roman" w:eastAsia="Times New Roman" w:hAnsi="Times New Roman" w:cs="Times New Roman"/>
          <w:color w:val="222222"/>
          <w:lang w:val="sr-Latn-ME"/>
        </w:rPr>
        <w:t>дневно) која доводи до смањења изложености активном метаболиту клопидогрела у просјеку за 46%, и до смањења максималне инхибиције (АДП индуковане) агрегације тромбоцита у просјеку за 16%.</w:t>
      </w:r>
    </w:p>
    <w:p w:rsidR="00233AC6" w:rsidRPr="000C28F4" w:rsidRDefault="00233AC6">
      <w:pPr>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lang w:val="sr-Latn-ME"/>
        </w:rPr>
        <w:t>Недосљедне податке о клиничким импликацијама ове ПК/ПД интеракције у смислу великих кардиоваскуларних догађаја забиљежене су у опсервацијским и клиничким студијама.</w:t>
      </w:r>
      <w:r w:rsidRPr="000C28F4">
        <w:rPr>
          <w:rFonts w:ascii="Times New Roman" w:eastAsia="Times New Roman" w:hAnsi="Times New Roman" w:cs="Times New Roman"/>
          <w:color w:val="000000"/>
          <w:lang w:val="sr-Latn-ME"/>
        </w:rPr>
        <w:t xml:space="preserve"> </w:t>
      </w:r>
      <w:r w:rsidRPr="000C28F4">
        <w:rPr>
          <w:rFonts w:ascii="Times New Roman" w:eastAsia="Times New Roman" w:hAnsi="Times New Roman" w:cs="Times New Roman"/>
          <w:color w:val="222222"/>
          <w:lang w:val="sr-Latn-ME"/>
        </w:rPr>
        <w:t>Као мјера опреза, истовремену примјену омепразола и клопидогрела треба избјегавати (</w:t>
      </w:r>
      <w:r w:rsidRPr="000C28F4">
        <w:rPr>
          <w:rFonts w:ascii="Times New Roman" w:eastAsia="Times New Roman" w:hAnsi="Times New Roman" w:cs="Times New Roman"/>
          <w:color w:val="222222"/>
          <w:lang w:val="sr-Cyrl-RS"/>
        </w:rPr>
        <w:t>погледати дио</w:t>
      </w:r>
      <w:r w:rsidRPr="000C28F4">
        <w:rPr>
          <w:rFonts w:ascii="Times New Roman" w:eastAsia="Times New Roman" w:hAnsi="Times New Roman" w:cs="Times New Roman"/>
          <w:color w:val="222222"/>
          <w:lang w:val="sr-Latn-ME"/>
        </w:rPr>
        <w:t xml:space="preserve"> 4.4).</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Остале активне супстанце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Ресорпција посаконазола, ерлотиниба, кетоконазола и итраконазола знатно је смањена, а тиме и клиничка ефикасност може бити умањена. Истовремену примјену посаконазола и ерлотиниба треба избјегавати.</w:t>
      </w:r>
    </w:p>
    <w:p w:rsidR="00233AC6" w:rsidRPr="000C28F4" w:rsidRDefault="00233AC6">
      <w:pPr>
        <w:tabs>
          <w:tab w:val="left" w:pos="284"/>
        </w:tabs>
        <w:spacing w:after="0" w:line="240" w:lineRule="auto"/>
        <w:jc w:val="both"/>
        <w:rPr>
          <w:rFonts w:ascii="Times New Roman" w:eastAsia="Times New Roman" w:hAnsi="Times New Roman" w:cs="Times New Roman"/>
          <w:color w:val="000000"/>
          <w:lang w:val="sr-Latn-ME" w:eastAsia="mk-MK"/>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eastAsia="en-GB"/>
        </w:rPr>
      </w:pPr>
      <w:r w:rsidRPr="000C28F4">
        <w:rPr>
          <w:rFonts w:ascii="Times New Roman" w:eastAsia="Times New Roman" w:hAnsi="Times New Roman" w:cs="Times New Roman"/>
          <w:i/>
          <w:u w:val="single"/>
          <w:lang w:val="sr-Latn-ME" w:eastAsia="en-GB"/>
        </w:rPr>
        <w:t xml:space="preserve">Активне супстанце које се метаболишу преко </w:t>
      </w:r>
      <w:r w:rsidRPr="000C28F4">
        <w:rPr>
          <w:rFonts w:ascii="Times New Roman" w:eastAsia="Times New Roman" w:hAnsi="Times New Roman" w:cs="Times New Roman"/>
          <w:i/>
          <w:iCs/>
          <w:color w:val="000000"/>
          <w:u w:val="single"/>
          <w:lang w:val="sr-Latn-ME" w:eastAsia="mk-MK"/>
        </w:rPr>
        <w:t>CYP2C19</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Омепразол је умјерен инхибитор </w:t>
      </w:r>
      <w:r w:rsidRPr="000C28F4">
        <w:rPr>
          <w:rFonts w:ascii="Times New Roman" w:eastAsia="Times New Roman" w:hAnsi="Times New Roman" w:cs="Times New Roman"/>
          <w:i/>
          <w:iCs/>
          <w:color w:val="000000"/>
          <w:lang w:val="sr-Latn-ME" w:eastAsia="mk-MK"/>
        </w:rPr>
        <w:t>CYP2C19</w:t>
      </w:r>
      <w:r w:rsidRPr="000C28F4">
        <w:rPr>
          <w:rFonts w:ascii="Times New Roman" w:eastAsia="Times New Roman" w:hAnsi="Times New Roman" w:cs="Times New Roman"/>
          <w:lang w:val="sr-Latn-ME" w:eastAsia="en-GB"/>
        </w:rPr>
        <w:t xml:space="preserve">, главног ензима преко кога се метаболише. Због тога, метаболизам друге активне супстанце дате истовремено која се такође метаболише путем </w:t>
      </w:r>
      <w:r w:rsidRPr="000C28F4">
        <w:rPr>
          <w:rFonts w:ascii="Times New Roman" w:eastAsia="Times New Roman" w:hAnsi="Times New Roman" w:cs="Times New Roman"/>
          <w:i/>
          <w:iCs/>
          <w:color w:val="000000"/>
          <w:lang w:val="sr-Latn-ME" w:eastAsia="mk-MK"/>
        </w:rPr>
        <w:t>CYP2C19</w:t>
      </w:r>
      <w:r w:rsidRPr="000C28F4">
        <w:rPr>
          <w:rFonts w:ascii="Times New Roman" w:eastAsia="Times New Roman" w:hAnsi="Times New Roman" w:cs="Times New Roman"/>
          <w:lang w:val="sr-Latn-ME" w:eastAsia="en-GB"/>
        </w:rPr>
        <w:t>, може бити смањен, а посљедична системска изложеност овој супстанци повећана. Примјери таквих љекова су Р-варфарин и други антагонисти витамина К, цилостазол, диазепам и фенитоин.</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Цилостазол</w:t>
      </w:r>
      <w:r w:rsidRPr="000C28F4">
        <w:rPr>
          <w:rFonts w:ascii="Times New Roman" w:eastAsia="Times New Roman" w:hAnsi="Times New Roman" w:cs="Times New Roman"/>
          <w:i/>
          <w:lang w:val="sr-Latn-ME"/>
        </w:rPr>
        <w:br/>
      </w:r>
      <w:r w:rsidRPr="000C28F4">
        <w:rPr>
          <w:rFonts w:ascii="Times New Roman" w:eastAsia="Times New Roman" w:hAnsi="Times New Roman" w:cs="Times New Roman"/>
          <w:lang w:val="sr-Latn-ME"/>
        </w:rPr>
        <w:t xml:space="preserve">Омепразол примијењен у дози од 40 mg на здравим испитаницима у двоструко слијепој студији, утицао </w:t>
      </w:r>
      <w:r w:rsidRPr="000C28F4">
        <w:rPr>
          <w:rFonts w:ascii="Times New Roman" w:eastAsia="Times New Roman" w:hAnsi="Times New Roman" w:cs="Times New Roman"/>
          <w:lang w:val="sr-Cyrl-RS"/>
        </w:rPr>
        <w:t xml:space="preserve">је </w:t>
      </w:r>
      <w:r w:rsidRPr="000C28F4">
        <w:rPr>
          <w:rFonts w:ascii="Times New Roman" w:eastAsia="Times New Roman" w:hAnsi="Times New Roman" w:cs="Times New Roman"/>
          <w:lang w:val="sr-Latn-ME"/>
        </w:rPr>
        <w:t xml:space="preserve">на повећање </w:t>
      </w:r>
      <w:r w:rsidRPr="000C28F4">
        <w:rPr>
          <w:rFonts w:ascii="Times New Roman" w:eastAsia="Times New Roman" w:hAnsi="Times New Roman" w:cs="Times New Roman"/>
          <w:color w:val="000000"/>
          <w:lang w:val="sr-Latn-ME" w:eastAsia="mk-MK"/>
        </w:rPr>
        <w:t>C</w:t>
      </w:r>
      <w:r w:rsidRPr="000C28F4">
        <w:rPr>
          <w:rFonts w:ascii="Times New Roman" w:eastAsia="Times New Roman" w:hAnsi="Times New Roman" w:cs="Times New Roman"/>
          <w:color w:val="000000"/>
          <w:vertAlign w:val="subscript"/>
          <w:lang w:val="sr-Latn-ME" w:eastAsia="mk-MK"/>
        </w:rPr>
        <w:t>max</w:t>
      </w:r>
      <w:r w:rsidRPr="000C28F4">
        <w:rPr>
          <w:rFonts w:ascii="Times New Roman" w:eastAsia="Times New Roman" w:hAnsi="Times New Roman" w:cs="Times New Roman"/>
          <w:lang w:val="sr-Latn-ME"/>
        </w:rPr>
        <w:t xml:space="preserve"> и </w:t>
      </w:r>
      <w:r w:rsidRPr="000C28F4">
        <w:rPr>
          <w:rFonts w:ascii="Times New Roman" w:eastAsia="Times New Roman" w:hAnsi="Times New Roman" w:cs="Times New Roman"/>
          <w:color w:val="000000"/>
          <w:lang w:val="sr-Latn-ME" w:eastAsia="mk-MK"/>
        </w:rPr>
        <w:t xml:space="preserve">ПИК-а </w:t>
      </w:r>
      <w:r w:rsidRPr="000C28F4">
        <w:rPr>
          <w:rFonts w:ascii="Times New Roman" w:eastAsia="Times New Roman" w:hAnsi="Times New Roman" w:cs="Times New Roman"/>
          <w:lang w:val="sr-Latn-ME"/>
        </w:rPr>
        <w:t>цилостазола за 18%, односно 26%, а једног његовог активног метаболита за 29%, односно 69%.</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br/>
      </w:r>
      <w:r w:rsidRPr="000C28F4">
        <w:rPr>
          <w:rFonts w:ascii="Times New Roman" w:eastAsia="Times New Roman" w:hAnsi="Times New Roman" w:cs="Times New Roman"/>
          <w:i/>
          <w:lang w:val="sr-Latn-ME"/>
        </w:rPr>
        <w:t>Фенитоин</w:t>
      </w:r>
      <w:r w:rsidRPr="000C28F4">
        <w:rPr>
          <w:rFonts w:ascii="Times New Roman" w:eastAsia="Times New Roman" w:hAnsi="Times New Roman" w:cs="Times New Roman"/>
          <w:i/>
          <w:lang w:val="sr-Latn-ME"/>
        </w:rPr>
        <w:br/>
      </w:r>
      <w:r w:rsidRPr="000C28F4">
        <w:rPr>
          <w:rFonts w:ascii="Times New Roman" w:eastAsia="Times New Roman" w:hAnsi="Times New Roman" w:cs="Times New Roman"/>
          <w:lang w:val="sr-Latn-ME"/>
        </w:rPr>
        <w:t>Препоручује се праћење концентрације фенитоина у плазми у току прве двије недјеље након почетка лијечења омепразолом, и ако је доза фенитоина прилагођена, праћење и даље прилагођавање дозе требало би утврдити након завршетка лијечења омепразолом.</w:t>
      </w:r>
    </w:p>
    <w:p w:rsidR="00233AC6" w:rsidRPr="000C28F4" w:rsidRDefault="00233AC6">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233AC6" w:rsidRDefault="00233AC6">
      <w:pPr>
        <w:tabs>
          <w:tab w:val="left" w:pos="284"/>
        </w:tabs>
        <w:spacing w:after="0" w:line="240" w:lineRule="auto"/>
        <w:jc w:val="both"/>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Непознати механизам</w:t>
      </w:r>
    </w:p>
    <w:p w:rsidR="00FC4F93" w:rsidRPr="000C28F4" w:rsidRDefault="00FC4F93">
      <w:pPr>
        <w:tabs>
          <w:tab w:val="left" w:pos="284"/>
        </w:tabs>
        <w:spacing w:after="0" w:line="240" w:lineRule="auto"/>
        <w:jc w:val="both"/>
        <w:rPr>
          <w:rFonts w:ascii="Times New Roman" w:eastAsia="Times New Roman" w:hAnsi="Times New Roman" w:cs="Times New Roman"/>
          <w:i/>
          <w:u w:val="single"/>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Саквинавир</w:t>
      </w:r>
      <w:r w:rsidRPr="000C28F4">
        <w:rPr>
          <w:rFonts w:ascii="Times New Roman" w:eastAsia="Times New Roman" w:hAnsi="Times New Roman" w:cs="Times New Roman"/>
          <w:i/>
          <w:lang w:val="sr-Latn-ME"/>
        </w:rPr>
        <w:br/>
      </w:r>
      <w:r w:rsidRPr="000C28F4">
        <w:rPr>
          <w:rFonts w:ascii="Times New Roman" w:eastAsia="Times New Roman" w:hAnsi="Times New Roman" w:cs="Times New Roman"/>
          <w:lang w:val="sr-Latn-ME"/>
        </w:rPr>
        <w:t>Истовремена примјена омепразола са саквинавиром/ритонавиром резултирала је повећањем плазматских вриједности до око 70% за саквинавир, повезано са добром подношљивошћу код ХИВ позитивних пацијената.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br/>
      </w:r>
      <w:r w:rsidRPr="000C28F4">
        <w:rPr>
          <w:rFonts w:ascii="Times New Roman" w:eastAsia="Times New Roman" w:hAnsi="Times New Roman" w:cs="Times New Roman"/>
          <w:i/>
          <w:lang w:val="sr-Latn-ME"/>
        </w:rPr>
        <w:t>Такролимус</w:t>
      </w:r>
      <w:r w:rsidRPr="000C28F4">
        <w:rPr>
          <w:rFonts w:ascii="Times New Roman" w:eastAsia="Times New Roman" w:hAnsi="Times New Roman" w:cs="Times New Roman"/>
          <w:lang w:val="sr-Latn-ME"/>
        </w:rPr>
        <w:br/>
        <w:t xml:space="preserve">Забиљежено је да истовремена примјена омепразола повећава серумске вриједности такролимуса. Потребно је терапијско праћење концентрације такролимуса, као и функције бубрега (клиренс креатинина) и ако је потребно прилагодити дозу такролимуса. </w:t>
      </w:r>
    </w:p>
    <w:p w:rsidR="00233AC6" w:rsidRPr="000C28F4" w:rsidRDefault="00233AC6">
      <w:pPr>
        <w:tabs>
          <w:tab w:val="left" w:pos="284"/>
        </w:tabs>
        <w:autoSpaceDE w:val="0"/>
        <w:autoSpaceDN w:val="0"/>
        <w:adjustRightInd w:val="0"/>
        <w:spacing w:after="0" w:line="240" w:lineRule="auto"/>
        <w:jc w:val="both"/>
        <w:rPr>
          <w:rFonts w:ascii="Times New Roman" w:eastAsia="Times New Roman" w:hAnsi="Times New Roman" w:cs="Times New Roman"/>
          <w:color w:val="000000"/>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i/>
          <w:color w:val="222222"/>
          <w:lang w:val="sr-Latn-ME"/>
        </w:rPr>
        <w:t>Метотрексат</w:t>
      </w:r>
      <w:r w:rsidRPr="000C28F4">
        <w:rPr>
          <w:rFonts w:ascii="Times New Roman" w:eastAsia="Times New Roman" w:hAnsi="Times New Roman" w:cs="Times New Roman"/>
          <w:color w:val="222222"/>
          <w:lang w:val="sr-Latn-ME"/>
        </w:rPr>
        <w:t xml:space="preserve"> </w:t>
      </w:r>
      <w:r w:rsidRPr="000C28F4">
        <w:rPr>
          <w:rFonts w:ascii="Times New Roman" w:eastAsia="Times New Roman" w:hAnsi="Times New Roman" w:cs="Times New Roman"/>
          <w:color w:val="222222"/>
          <w:lang w:val="sr-Latn-ME"/>
        </w:rPr>
        <w:br/>
        <w:t>Када се метотрексат примјењује заједно са инхибитором протонске пумпе, ниво метотрексата код неких пацијената може да се повећа. Уколико се метотрексат примјењује у високим дозама, може бити потребан привремени прекид терапије омепразолом.</w:t>
      </w:r>
    </w:p>
    <w:p w:rsidR="00233AC6" w:rsidRPr="000C28F4" w:rsidRDefault="00233AC6">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Ефекти других активних супстанци на фармакокинетику омепразола</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iCs/>
          <w:color w:val="000000"/>
          <w:lang w:val="sr-Latn-ME" w:eastAsia="mk-MK"/>
        </w:rPr>
      </w:pPr>
      <w:r w:rsidRPr="000C28F4">
        <w:rPr>
          <w:rFonts w:ascii="Times New Roman" w:eastAsia="Times New Roman" w:hAnsi="Times New Roman" w:cs="Times New Roman"/>
          <w:i/>
          <w:lang w:val="sr-Latn-ME"/>
        </w:rPr>
        <w:t xml:space="preserve">Инхибитори </w:t>
      </w:r>
      <w:r w:rsidRPr="000C28F4">
        <w:rPr>
          <w:rFonts w:ascii="Times New Roman" w:eastAsia="Times New Roman" w:hAnsi="Times New Roman" w:cs="Times New Roman"/>
          <w:i/>
          <w:iCs/>
          <w:color w:val="000000"/>
          <w:lang w:val="sr-Latn-ME" w:eastAsia="mk-MK"/>
        </w:rPr>
        <w:t xml:space="preserve">CYP2C19 </w:t>
      </w:r>
      <w:r w:rsidRPr="000C28F4">
        <w:rPr>
          <w:rFonts w:ascii="Times New Roman" w:eastAsia="Times New Roman" w:hAnsi="Times New Roman" w:cs="Times New Roman"/>
          <w:i/>
          <w:lang w:val="sr-Latn-ME"/>
        </w:rPr>
        <w:t xml:space="preserve">и/или </w:t>
      </w:r>
      <w:r w:rsidRPr="000C28F4">
        <w:rPr>
          <w:rFonts w:ascii="Times New Roman" w:eastAsia="Times New Roman" w:hAnsi="Times New Roman" w:cs="Times New Roman"/>
          <w:i/>
          <w:iCs/>
          <w:color w:val="000000"/>
          <w:lang w:val="sr-Latn-ME" w:eastAsia="mk-MK"/>
        </w:rPr>
        <w:t>CYP3A4</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Будући да се омепразол метаболише путем </w:t>
      </w:r>
      <w:r w:rsidRPr="000C28F4">
        <w:rPr>
          <w:rFonts w:ascii="Times New Roman" w:eastAsia="Times New Roman" w:hAnsi="Times New Roman" w:cs="Times New Roman"/>
          <w:i/>
          <w:iCs/>
          <w:color w:val="000000"/>
          <w:lang w:val="sr-Latn-ME" w:eastAsia="mk-MK"/>
        </w:rPr>
        <w:t xml:space="preserve">CYP3A4 </w:t>
      </w:r>
      <w:r w:rsidRPr="000C28F4">
        <w:rPr>
          <w:rFonts w:ascii="Times New Roman" w:eastAsia="Times New Roman" w:hAnsi="Times New Roman" w:cs="Times New Roman"/>
          <w:lang w:val="sr-Latn-ME"/>
        </w:rPr>
        <w:t xml:space="preserve">и </w:t>
      </w:r>
      <w:r w:rsidRPr="000C28F4">
        <w:rPr>
          <w:rFonts w:ascii="Times New Roman" w:eastAsia="Times New Roman" w:hAnsi="Times New Roman" w:cs="Times New Roman"/>
          <w:i/>
          <w:iCs/>
          <w:color w:val="000000"/>
          <w:lang w:val="sr-Latn-ME" w:eastAsia="mk-MK"/>
        </w:rPr>
        <w:t>CYP2C19</w:t>
      </w:r>
      <w:r w:rsidRPr="000C28F4">
        <w:rPr>
          <w:rFonts w:ascii="Times New Roman" w:eastAsia="Times New Roman" w:hAnsi="Times New Roman" w:cs="Times New Roman"/>
          <w:lang w:val="sr-Latn-ME"/>
        </w:rPr>
        <w:t xml:space="preserve">, активне супстанце за које се зна да инхибирају </w:t>
      </w:r>
      <w:r w:rsidRPr="000C28F4">
        <w:rPr>
          <w:rFonts w:ascii="Times New Roman" w:eastAsia="Times New Roman" w:hAnsi="Times New Roman" w:cs="Times New Roman"/>
          <w:i/>
          <w:iCs/>
          <w:color w:val="000000"/>
          <w:lang w:val="sr-Latn-ME" w:eastAsia="mk-MK"/>
        </w:rPr>
        <w:t xml:space="preserve">CYP3A4 </w:t>
      </w:r>
      <w:r w:rsidRPr="000C28F4">
        <w:rPr>
          <w:rFonts w:ascii="Times New Roman" w:eastAsia="Times New Roman" w:hAnsi="Times New Roman" w:cs="Times New Roman"/>
          <w:lang w:val="sr-Latn-ME"/>
        </w:rPr>
        <w:t xml:space="preserve">или </w:t>
      </w:r>
      <w:r w:rsidRPr="000C28F4">
        <w:rPr>
          <w:rFonts w:ascii="Times New Roman" w:eastAsia="Times New Roman" w:hAnsi="Times New Roman" w:cs="Times New Roman"/>
          <w:i/>
          <w:iCs/>
          <w:color w:val="000000"/>
          <w:lang w:val="sr-Latn-ME" w:eastAsia="mk-MK"/>
        </w:rPr>
        <w:t xml:space="preserve">CYP2C19 </w:t>
      </w:r>
      <w:r w:rsidRPr="000C28F4">
        <w:rPr>
          <w:rFonts w:ascii="Times New Roman" w:eastAsia="Times New Roman" w:hAnsi="Times New Roman" w:cs="Times New Roman"/>
          <w:lang w:val="sr-Latn-ME"/>
        </w:rPr>
        <w:t>(као што су кларитромицин и вориконазол) могу довести до повећања концентрације омепразола у серуму преко смањења стопе метаболизма омепразола. Истовремена примјена са вориконазолом доводи до више него двоструко веће расположивости омепразола. Будући да се високе дозе омепразола добро толеришу, прилагођавање дозе омепразола се генерално не захтијева. Међутим, прилагођавање дозе треба размотрити код пацијената са тешким оштећењем јетре, као и код оних на дуготрајној терапији.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 xml:space="preserve">Индуктори </w:t>
      </w:r>
      <w:r w:rsidRPr="000C28F4">
        <w:rPr>
          <w:rFonts w:ascii="Times New Roman" w:eastAsia="Times New Roman" w:hAnsi="Times New Roman" w:cs="Times New Roman"/>
          <w:i/>
          <w:iCs/>
          <w:color w:val="000000"/>
          <w:u w:val="single"/>
          <w:lang w:val="sr-Latn-ME" w:eastAsia="mk-MK"/>
        </w:rPr>
        <w:t xml:space="preserve">CYP2C19 </w:t>
      </w:r>
      <w:r w:rsidRPr="000C28F4">
        <w:rPr>
          <w:rFonts w:ascii="Times New Roman" w:eastAsia="Times New Roman" w:hAnsi="Times New Roman" w:cs="Times New Roman"/>
          <w:i/>
          <w:u w:val="single"/>
          <w:lang w:val="sr-Latn-ME"/>
        </w:rPr>
        <w:t xml:space="preserve">и/или </w:t>
      </w:r>
      <w:r w:rsidRPr="000C28F4">
        <w:rPr>
          <w:rFonts w:ascii="Times New Roman" w:eastAsia="Times New Roman" w:hAnsi="Times New Roman" w:cs="Times New Roman"/>
          <w:i/>
          <w:iCs/>
          <w:color w:val="000000"/>
          <w:u w:val="single"/>
          <w:lang w:val="sr-Latn-ME" w:eastAsia="mk-MK"/>
        </w:rPr>
        <w:t>CYP3A4</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 xml:space="preserve">Активне супстанце за које се зна да индикују </w:t>
      </w:r>
      <w:r w:rsidRPr="000C28F4">
        <w:rPr>
          <w:rFonts w:ascii="Times New Roman" w:eastAsia="Times New Roman" w:hAnsi="Times New Roman" w:cs="Times New Roman"/>
          <w:i/>
          <w:iCs/>
          <w:color w:val="000000"/>
          <w:lang w:val="sr-Latn-ME" w:eastAsia="mk-MK"/>
        </w:rPr>
        <w:t xml:space="preserve">CYP2C19 </w:t>
      </w:r>
      <w:r w:rsidRPr="000C28F4">
        <w:rPr>
          <w:rFonts w:ascii="Times New Roman" w:eastAsia="Times New Roman" w:hAnsi="Times New Roman" w:cs="Times New Roman"/>
          <w:lang w:val="sr-Latn-ME"/>
        </w:rPr>
        <w:t xml:space="preserve">или </w:t>
      </w:r>
      <w:r w:rsidRPr="000C28F4">
        <w:rPr>
          <w:rFonts w:ascii="Times New Roman" w:eastAsia="Times New Roman" w:hAnsi="Times New Roman" w:cs="Times New Roman"/>
          <w:i/>
          <w:iCs/>
          <w:color w:val="000000"/>
          <w:lang w:val="sr-Latn-ME" w:eastAsia="mk-MK"/>
        </w:rPr>
        <w:t xml:space="preserve">CYP3A4 </w:t>
      </w:r>
      <w:r w:rsidRPr="000C28F4">
        <w:rPr>
          <w:rFonts w:ascii="Times New Roman" w:eastAsia="Times New Roman" w:hAnsi="Times New Roman" w:cs="Times New Roman"/>
          <w:lang w:val="sr-Latn-ME"/>
        </w:rPr>
        <w:t>или обоје (као рифампицин и кантарион) могу довести до смањења концентрације омепразола у серуму повећањем стопе метаболизма омепразола.</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noProof/>
          <w:lang w:val="sr-Latn-ME"/>
        </w:rPr>
      </w:pPr>
      <w:r w:rsidRPr="000C28F4">
        <w:rPr>
          <w:rFonts w:ascii="Times New Roman" w:eastAsia="Times New Roman" w:hAnsi="Times New Roman" w:cs="Times New Roman"/>
          <w:b/>
          <w:bCs/>
          <w:lang w:val="sr-Latn-ME"/>
        </w:rPr>
        <w:t>4.6. П</w:t>
      </w:r>
      <w:r w:rsidRPr="000C28F4">
        <w:rPr>
          <w:rFonts w:ascii="Times New Roman" w:eastAsia="Times New Roman" w:hAnsi="Times New Roman" w:cs="Times New Roman"/>
          <w:b/>
          <w:bCs/>
          <w:lang w:val="sr-Cyrl-RS"/>
        </w:rPr>
        <w:t>лодност,</w:t>
      </w:r>
      <w:r w:rsidRPr="000C28F4">
        <w:rPr>
          <w:rFonts w:ascii="Times New Roman" w:eastAsia="Times New Roman" w:hAnsi="Times New Roman" w:cs="Times New Roman"/>
          <w:b/>
          <w:bCs/>
          <w:lang w:val="sr-Latn-ME"/>
        </w:rPr>
        <w:t xml:space="preserve"> трудноћ</w:t>
      </w:r>
      <w:r w:rsidRPr="000C28F4">
        <w:rPr>
          <w:rFonts w:ascii="Times New Roman" w:eastAsia="Times New Roman" w:hAnsi="Times New Roman" w:cs="Times New Roman"/>
          <w:b/>
          <w:bCs/>
          <w:lang w:val="sr-Cyrl-RS"/>
        </w:rPr>
        <w:t>а</w:t>
      </w:r>
      <w:r w:rsidRPr="000C28F4">
        <w:rPr>
          <w:rFonts w:ascii="Times New Roman" w:eastAsia="Times New Roman" w:hAnsi="Times New Roman" w:cs="Times New Roman"/>
          <w:b/>
          <w:bCs/>
          <w:lang w:val="sr-Latn-ME"/>
        </w:rPr>
        <w:t xml:space="preserve"> и дојењ</w:t>
      </w:r>
      <w:r w:rsidRPr="000C28F4">
        <w:rPr>
          <w:rFonts w:ascii="Times New Roman" w:eastAsia="Times New Roman" w:hAnsi="Times New Roman" w:cs="Times New Roman"/>
          <w:b/>
          <w:bCs/>
          <w:lang w:val="sr-Cyrl-RS"/>
        </w:rPr>
        <w:t>е</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Трудноћа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Резултати три проспективне епидемиолошке студије (више од 1000 исхода изложености лијеку), показују да нема нежељених дејстава омепразола на трудноћу или на здравље фетуса/новорођенчета. Омепразол може да се користи за вријеме трудноће. </w:t>
      </w:r>
    </w:p>
    <w:p w:rsidR="00233AC6" w:rsidRPr="000C28F4" w:rsidRDefault="00233AC6">
      <w:pPr>
        <w:tabs>
          <w:tab w:val="left" w:pos="284"/>
        </w:tabs>
        <w:spacing w:after="0" w:line="240" w:lineRule="auto"/>
        <w:jc w:val="both"/>
        <w:rPr>
          <w:rFonts w:ascii="Times New Roman" w:eastAsia="Times New Roman" w:hAnsi="Times New Roman" w:cs="Times New Roman"/>
          <w:color w:val="000000"/>
          <w:u w:val="single"/>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color w:val="000000"/>
          <w:u w:val="single"/>
          <w:lang w:val="sr-Latn-ME"/>
        </w:rPr>
      </w:pPr>
      <w:r w:rsidRPr="000C28F4">
        <w:rPr>
          <w:rFonts w:ascii="Times New Roman" w:eastAsia="Times New Roman" w:hAnsi="Times New Roman" w:cs="Times New Roman"/>
          <w:color w:val="000000"/>
          <w:u w:val="single"/>
          <w:lang w:val="sr-Latn-ME"/>
        </w:rPr>
        <w:t>Дојење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Oмепразол се излучује у мајчино млијеко, али нема утицаја на дијете када се употребљавају терапеутске дозе. </w:t>
      </w:r>
    </w:p>
    <w:p w:rsidR="00233AC6" w:rsidRPr="000C28F4" w:rsidRDefault="00233AC6">
      <w:pPr>
        <w:tabs>
          <w:tab w:val="left" w:pos="284"/>
        </w:tabs>
        <w:spacing w:after="0" w:line="240" w:lineRule="auto"/>
        <w:jc w:val="both"/>
        <w:outlineLvl w:val="0"/>
        <w:rPr>
          <w:rFonts w:ascii="Times New Roman" w:eastAsia="Times New Roman" w:hAnsi="Times New Roman" w:cs="Times New Roman"/>
          <w:color w:val="222222"/>
          <w:lang w:val="sr-Latn-ME"/>
        </w:rPr>
      </w:pPr>
      <w:r w:rsidRPr="000C28F4">
        <w:rPr>
          <w:rFonts w:ascii="Times New Roman" w:eastAsia="Times New Roman" w:hAnsi="Times New Roman" w:cs="Times New Roman"/>
          <w:color w:val="222222"/>
          <w:u w:val="single"/>
          <w:lang w:val="sr-Latn-ME"/>
        </w:rPr>
        <w:t>Плодност</w:t>
      </w:r>
      <w:r w:rsidRPr="000C28F4">
        <w:rPr>
          <w:rFonts w:ascii="Times New Roman" w:eastAsia="Times New Roman" w:hAnsi="Times New Roman" w:cs="Times New Roman"/>
          <w:color w:val="222222"/>
          <w:lang w:val="sr-Latn-ME"/>
        </w:rPr>
        <w:t xml:space="preserve"> </w:t>
      </w:r>
      <w:r w:rsidRPr="000C28F4">
        <w:rPr>
          <w:rFonts w:ascii="Times New Roman" w:eastAsia="Times New Roman" w:hAnsi="Times New Roman" w:cs="Times New Roman"/>
          <w:color w:val="222222"/>
          <w:lang w:val="sr-Latn-ME"/>
        </w:rPr>
        <w:br/>
        <w:t xml:space="preserve">Испитивања на животињама са </w:t>
      </w:r>
      <w:r w:rsidRPr="000C28F4">
        <w:rPr>
          <w:rFonts w:ascii="Times New Roman" w:eastAsia="Times New Roman" w:hAnsi="Times New Roman" w:cs="Times New Roman"/>
          <w:lang w:val="sr-Latn-ME"/>
        </w:rPr>
        <w:t xml:space="preserve">рацемичном мјешавином </w:t>
      </w:r>
      <w:r w:rsidRPr="000C28F4">
        <w:rPr>
          <w:rFonts w:ascii="Times New Roman" w:eastAsia="Times New Roman" w:hAnsi="Times New Roman" w:cs="Times New Roman"/>
          <w:color w:val="222222"/>
          <w:lang w:val="sr-Latn-ME"/>
        </w:rPr>
        <w:t xml:space="preserve">омепразола, примијењене оралним путем не указују </w:t>
      </w:r>
      <w:r w:rsidR="004A4CA9">
        <w:rPr>
          <w:rFonts w:ascii="Times New Roman" w:eastAsia="Times New Roman" w:hAnsi="Times New Roman" w:cs="Times New Roman"/>
          <w:color w:val="222222"/>
        </w:rPr>
        <w:t>да</w:t>
      </w:r>
      <w:r w:rsidR="00B741E3">
        <w:rPr>
          <w:rFonts w:ascii="Times New Roman" w:eastAsia="Times New Roman" w:hAnsi="Times New Roman" w:cs="Times New Roman"/>
          <w:color w:val="222222"/>
        </w:rPr>
        <w:t xml:space="preserve"> постоје</w:t>
      </w:r>
      <w:r w:rsidRPr="000C28F4">
        <w:rPr>
          <w:rFonts w:ascii="Times New Roman" w:eastAsia="Times New Roman" w:hAnsi="Times New Roman" w:cs="Times New Roman"/>
          <w:color w:val="222222"/>
          <w:lang w:val="sr-Latn-ME"/>
        </w:rPr>
        <w:t xml:space="preserve"> ефект</w:t>
      </w:r>
      <w:r w:rsidR="00B741E3">
        <w:rPr>
          <w:rFonts w:ascii="Times New Roman" w:eastAsia="Times New Roman" w:hAnsi="Times New Roman" w:cs="Times New Roman"/>
          <w:color w:val="222222"/>
        </w:rPr>
        <w:t>и</w:t>
      </w:r>
      <w:r w:rsidRPr="000C28F4">
        <w:rPr>
          <w:rFonts w:ascii="Times New Roman" w:eastAsia="Times New Roman" w:hAnsi="Times New Roman" w:cs="Times New Roman"/>
          <w:color w:val="222222"/>
          <w:lang w:val="sr-Latn-ME"/>
        </w:rPr>
        <w:t xml:space="preserve"> на плодност.</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r w:rsidRPr="000C28F4">
        <w:rPr>
          <w:rFonts w:ascii="Times New Roman" w:eastAsia="Times New Roman" w:hAnsi="Times New Roman" w:cs="Times New Roman"/>
          <w:b/>
          <w:bCs/>
          <w:lang w:val="sr-Latn-ME"/>
        </w:rPr>
        <w:t>4.7. Утицај на способност управљања возилима и руковањ</w:t>
      </w:r>
      <w:r w:rsidRPr="000C28F4">
        <w:rPr>
          <w:rFonts w:ascii="Times New Roman" w:eastAsia="Times New Roman" w:hAnsi="Times New Roman" w:cs="Times New Roman"/>
          <w:b/>
          <w:bCs/>
          <w:lang w:val="sr-Cyrl-RS"/>
        </w:rPr>
        <w:t>е</w:t>
      </w:r>
      <w:r w:rsidRPr="000C28F4">
        <w:rPr>
          <w:rFonts w:ascii="Times New Roman" w:eastAsia="Times New Roman" w:hAnsi="Times New Roman" w:cs="Times New Roman"/>
          <w:b/>
          <w:bCs/>
          <w:lang w:val="sr-Latn-ME"/>
        </w:rPr>
        <w:t xml:space="preserve"> машинама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Лијек OMEZOL</w:t>
      </w:r>
      <w:r w:rsidRPr="000C28F4">
        <w:rPr>
          <w:rFonts w:ascii="Times New Roman" w:eastAsia="Times New Roman" w:hAnsi="Times New Roman" w:cs="Times New Roman"/>
          <w:vertAlign w:val="superscript"/>
          <w:lang w:val="sr-Latn-ME"/>
        </w:rPr>
        <w:t xml:space="preserve"> </w:t>
      </w:r>
      <w:r w:rsidRPr="000C28F4">
        <w:rPr>
          <w:rFonts w:ascii="Times New Roman" w:eastAsia="Times New Roman" w:hAnsi="Times New Roman" w:cs="Times New Roman"/>
          <w:lang w:val="sr-Latn-ME"/>
        </w:rPr>
        <w:t>вјероватно неће утицати  на способност управљања возилима или руковањ</w:t>
      </w:r>
      <w:r w:rsidRPr="000C28F4">
        <w:rPr>
          <w:rFonts w:ascii="Times New Roman" w:eastAsia="Times New Roman" w:hAnsi="Times New Roman" w:cs="Times New Roman"/>
          <w:lang w:val="sr-Cyrl-RS"/>
        </w:rPr>
        <w:t>е</w:t>
      </w:r>
      <w:r w:rsidRPr="000C28F4">
        <w:rPr>
          <w:rFonts w:ascii="Times New Roman" w:eastAsia="Times New Roman" w:hAnsi="Times New Roman" w:cs="Times New Roman"/>
          <w:lang w:val="sr-Latn-ME"/>
        </w:rPr>
        <w:t xml:space="preserve"> машинама.</w:t>
      </w:r>
    </w:p>
    <w:p w:rsidR="00233AC6" w:rsidRPr="000C28F4" w:rsidRDefault="00233AC6">
      <w:pPr>
        <w:tabs>
          <w:tab w:val="left" w:pos="284"/>
        </w:tabs>
        <w:spacing w:after="0" w:line="240" w:lineRule="auto"/>
        <w:jc w:val="both"/>
        <w:rPr>
          <w:rFonts w:ascii="Times New Roman" w:eastAsia="Times New Roman" w:hAnsi="Times New Roman" w:cs="Times New Roman"/>
          <w:b/>
          <w:bCs/>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noProof/>
          <w:lang w:val="sr-Latn-ME"/>
        </w:rPr>
      </w:pPr>
      <w:r w:rsidRPr="000C28F4">
        <w:rPr>
          <w:rFonts w:ascii="Times New Roman" w:eastAsia="Times New Roman" w:hAnsi="Times New Roman" w:cs="Times New Roman"/>
          <w:lang w:val="sr-Latn-ME"/>
        </w:rPr>
        <w:t>Нежељена дејства као што су вртоглавица и визуелне сметње могу се појавити (</w:t>
      </w:r>
      <w:r w:rsidRPr="000C28F4">
        <w:rPr>
          <w:rFonts w:ascii="Times New Roman" w:eastAsia="Times New Roman" w:hAnsi="Times New Roman" w:cs="Times New Roman"/>
          <w:lang w:val="sr-Cyrl-RS"/>
        </w:rPr>
        <w:t>погледати дио</w:t>
      </w:r>
      <w:r w:rsidRPr="000C28F4">
        <w:rPr>
          <w:rFonts w:ascii="Times New Roman" w:eastAsia="Times New Roman" w:hAnsi="Times New Roman" w:cs="Times New Roman"/>
          <w:lang w:val="sr-Latn-ME"/>
        </w:rPr>
        <w:t xml:space="preserve"> 4.8). Ако се ишта од тога јави код пацијента, не би требало да управља моторним возилом или да рукује машинама.</w:t>
      </w: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7C0A11">
        <w:rPr>
          <w:rFonts w:ascii="Times New Roman" w:eastAsia="Times New Roman" w:hAnsi="Times New Roman" w:cs="Times New Roman"/>
          <w:b/>
          <w:bCs/>
          <w:lang w:val="sr-Latn-ME"/>
        </w:rPr>
        <w:t>4.8.</w:t>
      </w:r>
      <w:r w:rsidRPr="000C28F4">
        <w:rPr>
          <w:rFonts w:ascii="Times New Roman" w:eastAsia="Times New Roman" w:hAnsi="Times New Roman" w:cs="Times New Roman"/>
          <w:b/>
          <w:bCs/>
          <w:lang w:val="sr-Latn-ME"/>
        </w:rPr>
        <w:t xml:space="preserve"> Нежељена дејства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u w:val="single"/>
          <w:lang w:val="sr-Latn-ME" w:eastAsia="en-GB"/>
        </w:rPr>
      </w:pPr>
      <w:r w:rsidRPr="000C28F4">
        <w:rPr>
          <w:rFonts w:ascii="Times New Roman" w:eastAsia="Times New Roman" w:hAnsi="Times New Roman" w:cs="Times New Roman"/>
          <w:u w:val="single"/>
          <w:lang w:val="sr-Latn-ME" w:eastAsia="en-GB"/>
        </w:rPr>
        <w:t>Сажетак безбједносног профила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Најчешћа нежељена дејства (1% до 10% пацијената) су главобоља, болови у стомаку, затвор, пролив, надутост и мучнина/повраћање.</w:t>
      </w:r>
    </w:p>
    <w:p w:rsidR="00DD35ED" w:rsidRPr="000C28F4" w:rsidRDefault="00DD35ED">
      <w:pPr>
        <w:tabs>
          <w:tab w:val="left" w:pos="284"/>
        </w:tabs>
        <w:spacing w:after="0" w:line="240" w:lineRule="auto"/>
        <w:jc w:val="both"/>
        <w:rPr>
          <w:rFonts w:ascii="Times New Roman" w:eastAsia="Times New Roman" w:hAnsi="Times New Roman" w:cs="Times New Roman"/>
          <w:lang w:val="sr-Latn-ME" w:eastAsia="en-GB"/>
        </w:rPr>
      </w:pPr>
    </w:p>
    <w:p w:rsidR="00DD35ED" w:rsidRPr="000C28F4" w:rsidRDefault="00DD35E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Тешк</w:t>
      </w:r>
      <w:r w:rsidR="00353296" w:rsidRPr="000C28F4">
        <w:rPr>
          <w:rFonts w:ascii="Times New Roman" w:eastAsia="Times New Roman" w:hAnsi="Times New Roman" w:cs="Times New Roman"/>
          <w:lang w:val="sr-Latn-ME" w:eastAsia="en-GB"/>
        </w:rPr>
        <w:t>a</w:t>
      </w:r>
      <w:r w:rsidRPr="000C28F4">
        <w:rPr>
          <w:rFonts w:ascii="Times New Roman" w:eastAsia="Times New Roman" w:hAnsi="Times New Roman" w:cs="Times New Roman"/>
          <w:lang w:val="sr-Latn-ME" w:eastAsia="en-GB"/>
        </w:rPr>
        <w:t xml:space="preserve"> кожн</w:t>
      </w:r>
      <w:r w:rsidR="00353296" w:rsidRPr="000C28F4">
        <w:rPr>
          <w:rFonts w:ascii="Times New Roman" w:eastAsia="Times New Roman" w:hAnsi="Times New Roman" w:cs="Times New Roman"/>
          <w:lang w:val="sr-Latn-ME" w:eastAsia="en-GB"/>
        </w:rPr>
        <w:t xml:space="preserve">a </w:t>
      </w:r>
      <w:r w:rsidR="00353296" w:rsidRPr="000C28F4">
        <w:rPr>
          <w:rFonts w:ascii="Times New Roman" w:eastAsia="Times New Roman" w:hAnsi="Times New Roman" w:cs="Times New Roman"/>
          <w:lang w:val="sr-Cyrl-RS" w:eastAsia="en-GB"/>
        </w:rPr>
        <w:t>нежељена д</w:t>
      </w:r>
      <w:r w:rsidR="007C0A11">
        <w:rPr>
          <w:rFonts w:ascii="Times New Roman" w:eastAsia="Times New Roman" w:hAnsi="Times New Roman" w:cs="Times New Roman"/>
          <w:lang w:eastAsia="en-GB"/>
        </w:rPr>
        <w:t>ејства</w:t>
      </w:r>
      <w:r w:rsidRPr="000C28F4">
        <w:rPr>
          <w:rFonts w:ascii="Times New Roman" w:eastAsia="Times New Roman" w:hAnsi="Times New Roman" w:cs="Times New Roman"/>
          <w:lang w:val="sr-Latn-ME" w:eastAsia="en-GB"/>
        </w:rPr>
        <w:t xml:space="preserve"> (енгл. severe cutaneous adverse reactions, SCARs), укључујући </w:t>
      </w:r>
      <w:r w:rsidRPr="000C28F4">
        <w:rPr>
          <w:rFonts w:ascii="Times New Roman" w:eastAsia="Times New Roman" w:hAnsi="Times New Roman" w:cs="Times New Roman"/>
          <w:lang w:val="en-US" w:eastAsia="en-GB"/>
        </w:rPr>
        <w:t>Stevens</w:t>
      </w:r>
      <w:r w:rsidRPr="000C28F4">
        <w:rPr>
          <w:rFonts w:ascii="Times New Roman" w:eastAsia="Times New Roman" w:hAnsi="Times New Roman" w:cs="Times New Roman"/>
          <w:lang w:val="mk-MK" w:eastAsia="en-GB"/>
        </w:rPr>
        <w:t xml:space="preserve"> </w:t>
      </w:r>
      <w:r w:rsidRPr="000C28F4">
        <w:rPr>
          <w:rFonts w:ascii="Times New Roman" w:eastAsia="Times New Roman" w:hAnsi="Times New Roman" w:cs="Times New Roman"/>
          <w:lang w:val="en-US" w:eastAsia="en-GB"/>
        </w:rPr>
        <w:t>–</w:t>
      </w:r>
      <w:r w:rsidRPr="000C28F4">
        <w:rPr>
          <w:rFonts w:ascii="Times New Roman" w:eastAsia="Times New Roman" w:hAnsi="Times New Roman" w:cs="Times New Roman"/>
          <w:lang w:val="mk-MK" w:eastAsia="en-GB"/>
        </w:rPr>
        <w:t xml:space="preserve"> </w:t>
      </w:r>
      <w:r w:rsidRPr="000C28F4">
        <w:rPr>
          <w:rFonts w:ascii="Times New Roman" w:eastAsia="Times New Roman" w:hAnsi="Times New Roman" w:cs="Times New Roman"/>
          <w:lang w:val="en-US" w:eastAsia="en-GB"/>
        </w:rPr>
        <w:t>Johnson-</w:t>
      </w:r>
      <w:r w:rsidRPr="000C28F4">
        <w:rPr>
          <w:rFonts w:ascii="Times New Roman" w:eastAsia="Times New Roman" w:hAnsi="Times New Roman" w:cs="Times New Roman"/>
          <w:lang w:val="mk-MK" w:eastAsia="en-GB"/>
        </w:rPr>
        <w:t>ов</w:t>
      </w:r>
      <w:r w:rsidRPr="000C28F4">
        <w:rPr>
          <w:rFonts w:ascii="Times New Roman" w:eastAsia="Times New Roman" w:hAnsi="Times New Roman" w:cs="Times New Roman"/>
          <w:lang w:val="sr-Latn-ME" w:eastAsia="en-GB"/>
        </w:rPr>
        <w:t xml:space="preserve"> синдром (СЈС), токсичну епидермалну некролизу (ТЕН), реакцију на лијек с</w:t>
      </w:r>
      <w:r w:rsidR="00A2295B" w:rsidRPr="000C28F4">
        <w:rPr>
          <w:rFonts w:ascii="Times New Roman" w:eastAsia="Times New Roman" w:hAnsi="Times New Roman" w:cs="Times New Roman"/>
          <w:lang w:val="sr-Cyrl-RS" w:eastAsia="en-GB"/>
        </w:rPr>
        <w:t>а</w:t>
      </w:r>
      <w:r w:rsidRPr="000C28F4">
        <w:rPr>
          <w:rFonts w:ascii="Times New Roman" w:eastAsia="Times New Roman" w:hAnsi="Times New Roman" w:cs="Times New Roman"/>
          <w:lang w:val="sr-Latn-ME" w:eastAsia="en-GB"/>
        </w:rPr>
        <w:t xml:space="preserve"> еозинофилијом и системским симптомима (енгл.</w:t>
      </w:r>
      <w:r w:rsidRPr="000C28F4">
        <w:rPr>
          <w:rFonts w:ascii="Times New Roman" w:eastAsia="Times New Roman" w:hAnsi="Times New Roman" w:cs="Times New Roman"/>
          <w:lang w:val="mk-MK" w:eastAsia="en-GB"/>
        </w:rPr>
        <w:t xml:space="preserve"> </w:t>
      </w:r>
      <w:r w:rsidRPr="000C28F4">
        <w:rPr>
          <w:rFonts w:ascii="Times New Roman" w:eastAsia="Times New Roman" w:hAnsi="Times New Roman" w:cs="Times New Roman"/>
          <w:lang w:val="en-US" w:eastAsia="en-GB"/>
        </w:rPr>
        <w:t>drug reaction with eosinophilia and systemic symptoms, DRESS)</w:t>
      </w:r>
      <w:r w:rsidRPr="000C28F4">
        <w:rPr>
          <w:rFonts w:ascii="Times New Roman" w:eastAsia="Times New Roman" w:hAnsi="Times New Roman" w:cs="Times New Roman"/>
          <w:lang w:val="sr-Latn-ME" w:eastAsia="en-GB"/>
        </w:rPr>
        <w:t xml:space="preserve"> и акутну генерализ</w:t>
      </w:r>
      <w:r w:rsidR="00A2295B" w:rsidRPr="000C28F4">
        <w:rPr>
          <w:rFonts w:ascii="Times New Roman" w:eastAsia="Times New Roman" w:hAnsi="Times New Roman" w:cs="Times New Roman"/>
          <w:lang w:val="sr-Cyrl-RS" w:eastAsia="en-GB"/>
        </w:rPr>
        <w:t>ов</w:t>
      </w:r>
      <w:r w:rsidRPr="000C28F4">
        <w:rPr>
          <w:rFonts w:ascii="Times New Roman" w:eastAsia="Times New Roman" w:hAnsi="Times New Roman" w:cs="Times New Roman"/>
          <w:lang w:val="sr-Latn-ME" w:eastAsia="en-GB"/>
        </w:rPr>
        <w:t>ану егзантематозну пустулозу (АГЕП), забиљежене су у вези с</w:t>
      </w:r>
      <w:r w:rsidR="00A2295B" w:rsidRPr="000C28F4">
        <w:rPr>
          <w:rFonts w:ascii="Times New Roman" w:eastAsia="Times New Roman" w:hAnsi="Times New Roman" w:cs="Times New Roman"/>
          <w:lang w:val="sr-Cyrl-RS" w:eastAsia="en-GB"/>
        </w:rPr>
        <w:t>а</w:t>
      </w:r>
      <w:r w:rsidRPr="000C28F4">
        <w:rPr>
          <w:rFonts w:ascii="Times New Roman" w:eastAsia="Times New Roman" w:hAnsi="Times New Roman" w:cs="Times New Roman"/>
          <w:lang w:val="sr-Latn-ME" w:eastAsia="en-GB"/>
        </w:rPr>
        <w:t xml:space="preserve"> лијечењем</w:t>
      </w:r>
      <w:r w:rsidRPr="000C28F4">
        <w:rPr>
          <w:rFonts w:ascii="Times New Roman" w:eastAsia="Times New Roman" w:hAnsi="Times New Roman" w:cs="Times New Roman"/>
          <w:lang w:val="mk-MK" w:eastAsia="en-GB"/>
        </w:rPr>
        <w:t xml:space="preserve"> </w:t>
      </w:r>
      <w:r w:rsidRPr="000C28F4">
        <w:rPr>
          <w:rFonts w:ascii="Times New Roman" w:eastAsia="Times New Roman" w:hAnsi="Times New Roman" w:cs="Times New Roman"/>
          <w:lang w:val="sr-Latn-ME" w:eastAsia="en-GB"/>
        </w:rPr>
        <w:t>омепразолом (</w:t>
      </w:r>
      <w:r w:rsidRPr="000C28F4">
        <w:rPr>
          <w:rFonts w:ascii="Times New Roman" w:eastAsia="Times New Roman" w:hAnsi="Times New Roman" w:cs="Times New Roman"/>
          <w:lang w:val="mk-MK" w:eastAsia="en-GB"/>
        </w:rPr>
        <w:t>погледа</w:t>
      </w:r>
      <w:r w:rsidRPr="000C28F4">
        <w:rPr>
          <w:rFonts w:ascii="Times New Roman" w:eastAsia="Times New Roman" w:hAnsi="Times New Roman" w:cs="Times New Roman"/>
          <w:lang w:val="sr-Latn-ME" w:eastAsia="en-GB"/>
        </w:rPr>
        <w:t>ти дио 4.4.)</w:t>
      </w: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Табеларни приказ нежељених дејстава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Сљедећа </w:t>
      </w:r>
      <w:r w:rsidRPr="000C28F4">
        <w:rPr>
          <w:rFonts w:ascii="Times New Roman" w:eastAsia="Times New Roman" w:hAnsi="Times New Roman" w:cs="Times New Roman"/>
          <w:lang w:val="sr-Latn-ME" w:eastAsia="en-GB"/>
        </w:rPr>
        <w:t xml:space="preserve">нежељена дејства </w:t>
      </w:r>
      <w:r w:rsidRPr="000C28F4">
        <w:rPr>
          <w:rFonts w:ascii="Times New Roman" w:eastAsia="Times New Roman" w:hAnsi="Times New Roman" w:cs="Times New Roman"/>
          <w:lang w:val="sr-Latn-ME"/>
        </w:rPr>
        <w:t xml:space="preserve">су идентификована или су суспектна, према клиничким испитивањима и постмаркетиншком искуству за омепразол. Ниједно није дозно зависно. </w:t>
      </w:r>
      <w:r w:rsidRPr="000C28F4">
        <w:rPr>
          <w:rFonts w:ascii="Times New Roman" w:eastAsia="Times New Roman" w:hAnsi="Times New Roman" w:cs="Times New Roman"/>
          <w:lang w:val="sr-Latn-ME" w:eastAsia="en-GB"/>
        </w:rPr>
        <w:t xml:space="preserve">Нежељена дејства </w:t>
      </w:r>
      <w:r w:rsidRPr="000C28F4">
        <w:rPr>
          <w:rFonts w:ascii="Times New Roman" w:eastAsia="Times New Roman" w:hAnsi="Times New Roman" w:cs="Times New Roman"/>
          <w:lang w:val="sr-Latn-ME"/>
        </w:rPr>
        <w:t xml:space="preserve">која су наведена у наставку категоризована су према MedDRA класификацији органских система.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Нежељена дејства су рангирана према учесталости јављања на сљедећи начин: веома чест</w:t>
      </w:r>
      <w:r w:rsidR="007C0A11">
        <w:rPr>
          <w:rFonts w:ascii="Times New Roman" w:eastAsia="Times New Roman" w:hAnsi="Times New Roman" w:cs="Times New Roman"/>
        </w:rPr>
        <w:t>о</w:t>
      </w:r>
      <w:r w:rsidRPr="000C28F4">
        <w:rPr>
          <w:rFonts w:ascii="Times New Roman" w:eastAsia="Times New Roman" w:hAnsi="Times New Roman" w:cs="Times New Roman"/>
          <w:lang w:val="sr-Latn-ME"/>
        </w:rPr>
        <w:t xml:space="preserve"> (≥10); чест</w:t>
      </w:r>
      <w:r w:rsidR="007C0A11">
        <w:rPr>
          <w:rFonts w:ascii="Times New Roman" w:eastAsia="Times New Roman" w:hAnsi="Times New Roman" w:cs="Times New Roman"/>
        </w:rPr>
        <w:t>о</w:t>
      </w:r>
      <w:r w:rsidRPr="000C28F4">
        <w:rPr>
          <w:rFonts w:ascii="Times New Roman" w:eastAsia="Times New Roman" w:hAnsi="Times New Roman" w:cs="Times New Roman"/>
          <w:lang w:val="sr-Latn-ME"/>
        </w:rPr>
        <w:t xml:space="preserve"> (≥ 1/100 до &lt;1/10); повремен</w:t>
      </w:r>
      <w:r w:rsidR="007C0A11">
        <w:rPr>
          <w:rFonts w:ascii="Times New Roman" w:eastAsia="Times New Roman" w:hAnsi="Times New Roman" w:cs="Times New Roman"/>
        </w:rPr>
        <w:t>о</w:t>
      </w:r>
      <w:r w:rsidRPr="000C28F4">
        <w:rPr>
          <w:rFonts w:ascii="Times New Roman" w:eastAsia="Times New Roman" w:hAnsi="Times New Roman" w:cs="Times New Roman"/>
          <w:lang w:val="sr-Latn-ME"/>
        </w:rPr>
        <w:t xml:space="preserve"> (≥ 1/1000 до &lt; 1/100); ријетк</w:t>
      </w:r>
      <w:r w:rsidR="007C0A11">
        <w:rPr>
          <w:rFonts w:ascii="Times New Roman" w:eastAsia="Times New Roman" w:hAnsi="Times New Roman" w:cs="Times New Roman"/>
        </w:rPr>
        <w:t>о</w:t>
      </w:r>
      <w:r w:rsidRPr="000C28F4">
        <w:rPr>
          <w:rFonts w:ascii="Times New Roman" w:eastAsia="Times New Roman" w:hAnsi="Times New Roman" w:cs="Times New Roman"/>
          <w:lang w:val="sr-Latn-ME"/>
        </w:rPr>
        <w:t xml:space="preserve">  (≥ 1/10000 до &lt; 1/1000); веома ријетк</w:t>
      </w:r>
      <w:r w:rsidR="007C0A11">
        <w:rPr>
          <w:rFonts w:ascii="Times New Roman" w:eastAsia="Times New Roman" w:hAnsi="Times New Roman" w:cs="Times New Roman"/>
        </w:rPr>
        <w:t>о</w:t>
      </w:r>
      <w:r w:rsidRPr="000C28F4">
        <w:rPr>
          <w:rFonts w:ascii="Times New Roman" w:eastAsia="Times New Roman" w:hAnsi="Times New Roman" w:cs="Times New Roman"/>
          <w:lang w:val="sr-Latn-ME"/>
        </w:rPr>
        <w:t xml:space="preserve"> (&lt; 1/10 000), непозната учесталост (не може се процијенити на основу доступних података).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457"/>
        <w:gridCol w:w="7154"/>
      </w:tblGrid>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b/>
                <w:bCs/>
                <w:lang w:val="sr-Latn-ME" w:eastAsia="en-GB"/>
              </w:rPr>
              <w:t>Органски системи/учесталост</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pPr>
              <w:tabs>
                <w:tab w:val="left" w:pos="284"/>
              </w:tabs>
              <w:spacing w:after="0" w:line="240" w:lineRule="auto"/>
              <w:jc w:val="both"/>
              <w:rPr>
                <w:rFonts w:ascii="Times New Roman" w:eastAsia="Times New Roman" w:hAnsi="Times New Roman" w:cs="Times New Roman"/>
                <w:b/>
                <w:lang w:val="sr-Latn-ME" w:eastAsia="en-GB"/>
              </w:rPr>
            </w:pPr>
            <w:r w:rsidRPr="000C28F4">
              <w:rPr>
                <w:rFonts w:ascii="Times New Roman" w:eastAsia="Times New Roman" w:hAnsi="Times New Roman" w:cs="Times New Roman"/>
                <w:b/>
                <w:lang w:val="sr-Latn-ME" w:eastAsia="en-GB"/>
              </w:rPr>
              <w:t>Нежељено дејство</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крви и лимфног система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 xml:space="preserve">: </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леукопенија, тромбоцитопенија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 xml:space="preserve">: </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агранулоцитоза, панцитопенија</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 xml:space="preserve">Поремећаји имунолошког система </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реакције преосјетљивости, нпр. грозница, ангиоедем и анафилактичке реакције/шок</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метаболизма и исхране</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Cyrl-RS" w:eastAsia="en-GB"/>
              </w:rPr>
              <w:t>х</w:t>
            </w:r>
            <w:r w:rsidRPr="000C28F4">
              <w:rPr>
                <w:rFonts w:ascii="Times New Roman" w:eastAsia="Times New Roman" w:hAnsi="Times New Roman" w:cs="Times New Roman"/>
                <w:lang w:val="sr-Latn-ME" w:eastAsia="en-GB"/>
              </w:rPr>
              <w:t>ипонатремија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непознато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color w:val="000000"/>
                <w:lang w:val="sr-Latn-ME"/>
              </w:rPr>
            </w:pPr>
            <w:r w:rsidRPr="000C28F4">
              <w:rPr>
                <w:rFonts w:ascii="Times New Roman" w:eastAsia="Times New Roman" w:hAnsi="Times New Roman" w:cs="Times New Roman"/>
                <w:lang w:val="sr-Latn-ME" w:eastAsia="en-GB"/>
              </w:rPr>
              <w:t xml:space="preserve">хипомагнеземија; </w:t>
            </w:r>
            <w:r w:rsidRPr="000C28F4">
              <w:rPr>
                <w:rFonts w:ascii="Times New Roman" w:eastAsia="Times New Roman" w:hAnsi="Times New Roman" w:cs="Times New Roman"/>
                <w:color w:val="222222"/>
                <w:lang w:val="sr-Latn-ME"/>
              </w:rPr>
              <w:t>тешка хипомагнеземија може довести до хипокалцемије</w:t>
            </w:r>
            <w:r w:rsidRPr="000C28F4">
              <w:rPr>
                <w:rFonts w:ascii="Times New Roman" w:eastAsia="Times New Roman" w:hAnsi="Times New Roman" w:cs="Times New Roman"/>
                <w:color w:val="000000"/>
                <w:lang w:val="sr-Latn-ME"/>
              </w:rPr>
              <w:t>.</w:t>
            </w:r>
          </w:p>
          <w:p w:rsidR="0044347E" w:rsidRPr="000C28F4" w:rsidRDefault="0044347E">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хипомагнеземија исто тако може бити праћена хипокалемијом</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Психијатријски поремећаји</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Cyrl-RS" w:eastAsia="en-GB"/>
              </w:rPr>
              <w:t>и</w:t>
            </w:r>
            <w:r w:rsidRPr="000C28F4">
              <w:rPr>
                <w:rFonts w:ascii="Times New Roman" w:eastAsia="Times New Roman" w:hAnsi="Times New Roman" w:cs="Times New Roman"/>
                <w:lang w:val="sr-Latn-ME" w:eastAsia="en-GB"/>
              </w:rPr>
              <w:t>нсомнија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агитација, збуњеност, депресија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агресија, халуцинације</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lastRenderedPageBreak/>
              <w:t>Поремећаји нервног система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често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главобоља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 xml:space="preserve">вртоглавица, парестезија, сомноленција </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поремећај укуса</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ока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замућен вид</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уха и лабиринта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вертиго</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 xml:space="preserve">Респираторни, торакални и медијастинални поремећаји </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бронхоспазам</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Гастроинтестинални поремећаји</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често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 xml:space="preserve">болови у стомаку, затвор, пролив, надутост, мучнина/повраћање, полипи жлијезда у фундусу (бенигни) </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сува уста, стоматитис, гастроинтестинална кандидијаза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color w:val="000000"/>
                <w:lang w:val="sr-Latn-ME"/>
              </w:rPr>
              <w:t>непознато:</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color w:val="000000"/>
                <w:lang w:val="sr-Latn-ME"/>
              </w:rPr>
              <w:t xml:space="preserve">микроскопски колитис </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Хепатобилијарни поремећаји</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повишени ензими јетре</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хепатитис са жутицом или без ње</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инсуфицијенција јетре, енцефалопатија код пацијената са већ постојећом болести јетре</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коже и поткожног ткива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дерматитис, пруритус, осип, уртикарија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en-US" w:eastAsia="en-GB"/>
              </w:rPr>
            </w:pPr>
            <w:r w:rsidRPr="000C28F4">
              <w:rPr>
                <w:rFonts w:ascii="Times New Roman" w:eastAsia="Times New Roman" w:hAnsi="Times New Roman" w:cs="Times New Roman"/>
                <w:lang w:val="sr-Latn-ME" w:eastAsia="en-GB"/>
              </w:rPr>
              <w:t>алопеција, фотосензитивност</w:t>
            </w:r>
            <w:r w:rsidR="00DD35ED" w:rsidRPr="000C28F4">
              <w:rPr>
                <w:rFonts w:ascii="Times New Roman" w:eastAsia="Times New Roman" w:hAnsi="Times New Roman" w:cs="Times New Roman"/>
                <w:lang w:val="mk-MK" w:eastAsia="en-GB"/>
              </w:rPr>
              <w:t xml:space="preserve">, </w:t>
            </w:r>
            <w:r w:rsidR="00DD35ED" w:rsidRPr="000C28F4">
              <w:rPr>
                <w:rFonts w:ascii="Times New Roman" w:eastAsia="Times New Roman" w:hAnsi="Times New Roman" w:cs="Times New Roman"/>
                <w:lang w:val="sr-Latn-ME" w:eastAsia="en-GB"/>
              </w:rPr>
              <w:t>акутн</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sr-Latn-ME" w:eastAsia="en-GB"/>
              </w:rPr>
              <w:t xml:space="preserve"> генерализ</w:t>
            </w:r>
            <w:r w:rsidR="00A2295B" w:rsidRPr="000C28F4">
              <w:rPr>
                <w:rFonts w:ascii="Times New Roman" w:eastAsia="Times New Roman" w:hAnsi="Times New Roman" w:cs="Times New Roman"/>
                <w:lang w:val="sr-Cyrl-RS" w:eastAsia="en-GB"/>
              </w:rPr>
              <w:t>ов</w:t>
            </w:r>
            <w:r w:rsidR="00DD35ED" w:rsidRPr="000C28F4">
              <w:rPr>
                <w:rFonts w:ascii="Times New Roman" w:eastAsia="Times New Roman" w:hAnsi="Times New Roman" w:cs="Times New Roman"/>
                <w:lang w:val="sr-Latn-ME" w:eastAsia="en-GB"/>
              </w:rPr>
              <w:t>ан</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sr-Latn-ME" w:eastAsia="en-GB"/>
              </w:rPr>
              <w:t xml:space="preserve"> егзантематозн</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sr-Latn-ME" w:eastAsia="en-GB"/>
              </w:rPr>
              <w:t xml:space="preserve"> пустулоз</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mk-MK" w:eastAsia="en-GB"/>
              </w:rPr>
              <w:t xml:space="preserve"> (АГЕП), </w:t>
            </w:r>
            <w:r w:rsidR="00DD35ED" w:rsidRPr="000C28F4">
              <w:rPr>
                <w:rFonts w:ascii="Times New Roman" w:eastAsia="Times New Roman" w:hAnsi="Times New Roman" w:cs="Times New Roman"/>
                <w:lang w:val="sr-Latn-ME" w:eastAsia="en-GB"/>
              </w:rPr>
              <w:t>реакциј</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sr-Latn-ME" w:eastAsia="en-GB"/>
              </w:rPr>
              <w:t xml:space="preserve"> на лијек с</w:t>
            </w:r>
            <w:r w:rsidR="00A2295B" w:rsidRPr="000C28F4">
              <w:rPr>
                <w:rFonts w:ascii="Times New Roman" w:eastAsia="Times New Roman" w:hAnsi="Times New Roman" w:cs="Times New Roman"/>
                <w:lang w:val="sr-Cyrl-RS" w:eastAsia="en-GB"/>
              </w:rPr>
              <w:t>а</w:t>
            </w:r>
            <w:r w:rsidR="00DD35ED" w:rsidRPr="000C28F4">
              <w:rPr>
                <w:rFonts w:ascii="Times New Roman" w:eastAsia="Times New Roman" w:hAnsi="Times New Roman" w:cs="Times New Roman"/>
                <w:lang w:val="sr-Latn-ME" w:eastAsia="en-GB"/>
              </w:rPr>
              <w:t xml:space="preserve"> еозинофилијом и системским симптомима</w:t>
            </w:r>
            <w:r w:rsidR="00DD35ED" w:rsidRPr="000C28F4">
              <w:rPr>
                <w:rFonts w:ascii="Times New Roman" w:eastAsia="Times New Roman" w:hAnsi="Times New Roman" w:cs="Times New Roman"/>
                <w:lang w:val="mk-MK" w:eastAsia="en-GB"/>
              </w:rPr>
              <w:t xml:space="preserve"> (</w:t>
            </w:r>
            <w:r w:rsidR="00DD35ED" w:rsidRPr="000C28F4">
              <w:rPr>
                <w:rFonts w:ascii="Times New Roman" w:eastAsia="Times New Roman" w:hAnsi="Times New Roman" w:cs="Times New Roman"/>
                <w:lang w:val="en-US" w:eastAsia="en-GB"/>
              </w:rPr>
              <w:t>DRESS)</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еритема мултиформе, St</w:t>
            </w:r>
            <w:r w:rsidR="00DD35ED" w:rsidRPr="000C28F4">
              <w:rPr>
                <w:rFonts w:ascii="Times New Roman" w:eastAsia="Times New Roman" w:hAnsi="Times New Roman" w:cs="Times New Roman"/>
                <w:lang w:val="sr-Latn-ME" w:eastAsia="en-GB"/>
              </w:rPr>
              <w:t>e</w:t>
            </w:r>
            <w:r w:rsidRPr="000C28F4">
              <w:rPr>
                <w:rFonts w:ascii="Times New Roman" w:eastAsia="Times New Roman" w:hAnsi="Times New Roman" w:cs="Times New Roman"/>
                <w:lang w:val="sr-Latn-ME" w:eastAsia="en-GB"/>
              </w:rPr>
              <w:t>vnes‒Johnson-ов синдром, токсична епидермална некролиза (ТЕН)</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Cyrl-RS" w:eastAsia="en-GB"/>
              </w:rPr>
              <w:t>н</w:t>
            </w:r>
            <w:r w:rsidRPr="000C28F4">
              <w:rPr>
                <w:rFonts w:ascii="Times New Roman" w:eastAsia="Times New Roman" w:hAnsi="Times New Roman" w:cs="Times New Roman"/>
                <w:lang w:val="sr-Latn-ME" w:eastAsia="en-GB"/>
              </w:rPr>
              <w:t>епознато</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субакутни кожни лупус еритематозус (</w:t>
            </w:r>
            <w:r w:rsidRPr="000C28F4">
              <w:rPr>
                <w:rFonts w:ascii="Times New Roman" w:eastAsia="Times New Roman" w:hAnsi="Times New Roman" w:cs="Times New Roman"/>
                <w:lang w:val="sr-Cyrl-RS" w:eastAsia="en-GB"/>
              </w:rPr>
              <w:t>погледати дио</w:t>
            </w:r>
            <w:r w:rsidRPr="000C28F4">
              <w:rPr>
                <w:rFonts w:ascii="Times New Roman" w:eastAsia="Times New Roman" w:hAnsi="Times New Roman" w:cs="Times New Roman"/>
                <w:lang w:val="sr-Latn-ME" w:eastAsia="en-GB"/>
              </w:rPr>
              <w:t xml:space="preserve"> 4.4)</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мишићно-коштаног система и везивног ткива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повремено:</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color w:val="222222"/>
                <w:lang w:val="sr-Latn-ME"/>
              </w:rPr>
              <w:t>фрактуре кука, ручног зглоба или кичме</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артралгија, миалгија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мишићна слабост</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бубрега и уринарног система</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lastRenderedPageBreak/>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mk-MK" w:eastAsia="en-GB"/>
              </w:rPr>
            </w:pPr>
            <w:r w:rsidRPr="000C28F4">
              <w:rPr>
                <w:rFonts w:ascii="Times New Roman" w:eastAsia="Times New Roman" w:hAnsi="Times New Roman" w:cs="Times New Roman"/>
                <w:lang w:val="mk-MK" w:eastAsia="en-GB"/>
              </w:rPr>
              <w:t>тубуло</w:t>
            </w:r>
            <w:r w:rsidRPr="000C28F4">
              <w:rPr>
                <w:rFonts w:ascii="Times New Roman" w:eastAsia="Times New Roman" w:hAnsi="Times New Roman" w:cs="Times New Roman"/>
                <w:lang w:val="sr-Latn-ME" w:eastAsia="en-GB"/>
              </w:rPr>
              <w:t>интерстицијални нефритис</w:t>
            </w:r>
            <w:r w:rsidRPr="000C28F4">
              <w:rPr>
                <w:rFonts w:ascii="Times New Roman" w:eastAsia="Times New Roman" w:hAnsi="Times New Roman" w:cs="Times New Roman"/>
                <w:lang w:val="mk-MK" w:eastAsia="en-GB"/>
              </w:rPr>
              <w:t xml:space="preserve"> (са могу</w:t>
            </w:r>
            <w:r w:rsidRPr="000C28F4">
              <w:rPr>
                <w:rFonts w:ascii="Times New Roman" w:eastAsia="Times New Roman" w:hAnsi="Times New Roman" w:cs="Times New Roman"/>
                <w:color w:val="222222"/>
                <w:lang w:val="sr-Latn-ME"/>
              </w:rPr>
              <w:t>ћ</w:t>
            </w:r>
            <w:r w:rsidR="00A2295B" w:rsidRPr="000C28F4">
              <w:rPr>
                <w:rFonts w:ascii="Times New Roman" w:eastAsia="Times New Roman" w:hAnsi="Times New Roman" w:cs="Times New Roman"/>
                <w:color w:val="222222"/>
                <w:lang w:val="sr-Cyrl-RS"/>
              </w:rPr>
              <w:t>и</w:t>
            </w:r>
            <w:r w:rsidR="00750529" w:rsidRPr="000C28F4">
              <w:rPr>
                <w:rFonts w:ascii="Times New Roman" w:eastAsia="Times New Roman" w:hAnsi="Times New Roman" w:cs="Times New Roman"/>
                <w:color w:val="222222"/>
                <w:lang w:val="sr-Cyrl-RS"/>
              </w:rPr>
              <w:t>м</w:t>
            </w:r>
            <w:r w:rsidRPr="000C28F4">
              <w:rPr>
                <w:rFonts w:ascii="Times New Roman" w:eastAsia="Times New Roman" w:hAnsi="Times New Roman" w:cs="Times New Roman"/>
                <w:color w:val="222222"/>
                <w:lang w:val="mk-MK"/>
              </w:rPr>
              <w:t xml:space="preserve"> </w:t>
            </w:r>
            <w:r w:rsidR="00A2295B" w:rsidRPr="000C28F4">
              <w:rPr>
                <w:rFonts w:ascii="Times New Roman" w:eastAsia="Times New Roman" w:hAnsi="Times New Roman" w:cs="Times New Roman"/>
                <w:color w:val="222222"/>
                <w:lang w:val="mk-MK"/>
              </w:rPr>
              <w:t>напредовањем</w:t>
            </w:r>
            <w:r w:rsidRPr="000C28F4">
              <w:rPr>
                <w:rFonts w:ascii="Times New Roman" w:eastAsia="Times New Roman" w:hAnsi="Times New Roman" w:cs="Times New Roman"/>
                <w:color w:val="222222"/>
                <w:lang w:val="mk-MK"/>
              </w:rPr>
              <w:t xml:space="preserve"> до </w:t>
            </w:r>
            <w:r w:rsidR="00A32903" w:rsidRPr="000C28F4">
              <w:rPr>
                <w:rFonts w:ascii="Times New Roman" w:eastAsia="Times New Roman" w:hAnsi="Times New Roman" w:cs="Times New Roman"/>
                <w:color w:val="222222"/>
                <w:lang w:val="mk-MK"/>
              </w:rPr>
              <w:t>инсуфцијенције</w:t>
            </w:r>
            <w:r w:rsidRPr="000C28F4">
              <w:rPr>
                <w:rFonts w:ascii="Times New Roman" w:eastAsia="Times New Roman" w:hAnsi="Times New Roman" w:cs="Times New Roman"/>
                <w:color w:val="222222"/>
                <w:lang w:val="mk-MK"/>
              </w:rPr>
              <w:t xml:space="preserve"> бубрега)</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spacing w:after="0" w:line="240" w:lineRule="auto"/>
              <w:jc w:val="both"/>
              <w:rPr>
                <w:rFonts w:ascii="Times New Roman" w:eastAsia="Times New Roman" w:hAnsi="Times New Roman" w:cs="Times New Roman"/>
                <w:b/>
                <w:noProof/>
                <w:lang w:val="sr-Latn-ME"/>
              </w:rPr>
            </w:pPr>
            <w:r w:rsidRPr="000C28F4">
              <w:rPr>
                <w:rFonts w:ascii="Times New Roman" w:eastAsia="Times New Roman" w:hAnsi="Times New Roman" w:cs="Times New Roman"/>
                <w:b/>
                <w:noProof/>
                <w:lang w:val="sr-Latn-ME"/>
              </w:rPr>
              <w:t>Поремећаји репродуктивног система и дојки</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веома 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Cyrl-RS" w:eastAsia="en-GB"/>
              </w:rPr>
              <w:t>г</w:t>
            </w:r>
            <w:r w:rsidRPr="000C28F4">
              <w:rPr>
                <w:rFonts w:ascii="Times New Roman" w:eastAsia="Times New Roman" w:hAnsi="Times New Roman" w:cs="Times New Roman"/>
                <w:lang w:val="sr-Latn-ME" w:eastAsia="en-GB"/>
              </w:rPr>
              <w:t>инекомастија</w:t>
            </w:r>
          </w:p>
        </w:tc>
      </w:tr>
      <w:tr w:rsidR="0044347E" w:rsidRPr="000C28F4" w:rsidTr="00716FC3">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b/>
                <w:lang w:val="sr-Latn-ME" w:eastAsia="en-GB"/>
              </w:rPr>
            </w:pPr>
            <w:r w:rsidRPr="000C28F4">
              <w:rPr>
                <w:rFonts w:ascii="Times New Roman" w:eastAsia="Times New Roman" w:hAnsi="Times New Roman" w:cs="Times New Roman"/>
                <w:b/>
                <w:noProof/>
                <w:lang w:val="sr-Latn-ME"/>
              </w:rPr>
              <w:t xml:space="preserve">Општи поремећаји и реакције на мјесту примјене  </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повремено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малаксалост, периферни едеми</w:t>
            </w:r>
          </w:p>
        </w:tc>
      </w:tr>
      <w:tr w:rsidR="0044347E" w:rsidRPr="000C28F4" w:rsidTr="00716FC3">
        <w:trPr>
          <w:tblCellSpacing w:w="0" w:type="dxa"/>
        </w:trPr>
        <w:tc>
          <w:tcPr>
            <w:tcW w:w="1278" w:type="pct"/>
            <w:tcBorders>
              <w:top w:val="outset" w:sz="6" w:space="0" w:color="auto"/>
              <w:left w:val="outset" w:sz="6" w:space="0" w:color="auto"/>
              <w:bottom w:val="outset" w:sz="6" w:space="0" w:color="auto"/>
              <w:right w:val="outset" w:sz="6" w:space="0" w:color="auto"/>
            </w:tcBorders>
          </w:tcPr>
          <w:p w:rsidR="0044347E" w:rsidRPr="000C28F4" w:rsidRDefault="0044347E" w:rsidP="000C28F4">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ријетко</w:t>
            </w:r>
            <w:r w:rsidRPr="000C28F4">
              <w:rPr>
                <w:rFonts w:ascii="Times New Roman" w:eastAsia="Times New Roman" w:hAnsi="Times New Roman" w:cs="Times New Roman"/>
                <w:lang w:val="sr-Latn-ME" w:eastAsia="en-GB"/>
              </w:rPr>
              <w:t>:</w:t>
            </w:r>
          </w:p>
        </w:tc>
        <w:tc>
          <w:tcPr>
            <w:tcW w:w="3722" w:type="pct"/>
            <w:tcBorders>
              <w:top w:val="outset" w:sz="6" w:space="0" w:color="auto"/>
              <w:left w:val="outset" w:sz="6" w:space="0" w:color="auto"/>
              <w:bottom w:val="outset" w:sz="6" w:space="0" w:color="auto"/>
              <w:right w:val="outset" w:sz="6" w:space="0" w:color="auto"/>
            </w:tcBorders>
          </w:tcPr>
          <w:p w:rsidR="0044347E" w:rsidRPr="000C28F4" w:rsidRDefault="0044347E"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eastAsia="en-GB"/>
              </w:rPr>
              <w:t>повећано знојење</w:t>
            </w:r>
          </w:p>
        </w:tc>
      </w:tr>
    </w:tbl>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Педијатријска популација</w:t>
      </w: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eastAsia="en-GB"/>
        </w:rPr>
      </w:pPr>
      <w:r w:rsidRPr="000C28F4">
        <w:rPr>
          <w:rFonts w:ascii="Times New Roman" w:eastAsia="Times New Roman" w:hAnsi="Times New Roman" w:cs="Times New Roman"/>
          <w:lang w:val="sr-Latn-ME"/>
        </w:rPr>
        <w:t>Безбједност примјене омепразола процијењена је на укупно 310 дјеце, узраста од 0 до 16 година. Постоје ограничени подаци о дугорочној употреби лијека код 46 пацијената, обољелих од тешког ерозивног езофагитиса који су дуготрајно примали омепразол у току трајања клиничке студије до 749 дана. Профил појаве нежељених дејстава углавном је исти као и за одрасле и код краткотрајног и код дуготрајног лијечења. Нема података о дугорочним ефектима лијечења омепразолом на пубертет и раст.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Пријављивање сумњи на нежељена дејства</w:t>
      </w: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Pr="000C28F4">
        <w:rPr>
          <w:rFonts w:ascii="Times New Roman" w:eastAsia="Times New Roman" w:hAnsi="Times New Roman" w:cs="Times New Roman"/>
          <w:lang w:val="sr-Cyrl-RS"/>
        </w:rPr>
        <w:t>Институту</w:t>
      </w:r>
      <w:r w:rsidRPr="000C28F4">
        <w:rPr>
          <w:rFonts w:ascii="Times New Roman" w:eastAsia="Times New Roman" w:hAnsi="Times New Roman" w:cs="Times New Roman"/>
          <w:lang w:val="sr-Latn-ME"/>
        </w:rPr>
        <w:t xml:space="preserve"> за љекове и медицинска средства (CInMED):</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Cyrl-RS"/>
        </w:rPr>
        <w:t>Институт</w:t>
      </w:r>
      <w:r w:rsidRPr="000C28F4">
        <w:rPr>
          <w:rFonts w:ascii="Times New Roman" w:eastAsia="Times New Roman" w:hAnsi="Times New Roman" w:cs="Times New Roman"/>
          <w:lang w:val="sr-Latn-ME"/>
        </w:rPr>
        <w:t xml:space="preserve"> за љекове и медицинска средства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Одјељење за фармаковигиланцу</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Булевар Ивана Црнојевића 64а, 81000 Подгорица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тел: +382 (0) 20 310 280</w:t>
      </w:r>
    </w:p>
    <w:p w:rsidR="00233AC6" w:rsidRPr="000C28F4" w:rsidRDefault="00233AC6">
      <w:pPr>
        <w:tabs>
          <w:tab w:val="left" w:pos="284"/>
        </w:tabs>
        <w:spacing w:after="0" w:line="240" w:lineRule="auto"/>
        <w:jc w:val="both"/>
        <w:rPr>
          <w:rFonts w:ascii="Times New Roman" w:eastAsia="Times New Roman" w:hAnsi="Times New Roman" w:cs="Times New Roman"/>
          <w:lang w:val="en-US"/>
        </w:rPr>
      </w:pPr>
      <w:r w:rsidRPr="000C28F4">
        <w:rPr>
          <w:rFonts w:ascii="Times New Roman" w:eastAsia="Times New Roman" w:hAnsi="Times New Roman" w:cs="Times New Roman"/>
          <w:lang w:val="sr-Latn-ME"/>
        </w:rPr>
        <w:t>фаx:+382 (0) 20 310 581</w:t>
      </w:r>
    </w:p>
    <w:p w:rsidR="00233AC6" w:rsidRPr="000C28F4" w:rsidRDefault="00BB3175">
      <w:pPr>
        <w:tabs>
          <w:tab w:val="left" w:pos="284"/>
        </w:tabs>
        <w:spacing w:after="0" w:line="240" w:lineRule="auto"/>
        <w:jc w:val="both"/>
        <w:rPr>
          <w:rFonts w:ascii="Times New Roman" w:eastAsia="Times New Roman" w:hAnsi="Times New Roman" w:cs="Times New Roman"/>
          <w:lang w:val="sr-Latn-ME"/>
        </w:rPr>
      </w:pPr>
      <w:hyperlink r:id="rId11" w:history="1">
        <w:r w:rsidR="00233AC6" w:rsidRPr="000C28F4">
          <w:rPr>
            <w:rStyle w:val="Hyperlink"/>
            <w:rFonts w:ascii="Times New Roman" w:eastAsia="Times New Roman" w:hAnsi="Times New Roman" w:cs="Times New Roman"/>
            <w:lang w:val="sr-Latn-ME"/>
          </w:rPr>
          <w:t>www.cinmed.mе</w:t>
        </w:r>
      </w:hyperlink>
    </w:p>
    <w:p w:rsidR="00233AC6" w:rsidRPr="000C28F4" w:rsidRDefault="00BB3175">
      <w:pPr>
        <w:tabs>
          <w:tab w:val="left" w:pos="284"/>
        </w:tabs>
        <w:spacing w:after="0" w:line="240" w:lineRule="auto"/>
        <w:jc w:val="both"/>
        <w:rPr>
          <w:rFonts w:ascii="Times New Roman" w:eastAsia="Times New Roman" w:hAnsi="Times New Roman" w:cs="Times New Roman"/>
          <w:lang w:val="sr-Latn-ME"/>
        </w:rPr>
      </w:pPr>
      <w:hyperlink r:id="rId12" w:history="1">
        <w:r w:rsidR="00233AC6" w:rsidRPr="000C28F4">
          <w:rPr>
            <w:rStyle w:val="Hyperlink"/>
            <w:rFonts w:ascii="Times New Roman" w:eastAsia="Times New Roman" w:hAnsi="Times New Roman" w:cs="Times New Roman"/>
            <w:lang w:val="sr-Latn-ME"/>
          </w:rPr>
          <w:t>nezeljenadejstva@cinmed.mе</w:t>
        </w:r>
      </w:hyperlink>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путем ИС здравствене заштите</w:t>
      </w:r>
    </w:p>
    <w:p w:rsidR="00233AC6" w:rsidRPr="000C28F4" w:rsidRDefault="00233AC6" w:rsidP="004C33B2">
      <w:pPr>
        <w:tabs>
          <w:tab w:val="left" w:pos="284"/>
          <w:tab w:val="center" w:pos="4320"/>
          <w:tab w:val="right" w:pos="8640"/>
        </w:tabs>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QR код за online пријаву сумње на нежељено дејство лијека:</w:t>
      </w:r>
    </w:p>
    <w:p w:rsidR="00525255" w:rsidRDefault="00233AC6" w:rsidP="000C28F4">
      <w:pPr>
        <w:jc w:val="both"/>
        <w:rPr>
          <w:rFonts w:ascii="Times New Roman" w:hAnsi="Times New Roman" w:cs="Times New Roman"/>
          <w:lang w:val="sr-Latn-ME"/>
        </w:rPr>
      </w:pPr>
      <w:r w:rsidRPr="000C28F4">
        <w:rPr>
          <w:rFonts w:ascii="Times New Roman" w:eastAsia="Calibri" w:hAnsi="Times New Roman" w:cs="Times New Roman"/>
          <w:noProof/>
          <w:lang w:val="en-US"/>
        </w:rPr>
        <w:drawing>
          <wp:inline distT="0" distB="0" distL="0" distR="0" wp14:anchorId="646C00D8" wp14:editId="1E695D79">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233AC6" w:rsidRDefault="00233AC6" w:rsidP="00E86DB9">
      <w:pPr>
        <w:spacing w:after="0" w:line="240" w:lineRule="auto"/>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 xml:space="preserve">4.9. </w:t>
      </w:r>
      <w:proofErr w:type="spellStart"/>
      <w:r w:rsidRPr="000C28F4">
        <w:rPr>
          <w:rFonts w:ascii="Times New Roman" w:eastAsia="Times New Roman" w:hAnsi="Times New Roman" w:cs="Times New Roman"/>
          <w:b/>
          <w:bCs/>
          <w:lang w:val="sr-Latn-ME"/>
        </w:rPr>
        <w:t>Предозирање</w:t>
      </w:r>
      <w:proofErr w:type="spellEnd"/>
    </w:p>
    <w:p w:rsidR="00E86DB9" w:rsidRPr="000C28F4" w:rsidRDefault="00E86DB9" w:rsidP="00E86DB9">
      <w:pPr>
        <w:spacing w:after="0" w:line="240" w:lineRule="auto"/>
        <w:jc w:val="both"/>
        <w:rPr>
          <w:rFonts w:ascii="Times New Roman" w:eastAsia="Times New Roman" w:hAnsi="Times New Roman" w:cs="Times New Roman"/>
          <w:b/>
          <w:bCs/>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Постоје ограничени подаци о ефектима предозирања омепразолом код људи. У литератури су описани случајеви предозирања при примјени доза до 560 mg, повремено су пријављени и случајеви у којима је појединачна орална доза достизала до 2400 mg oмепразола (120 пута већа доза од уобичајне препоручене дозе). Мучнина, повраћање, несвјестица, абдоминални бол, пролив и главобоља су пријављени као посљедица предозирања омепразолом. Такође, апатија, депресија и конфузија су пријављени као изоловани случајеви предозирања. </w:t>
      </w:r>
    </w:p>
    <w:p w:rsidR="00233AC6" w:rsidRPr="000C28F4" w:rsidRDefault="00233AC6">
      <w:pPr>
        <w:tabs>
          <w:tab w:val="left" w:pos="284"/>
        </w:tabs>
        <w:spacing w:after="0" w:line="240" w:lineRule="auto"/>
        <w:jc w:val="both"/>
        <w:outlineLvl w:val="0"/>
        <w:rPr>
          <w:rFonts w:ascii="Times New Roman" w:eastAsia="Times New Roman" w:hAnsi="Times New Roman" w:cs="Times New Roman"/>
          <w:noProof/>
          <w:lang w:val="sr-Latn-ME"/>
        </w:rPr>
      </w:pPr>
      <w:r w:rsidRPr="000C28F4">
        <w:rPr>
          <w:rFonts w:ascii="Times New Roman" w:eastAsia="Times New Roman" w:hAnsi="Times New Roman" w:cs="Times New Roman"/>
          <w:lang w:val="sr-Latn-ME"/>
        </w:rPr>
        <w:lastRenderedPageBreak/>
        <w:t xml:space="preserve">Описани симптоми су пролазни, а ниједан озбиљан исход није био пријављен. Степен елиминације је непромијењен (кинетика првог реда) сa повећаним дозама. Лијечење је симптоматско, ако је потребно. </w:t>
      </w:r>
    </w:p>
    <w:p w:rsidR="00E86DB9" w:rsidRDefault="00E86DB9" w:rsidP="004C33B2">
      <w:pPr>
        <w:spacing w:after="0" w:line="240" w:lineRule="auto"/>
        <w:ind w:left="108"/>
        <w:jc w:val="both"/>
        <w:rPr>
          <w:rFonts w:ascii="Times New Roman" w:eastAsia="Times New Roman" w:hAnsi="Times New Roman" w:cs="Times New Roman"/>
          <w:lang w:val="sr-Latn-ME"/>
        </w:rPr>
      </w:pPr>
    </w:p>
    <w:p w:rsidR="00E86DB9" w:rsidRDefault="00E86DB9"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5. ФАРМАКОЛОШКИ ПОДАЦИ</w:t>
      </w:r>
    </w:p>
    <w:p w:rsidR="00233AC6" w:rsidRPr="000C28F4" w:rsidRDefault="00233AC6" w:rsidP="000C28F4">
      <w:pPr>
        <w:tabs>
          <w:tab w:val="left" w:pos="284"/>
        </w:tabs>
        <w:spacing w:after="0" w:line="240" w:lineRule="auto"/>
        <w:jc w:val="both"/>
        <w:rPr>
          <w:rFonts w:ascii="Times New Roman" w:eastAsia="Times New Roman" w:hAnsi="Times New Roman" w:cs="Times New Roman"/>
          <w:b/>
          <w:bCs/>
          <w:lang w:val="sr-Latn-ME"/>
        </w:rPr>
      </w:pPr>
    </w:p>
    <w:p w:rsidR="00233AC6" w:rsidRPr="000C28F4" w:rsidRDefault="00233AC6" w:rsidP="004C33B2">
      <w:pPr>
        <w:spacing w:after="0" w:line="36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5.1. Фармакодинамски подаци</w:t>
      </w:r>
    </w:p>
    <w:p w:rsidR="00233AC6" w:rsidRPr="004C33B2" w:rsidRDefault="00233AC6" w:rsidP="000C28F4">
      <w:pPr>
        <w:tabs>
          <w:tab w:val="left" w:pos="284"/>
        </w:tabs>
        <w:spacing w:after="0" w:line="240" w:lineRule="auto"/>
        <w:jc w:val="both"/>
        <w:outlineLvl w:val="0"/>
        <w:rPr>
          <w:rFonts w:ascii="Times New Roman" w:eastAsia="Times New Roman" w:hAnsi="Times New Roman" w:cs="Times New Roman"/>
          <w:noProof/>
        </w:rPr>
      </w:pPr>
      <w:r w:rsidRPr="000C28F4">
        <w:rPr>
          <w:rFonts w:ascii="Times New Roman" w:eastAsia="Times New Roman" w:hAnsi="Times New Roman" w:cs="Times New Roman"/>
          <w:b/>
          <w:bCs/>
          <w:lang w:val="sr-Latn-ME"/>
        </w:rPr>
        <w:t>Фармакотерапијска група:</w:t>
      </w:r>
      <w:r w:rsidRPr="000C28F4">
        <w:rPr>
          <w:rFonts w:ascii="Times New Roman" w:eastAsia="Times New Roman" w:hAnsi="Times New Roman" w:cs="Times New Roman"/>
          <w:b/>
          <w:bCs/>
          <w:lang w:val="sr-Latn-ME"/>
        </w:rPr>
        <w:tab/>
      </w:r>
      <w:r w:rsidR="00525255">
        <w:rPr>
          <w:rFonts w:ascii="Times New Roman" w:eastAsia="Times New Roman" w:hAnsi="Times New Roman" w:cs="Times New Roman"/>
          <w:bCs/>
          <w:lang w:val="mk-MK"/>
        </w:rPr>
        <w:t>Љ</w:t>
      </w:r>
      <w:r w:rsidR="00A32903" w:rsidRPr="000C28F4">
        <w:rPr>
          <w:rFonts w:ascii="Times New Roman" w:eastAsia="Times New Roman" w:hAnsi="Times New Roman" w:cs="Times New Roman"/>
          <w:bCs/>
          <w:lang w:val="mk-MK"/>
        </w:rPr>
        <w:t>е</w:t>
      </w:r>
      <w:r w:rsidR="00B3108D" w:rsidRPr="000C28F4">
        <w:rPr>
          <w:rFonts w:ascii="Times New Roman" w:eastAsia="Times New Roman" w:hAnsi="Times New Roman" w:cs="Times New Roman"/>
          <w:bCs/>
          <w:lang w:val="mk-MK"/>
        </w:rPr>
        <w:t>кови за пореме</w:t>
      </w:r>
      <w:r w:rsidR="00A32903" w:rsidRPr="000C28F4">
        <w:rPr>
          <w:rFonts w:ascii="Times New Roman" w:eastAsia="Times New Roman" w:hAnsi="Times New Roman" w:cs="Times New Roman"/>
          <w:bCs/>
          <w:lang w:val="mk-MK"/>
        </w:rPr>
        <w:t>ћ</w:t>
      </w:r>
      <w:r w:rsidR="00B3108D" w:rsidRPr="000C28F4">
        <w:rPr>
          <w:rFonts w:ascii="Times New Roman" w:eastAsia="Times New Roman" w:hAnsi="Times New Roman" w:cs="Times New Roman"/>
          <w:bCs/>
          <w:lang w:val="mk-MK"/>
        </w:rPr>
        <w:t xml:space="preserve">аје киселости, </w:t>
      </w:r>
      <w:r w:rsidRPr="000C28F4">
        <w:rPr>
          <w:rFonts w:ascii="Times New Roman" w:eastAsia="Times New Roman" w:hAnsi="Times New Roman" w:cs="Times New Roman"/>
          <w:noProof/>
          <w:lang w:val="sr-Latn-ME"/>
        </w:rPr>
        <w:t>инхибитор протонске пумпе</w:t>
      </w:r>
      <w:r w:rsidR="00525255">
        <w:rPr>
          <w:rFonts w:ascii="Times New Roman" w:eastAsia="Times New Roman" w:hAnsi="Times New Roman" w:cs="Times New Roman"/>
          <w:noProof/>
        </w:rPr>
        <w:t>.</w:t>
      </w:r>
    </w:p>
    <w:p w:rsidR="00233AC6" w:rsidRPr="000C28F4" w:rsidRDefault="00233AC6" w:rsidP="004C33B2">
      <w:pPr>
        <w:tabs>
          <w:tab w:val="left" w:pos="2916"/>
        </w:tabs>
        <w:spacing w:after="0" w:line="240" w:lineRule="auto"/>
        <w:ind w:left="108"/>
        <w:jc w:val="both"/>
        <w:rPr>
          <w:rFonts w:ascii="Times New Roman" w:eastAsia="Times New Roman" w:hAnsi="Times New Roman" w:cs="Times New Roman"/>
          <w:lang w:val="sr-Latn-ME"/>
        </w:rPr>
      </w:pPr>
    </w:p>
    <w:p w:rsidR="00233AC6" w:rsidRPr="000C28F4" w:rsidRDefault="00233AC6" w:rsidP="004C33B2">
      <w:pPr>
        <w:tabs>
          <w:tab w:val="left" w:pos="1296"/>
        </w:tabs>
        <w:spacing w:after="0" w:line="240" w:lineRule="auto"/>
        <w:ind w:left="108"/>
        <w:jc w:val="both"/>
        <w:rPr>
          <w:rFonts w:ascii="Times New Roman" w:eastAsia="Times New Roman" w:hAnsi="Times New Roman" w:cs="Times New Roman"/>
          <w:lang w:val="sr-Latn-ME"/>
        </w:rPr>
      </w:pPr>
      <w:r w:rsidRPr="000C28F4">
        <w:rPr>
          <w:rFonts w:ascii="Times New Roman" w:eastAsia="Times New Roman" w:hAnsi="Times New Roman" w:cs="Times New Roman"/>
          <w:b/>
          <w:bCs/>
          <w:lang w:val="sr-Latn-ME"/>
        </w:rPr>
        <w:t>АТЦ код:</w:t>
      </w:r>
      <w:r w:rsidRPr="000C28F4">
        <w:rPr>
          <w:rFonts w:ascii="Times New Roman" w:eastAsia="Times New Roman" w:hAnsi="Times New Roman" w:cs="Times New Roman"/>
          <w:b/>
          <w:bCs/>
          <w:lang w:val="sr-Latn-ME"/>
        </w:rPr>
        <w:tab/>
      </w:r>
      <w:r w:rsidRPr="000C28F4">
        <w:rPr>
          <w:rFonts w:ascii="Times New Roman" w:eastAsia="Times New Roman" w:hAnsi="Times New Roman" w:cs="Times New Roman"/>
          <w:lang w:val="sr-Latn-ME"/>
        </w:rPr>
        <w:t>A02BC01</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u w:val="single"/>
          <w:lang w:val="sr-Latn-ME"/>
        </w:rPr>
        <w:t>Механизам дјеловања</w:t>
      </w:r>
      <w:r w:rsidRPr="000C28F4">
        <w:rPr>
          <w:rFonts w:ascii="Times New Roman" w:eastAsia="Times New Roman" w:hAnsi="Times New Roman" w:cs="Times New Roman"/>
          <w:lang w:val="sr-Latn-ME" w:eastAsia="en-GB"/>
        </w:rPr>
        <w:t xml:space="preserve">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Омепразол je рацемска мјешавина два енантиомера која смањује лучење желудачне киселине путем високо селективног механизма дјеловања. Омепразол је специфичан инхибитор протонске пумпе у паријеталним ћелијама. Брзо дјелује и пружа контролу путем реверзибилне инхибиције лучења желудачне киселине са дозирањем једном дневно.</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Омепразол је слаба база која се концентрише и претвара у активни облик у изразито киселој средини интрацелуларних каналића у паријеталним ћелијама, гдје инхибира ензим (H</w:t>
      </w:r>
      <w:r w:rsidRPr="000C28F4">
        <w:rPr>
          <w:rFonts w:ascii="Times New Roman" w:eastAsia="Times New Roman" w:hAnsi="Times New Roman" w:cs="Times New Roman"/>
          <w:vertAlign w:val="superscript"/>
          <w:lang w:val="sr-Latn-ME"/>
        </w:rPr>
        <w:t>+</w:t>
      </w:r>
      <w:r w:rsidRPr="000C28F4">
        <w:rPr>
          <w:rFonts w:ascii="Times New Roman" w:eastAsia="Times New Roman" w:hAnsi="Times New Roman" w:cs="Times New Roman"/>
          <w:lang w:val="sr-Latn-ME"/>
        </w:rPr>
        <w:t>/K</w:t>
      </w:r>
      <w:r w:rsidRPr="000C28F4">
        <w:rPr>
          <w:rFonts w:ascii="Times New Roman" w:eastAsia="Times New Roman" w:hAnsi="Times New Roman" w:cs="Times New Roman"/>
          <w:vertAlign w:val="superscript"/>
          <w:lang w:val="sr-Latn-ME"/>
        </w:rPr>
        <w:t>+</w:t>
      </w:r>
      <w:r w:rsidRPr="000C28F4">
        <w:rPr>
          <w:rFonts w:ascii="Times New Roman" w:eastAsia="Times New Roman" w:hAnsi="Times New Roman" w:cs="Times New Roman"/>
          <w:lang w:val="sr-Latn-ME"/>
        </w:rPr>
        <w:t>)-ATP-aзу - протонску пумпу. Овај ефек</w:t>
      </w:r>
      <w:r w:rsidR="00525255">
        <w:rPr>
          <w:rFonts w:ascii="Times New Roman" w:eastAsia="Times New Roman" w:hAnsi="Times New Roman" w:cs="Times New Roman"/>
        </w:rPr>
        <w:t>а</w:t>
      </w:r>
      <w:r w:rsidRPr="000C28F4">
        <w:rPr>
          <w:rFonts w:ascii="Times New Roman" w:eastAsia="Times New Roman" w:hAnsi="Times New Roman" w:cs="Times New Roman"/>
          <w:lang w:val="sr-Latn-ME"/>
        </w:rPr>
        <w:t>т омепразола на задњу фазу формирања желудачне киселине је дозно-завистан и пружа високо ефикасну инхибицију оба начина лучења киселине у желуцу и базално лучење киселине и стимулисану секрецију киселине, без обзира на стимулацију.</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Фармакодинамски ефекти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Сви забиљежени фармакодинамски ефекти могу бити објашњени ефектом омепразола на секрецију киселине.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Утицај на лучење желудачне киселине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Орално дозирање омепразола једном дневно осигурава брзу и ефикасну инхибицију дневног и ноћног лучења желудачне киселине, постижући максимални ефекат у року од 4 дана од почетка лијечења. Са 20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омепразола код пацијената са дуоденалним улкусом се одржава смањење 24-часовног гастричног ацидитета у просјеку за најмање 80%, са просјечним смањењем максимума концентрације желудачне киселине за око 70% након стимулације пентагастрином 24 часа послије оралне примјене омепразола.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Код пацијената са дуоденалним улкусом, орална доза омепразола од 20 </w:t>
      </w:r>
      <w:r w:rsidRPr="000C28F4">
        <w:rPr>
          <w:rFonts w:ascii="Times New Roman" w:eastAsia="Times New Roman" w:hAnsi="Times New Roman" w:cs="Times New Roman"/>
          <w:color w:val="000000"/>
          <w:lang w:val="sr-Latn-ME" w:eastAsia="mk-MK"/>
        </w:rPr>
        <w:t>mg</w:t>
      </w:r>
      <w:r w:rsidRPr="000C28F4">
        <w:rPr>
          <w:rFonts w:ascii="Times New Roman" w:eastAsia="Times New Roman" w:hAnsi="Times New Roman" w:cs="Times New Roman"/>
          <w:lang w:val="sr-Latn-ME"/>
        </w:rPr>
        <w:t xml:space="preserve"> одржава интрагастрични </w:t>
      </w:r>
      <w:r w:rsidRPr="000C28F4">
        <w:rPr>
          <w:rFonts w:ascii="Times New Roman" w:eastAsia="Times New Roman" w:hAnsi="Times New Roman" w:cs="Times New Roman"/>
          <w:color w:val="000000"/>
          <w:lang w:val="sr-Latn-ME" w:eastAsia="mk-MK"/>
        </w:rPr>
        <w:t>pH ≥</w:t>
      </w:r>
      <w:r w:rsidR="006E5391">
        <w:rPr>
          <w:rFonts w:ascii="Times New Roman" w:eastAsia="Times New Roman" w:hAnsi="Times New Roman" w:cs="Times New Roman"/>
          <w:color w:val="000000"/>
          <w:lang w:eastAsia="mk-MK"/>
        </w:rPr>
        <w:t xml:space="preserve"> </w:t>
      </w:r>
      <w:r w:rsidRPr="000C28F4">
        <w:rPr>
          <w:rFonts w:ascii="Times New Roman" w:eastAsia="Times New Roman" w:hAnsi="Times New Roman" w:cs="Times New Roman"/>
          <w:lang w:val="sr-Latn-ME"/>
        </w:rPr>
        <w:t>3 за вријеме од 17 сати у току 24-часовног периода.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Као посљедица смањења лучења киселине и интрагастричне киселости, омепразол дозно-зависно смањује/нормализује изложеност једњака желудачној киселини код пацијената са болешћу гастроезофагеалног рефлукса.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Инхибиција лучења киселине је у корелацији са ПИК-ом (подручје испод криве плазматских концентрација/вријеме) омепразола, а не са стварном концентрацијом у плазми у датом тренутку.</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Није забиљежена тахифилаксија у току лијечења омепразолом.</w:t>
      </w:r>
    </w:p>
    <w:p w:rsidR="00E86DB9" w:rsidRDefault="00E86DB9">
      <w:pPr>
        <w:tabs>
          <w:tab w:val="left" w:pos="284"/>
        </w:tabs>
        <w:spacing w:after="0" w:line="240" w:lineRule="auto"/>
        <w:jc w:val="both"/>
        <w:rPr>
          <w:rFonts w:ascii="Times New Roman" w:eastAsia="Times New Roman" w:hAnsi="Times New Roman" w:cs="Times New Roman"/>
          <w:i/>
          <w:u w:val="single"/>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rPr>
      </w:pPr>
      <w:proofErr w:type="spellStart"/>
      <w:r w:rsidRPr="000C28F4">
        <w:rPr>
          <w:rFonts w:ascii="Times New Roman" w:eastAsia="Times New Roman" w:hAnsi="Times New Roman" w:cs="Times New Roman"/>
          <w:i/>
          <w:u w:val="single"/>
          <w:lang w:val="sr-Latn-ME"/>
        </w:rPr>
        <w:t>Утицај</w:t>
      </w:r>
      <w:proofErr w:type="spellEnd"/>
      <w:r w:rsidRPr="000C28F4">
        <w:rPr>
          <w:rFonts w:ascii="Times New Roman" w:eastAsia="Times New Roman" w:hAnsi="Times New Roman" w:cs="Times New Roman"/>
          <w:i/>
          <w:u w:val="single"/>
          <w:lang w:val="sr-Latn-ME"/>
        </w:rPr>
        <w:t xml:space="preserve"> </w:t>
      </w:r>
      <w:proofErr w:type="spellStart"/>
      <w:r w:rsidRPr="000C28F4">
        <w:rPr>
          <w:rFonts w:ascii="Times New Roman" w:eastAsia="Times New Roman" w:hAnsi="Times New Roman" w:cs="Times New Roman"/>
          <w:i/>
          <w:u w:val="single"/>
          <w:lang w:val="sr-Latn-ME"/>
        </w:rPr>
        <w:t>на</w:t>
      </w:r>
      <w:proofErr w:type="spellEnd"/>
      <w:r w:rsidRPr="000C28F4">
        <w:rPr>
          <w:rFonts w:ascii="Times New Roman" w:eastAsia="Times New Roman" w:hAnsi="Times New Roman" w:cs="Times New Roman"/>
          <w:i/>
          <w:u w:val="single"/>
          <w:lang w:val="sr-Latn-ME"/>
        </w:rPr>
        <w:t xml:space="preserve"> </w:t>
      </w:r>
      <w:r w:rsidRPr="000C28F4">
        <w:rPr>
          <w:rFonts w:ascii="Times New Roman" w:eastAsia="Times New Roman" w:hAnsi="Times New Roman" w:cs="Times New Roman"/>
          <w:i/>
          <w:iCs/>
          <w:color w:val="000000"/>
          <w:u w:val="single"/>
          <w:lang w:val="sr-Latn-ME" w:eastAsia="mk-MK"/>
        </w:rPr>
        <w:t>H. pylori</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i/>
          <w:lang w:val="sr-Latn-ME"/>
        </w:rPr>
        <w:t>Helicobacter pylori</w:t>
      </w:r>
      <w:r w:rsidRPr="000C28F4">
        <w:rPr>
          <w:rFonts w:ascii="Times New Roman" w:eastAsia="Times New Roman" w:hAnsi="Times New Roman" w:cs="Times New Roman"/>
          <w:lang w:val="sr-Latn-ME"/>
        </w:rPr>
        <w:t xml:space="preserve"> је удружен са пептичким обољењима, укључујући дуоденални улкус и гастрични улкус. </w:t>
      </w:r>
      <w:r w:rsidRPr="000C28F4">
        <w:rPr>
          <w:rFonts w:ascii="Times New Roman" w:eastAsia="Times New Roman" w:hAnsi="Times New Roman" w:cs="Times New Roman"/>
          <w:i/>
          <w:lang w:val="sr-Latn-ME"/>
        </w:rPr>
        <w:t xml:space="preserve">H.pylori </w:t>
      </w:r>
      <w:r w:rsidRPr="000C28F4">
        <w:rPr>
          <w:rFonts w:ascii="Times New Roman" w:eastAsia="Times New Roman" w:hAnsi="Times New Roman" w:cs="Times New Roman"/>
          <w:lang w:val="sr-Latn-ME"/>
        </w:rPr>
        <w:t xml:space="preserve">је главни фактор који доприноси појави гастритиса.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iCs/>
          <w:color w:val="000000"/>
          <w:lang w:val="sr-Latn-ME" w:eastAsia="mk-MK"/>
        </w:rPr>
        <w:t>,</w:t>
      </w:r>
      <w:r w:rsidRPr="000C28F4">
        <w:rPr>
          <w:rFonts w:ascii="Times New Roman" w:eastAsia="Times New Roman" w:hAnsi="Times New Roman" w:cs="Times New Roman"/>
          <w:color w:val="000000"/>
          <w:lang w:val="sr-Latn-ME" w:eastAsia="mk-MK"/>
        </w:rPr>
        <w:t xml:space="preserve"> </w:t>
      </w:r>
      <w:r w:rsidRPr="000C28F4">
        <w:rPr>
          <w:rFonts w:ascii="Times New Roman" w:eastAsia="Times New Roman" w:hAnsi="Times New Roman" w:cs="Times New Roman"/>
          <w:lang w:val="sr-Latn-ME"/>
        </w:rPr>
        <w:t xml:space="preserve">заједно са желудачном киселином, главни </w:t>
      </w:r>
      <w:r w:rsidRPr="000C28F4">
        <w:rPr>
          <w:rFonts w:ascii="Times New Roman" w:eastAsia="Times New Roman" w:hAnsi="Times New Roman" w:cs="Times New Roman"/>
          <w:lang w:val="sr-Cyrl-RS"/>
        </w:rPr>
        <w:t xml:space="preserve">је </w:t>
      </w:r>
      <w:r w:rsidRPr="000C28F4">
        <w:rPr>
          <w:rFonts w:ascii="Times New Roman" w:eastAsia="Times New Roman" w:hAnsi="Times New Roman" w:cs="Times New Roman"/>
          <w:lang w:val="sr-Latn-ME"/>
        </w:rPr>
        <w:t xml:space="preserve">фактор у развоју болести пептичког улкуса.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color w:val="000000"/>
          <w:lang w:val="sr-Latn-ME" w:eastAsia="mk-MK"/>
        </w:rPr>
        <w:t xml:space="preserve"> </w:t>
      </w:r>
      <w:r w:rsidRPr="000C28F4">
        <w:rPr>
          <w:rFonts w:ascii="Times New Roman" w:eastAsia="Times New Roman" w:hAnsi="Times New Roman" w:cs="Times New Roman"/>
          <w:lang w:val="sr-Latn-ME"/>
        </w:rPr>
        <w:t xml:space="preserve">је главни фактор у развоју атрофичког гастритиса који је повезан са повећаним ризиком за развој карцинома желуца. Ерадикација </w:t>
      </w:r>
      <w:r w:rsidRPr="000C28F4">
        <w:rPr>
          <w:rFonts w:ascii="Times New Roman" w:eastAsia="Times New Roman" w:hAnsi="Times New Roman" w:cs="Times New Roman"/>
          <w:i/>
          <w:lang w:val="sr-Latn-ME"/>
        </w:rPr>
        <w:t>H.pylori</w:t>
      </w:r>
      <w:r w:rsidRPr="000C28F4">
        <w:rPr>
          <w:rFonts w:ascii="Times New Roman" w:eastAsia="Times New Roman" w:hAnsi="Times New Roman" w:cs="Times New Roman"/>
          <w:lang w:val="sr-Latn-ME"/>
        </w:rPr>
        <w:t xml:space="preserve"> омепразолом и антимикробним љековима повезана је са високим процентом излијечења и дуготрајном ремисијом пептичног улкуса.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lastRenderedPageBreak/>
        <w:t>Испитано је и утврђено да је двострука терапија мање ефикасна од троструке терапије. Међутим, двострука терапија се може узети у обзир у случајевима гдје позната преосјетљивост искључује употребу било којег лијека у троструким комбинацијама.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 xml:space="preserve">Остали ефекти који се односе на инхибицију киселине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За вријеме дуготрајне терапије, пријављена је учесталија појава желудачних гландуларних цисти. Ове промјене су физиолошка посљедица изразите инхибиције секреције киселине. Цисте су бенигне и реверзибилне.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Смањена желудачна киселост због свих средстава, укључујући и инхибиторе протонске пумпе, повећава желудачни број бактерија нормално присутних у дигестивном систему. Лијечење љековима који смањују киселину може довести до повећаног ризика од гастроинтестиналних инфекција, као што су </w:t>
      </w:r>
      <w:r w:rsidRPr="000C28F4">
        <w:rPr>
          <w:rFonts w:ascii="Times New Roman" w:eastAsia="Times New Roman" w:hAnsi="Times New Roman" w:cs="Times New Roman"/>
          <w:i/>
          <w:iCs/>
          <w:color w:val="000000"/>
          <w:lang w:val="sr-Latn-ME" w:eastAsia="mk-MK"/>
        </w:rPr>
        <w:t>Salmonella</w:t>
      </w:r>
      <w:r w:rsidRPr="000C28F4">
        <w:rPr>
          <w:rFonts w:ascii="Times New Roman" w:eastAsia="Times New Roman" w:hAnsi="Times New Roman" w:cs="Times New Roman"/>
          <w:color w:val="000000"/>
          <w:lang w:val="sr-Latn-ME" w:eastAsia="mk-MK"/>
        </w:rPr>
        <w:t xml:space="preserve"> </w:t>
      </w:r>
      <w:r w:rsidRPr="000C28F4">
        <w:rPr>
          <w:rFonts w:ascii="Times New Roman" w:eastAsia="Times New Roman" w:hAnsi="Times New Roman" w:cs="Times New Roman"/>
          <w:lang w:val="sr-Latn-ME"/>
        </w:rPr>
        <w:t xml:space="preserve">и </w:t>
      </w:r>
      <w:r w:rsidRPr="000C28F4">
        <w:rPr>
          <w:rFonts w:ascii="Times New Roman" w:eastAsia="Times New Roman" w:hAnsi="Times New Roman" w:cs="Times New Roman"/>
          <w:i/>
          <w:iCs/>
          <w:color w:val="000000"/>
          <w:lang w:val="sr-Latn-ME" w:eastAsia="mk-MK"/>
        </w:rPr>
        <w:t xml:space="preserve">Campylobacter, </w:t>
      </w:r>
      <w:r w:rsidRPr="000C28F4">
        <w:rPr>
          <w:rFonts w:ascii="Times New Roman" w:eastAsia="Times New Roman" w:hAnsi="Times New Roman" w:cs="Times New Roman"/>
          <w:iCs/>
          <w:color w:val="000000"/>
          <w:lang w:val="sr-Latn-ME" w:eastAsia="mk-MK"/>
        </w:rPr>
        <w:t>а код хоспитализованих пацијената могућа је такође</w:t>
      </w:r>
      <w:r w:rsidRPr="000C28F4">
        <w:rPr>
          <w:rFonts w:ascii="Times New Roman" w:eastAsia="Times New Roman" w:hAnsi="Times New Roman" w:cs="Times New Roman"/>
          <w:i/>
          <w:iCs/>
          <w:color w:val="000000"/>
          <w:lang w:val="sr-Latn-ME" w:eastAsia="mk-MK"/>
        </w:rPr>
        <w:t xml:space="preserve"> Clostridium difficile</w:t>
      </w:r>
      <w:r w:rsidRPr="000C28F4">
        <w:rPr>
          <w:rFonts w:ascii="Times New Roman" w:eastAsia="Times New Roman" w:hAnsi="Times New Roman" w:cs="Times New Roman"/>
          <w:lang w:val="sr-Latn-ME"/>
        </w:rPr>
        <w:t>.</w:t>
      </w:r>
    </w:p>
    <w:p w:rsidR="00233AC6" w:rsidRPr="000C28F4" w:rsidRDefault="00233AC6">
      <w:pPr>
        <w:tabs>
          <w:tab w:val="left" w:pos="284"/>
        </w:tabs>
        <w:autoSpaceDE w:val="0"/>
        <w:autoSpaceDN w:val="0"/>
        <w:adjustRightInd w:val="0"/>
        <w:spacing w:after="0" w:line="240" w:lineRule="auto"/>
        <w:jc w:val="both"/>
        <w:rPr>
          <w:rFonts w:ascii="Times New Roman" w:eastAsia="Times New Roman" w:hAnsi="Times New Roman" w:cs="Times New Roman"/>
          <w:color w:val="222222"/>
          <w:lang w:val="sr-Latn-ME"/>
        </w:rPr>
      </w:pPr>
      <w:r w:rsidRPr="000C28F4">
        <w:rPr>
          <w:rFonts w:ascii="Times New Roman" w:eastAsia="Times New Roman" w:hAnsi="Times New Roman" w:cs="Times New Roman"/>
          <w:lang w:val="sr-Latn-ME" w:eastAsia="mk-MK"/>
        </w:rPr>
        <w:t xml:space="preserve">Током третмана антисекреторним љековима долази до пораста гастрина у серуму као одговор на смањену секрецију киселине. </w:t>
      </w:r>
      <w:r w:rsidRPr="000C28F4">
        <w:rPr>
          <w:rFonts w:ascii="Times New Roman" w:eastAsia="Times New Roman" w:hAnsi="Times New Roman" w:cs="Times New Roman"/>
          <w:lang w:val="sr-Latn-ME"/>
        </w:rPr>
        <w:t>Такође се хромогранин А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lang w:val="sr-Latn-ME"/>
        </w:rPr>
        <w:t xml:space="preserve">) повећава због смањене желудачне киселости. Повећане вриједности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lang w:val="sr-Latn-ME"/>
        </w:rPr>
        <w:t xml:space="preserve"> могу ометати испитивања за откривање неуроендокриних тумора. </w:t>
      </w:r>
      <w:r w:rsidRPr="000C28F4">
        <w:rPr>
          <w:rFonts w:ascii="Times New Roman" w:eastAsia="Times New Roman" w:hAnsi="Times New Roman" w:cs="Times New Roman"/>
          <w:lang w:val="sr-Latn-ME" w:eastAsia="mk-MK"/>
        </w:rPr>
        <w:t xml:space="preserve">Литературни подаци кажу да би примјену инхибитора протонске пумпе требало прекинути најмање између 5 дана и 2 недјеље прије мјерења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lang w:val="sr-Latn-ME" w:eastAsia="mk-MK"/>
        </w:rPr>
        <w:t xml:space="preserve">. </w:t>
      </w:r>
      <w:r w:rsidRPr="000C28F4">
        <w:rPr>
          <w:rFonts w:ascii="Times New Roman" w:eastAsia="Times New Roman" w:hAnsi="Times New Roman" w:cs="Times New Roman"/>
          <w:color w:val="222222"/>
          <w:lang w:val="sr-Latn-ME"/>
        </w:rPr>
        <w:t xml:space="preserve">Тиме се омогућава да се вриједности </w:t>
      </w:r>
      <w:r w:rsidRPr="000C28F4">
        <w:rPr>
          <w:rFonts w:ascii="Times New Roman" w:eastAsia="Times New Roman" w:hAnsi="Times New Roman" w:cs="Times New Roman"/>
          <w:color w:val="000000"/>
          <w:lang w:val="sr-Latn-ME" w:eastAsia="mk-MK"/>
        </w:rPr>
        <w:t>CgA,</w:t>
      </w:r>
      <w:r w:rsidRPr="000C28F4">
        <w:rPr>
          <w:rFonts w:ascii="Times New Roman" w:eastAsia="Times New Roman" w:hAnsi="Times New Roman" w:cs="Times New Roman"/>
          <w:color w:val="222222"/>
          <w:lang w:val="sr-Latn-ME"/>
        </w:rPr>
        <w:t xml:space="preserve"> које би могле бити лажно повишене након терапије с ППИ, врате унутар референтног распона вриједности.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color w:val="222222"/>
          <w:lang w:val="sr-Latn-ME"/>
        </w:rPr>
        <w:t>Повећан број ЕЦЛ ћелија (</w:t>
      </w:r>
      <w:r w:rsidRPr="000C28F4">
        <w:rPr>
          <w:rFonts w:ascii="Times New Roman" w:eastAsia="Times New Roman" w:hAnsi="Times New Roman" w:cs="Times New Roman"/>
          <w:i/>
          <w:color w:val="222222"/>
          <w:lang w:val="sr-Latn-ME"/>
        </w:rPr>
        <w:t xml:space="preserve">еnterochromaffin-like </w:t>
      </w:r>
      <w:r w:rsidRPr="000C28F4">
        <w:rPr>
          <w:rFonts w:ascii="Times New Roman" w:eastAsia="Times New Roman" w:hAnsi="Times New Roman" w:cs="Times New Roman"/>
          <w:bCs/>
          <w:i/>
          <w:color w:val="222222"/>
          <w:lang w:val="sr-Latn-ME"/>
        </w:rPr>
        <w:t>cells</w:t>
      </w:r>
      <w:r w:rsidRPr="000C28F4">
        <w:rPr>
          <w:rFonts w:ascii="Times New Roman" w:eastAsia="Times New Roman" w:hAnsi="Times New Roman" w:cs="Times New Roman"/>
          <w:bCs/>
          <w:color w:val="222222"/>
          <w:lang w:val="sr-Latn-ME"/>
        </w:rPr>
        <w:t>)</w:t>
      </w:r>
      <w:r w:rsidRPr="000C28F4">
        <w:rPr>
          <w:rFonts w:ascii="Times New Roman" w:eastAsia="Times New Roman" w:hAnsi="Times New Roman" w:cs="Times New Roman"/>
          <w:color w:val="222222"/>
          <w:lang w:val="sr-Latn-ME"/>
        </w:rPr>
        <w:t xml:space="preserve"> који је можда повезан са повећаним нивоима гастрина у серуму, забиљежен је код неких пацијената (и дјеце и одраслих) током дуготрајног третмана омепразолом. Не сматра се да то има неки клинички значај.</w:t>
      </w:r>
    </w:p>
    <w:p w:rsidR="00233AC6" w:rsidRPr="000C28F4" w:rsidRDefault="00233AC6">
      <w:pPr>
        <w:tabs>
          <w:tab w:val="left" w:pos="284"/>
        </w:tabs>
        <w:spacing w:after="0" w:line="240" w:lineRule="auto"/>
        <w:jc w:val="both"/>
        <w:rPr>
          <w:rFonts w:ascii="Times New Roman" w:eastAsia="Times New Roman" w:hAnsi="Times New Roman" w:cs="Times New Roman"/>
          <w:color w:val="000000"/>
          <w:lang w:val="sr-Latn-ME" w:eastAsia="mk-MK"/>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Педијатријска популација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У неконтролисаној студији код дјеце (узраста од 1 до 16 година) са тешким рефлуксним езофагитисом, употреба омепразола у дозама од 0.7 </w:t>
      </w:r>
      <w:r w:rsidRPr="000C28F4">
        <w:rPr>
          <w:rFonts w:ascii="Times New Roman" w:eastAsia="Times New Roman" w:hAnsi="Times New Roman" w:cs="Times New Roman"/>
          <w:color w:val="000000"/>
          <w:lang w:val="sr-Latn-ME" w:eastAsia="mk-MK"/>
        </w:rPr>
        <w:t xml:space="preserve">mg/kg </w:t>
      </w:r>
      <w:r w:rsidRPr="000C28F4">
        <w:rPr>
          <w:rFonts w:ascii="Times New Roman" w:eastAsia="Times New Roman" w:hAnsi="Times New Roman" w:cs="Times New Roman"/>
          <w:lang w:val="sr-Latn-ME"/>
        </w:rPr>
        <w:t xml:space="preserve">до 1.4 </w:t>
      </w:r>
      <w:r w:rsidRPr="000C28F4">
        <w:rPr>
          <w:rFonts w:ascii="Times New Roman" w:eastAsia="Times New Roman" w:hAnsi="Times New Roman" w:cs="Times New Roman"/>
          <w:color w:val="000000"/>
          <w:lang w:val="sr-Latn-ME" w:eastAsia="mk-MK"/>
        </w:rPr>
        <w:t>mg/kg довела је до олакшања симптома езофагитиса и симптома рефлуксне болести код чак 90% пацијената</w:t>
      </w:r>
      <w:r w:rsidRPr="000C28F4">
        <w:rPr>
          <w:rFonts w:ascii="Times New Roman" w:eastAsia="Times New Roman" w:hAnsi="Times New Roman" w:cs="Times New Roman"/>
          <w:lang w:val="sr-Latn-ME"/>
        </w:rPr>
        <w:t xml:space="preserve">. У једноструко слијепој студији, дјеца узраста од рођења до двије године са клинички дијагностикованом болешћу гастроезофагеалног рефлукса третирана су са 0.5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омепразола/</w:t>
      </w:r>
      <w:r w:rsidRPr="000C28F4">
        <w:rPr>
          <w:rFonts w:ascii="Times New Roman" w:eastAsia="Times New Roman" w:hAnsi="Times New Roman" w:cs="Times New Roman"/>
          <w:color w:val="000000"/>
          <w:lang w:val="sr-Latn-ME" w:eastAsia="mk-MK"/>
        </w:rPr>
        <w:t>kg</w:t>
      </w:r>
      <w:r w:rsidRPr="000C28F4">
        <w:rPr>
          <w:rFonts w:ascii="Times New Roman" w:eastAsia="Times New Roman" w:hAnsi="Times New Roman" w:cs="Times New Roman"/>
          <w:lang w:val="sr-Latn-ME"/>
        </w:rPr>
        <w:t xml:space="preserve">, 1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омепразола/</w:t>
      </w:r>
      <w:r w:rsidRPr="000C28F4">
        <w:rPr>
          <w:rFonts w:ascii="Times New Roman" w:eastAsia="Times New Roman" w:hAnsi="Times New Roman" w:cs="Times New Roman"/>
          <w:color w:val="000000"/>
          <w:lang w:val="sr-Latn-ME" w:eastAsia="mk-MK"/>
        </w:rPr>
        <w:t>kg,</w:t>
      </w:r>
      <w:r w:rsidRPr="000C28F4">
        <w:rPr>
          <w:rFonts w:ascii="Times New Roman" w:eastAsia="Times New Roman" w:hAnsi="Times New Roman" w:cs="Times New Roman"/>
          <w:lang w:val="sr-Latn-ME"/>
        </w:rPr>
        <w:t xml:space="preserve"> или 1.5 </w:t>
      </w:r>
      <w:r w:rsidRPr="000C28F4">
        <w:rPr>
          <w:rFonts w:ascii="Times New Roman" w:eastAsia="Times New Roman" w:hAnsi="Times New Roman" w:cs="Times New Roman"/>
          <w:color w:val="000000"/>
          <w:lang w:val="sr-Latn-ME" w:eastAsia="mk-MK"/>
        </w:rPr>
        <w:t xml:space="preserve">mg </w:t>
      </w:r>
      <w:r w:rsidRPr="000C28F4">
        <w:rPr>
          <w:rFonts w:ascii="Times New Roman" w:eastAsia="Times New Roman" w:hAnsi="Times New Roman" w:cs="Times New Roman"/>
          <w:lang w:val="sr-Latn-ME"/>
        </w:rPr>
        <w:t>омепразола/</w:t>
      </w:r>
      <w:r w:rsidRPr="000C28F4">
        <w:rPr>
          <w:rFonts w:ascii="Times New Roman" w:eastAsia="Times New Roman" w:hAnsi="Times New Roman" w:cs="Times New Roman"/>
          <w:color w:val="000000"/>
          <w:lang w:val="sr-Latn-ME" w:eastAsia="mk-MK"/>
        </w:rPr>
        <w:t>kg</w:t>
      </w:r>
      <w:r w:rsidRPr="000C28F4">
        <w:rPr>
          <w:rFonts w:ascii="Times New Roman" w:eastAsia="Times New Roman" w:hAnsi="Times New Roman" w:cs="Times New Roman"/>
          <w:lang w:val="sr-Latn-ME"/>
        </w:rPr>
        <w:t>. Учесталост повраћања/епизода регургитације смањена је за 50% након 8 недјеља лијечења, без обзира на дозу.</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u w:val="single"/>
          <w:lang w:val="sr-Latn-ME"/>
        </w:rPr>
      </w:pPr>
      <w:r w:rsidRPr="000C28F4">
        <w:rPr>
          <w:rFonts w:ascii="Times New Roman" w:eastAsia="Times New Roman" w:hAnsi="Times New Roman" w:cs="Times New Roman"/>
          <w:i/>
          <w:u w:val="single"/>
          <w:lang w:val="sr-Latn-ME"/>
        </w:rPr>
        <w:t xml:space="preserve">Ерадикација </w:t>
      </w:r>
      <w:r w:rsidRPr="000C28F4">
        <w:rPr>
          <w:rFonts w:ascii="Times New Roman" w:eastAsia="Times New Roman" w:hAnsi="Times New Roman" w:cs="Times New Roman"/>
          <w:i/>
          <w:iCs/>
          <w:color w:val="000000"/>
          <w:u w:val="single"/>
          <w:lang w:val="sr-Latn-ME" w:eastAsia="mk-MK"/>
        </w:rPr>
        <w:t xml:space="preserve">H. pylori </w:t>
      </w:r>
      <w:r w:rsidRPr="000C28F4">
        <w:rPr>
          <w:rFonts w:ascii="Times New Roman" w:eastAsia="Times New Roman" w:hAnsi="Times New Roman" w:cs="Times New Roman"/>
          <w:i/>
          <w:u w:val="single"/>
          <w:lang w:val="sr-Latn-ME"/>
        </w:rPr>
        <w:t>код дјеце</w:t>
      </w:r>
    </w:p>
    <w:p w:rsidR="00233AC6" w:rsidRPr="000C28F4" w:rsidRDefault="00233AC6" w:rsidP="004C33B2">
      <w:pPr>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У рандомиз</w:t>
      </w:r>
      <w:r w:rsidR="000F154B">
        <w:rPr>
          <w:rFonts w:ascii="Times New Roman" w:eastAsia="Times New Roman" w:hAnsi="Times New Roman" w:cs="Times New Roman"/>
        </w:rPr>
        <w:t>ов</w:t>
      </w:r>
      <w:r w:rsidRPr="000C28F4">
        <w:rPr>
          <w:rFonts w:ascii="Times New Roman" w:eastAsia="Times New Roman" w:hAnsi="Times New Roman" w:cs="Times New Roman"/>
          <w:lang w:val="sr-Latn-ME"/>
        </w:rPr>
        <w:t xml:space="preserve">аном, двоструко слијепом клиничком истраживању (Хелиотова студија) закључено је да је омепразол у комбинацији са два антибиотика (амоксицилин и кларитромицин) био безбједан и ефикасан код дјеце са гастритисом која имају више од 4 године у лијечењу </w:t>
      </w:r>
      <w:r w:rsidRPr="000C28F4">
        <w:rPr>
          <w:rFonts w:ascii="Times New Roman" w:eastAsia="Times New Roman" w:hAnsi="Times New Roman" w:cs="Times New Roman"/>
          <w:i/>
          <w:iCs/>
          <w:color w:val="000000"/>
          <w:lang w:val="sr-Latn-ME" w:eastAsia="mk-MK"/>
        </w:rPr>
        <w:t xml:space="preserve">H. pylori </w:t>
      </w:r>
      <w:r w:rsidRPr="000C28F4">
        <w:rPr>
          <w:rFonts w:ascii="Times New Roman" w:eastAsia="Times New Roman" w:hAnsi="Times New Roman" w:cs="Times New Roman"/>
          <w:lang w:val="sr-Latn-ME"/>
        </w:rPr>
        <w:t xml:space="preserve">инфекције: степен ерадикације </w:t>
      </w:r>
      <w:r w:rsidRPr="000C28F4">
        <w:rPr>
          <w:rFonts w:ascii="Times New Roman" w:eastAsia="Times New Roman" w:hAnsi="Times New Roman" w:cs="Times New Roman"/>
          <w:i/>
          <w:iCs/>
          <w:color w:val="000000"/>
          <w:lang w:val="sr-Latn-ME" w:eastAsia="mk-MK"/>
        </w:rPr>
        <w:t>H. pylori</w:t>
      </w:r>
      <w:r w:rsidRPr="000C28F4">
        <w:rPr>
          <w:rFonts w:ascii="Times New Roman" w:eastAsia="Times New Roman" w:hAnsi="Times New Roman" w:cs="Times New Roman"/>
          <w:lang w:val="sr-Latn-ME"/>
        </w:rPr>
        <w:t>: 74.2% (код 23/31 пацијената) са омепразолом + амоксицилином + кларитромицином, у односу на 9.4% (код 3/32 пацијената) са амоксицилином + кларитромицином. Међутим, нема доказа о било каквој клиничкој користи с обзиром на симптоме диспепсије. Подаци из ове студије се не односе на дјецу млађу од 4 године.</w:t>
      </w:r>
    </w:p>
    <w:p w:rsidR="00233AC6" w:rsidRPr="000C28F4" w:rsidRDefault="00233AC6" w:rsidP="000C28F4">
      <w:pPr>
        <w:tabs>
          <w:tab w:val="left" w:pos="284"/>
        </w:tabs>
        <w:spacing w:after="0" w:line="240" w:lineRule="auto"/>
        <w:jc w:val="both"/>
        <w:rPr>
          <w:rFonts w:ascii="Times New Roman" w:eastAsia="Times New Roman" w:hAnsi="Times New Roman" w:cs="Times New Roman"/>
          <w:b/>
          <w:bCs/>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5.2. Фармакокинетички подаци</w:t>
      </w:r>
    </w:p>
    <w:p w:rsidR="00233AC6" w:rsidRPr="000C28F4" w:rsidRDefault="00233AC6" w:rsidP="000C28F4">
      <w:pPr>
        <w:tabs>
          <w:tab w:val="left" w:pos="284"/>
        </w:tabs>
        <w:spacing w:after="0" w:line="240" w:lineRule="auto"/>
        <w:jc w:val="both"/>
        <w:rPr>
          <w:rFonts w:ascii="Times New Roman" w:eastAsia="Times New Roman" w:hAnsi="Times New Roman" w:cs="Times New Roman"/>
          <w:u w:val="single"/>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Ресорпција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Oмепразол и омепразол магнезијум су ацидо-лабилни и зато се примјењују орално у облику гастрорезистентних гранула у капсулама или таблетама. Ресорпција омепразола је брза, а максималне концентрације у плазми јављају се око 1 до 2 часова након примјене дозе. Ресорпција се одвија у танком цријеву и обично је завршена  у року од 3-6 часова. Истовремено узимање са храном нема утицаја на биорасположивост. Системска биорасположивост једне оралне дозе омепразола је приближно 40%. Послије поновљене једнократне дневне дозе, биорасположивост расте на око 60%. </w:t>
      </w:r>
    </w:p>
    <w:p w:rsidR="00233AC6" w:rsidRDefault="00233AC6">
      <w:pPr>
        <w:tabs>
          <w:tab w:val="left" w:pos="284"/>
        </w:tabs>
        <w:spacing w:after="0" w:line="240" w:lineRule="auto"/>
        <w:jc w:val="both"/>
        <w:rPr>
          <w:rFonts w:ascii="Times New Roman" w:eastAsia="Times New Roman" w:hAnsi="Times New Roman" w:cs="Times New Roman"/>
          <w:lang w:val="sr-Latn-ME"/>
        </w:rPr>
      </w:pPr>
    </w:p>
    <w:p w:rsidR="00E86DB9" w:rsidRDefault="00E86DB9">
      <w:pPr>
        <w:tabs>
          <w:tab w:val="left" w:pos="284"/>
        </w:tabs>
        <w:spacing w:after="0" w:line="240" w:lineRule="auto"/>
        <w:jc w:val="both"/>
        <w:rPr>
          <w:rFonts w:ascii="Times New Roman" w:eastAsia="Times New Roman" w:hAnsi="Times New Roman" w:cs="Times New Roman"/>
          <w:lang w:val="sr-Latn-ME"/>
        </w:rPr>
      </w:pPr>
    </w:p>
    <w:p w:rsidR="00E86DB9" w:rsidRPr="000C28F4" w:rsidRDefault="00E86DB9">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lastRenderedPageBreak/>
        <w:t>Дистрибуција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Видљиви волумен дистрибуције код здравих испитаника је око 0.3 </w:t>
      </w:r>
      <w:r w:rsidRPr="000C28F4">
        <w:rPr>
          <w:rFonts w:ascii="Times New Roman" w:eastAsia="Times New Roman" w:hAnsi="Times New Roman" w:cs="Times New Roman"/>
          <w:color w:val="000000"/>
          <w:lang w:val="sr-Latn-ME" w:eastAsia="mk-MK"/>
        </w:rPr>
        <w:t xml:space="preserve">L/kg </w:t>
      </w:r>
      <w:r w:rsidRPr="000C28F4">
        <w:rPr>
          <w:rFonts w:ascii="Times New Roman" w:eastAsia="Times New Roman" w:hAnsi="Times New Roman" w:cs="Times New Roman"/>
          <w:lang w:val="sr-Latn-ME"/>
        </w:rPr>
        <w:t xml:space="preserve">тјелесне тежине. Везивање омепразола за плазма протеине је око 97%.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 xml:space="preserve">Биотрансформација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Oмепразол се потпуно метаболише путем система цитохрома </w:t>
      </w:r>
      <w:r w:rsidRPr="000C28F4">
        <w:rPr>
          <w:rFonts w:ascii="Times New Roman" w:eastAsia="Times New Roman" w:hAnsi="Times New Roman" w:cs="Times New Roman"/>
          <w:color w:val="000000"/>
          <w:lang w:val="sr-Latn-ME" w:eastAsia="mk-MK"/>
        </w:rPr>
        <w:t xml:space="preserve">P450 </w:t>
      </w:r>
      <w:r w:rsidRPr="000C28F4">
        <w:rPr>
          <w:rFonts w:ascii="Times New Roman" w:eastAsia="Times New Roman" w:hAnsi="Times New Roman" w:cs="Times New Roman"/>
          <w:lang w:val="sr-Latn-ME"/>
        </w:rPr>
        <w:t>(</w:t>
      </w:r>
      <w:r w:rsidRPr="000C28F4">
        <w:rPr>
          <w:rFonts w:ascii="Times New Roman" w:eastAsia="Times New Roman" w:hAnsi="Times New Roman" w:cs="Times New Roman"/>
          <w:color w:val="000000"/>
          <w:lang w:val="sr-Latn-ME" w:eastAsia="mk-MK"/>
        </w:rPr>
        <w:t>CYP</w:t>
      </w:r>
      <w:r w:rsidRPr="000C28F4">
        <w:rPr>
          <w:rFonts w:ascii="Times New Roman" w:eastAsia="Times New Roman" w:hAnsi="Times New Roman" w:cs="Times New Roman"/>
          <w:lang w:val="sr-Latn-ME"/>
        </w:rPr>
        <w:t xml:space="preserve">). Највећи дио његовог метаболизма зависи од полиморфизма ензима </w:t>
      </w:r>
      <w:r w:rsidRPr="000C28F4">
        <w:rPr>
          <w:rFonts w:ascii="Times New Roman" w:eastAsia="Times New Roman" w:hAnsi="Times New Roman" w:cs="Times New Roman"/>
          <w:color w:val="000000"/>
          <w:lang w:val="sr-Latn-ME" w:eastAsia="mk-MK"/>
        </w:rPr>
        <w:t>CYP2C19</w:t>
      </w:r>
      <w:r w:rsidRPr="000C28F4">
        <w:rPr>
          <w:rFonts w:ascii="Times New Roman" w:eastAsia="Times New Roman" w:hAnsi="Times New Roman" w:cs="Times New Roman"/>
          <w:lang w:val="sr-Latn-ME"/>
        </w:rPr>
        <w:t xml:space="preserve">, који је одговоран за формирање хидроксиомепразола, главног метаболита у плазми. Преостали дио зависи од другог специфичног изоензима, </w:t>
      </w:r>
      <w:r w:rsidRPr="000C28F4">
        <w:rPr>
          <w:rFonts w:ascii="Times New Roman" w:eastAsia="Times New Roman" w:hAnsi="Times New Roman" w:cs="Times New Roman"/>
          <w:color w:val="000000"/>
          <w:lang w:val="sr-Latn-ME" w:eastAsia="mk-MK"/>
        </w:rPr>
        <w:t xml:space="preserve">CYP3A4, који је </w:t>
      </w:r>
      <w:r w:rsidRPr="000C28F4">
        <w:rPr>
          <w:rFonts w:ascii="Times New Roman" w:eastAsia="Times New Roman" w:hAnsi="Times New Roman" w:cs="Times New Roman"/>
          <w:lang w:val="sr-Latn-ME"/>
        </w:rPr>
        <w:t xml:space="preserve">одговоран за формирање омепразол сулфона. Као посљедица високог афинитета омепразола за </w:t>
      </w:r>
      <w:r w:rsidRPr="000C28F4">
        <w:rPr>
          <w:rFonts w:ascii="Times New Roman" w:eastAsia="Times New Roman" w:hAnsi="Times New Roman" w:cs="Times New Roman"/>
          <w:color w:val="000000"/>
          <w:lang w:val="sr-Latn-ME" w:eastAsia="mk-MK"/>
        </w:rPr>
        <w:t>CYP2C19</w:t>
      </w:r>
      <w:r w:rsidRPr="000C28F4">
        <w:rPr>
          <w:rFonts w:ascii="Times New Roman" w:eastAsia="Times New Roman" w:hAnsi="Times New Roman" w:cs="Times New Roman"/>
          <w:lang w:val="sr-Latn-ME"/>
        </w:rPr>
        <w:t xml:space="preserve">, постоји потенцијал за компетитивну инхибицију и појаву интеракција међу љековима који су супстрати </w:t>
      </w:r>
      <w:r w:rsidRPr="000C28F4">
        <w:rPr>
          <w:rFonts w:ascii="Times New Roman" w:eastAsia="Times New Roman" w:hAnsi="Times New Roman" w:cs="Times New Roman"/>
          <w:color w:val="000000"/>
          <w:lang w:val="sr-Latn-ME" w:eastAsia="mk-MK"/>
        </w:rPr>
        <w:t>CYP2C19 ензима</w:t>
      </w:r>
      <w:r w:rsidRPr="000C28F4">
        <w:rPr>
          <w:rFonts w:ascii="Times New Roman" w:eastAsia="Times New Roman" w:hAnsi="Times New Roman" w:cs="Times New Roman"/>
          <w:lang w:val="sr-Latn-ME"/>
        </w:rPr>
        <w:t xml:space="preserve">. Међутим, због ниског афинитета за </w:t>
      </w:r>
      <w:r w:rsidRPr="000C28F4">
        <w:rPr>
          <w:rFonts w:ascii="Times New Roman" w:eastAsia="Times New Roman" w:hAnsi="Times New Roman" w:cs="Times New Roman"/>
          <w:color w:val="000000"/>
          <w:lang w:val="sr-Latn-ME" w:eastAsia="mk-MK"/>
        </w:rPr>
        <w:t>CYP3A4</w:t>
      </w:r>
      <w:r w:rsidRPr="000C28F4">
        <w:rPr>
          <w:rFonts w:ascii="Times New Roman" w:eastAsia="Times New Roman" w:hAnsi="Times New Roman" w:cs="Times New Roman"/>
          <w:lang w:val="sr-Latn-ME"/>
        </w:rPr>
        <w:t xml:space="preserve">, омепразол нема потенцијал да инхибира метаболизам других </w:t>
      </w:r>
      <w:r w:rsidRPr="000C28F4">
        <w:rPr>
          <w:rFonts w:ascii="Times New Roman" w:eastAsia="Times New Roman" w:hAnsi="Times New Roman" w:cs="Times New Roman"/>
          <w:color w:val="000000"/>
          <w:lang w:val="sr-Latn-ME" w:eastAsia="mk-MK"/>
        </w:rPr>
        <w:t xml:space="preserve">CYP3A4 </w:t>
      </w:r>
      <w:r w:rsidRPr="000C28F4">
        <w:rPr>
          <w:rFonts w:ascii="Times New Roman" w:eastAsia="Times New Roman" w:hAnsi="Times New Roman" w:cs="Times New Roman"/>
          <w:lang w:val="sr-Latn-ME"/>
        </w:rPr>
        <w:t xml:space="preserve">супстрата. Осим тога, омепразолу недостаје инхибиторни ефекат на главне </w:t>
      </w:r>
      <w:r w:rsidRPr="000C28F4">
        <w:rPr>
          <w:rFonts w:ascii="Times New Roman" w:eastAsia="Times New Roman" w:hAnsi="Times New Roman" w:cs="Times New Roman"/>
          <w:color w:val="000000"/>
          <w:lang w:val="sr-Latn-ME" w:eastAsia="mk-MK"/>
        </w:rPr>
        <w:t xml:space="preserve">CYP </w:t>
      </w:r>
      <w:r w:rsidRPr="000C28F4">
        <w:rPr>
          <w:rFonts w:ascii="Times New Roman" w:eastAsia="Times New Roman" w:hAnsi="Times New Roman" w:cs="Times New Roman"/>
          <w:lang w:val="sr-Latn-ME"/>
        </w:rPr>
        <w:t>ензиме.</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lang w:val="sr-Latn-ME"/>
        </w:rPr>
        <w:t xml:space="preserve">Око 3% становништва бијеле расе и 15% до 20% азијске популације нема функционални </w:t>
      </w:r>
      <w:r w:rsidRPr="000C28F4">
        <w:rPr>
          <w:rFonts w:ascii="Times New Roman" w:eastAsia="Times New Roman" w:hAnsi="Times New Roman" w:cs="Times New Roman"/>
          <w:color w:val="000000"/>
          <w:lang w:val="sr-Latn-ME" w:eastAsia="mk-MK"/>
        </w:rPr>
        <w:t xml:space="preserve">CYP2C19 </w:t>
      </w:r>
      <w:r w:rsidRPr="000C28F4">
        <w:rPr>
          <w:rFonts w:ascii="Times New Roman" w:eastAsia="Times New Roman" w:hAnsi="Times New Roman" w:cs="Times New Roman"/>
          <w:lang w:val="sr-Latn-ME"/>
        </w:rPr>
        <w:t xml:space="preserve">ензим, и називају се слаби метаболизери. Код таквих појединаца, метаболизам омепразола се одвија углавном преко </w:t>
      </w:r>
      <w:r w:rsidRPr="000C28F4">
        <w:rPr>
          <w:rFonts w:ascii="Times New Roman" w:eastAsia="Times New Roman" w:hAnsi="Times New Roman" w:cs="Times New Roman"/>
          <w:color w:val="000000"/>
          <w:lang w:val="sr-Latn-ME" w:eastAsia="mk-MK"/>
        </w:rPr>
        <w:t>CYP3A4</w:t>
      </w:r>
      <w:r w:rsidRPr="000C28F4">
        <w:rPr>
          <w:rFonts w:ascii="Times New Roman" w:eastAsia="Times New Roman" w:hAnsi="Times New Roman" w:cs="Times New Roman"/>
          <w:lang w:val="sr-Latn-ME"/>
        </w:rPr>
        <w:t xml:space="preserve">. Након поновљеног давања 20 mg омепразола једанпут дневно, просјечна вриједност ПИК-а је 5 до 10 пута већа код слабих метаболизера него код испитаника који имају функционални </w:t>
      </w:r>
      <w:r w:rsidRPr="000C28F4">
        <w:rPr>
          <w:rFonts w:ascii="Times New Roman" w:eastAsia="Times New Roman" w:hAnsi="Times New Roman" w:cs="Times New Roman"/>
          <w:color w:val="000000"/>
          <w:lang w:val="sr-Latn-ME" w:eastAsia="mk-MK"/>
        </w:rPr>
        <w:t xml:space="preserve">CYP2C19 </w:t>
      </w:r>
      <w:r w:rsidRPr="000C28F4">
        <w:rPr>
          <w:rFonts w:ascii="Times New Roman" w:eastAsia="Times New Roman" w:hAnsi="Times New Roman" w:cs="Times New Roman"/>
          <w:lang w:val="sr-Latn-ME"/>
        </w:rPr>
        <w:t>ензим (брзи метаболизери). Средње максималне концентрације у плазми су такође веће за 3 до 5 пута. Ови резултати немају утицаја на дозирање омепразола.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center" w:pos="4536"/>
          <w:tab w:val="right" w:pos="9072"/>
        </w:tabs>
        <w:spacing w:after="0" w:line="240" w:lineRule="auto"/>
        <w:jc w:val="both"/>
        <w:rPr>
          <w:rFonts w:ascii="Times New Roman" w:eastAsia="Times New Roman" w:hAnsi="Times New Roman" w:cs="Times New Roman"/>
          <w:i/>
          <w:lang w:val="sr-Latn-ME"/>
        </w:rPr>
      </w:pPr>
      <w:r w:rsidRPr="000C28F4">
        <w:rPr>
          <w:rFonts w:ascii="Times New Roman" w:eastAsia="Times New Roman" w:hAnsi="Times New Roman" w:cs="Times New Roman"/>
          <w:i/>
          <w:lang w:val="sr-Latn-ME"/>
        </w:rPr>
        <w:t>Елиминација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Полувријеме елиминације омепразола из плазме је обично краће од сат времена и након једнократне и након поновљене оралне дозе једном дневно. Омепразол се потпуно елиминише из плазме између дозирања без тенденције акумулирања код дозирања једном дневно. Око 80% оралне дозе омепразола се излучује преко метаболита путем урина, а остатак путем фецеса, углавном билијарном секрецијом.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rPr>
      </w:pPr>
      <w:r w:rsidRPr="000C28F4">
        <w:rPr>
          <w:rFonts w:ascii="Times New Roman" w:eastAsia="Times New Roman" w:hAnsi="Times New Roman" w:cs="Times New Roman"/>
          <w:u w:val="single"/>
          <w:lang w:val="sr-Latn-ME"/>
        </w:rPr>
        <w:t>Линеарност/нелинеарност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ПИК омепразола расте са понављаном примјеном. Ово повећање зависи од дозе и резултира нелинеарним односом између јачине дозе и ПИК-а након понављане примјене. Ова зависност између дозе и времена је посљедица смањеног метаболизма првог пролаза кроз јетру и системског клиренса насталог као посљедица инхибиције </w:t>
      </w:r>
      <w:r w:rsidRPr="000C28F4">
        <w:rPr>
          <w:rFonts w:ascii="Times New Roman" w:eastAsia="Times New Roman" w:hAnsi="Times New Roman" w:cs="Times New Roman"/>
          <w:color w:val="000000"/>
          <w:lang w:val="sr-Latn-ME" w:eastAsia="mk-MK"/>
        </w:rPr>
        <w:t>CYP2C19 ензима</w:t>
      </w:r>
      <w:r w:rsidRPr="000C28F4">
        <w:rPr>
          <w:rFonts w:ascii="Times New Roman" w:eastAsia="Times New Roman" w:hAnsi="Times New Roman" w:cs="Times New Roman"/>
          <w:lang w:val="sr-Latn-ME"/>
        </w:rPr>
        <w:t xml:space="preserve"> омепразолом и/или његовим метаболитима (нпр. сулфоном).</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lang w:val="sr-Latn-ME"/>
        </w:rPr>
        <w:t>Није утврђено да метаболити имају било какав утицај на лучење желудачне киселине.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u w:val="single"/>
          <w:lang w:val="sr-Latn-ME" w:eastAsia="en-GB"/>
        </w:rPr>
      </w:pPr>
      <w:r w:rsidRPr="000C28F4">
        <w:rPr>
          <w:rFonts w:ascii="Times New Roman" w:eastAsia="Times New Roman" w:hAnsi="Times New Roman" w:cs="Times New Roman"/>
          <w:u w:val="single"/>
          <w:lang w:val="sr-Latn-ME" w:eastAsia="en-GB"/>
        </w:rPr>
        <w:t>Посебне популације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Оштећење функције јетре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Метаболизам омепразола код пацијената са дисфункцијом јетре је ослабљен, што резултира повећањем ПИК-а. Омепразол не показује тенденцију да се акумулира приликом дозирања једном дневно. </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Оштећење бубрежне функције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Фармакокинетика омепразола, укључујући и системску биорасположивост и степен елиминације, остају непромијењени код пацијената са смањеном функцијом бубрега.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i/>
          <w:lang w:val="sr-Latn-ME" w:eastAsia="en-GB"/>
        </w:rPr>
        <w:t xml:space="preserve">Старији пацијенти </w:t>
      </w:r>
    </w:p>
    <w:p w:rsidR="00233AC6" w:rsidRPr="000C28F4" w:rsidRDefault="00233AC6">
      <w:pPr>
        <w:tabs>
          <w:tab w:val="left" w:pos="284"/>
        </w:tabs>
        <w:spacing w:after="0" w:line="240" w:lineRule="auto"/>
        <w:jc w:val="both"/>
        <w:rPr>
          <w:rFonts w:ascii="Times New Roman" w:eastAsia="Times New Roman" w:hAnsi="Times New Roman" w:cs="Times New Roman"/>
          <w:i/>
          <w:lang w:val="sr-Latn-ME" w:eastAsia="en-GB"/>
        </w:rPr>
      </w:pPr>
      <w:r w:rsidRPr="000C28F4">
        <w:rPr>
          <w:rFonts w:ascii="Times New Roman" w:eastAsia="Times New Roman" w:hAnsi="Times New Roman" w:cs="Times New Roman"/>
          <w:lang w:val="sr-Latn-ME"/>
        </w:rPr>
        <w:t>Проценат метаболизма омепразола нешто је смањен код старијих пацијената (75–79 година).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eastAsia="en-GB"/>
        </w:rPr>
      </w:pPr>
      <w:r w:rsidRPr="000C28F4">
        <w:rPr>
          <w:rFonts w:ascii="Times New Roman" w:eastAsia="Times New Roman" w:hAnsi="Times New Roman" w:cs="Times New Roman"/>
          <w:i/>
          <w:iCs/>
          <w:lang w:val="sr-Latn-ME" w:eastAsia="en-GB"/>
        </w:rPr>
        <w:t>Педијатријски пацијенти</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У току лијечења препорученим дозама за дјецу узраста од годину дана, сличне концентрације у плазми биле су добијене у односу на одрасле. Код дјеце млађе од шест мјесеци, клиренс омепразола је низак због ниског капацитета за метаболизам омепразола.</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lastRenderedPageBreak/>
        <w:t xml:space="preserve">5.3. Претклинички подаци о безбједности </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Хиперплазија и карциноиди желудачних </w:t>
      </w:r>
      <w:r w:rsidRPr="000C28F4">
        <w:rPr>
          <w:rFonts w:ascii="Times New Roman" w:eastAsia="Times New Roman" w:hAnsi="Times New Roman" w:cs="Times New Roman"/>
          <w:color w:val="000000"/>
          <w:lang w:val="sr-Latn-ME" w:eastAsia="mk-MK"/>
        </w:rPr>
        <w:t>ECL</w:t>
      </w:r>
      <w:r w:rsidRPr="000C28F4">
        <w:rPr>
          <w:rFonts w:ascii="Times New Roman" w:eastAsia="Times New Roman" w:hAnsi="Times New Roman" w:cs="Times New Roman"/>
          <w:lang w:val="sr-Latn-ME"/>
        </w:rPr>
        <w:t xml:space="preserve"> ћелија, забиљежени </w:t>
      </w:r>
      <w:r w:rsidRPr="000C28F4">
        <w:rPr>
          <w:rFonts w:ascii="Times New Roman" w:eastAsia="Times New Roman" w:hAnsi="Times New Roman" w:cs="Times New Roman"/>
          <w:lang w:val="sr-Cyrl-RS"/>
        </w:rPr>
        <w:t xml:space="preserve">су </w:t>
      </w:r>
      <w:r w:rsidRPr="000C28F4">
        <w:rPr>
          <w:rFonts w:ascii="Times New Roman" w:eastAsia="Times New Roman" w:hAnsi="Times New Roman" w:cs="Times New Roman"/>
          <w:lang w:val="sr-Latn-ME"/>
        </w:rPr>
        <w:t xml:space="preserve">у доживотној студији на пацовима који су третирани омепразолом. Ове промјене су резултат сталне хипергастринемије настале инхибицијом лучења желудачне киселине. Слични резултати су добијени након третмана са </w:t>
      </w:r>
      <w:r w:rsidRPr="000C28F4">
        <w:rPr>
          <w:rFonts w:ascii="Times New Roman" w:eastAsia="Times New Roman" w:hAnsi="Times New Roman" w:cs="Times New Roman"/>
          <w:color w:val="000000"/>
          <w:lang w:val="sr-Latn-ME" w:eastAsia="mk-MK"/>
        </w:rPr>
        <w:t>H</w:t>
      </w:r>
      <w:r w:rsidRPr="000C28F4">
        <w:rPr>
          <w:rFonts w:ascii="Times New Roman" w:eastAsia="Times New Roman" w:hAnsi="Times New Roman" w:cs="Times New Roman"/>
          <w:color w:val="000000"/>
          <w:vertAlign w:val="subscript"/>
          <w:lang w:val="sr-Latn-ME" w:eastAsia="mk-MK"/>
        </w:rPr>
        <w:t>2</w:t>
      </w:r>
      <w:r w:rsidRPr="000C28F4">
        <w:rPr>
          <w:rFonts w:ascii="Times New Roman" w:eastAsia="Times New Roman" w:hAnsi="Times New Roman" w:cs="Times New Roman"/>
          <w:lang w:val="sr-Latn-ME"/>
        </w:rPr>
        <w:t>-антагонистима, инхибиторима протонске пумпе и након дјелимичне фундектомије. Дакле, ове промјене ниjeсу посљедица директног дјеловања било које појединачне активне супстанце.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E86DB9" w:rsidRDefault="00E86DB9"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6. ФАРМАЦЕУТСКИ ПОДАЦИ</w:t>
      </w:r>
    </w:p>
    <w:p w:rsidR="00233AC6" w:rsidRPr="000C28F4" w:rsidRDefault="00233AC6" w:rsidP="000C28F4">
      <w:pPr>
        <w:tabs>
          <w:tab w:val="left" w:pos="284"/>
        </w:tabs>
        <w:spacing w:after="0" w:line="240" w:lineRule="auto"/>
        <w:jc w:val="both"/>
        <w:rPr>
          <w:rFonts w:ascii="Times New Roman" w:eastAsia="Times New Roman" w:hAnsi="Times New Roman" w:cs="Times New Roman"/>
          <w:b/>
          <w:bCs/>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Cyrl-RS"/>
        </w:rPr>
      </w:pPr>
      <w:r w:rsidRPr="000C28F4">
        <w:rPr>
          <w:rFonts w:ascii="Times New Roman" w:eastAsia="Times New Roman" w:hAnsi="Times New Roman" w:cs="Times New Roman"/>
          <w:b/>
          <w:bCs/>
          <w:lang w:val="sr-Latn-ME"/>
        </w:rPr>
        <w:t xml:space="preserve">6.1. Листа помоћних супстанци </w:t>
      </w:r>
      <w:r w:rsidRPr="000C28F4">
        <w:rPr>
          <w:rFonts w:ascii="Times New Roman" w:eastAsia="Times New Roman" w:hAnsi="Times New Roman" w:cs="Times New Roman"/>
          <w:b/>
          <w:bCs/>
          <w:lang w:val="sr-Cyrl-RS"/>
        </w:rPr>
        <w:t>(ексципијенаса)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Maнитол</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Хипромелоза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Копол</w:t>
      </w:r>
      <w:r w:rsidRPr="000C28F4">
        <w:rPr>
          <w:rFonts w:ascii="Times New Roman" w:eastAsia="Times New Roman" w:hAnsi="Times New Roman" w:cs="Times New Roman"/>
          <w:lang w:val="sr-Cyrl-RS"/>
        </w:rPr>
        <w:t>и</w:t>
      </w:r>
      <w:r w:rsidRPr="000C28F4">
        <w:rPr>
          <w:rFonts w:ascii="Times New Roman" w:eastAsia="Times New Roman" w:hAnsi="Times New Roman" w:cs="Times New Roman"/>
          <w:lang w:val="sr-Latn-ME"/>
        </w:rPr>
        <w:t>мер метакрилне кис</w:t>
      </w:r>
      <w:r w:rsidR="00A32903" w:rsidRPr="000C28F4">
        <w:rPr>
          <w:rFonts w:ascii="Times New Roman" w:eastAsia="Times New Roman" w:hAnsi="Times New Roman" w:cs="Times New Roman"/>
          <w:lang w:val="sr-Cyrl-RS"/>
        </w:rPr>
        <w:t>ј</w:t>
      </w:r>
      <w:r w:rsidRPr="000C28F4">
        <w:rPr>
          <w:rFonts w:ascii="Times New Roman" w:eastAsia="Times New Roman" w:hAnsi="Times New Roman" w:cs="Times New Roman"/>
          <w:lang w:val="sr-Latn-ME"/>
        </w:rPr>
        <w:t>елине и етил акрилат</w:t>
      </w:r>
      <w:r w:rsidRPr="000C28F4">
        <w:rPr>
          <w:rFonts w:ascii="Times New Roman" w:eastAsia="Times New Roman" w:hAnsi="Times New Roman" w:cs="Times New Roman"/>
          <w:lang w:val="sr-Cyrl-RS"/>
        </w:rPr>
        <w:t>а</w:t>
      </w:r>
      <w:r w:rsidRPr="000C28F4">
        <w:rPr>
          <w:rFonts w:ascii="Times New Roman" w:eastAsia="Times New Roman" w:hAnsi="Times New Roman" w:cs="Times New Roman"/>
          <w:lang w:val="sr-Latn-ME"/>
        </w:rPr>
        <w:t xml:space="preserve"> (1:1), 30% дисперзија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Натријум лаурисулфат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Динатријум фосфат, дихидрат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Диетил фталат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Сахароза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Повидон К 30</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Калцијум карбонат</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Tалк</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Полисорбат 80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Натријум хидроксид</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Желатин</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Tитан диоксид (E171)</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Боја Brilliant Blue (E133)</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Боја Carmoisine (E122)</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Боја Quinoline yellow (E104)</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6.2. Инкомпатибилности</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Није примјењиво.</w:t>
      </w: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6.3. Рок употребе</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Tри (3) године.</w:t>
      </w:r>
    </w:p>
    <w:p w:rsidR="00233AC6" w:rsidRPr="000C28F4" w:rsidRDefault="00233AC6" w:rsidP="004C33B2">
      <w:pPr>
        <w:spacing w:after="0" w:line="240" w:lineRule="auto"/>
        <w:ind w:left="108"/>
        <w:jc w:val="both"/>
        <w:rPr>
          <w:rFonts w:ascii="Times New Roman" w:eastAsia="Times New Roman" w:hAnsi="Times New Roman" w:cs="Times New Roman"/>
          <w:i/>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6.4. Посебне мјере упозорења при чувању лијека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Чувати на температури до 30</w:t>
      </w:r>
      <w:r w:rsidRPr="000C28F4">
        <w:rPr>
          <w:rFonts w:ascii="Times New Roman" w:eastAsia="Times New Roman" w:hAnsi="Times New Roman" w:cs="Times New Roman"/>
          <w:vertAlign w:val="superscript"/>
          <w:lang w:val="sr-Latn-ME"/>
        </w:rPr>
        <w:t>o</w:t>
      </w:r>
      <w:r w:rsidRPr="000C28F4">
        <w:rPr>
          <w:rFonts w:ascii="Times New Roman" w:eastAsia="Times New Roman" w:hAnsi="Times New Roman" w:cs="Times New Roman"/>
          <w:lang w:val="sr-Latn-ME"/>
        </w:rPr>
        <w:t>C.</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Средство за сушење које се налази у бочици са капсулама није за јело.</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Послије сваке употребе бочицу добро затворити.</w:t>
      </w:r>
    </w:p>
    <w:p w:rsidR="00233AC6"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Мјесец дана након првог отварања бочице, преостале капсуле треба бацити.</w:t>
      </w:r>
    </w:p>
    <w:p w:rsidR="008C712D" w:rsidRPr="000C28F4" w:rsidRDefault="008C712D">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6.5. Врста и садржај паковања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Капсуле су паковане у браон стаклене бочице од неутралног стакла, тип III, са десикантном капсулом, затворене алуминијумским затварачем. </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Картонска кутија садржи једну бочицу са 14 гастрорезистентних капсула, тврдих и </w:t>
      </w:r>
      <w:r w:rsidRPr="000C28F4">
        <w:rPr>
          <w:rFonts w:ascii="Times New Roman" w:eastAsia="Times New Roman" w:hAnsi="Times New Roman" w:cs="Times New Roman"/>
          <w:lang w:val="sr-Cyrl-RS"/>
        </w:rPr>
        <w:t>У</w:t>
      </w:r>
      <w:r w:rsidRPr="000C28F4">
        <w:rPr>
          <w:rFonts w:ascii="Times New Roman" w:eastAsia="Times New Roman" w:hAnsi="Times New Roman" w:cs="Times New Roman"/>
          <w:lang w:val="sr-Latn-ME"/>
        </w:rPr>
        <w:t xml:space="preserve">путство за </w:t>
      </w:r>
      <w:r w:rsidRPr="000C28F4">
        <w:rPr>
          <w:rFonts w:ascii="Times New Roman" w:eastAsia="Times New Roman" w:hAnsi="Times New Roman" w:cs="Times New Roman"/>
          <w:lang w:val="sr-Cyrl-RS"/>
        </w:rPr>
        <w:t>лијек</w:t>
      </w:r>
      <w:r w:rsidRPr="000C28F4">
        <w:rPr>
          <w:rFonts w:ascii="Times New Roman" w:eastAsia="Times New Roman" w:hAnsi="Times New Roman" w:cs="Times New Roman"/>
          <w:lang w:val="sr-Latn-ME"/>
        </w:rPr>
        <w:t xml:space="preserve">. </w:t>
      </w: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lastRenderedPageBreak/>
        <w:t>6.6. Посебне мјере опреза при одлагању материјала који треба одбацити након примјене лијека</w:t>
      </w:r>
      <w:r w:rsidRPr="000C28F4">
        <w:rPr>
          <w:rFonts w:ascii="Times New Roman" w:eastAsia="Times New Roman" w:hAnsi="Times New Roman" w:cs="Times New Roman"/>
          <w:b/>
          <w:bCs/>
          <w:lang w:val="sr-Cyrl-RS"/>
        </w:rPr>
        <w:t xml:space="preserve"> (и друга упутства за руковање лијеком)</w:t>
      </w:r>
      <w:r w:rsidRPr="000C28F4">
        <w:rPr>
          <w:rFonts w:ascii="Times New Roman" w:eastAsia="Times New Roman" w:hAnsi="Times New Roman" w:cs="Times New Roman"/>
          <w:b/>
          <w:bCs/>
          <w:lang w:val="sr-Latn-ME"/>
        </w:rPr>
        <w:t xml:space="preserve"> </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Нема посебних захтјева.</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Сву неискоришћену количину лијека или отпадног материјала након његове употребе треба уклонити у складу са важећим прописима.</w:t>
      </w:r>
    </w:p>
    <w:p w:rsidR="00233AC6" w:rsidRPr="000C28F4" w:rsidRDefault="00233AC6">
      <w:pPr>
        <w:tabs>
          <w:tab w:val="left" w:pos="284"/>
        </w:tabs>
        <w:spacing w:after="0" w:line="240" w:lineRule="auto"/>
        <w:jc w:val="both"/>
        <w:rPr>
          <w:rFonts w:ascii="Times New Roman" w:eastAsia="Times New Roman" w:hAnsi="Times New Roman" w:cs="Times New Roman"/>
          <w:noProof/>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 xml:space="preserve">7. НОСИЛАЦ ДОЗВОЛЕ </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АЛКАЛОИД д.о.о. Подгорица</w:t>
      </w:r>
    </w:p>
    <w:p w:rsidR="00233AC6" w:rsidRPr="000C28F4" w:rsidRDefault="00233AC6">
      <w:pPr>
        <w:tabs>
          <w:tab w:val="left" w:pos="284"/>
        </w:tabs>
        <w:spacing w:after="0" w:line="240" w:lineRule="auto"/>
        <w:jc w:val="both"/>
        <w:rPr>
          <w:rFonts w:ascii="Times New Roman" w:eastAsia="Times New Roman" w:hAnsi="Times New Roman" w:cs="Times New Roman"/>
          <w:lang w:val="sr-Cyrl-RS"/>
        </w:rPr>
      </w:pPr>
      <w:r w:rsidRPr="000C28F4">
        <w:rPr>
          <w:rFonts w:ascii="Times New Roman" w:eastAsia="Times New Roman" w:hAnsi="Times New Roman" w:cs="Times New Roman"/>
          <w:lang w:val="sr-Latn-ME"/>
        </w:rPr>
        <w:t>Ул. Светлане Кане Радевић бр. 3/V</w:t>
      </w:r>
      <w:r w:rsidRPr="000C28F4">
        <w:rPr>
          <w:rFonts w:ascii="Times New Roman" w:eastAsia="Times New Roman" w:hAnsi="Times New Roman" w:cs="Times New Roman"/>
          <w:lang w:val="sr-Cyrl-RS"/>
        </w:rPr>
        <w:t>,</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81 000 Подгорица, Црна Гора</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 xml:space="preserve">8. БРОЈ ДОЗВОЛЕ </w:t>
      </w:r>
      <w:r w:rsidRPr="000C28F4">
        <w:rPr>
          <w:rFonts w:ascii="Times New Roman" w:eastAsia="Times New Roman" w:hAnsi="Times New Roman" w:cs="Times New Roman"/>
          <w:b/>
          <w:bCs/>
          <w:lang w:val="sr-Cyrl-RS"/>
        </w:rPr>
        <w:t>ЗА СТАВЉАЊЕ ЛИЈЕКА У ПРОМЕТ</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OMEZOL, гастрорезистентна капсула, тврда, 20 mg, 14 гастрорезистентних капсула, тврдих у стакленој бочици, у картонској кутији: </w:t>
      </w:r>
      <w:r w:rsidRPr="000C28F4">
        <w:rPr>
          <w:rFonts w:ascii="Times New Roman" w:hAnsi="Times New Roman" w:cs="Times New Roman"/>
          <w:bCs/>
          <w:lang w:val="sr-Latn-ME"/>
        </w:rPr>
        <w:t>2030/17/410 -758</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Cyrl-RS"/>
        </w:rPr>
      </w:pPr>
      <w:r w:rsidRPr="000C28F4">
        <w:rPr>
          <w:rFonts w:ascii="Times New Roman" w:eastAsia="Times New Roman" w:hAnsi="Times New Roman" w:cs="Times New Roman"/>
          <w:b/>
          <w:bCs/>
          <w:lang w:val="sr-Latn-ME"/>
        </w:rPr>
        <w:t>9. ДАТУМ ПРВЕ ДОЗВОЛЕ/ОБНОВЕ ДОЗВОЛЕ</w:t>
      </w:r>
      <w:r w:rsidRPr="000C28F4">
        <w:rPr>
          <w:rFonts w:ascii="Times New Roman" w:eastAsia="Times New Roman" w:hAnsi="Times New Roman" w:cs="Times New Roman"/>
          <w:b/>
          <w:bCs/>
          <w:lang w:val="sr-Cyrl-RS"/>
        </w:rPr>
        <w:t xml:space="preserve"> ЗА СТАВЉАЊЕ ЛИЈЕКА У ПРОМЕТ</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FD19CD">
      <w:pPr>
        <w:tabs>
          <w:tab w:val="left" w:pos="284"/>
        </w:tabs>
        <w:spacing w:after="0" w:line="240" w:lineRule="auto"/>
        <w:jc w:val="both"/>
        <w:rPr>
          <w:rFonts w:ascii="Times New Roman" w:eastAsia="Times New Roman" w:hAnsi="Times New Roman" w:cs="Times New Roman"/>
          <w:lang w:val="sr-Latn-ME"/>
        </w:rPr>
      </w:pPr>
      <w:r w:rsidRPr="000C28F4">
        <w:rPr>
          <w:rFonts w:ascii="Times New Roman" w:eastAsia="Times New Roman" w:hAnsi="Times New Roman" w:cs="Times New Roman"/>
          <w:lang w:val="sr-Latn-ME"/>
        </w:rPr>
        <w:t xml:space="preserve">OMEZOL, гастрорезистентна капсула, тврда, 20 mg, 14 гастрорезистентних капсула, тврдих у стакленој бочици, у картонској кутији: 11.10.2017. </w:t>
      </w:r>
      <w:r w:rsidRPr="000C28F4">
        <w:rPr>
          <w:rFonts w:ascii="Times New Roman" w:eastAsia="Times New Roman" w:hAnsi="Times New Roman" w:cs="Times New Roman"/>
        </w:rPr>
        <w:t>године</w:t>
      </w:r>
    </w:p>
    <w:p w:rsidR="00233AC6" w:rsidRPr="000C28F4" w:rsidRDefault="00233AC6">
      <w:pPr>
        <w:tabs>
          <w:tab w:val="left" w:pos="284"/>
        </w:tabs>
        <w:spacing w:after="0" w:line="240" w:lineRule="auto"/>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233AC6" w:rsidRPr="000C28F4" w:rsidRDefault="00233AC6" w:rsidP="004C33B2">
      <w:pPr>
        <w:spacing w:after="0" w:line="240" w:lineRule="auto"/>
        <w:ind w:left="108"/>
        <w:jc w:val="both"/>
        <w:rPr>
          <w:rFonts w:ascii="Times New Roman" w:eastAsia="Times New Roman" w:hAnsi="Times New Roman" w:cs="Times New Roman"/>
          <w:b/>
          <w:bCs/>
          <w:lang w:val="sr-Latn-ME"/>
        </w:rPr>
      </w:pPr>
      <w:r w:rsidRPr="000C28F4">
        <w:rPr>
          <w:rFonts w:ascii="Times New Roman" w:eastAsia="Times New Roman" w:hAnsi="Times New Roman" w:cs="Times New Roman"/>
          <w:b/>
          <w:bCs/>
          <w:lang w:val="sr-Latn-ME"/>
        </w:rPr>
        <w:t>10. ДАТУМ РЕВИЗИЈЕ ТЕКСТА</w:t>
      </w:r>
    </w:p>
    <w:p w:rsidR="00233AC6" w:rsidRPr="000C28F4" w:rsidRDefault="00233AC6" w:rsidP="000C28F4">
      <w:pPr>
        <w:tabs>
          <w:tab w:val="left" w:pos="284"/>
        </w:tabs>
        <w:spacing w:after="0" w:line="240" w:lineRule="auto"/>
        <w:jc w:val="both"/>
        <w:rPr>
          <w:rFonts w:ascii="Times New Roman" w:eastAsia="Times New Roman" w:hAnsi="Times New Roman" w:cs="Times New Roman"/>
          <w:lang w:val="sr-Latn-ME"/>
        </w:rPr>
      </w:pPr>
    </w:p>
    <w:p w:rsidR="00233AC6" w:rsidRPr="000C28F4" w:rsidRDefault="00E86DB9" w:rsidP="00FD19CD">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Март</w:t>
      </w:r>
      <w:bookmarkStart w:id="0" w:name="_GoBack"/>
      <w:bookmarkEnd w:id="0"/>
      <w:r w:rsidR="00233AC6" w:rsidRPr="000C28F4">
        <w:rPr>
          <w:rFonts w:ascii="Times New Roman" w:eastAsia="Times New Roman" w:hAnsi="Times New Roman" w:cs="Times New Roman"/>
        </w:rPr>
        <w:t>, 20</w:t>
      </w:r>
      <w:r w:rsidR="00233AC6" w:rsidRPr="000C28F4">
        <w:rPr>
          <w:rFonts w:ascii="Times New Roman" w:eastAsia="Times New Roman" w:hAnsi="Times New Roman" w:cs="Times New Roman"/>
          <w:lang w:val="sr-Cyrl-RS"/>
        </w:rPr>
        <w:t>2</w:t>
      </w:r>
      <w:r w:rsidR="00A32903" w:rsidRPr="000C28F4">
        <w:rPr>
          <w:rFonts w:ascii="Times New Roman" w:eastAsia="Times New Roman" w:hAnsi="Times New Roman" w:cs="Times New Roman"/>
          <w:lang w:val="sr-Cyrl-RS"/>
        </w:rPr>
        <w:t>4</w:t>
      </w:r>
      <w:r w:rsidR="00233AC6" w:rsidRPr="000C28F4">
        <w:rPr>
          <w:rFonts w:ascii="Times New Roman" w:eastAsia="Times New Roman" w:hAnsi="Times New Roman" w:cs="Times New Roman"/>
        </w:rPr>
        <w:t>. године</w:t>
      </w:r>
    </w:p>
    <w:p w:rsidR="00233AC6" w:rsidRPr="000C28F4" w:rsidRDefault="00233AC6" w:rsidP="004C33B2">
      <w:pPr>
        <w:spacing w:after="0" w:line="240" w:lineRule="auto"/>
        <w:ind w:left="108"/>
        <w:jc w:val="both"/>
        <w:rPr>
          <w:rFonts w:ascii="Times New Roman" w:eastAsia="Times New Roman" w:hAnsi="Times New Roman" w:cs="Times New Roman"/>
          <w:lang w:val="sr-Latn-ME"/>
        </w:rPr>
      </w:pPr>
    </w:p>
    <w:p w:rsidR="009318B4" w:rsidRPr="000C28F4" w:rsidRDefault="009318B4" w:rsidP="000C28F4">
      <w:pPr>
        <w:tabs>
          <w:tab w:val="left" w:pos="2751"/>
        </w:tabs>
        <w:jc w:val="both"/>
        <w:rPr>
          <w:rFonts w:ascii="Times New Roman" w:hAnsi="Times New Roman" w:cs="Times New Roman"/>
          <w:lang w:val="en-US"/>
        </w:rPr>
      </w:pPr>
    </w:p>
    <w:sectPr w:rsidR="009318B4" w:rsidRPr="000C28F4" w:rsidSect="00E86DB9">
      <w:footerReference w:type="default" r:id="rId14"/>
      <w:headerReference w:type="first" r:id="rId15"/>
      <w:footerReference w:type="first" r:id="rId16"/>
      <w:pgSz w:w="11907" w:h="16840" w:code="9"/>
      <w:pgMar w:top="2160" w:right="1140" w:bottom="1701"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175" w:rsidRDefault="00BB3175" w:rsidP="00FF2B5A">
      <w:pPr>
        <w:spacing w:after="0" w:line="240" w:lineRule="auto"/>
      </w:pPr>
      <w:r>
        <w:separator/>
      </w:r>
    </w:p>
  </w:endnote>
  <w:endnote w:type="continuationSeparator" w:id="0">
    <w:p w:rsidR="00BB3175" w:rsidRDefault="00BB317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05238520"/>
      <w:docPartObj>
        <w:docPartGallery w:val="Page Numbers (Top of Page)"/>
        <w:docPartUnique/>
      </w:docPartObj>
    </w:sdtPr>
    <w:sdtEndPr>
      <w:rPr>
        <w:rFonts w:eastAsia="Times New Roman"/>
        <w:sz w:val="24"/>
        <w:szCs w:val="20"/>
        <w:lang w:val="en-GB" w:eastAsia="hr-HR"/>
      </w:rPr>
    </w:sdtEndPr>
    <w:sdtContent>
      <w:p w:rsidR="007C0A11" w:rsidRPr="00236FC2" w:rsidRDefault="007C0A11" w:rsidP="00236FC2">
        <w:pPr>
          <w:pStyle w:val="Footer"/>
          <w:jc w:val="center"/>
          <w:rPr>
            <w:rFonts w:ascii="Times New Roman" w:eastAsia="Times New Roman" w:hAnsi="Times New Roman" w:cs="Times New Roman"/>
            <w:sz w:val="24"/>
            <w:szCs w:val="20"/>
            <w:lang w:val="en-GB" w:eastAsia="hr-HR"/>
          </w:rPr>
        </w:pPr>
        <w:r w:rsidRPr="00110ADB">
          <w:rPr>
            <w:rFonts w:ascii="Times New Roman" w:hAnsi="Times New Roman" w:cs="Times New Roman"/>
          </w:rPr>
          <w:t xml:space="preserve"> </w:t>
        </w:r>
        <w:r w:rsidRPr="00236FC2">
          <w:rPr>
            <w:rFonts w:ascii="Times New Roman" w:eastAsia="Times New Roman" w:hAnsi="Times New Roman" w:cs="Times New Roman"/>
            <w:sz w:val="24"/>
            <w:szCs w:val="20"/>
            <w:lang w:val="en-GB" w:eastAsia="hr-HR"/>
          </w:rPr>
          <w:fldChar w:fldCharType="begin"/>
        </w:r>
        <w:r w:rsidRPr="00236FC2">
          <w:rPr>
            <w:rFonts w:ascii="Times New Roman" w:eastAsia="Times New Roman" w:hAnsi="Times New Roman" w:cs="Times New Roman"/>
            <w:sz w:val="24"/>
            <w:szCs w:val="20"/>
            <w:lang w:val="en-GB" w:eastAsia="hr-HR"/>
          </w:rPr>
          <w:instrText xml:space="preserve"> PAGE </w:instrText>
        </w:r>
        <w:r w:rsidRPr="00236FC2">
          <w:rPr>
            <w:rFonts w:ascii="Times New Roman" w:eastAsia="Times New Roman" w:hAnsi="Times New Roman" w:cs="Times New Roman"/>
            <w:sz w:val="24"/>
            <w:szCs w:val="20"/>
            <w:lang w:val="en-GB" w:eastAsia="hr-HR"/>
          </w:rPr>
          <w:fldChar w:fldCharType="separate"/>
        </w:r>
        <w:r w:rsidR="00E86DB9">
          <w:rPr>
            <w:rFonts w:ascii="Times New Roman" w:eastAsia="Times New Roman" w:hAnsi="Times New Roman" w:cs="Times New Roman"/>
            <w:noProof/>
            <w:sz w:val="24"/>
            <w:szCs w:val="20"/>
            <w:lang w:val="en-GB" w:eastAsia="hr-HR"/>
          </w:rPr>
          <w:t>16</w:t>
        </w:r>
        <w:r w:rsidRPr="00236FC2">
          <w:rPr>
            <w:rFonts w:ascii="Times New Roman" w:eastAsia="Times New Roman" w:hAnsi="Times New Roman" w:cs="Times New Roman"/>
            <w:sz w:val="24"/>
            <w:szCs w:val="20"/>
            <w:lang w:val="en-GB" w:eastAsia="hr-HR"/>
          </w:rPr>
          <w:fldChar w:fldCharType="end"/>
        </w:r>
        <w:r w:rsidRPr="00236FC2">
          <w:rPr>
            <w:rFonts w:ascii="Times New Roman" w:eastAsia="Times New Roman" w:hAnsi="Times New Roman" w:cs="Times New Roman"/>
            <w:sz w:val="24"/>
            <w:szCs w:val="20"/>
            <w:lang w:val="en-GB" w:eastAsia="hr-HR"/>
          </w:rPr>
          <w:t xml:space="preserve"> / </w:t>
        </w:r>
        <w:r w:rsidRPr="00236FC2">
          <w:rPr>
            <w:rFonts w:ascii="Times New Roman" w:eastAsia="Times New Roman" w:hAnsi="Times New Roman" w:cs="Times New Roman"/>
            <w:sz w:val="24"/>
            <w:szCs w:val="20"/>
            <w:lang w:val="en-GB" w:eastAsia="hr-HR"/>
          </w:rPr>
          <w:fldChar w:fldCharType="begin"/>
        </w:r>
        <w:r w:rsidRPr="00236FC2">
          <w:rPr>
            <w:rFonts w:ascii="Times New Roman" w:eastAsia="Times New Roman" w:hAnsi="Times New Roman" w:cs="Times New Roman"/>
            <w:sz w:val="24"/>
            <w:szCs w:val="20"/>
            <w:lang w:val="en-GB" w:eastAsia="hr-HR"/>
          </w:rPr>
          <w:instrText xml:space="preserve"> NUMPAGES  </w:instrText>
        </w:r>
        <w:r w:rsidRPr="00236FC2">
          <w:rPr>
            <w:rFonts w:ascii="Times New Roman" w:eastAsia="Times New Roman" w:hAnsi="Times New Roman" w:cs="Times New Roman"/>
            <w:sz w:val="24"/>
            <w:szCs w:val="20"/>
            <w:lang w:val="en-GB" w:eastAsia="hr-HR"/>
          </w:rPr>
          <w:fldChar w:fldCharType="separate"/>
        </w:r>
        <w:r w:rsidR="00E86DB9">
          <w:rPr>
            <w:rFonts w:ascii="Times New Roman" w:eastAsia="Times New Roman" w:hAnsi="Times New Roman" w:cs="Times New Roman"/>
            <w:noProof/>
            <w:sz w:val="24"/>
            <w:szCs w:val="20"/>
            <w:lang w:val="en-GB" w:eastAsia="hr-HR"/>
          </w:rPr>
          <w:t>16</w:t>
        </w:r>
        <w:r w:rsidRPr="00236FC2">
          <w:rPr>
            <w:rFonts w:ascii="Times New Roman" w:eastAsia="Times New Roman" w:hAnsi="Times New Roman" w:cs="Times New Roman"/>
            <w:sz w:val="24"/>
            <w:szCs w:val="20"/>
            <w:lang w:val="en-GB" w:eastAsia="hr-HR"/>
          </w:rPr>
          <w:fldChar w:fldCharType="end"/>
        </w:r>
      </w:p>
    </w:sdtContent>
  </w:sdt>
  <w:p w:rsidR="007C0A11" w:rsidRPr="00F1527C" w:rsidRDefault="007C0A11"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11" w:rsidRPr="00F1527C" w:rsidRDefault="007C0A11"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C0A11" w:rsidRPr="00F1527C" w:rsidRDefault="007C0A11"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C0A11" w:rsidRPr="00F1527C" w:rsidRDefault="007C0A11"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C0A11" w:rsidRPr="00F1527C" w:rsidRDefault="007C0A11"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C0A11" w:rsidRPr="00F1527C" w:rsidRDefault="007C0A11"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7C0A11" w:rsidRPr="009318B4" w:rsidRDefault="007C0A11"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175" w:rsidRDefault="00BB3175" w:rsidP="00FF2B5A">
      <w:pPr>
        <w:spacing w:after="0" w:line="240" w:lineRule="auto"/>
      </w:pPr>
      <w:r>
        <w:separator/>
      </w:r>
    </w:p>
  </w:footnote>
  <w:footnote w:type="continuationSeparator" w:id="0">
    <w:p w:rsidR="00BB3175" w:rsidRDefault="00BB317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11" w:rsidRDefault="007C0A11" w:rsidP="009318B4">
    <w:pPr>
      <w:pStyle w:val="Header"/>
      <w:rPr>
        <w:sz w:val="16"/>
        <w:szCs w:val="16"/>
      </w:rPr>
    </w:pPr>
  </w:p>
  <w:p w:rsidR="007C0A11" w:rsidRDefault="007C0A11"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C0A11" w:rsidRDefault="007C0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71AA"/>
    <w:multiLevelType w:val="hybridMultilevel"/>
    <w:tmpl w:val="B176AB3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B27BE"/>
    <w:multiLevelType w:val="hybridMultilevel"/>
    <w:tmpl w:val="AFF24322"/>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3460EF"/>
    <w:multiLevelType w:val="hybridMultilevel"/>
    <w:tmpl w:val="0158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9B615C"/>
    <w:multiLevelType w:val="hybridMultilevel"/>
    <w:tmpl w:val="9AB6D7AC"/>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00A0D"/>
    <w:multiLevelType w:val="hybridMultilevel"/>
    <w:tmpl w:val="385EC65A"/>
    <w:lvl w:ilvl="0" w:tplc="F38A95FA">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8A24407"/>
    <w:multiLevelType w:val="hybridMultilevel"/>
    <w:tmpl w:val="E7E6F14C"/>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7248"/>
    <w:rsid w:val="000136DB"/>
    <w:rsid w:val="00035320"/>
    <w:rsid w:val="000544AD"/>
    <w:rsid w:val="0009563C"/>
    <w:rsid w:val="000C28F4"/>
    <w:rsid w:val="000D48C5"/>
    <w:rsid w:val="000F154B"/>
    <w:rsid w:val="00115523"/>
    <w:rsid w:val="00116FE6"/>
    <w:rsid w:val="00164F18"/>
    <w:rsid w:val="0017577E"/>
    <w:rsid w:val="001B1F78"/>
    <w:rsid w:val="00233AC6"/>
    <w:rsid w:val="00236FC2"/>
    <w:rsid w:val="00251B60"/>
    <w:rsid w:val="00262135"/>
    <w:rsid w:val="0026771E"/>
    <w:rsid w:val="002A42C5"/>
    <w:rsid w:val="002D7AFB"/>
    <w:rsid w:val="00326791"/>
    <w:rsid w:val="00353296"/>
    <w:rsid w:val="00364867"/>
    <w:rsid w:val="0040274B"/>
    <w:rsid w:val="0043022C"/>
    <w:rsid w:val="0044347E"/>
    <w:rsid w:val="00461135"/>
    <w:rsid w:val="004617E9"/>
    <w:rsid w:val="00477753"/>
    <w:rsid w:val="004A4CA9"/>
    <w:rsid w:val="004C33B2"/>
    <w:rsid w:val="004E1257"/>
    <w:rsid w:val="00505864"/>
    <w:rsid w:val="00525255"/>
    <w:rsid w:val="00530358"/>
    <w:rsid w:val="00541A60"/>
    <w:rsid w:val="005C3606"/>
    <w:rsid w:val="005C57FA"/>
    <w:rsid w:val="005C773D"/>
    <w:rsid w:val="005E3EBE"/>
    <w:rsid w:val="0065724C"/>
    <w:rsid w:val="006650BC"/>
    <w:rsid w:val="006718D4"/>
    <w:rsid w:val="006C19E5"/>
    <w:rsid w:val="006D691A"/>
    <w:rsid w:val="006E5391"/>
    <w:rsid w:val="00716FC3"/>
    <w:rsid w:val="00735C94"/>
    <w:rsid w:val="00743BD7"/>
    <w:rsid w:val="00747C4B"/>
    <w:rsid w:val="00750529"/>
    <w:rsid w:val="00771286"/>
    <w:rsid w:val="007C0A11"/>
    <w:rsid w:val="007E687A"/>
    <w:rsid w:val="00820B0D"/>
    <w:rsid w:val="008476AE"/>
    <w:rsid w:val="00883AF2"/>
    <w:rsid w:val="00887224"/>
    <w:rsid w:val="008C712D"/>
    <w:rsid w:val="008D322C"/>
    <w:rsid w:val="008E7572"/>
    <w:rsid w:val="008F5E31"/>
    <w:rsid w:val="008F78FF"/>
    <w:rsid w:val="00930059"/>
    <w:rsid w:val="009318B4"/>
    <w:rsid w:val="00933D24"/>
    <w:rsid w:val="00934541"/>
    <w:rsid w:val="00935DF0"/>
    <w:rsid w:val="00966D71"/>
    <w:rsid w:val="00980CE1"/>
    <w:rsid w:val="00984914"/>
    <w:rsid w:val="009A5215"/>
    <w:rsid w:val="009F41B1"/>
    <w:rsid w:val="00A03886"/>
    <w:rsid w:val="00A06058"/>
    <w:rsid w:val="00A2295B"/>
    <w:rsid w:val="00A27F35"/>
    <w:rsid w:val="00A32903"/>
    <w:rsid w:val="00AA4D6F"/>
    <w:rsid w:val="00AD7C58"/>
    <w:rsid w:val="00B12B35"/>
    <w:rsid w:val="00B234CE"/>
    <w:rsid w:val="00B3108D"/>
    <w:rsid w:val="00B34AF2"/>
    <w:rsid w:val="00B41324"/>
    <w:rsid w:val="00B741E3"/>
    <w:rsid w:val="00BB1858"/>
    <w:rsid w:val="00BB3175"/>
    <w:rsid w:val="00BB5C79"/>
    <w:rsid w:val="00C309F1"/>
    <w:rsid w:val="00C4240B"/>
    <w:rsid w:val="00C45676"/>
    <w:rsid w:val="00C81F5B"/>
    <w:rsid w:val="00CA6342"/>
    <w:rsid w:val="00CB4403"/>
    <w:rsid w:val="00CD268F"/>
    <w:rsid w:val="00D0069A"/>
    <w:rsid w:val="00D03B6F"/>
    <w:rsid w:val="00D23786"/>
    <w:rsid w:val="00D45AFE"/>
    <w:rsid w:val="00D92B59"/>
    <w:rsid w:val="00D97F8C"/>
    <w:rsid w:val="00DD35ED"/>
    <w:rsid w:val="00E0627A"/>
    <w:rsid w:val="00E57B14"/>
    <w:rsid w:val="00E73FDA"/>
    <w:rsid w:val="00E86DB9"/>
    <w:rsid w:val="00EA6646"/>
    <w:rsid w:val="00EB2A93"/>
    <w:rsid w:val="00F1527C"/>
    <w:rsid w:val="00FB1844"/>
    <w:rsid w:val="00FC4F93"/>
    <w:rsid w:val="00FD19CD"/>
    <w:rsid w:val="00FE568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4B1F5"/>
  <w15:docId w15:val="{CA3CE2E3-6073-4E0B-9519-8ED6BB1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ME"/>
    </w:rPr>
  </w:style>
  <w:style w:type="paragraph" w:styleId="Heading1">
    <w:name w:val="heading 1"/>
    <w:basedOn w:val="Normal"/>
    <w:next w:val="Normal"/>
    <w:link w:val="Heading1Char"/>
    <w:qFormat/>
    <w:rsid w:val="0009563C"/>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09563C"/>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9563C"/>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09563C"/>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09563C"/>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9563C"/>
    <w:rPr>
      <w:rFonts w:ascii="Arial" w:eastAsia="Times New Roman" w:hAnsi="Arial" w:cs="Arial"/>
      <w:i/>
      <w:iCs/>
      <w:color w:val="999999"/>
      <w:sz w:val="18"/>
      <w:szCs w:val="24"/>
      <w:lang w:val="sr-Cyrl-ME"/>
    </w:rPr>
  </w:style>
  <w:style w:type="character" w:customStyle="1" w:styleId="Heading3Char">
    <w:name w:val="Heading 3 Char"/>
    <w:basedOn w:val="DefaultParagraphFont"/>
    <w:link w:val="Heading3"/>
    <w:rsid w:val="0009563C"/>
    <w:rPr>
      <w:rFonts w:ascii="Arial" w:eastAsia="Times New Roman" w:hAnsi="Arial" w:cs="Arial"/>
      <w:i/>
      <w:iCs/>
      <w:color w:val="999999"/>
      <w:sz w:val="18"/>
      <w:szCs w:val="24"/>
      <w:lang w:val="sr-Cyrl-ME"/>
    </w:rPr>
  </w:style>
  <w:style w:type="character" w:customStyle="1" w:styleId="Heading4Char">
    <w:name w:val="Heading 4 Char"/>
    <w:basedOn w:val="DefaultParagraphFont"/>
    <w:link w:val="Heading4"/>
    <w:rsid w:val="0009563C"/>
    <w:rPr>
      <w:rFonts w:ascii="Arial" w:eastAsia="Times New Roman" w:hAnsi="Arial" w:cs="Arial"/>
      <w:i/>
      <w:iCs/>
      <w:color w:val="999999"/>
      <w:sz w:val="16"/>
      <w:szCs w:val="24"/>
      <w:lang w:val="sr-Cyrl-ME"/>
    </w:rPr>
  </w:style>
  <w:style w:type="numbering" w:customStyle="1" w:styleId="NoList1">
    <w:name w:val="No List1"/>
    <w:next w:val="NoList"/>
    <w:semiHidden/>
    <w:unhideWhenUsed/>
    <w:rsid w:val="0009563C"/>
  </w:style>
  <w:style w:type="character" w:styleId="PageNumber">
    <w:name w:val="page number"/>
    <w:basedOn w:val="DefaultParagraphFont"/>
    <w:rsid w:val="0009563C"/>
  </w:style>
  <w:style w:type="character" w:styleId="CommentReference">
    <w:name w:val="annotation reference"/>
    <w:semiHidden/>
    <w:rsid w:val="0009563C"/>
    <w:rPr>
      <w:sz w:val="16"/>
      <w:szCs w:val="16"/>
    </w:rPr>
  </w:style>
  <w:style w:type="paragraph" w:styleId="CommentText">
    <w:name w:val="annotation text"/>
    <w:basedOn w:val="Normal"/>
    <w:link w:val="CommentTextChar"/>
    <w:semiHidden/>
    <w:rsid w:val="0009563C"/>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09563C"/>
    <w:rPr>
      <w:rFonts w:ascii="Humanist777" w:eastAsia="Times New Roman" w:hAnsi="Humanist777" w:cs="Times New Roman"/>
      <w:sz w:val="20"/>
      <w:szCs w:val="20"/>
      <w:lang w:val="sr-Cyrl-ME"/>
    </w:rPr>
  </w:style>
  <w:style w:type="paragraph" w:styleId="CommentSubject">
    <w:name w:val="annotation subject"/>
    <w:basedOn w:val="CommentText"/>
    <w:next w:val="CommentText"/>
    <w:link w:val="CommentSubjectChar"/>
    <w:semiHidden/>
    <w:rsid w:val="0009563C"/>
    <w:rPr>
      <w:b/>
      <w:bCs/>
    </w:rPr>
  </w:style>
  <w:style w:type="character" w:customStyle="1" w:styleId="CommentSubjectChar">
    <w:name w:val="Comment Subject Char"/>
    <w:basedOn w:val="CommentTextChar"/>
    <w:link w:val="CommentSubject"/>
    <w:semiHidden/>
    <w:rsid w:val="0009563C"/>
    <w:rPr>
      <w:rFonts w:ascii="Humanist777" w:eastAsia="Times New Roman" w:hAnsi="Humanist777" w:cs="Times New Roman"/>
      <w:b/>
      <w:bCs/>
      <w:sz w:val="20"/>
      <w:szCs w:val="20"/>
      <w:lang w:val="sr-Cyrl-ME"/>
    </w:rPr>
  </w:style>
  <w:style w:type="paragraph" w:styleId="BalloonText">
    <w:name w:val="Balloon Text"/>
    <w:basedOn w:val="Normal"/>
    <w:link w:val="BalloonTextChar"/>
    <w:semiHidden/>
    <w:rsid w:val="0009563C"/>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9563C"/>
    <w:rPr>
      <w:rFonts w:ascii="Tahoma" w:eastAsia="Times New Roman" w:hAnsi="Tahoma" w:cs="Tahoma"/>
      <w:sz w:val="16"/>
      <w:szCs w:val="16"/>
      <w:lang w:val="sr-Cyrl-ME"/>
    </w:rPr>
  </w:style>
  <w:style w:type="paragraph" w:styleId="NormalWeb">
    <w:name w:val="Normal (Web)"/>
    <w:basedOn w:val="Normal"/>
    <w:rsid w:val="000956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09563C"/>
    <w:pPr>
      <w:widowControl w:val="0"/>
      <w:spacing w:after="0" w:line="240" w:lineRule="auto"/>
      <w:jc w:val="both"/>
    </w:pPr>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rsid w:val="0009563C"/>
    <w:rPr>
      <w:rFonts w:ascii="Arial" w:eastAsia="Times New Roman" w:hAnsi="Arial" w:cs="Times New Roman"/>
      <w:sz w:val="28"/>
      <w:szCs w:val="20"/>
      <w:lang w:val="en-GB" w:eastAsia="en-GB"/>
    </w:rPr>
  </w:style>
  <w:style w:type="paragraph" w:customStyle="1" w:styleId="Default">
    <w:name w:val="Default"/>
    <w:rsid w:val="0009563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09563C"/>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9563C"/>
    <w:rPr>
      <w:rFonts w:ascii="Courier New" w:eastAsia="Times New Roman" w:hAnsi="Courier New" w:cs="Courier New"/>
      <w:sz w:val="20"/>
      <w:szCs w:val="20"/>
      <w:lang w:val="en-GB" w:eastAsia="en-GB"/>
    </w:rPr>
  </w:style>
  <w:style w:type="character" w:styleId="Hyperlink">
    <w:name w:val="Hyperlink"/>
    <w:rsid w:val="0009563C"/>
    <w:rPr>
      <w:rFonts w:ascii="Arial" w:hAnsi="Arial" w:cs="Arial" w:hint="default"/>
      <w:color w:val="0000FF"/>
      <w:u w:val="single"/>
    </w:rPr>
  </w:style>
  <w:style w:type="paragraph" w:customStyle="1" w:styleId="Bodytext11">
    <w:name w:val="Body text 1.1"/>
    <w:basedOn w:val="Normal"/>
    <w:link w:val="Bodytext11Char"/>
    <w:rsid w:val="0009563C"/>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09563C"/>
    <w:rPr>
      <w:rFonts w:ascii="Times New Roman" w:eastAsia="Times New Roman" w:hAnsi="Times New Roman" w:cs="Times New Roman"/>
      <w:sz w:val="24"/>
      <w:szCs w:val="20"/>
      <w:lang w:val="en-GB"/>
    </w:rPr>
  </w:style>
  <w:style w:type="paragraph" w:styleId="BodyText2">
    <w:name w:val="Body Text 2"/>
    <w:basedOn w:val="Normal"/>
    <w:link w:val="BodyText2Char"/>
    <w:rsid w:val="0009563C"/>
    <w:pPr>
      <w:tabs>
        <w:tab w:val="left" w:pos="284"/>
      </w:tabs>
      <w:spacing w:after="120" w:line="480" w:lineRule="auto"/>
      <w:jc w:val="both"/>
    </w:pPr>
    <w:rPr>
      <w:rFonts w:ascii="Humanist777" w:eastAsia="Times New Roman" w:hAnsi="Humanist777" w:cs="Times New Roman"/>
      <w:sz w:val="24"/>
      <w:szCs w:val="24"/>
    </w:rPr>
  </w:style>
  <w:style w:type="character" w:customStyle="1" w:styleId="BodyText2Char">
    <w:name w:val="Body Text 2 Char"/>
    <w:basedOn w:val="DefaultParagraphFont"/>
    <w:link w:val="BodyText2"/>
    <w:rsid w:val="0009563C"/>
    <w:rPr>
      <w:rFonts w:ascii="Humanist777" w:eastAsia="Times New Roman" w:hAnsi="Humanist777" w:cs="Times New Roman"/>
      <w:sz w:val="24"/>
      <w:szCs w:val="24"/>
      <w:lang w:val="sr-Cyrl-ME"/>
    </w:rPr>
  </w:style>
  <w:style w:type="character" w:customStyle="1" w:styleId="hps">
    <w:name w:val="hps"/>
    <w:basedOn w:val="DefaultParagraphFont"/>
    <w:rsid w:val="0009563C"/>
  </w:style>
  <w:style w:type="character" w:customStyle="1" w:styleId="atn">
    <w:name w:val="atn"/>
    <w:basedOn w:val="DefaultParagraphFont"/>
    <w:rsid w:val="0009563C"/>
  </w:style>
  <w:style w:type="character" w:customStyle="1" w:styleId="hpsatn">
    <w:name w:val="hps atn"/>
    <w:rsid w:val="0009563C"/>
  </w:style>
  <w:style w:type="character" w:customStyle="1" w:styleId="shorttext">
    <w:name w:val="short_text"/>
    <w:rsid w:val="0009563C"/>
  </w:style>
  <w:style w:type="character" w:customStyle="1" w:styleId="longtext">
    <w:name w:val="long_text"/>
    <w:rsid w:val="0009563C"/>
  </w:style>
  <w:style w:type="paragraph" w:styleId="Title">
    <w:name w:val="Title"/>
    <w:basedOn w:val="Normal"/>
    <w:link w:val="TitleChar"/>
    <w:qFormat/>
    <w:rsid w:val="0009563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9563C"/>
    <w:rPr>
      <w:rFonts w:ascii="Times New Roman" w:eastAsia="Times New Roman" w:hAnsi="Times New Roman" w:cs="Times New Roman"/>
      <w:b/>
      <w:sz w:val="24"/>
      <w:szCs w:val="20"/>
      <w:lang w:val="sr-Cyrl-ME" w:eastAsia="en-GB"/>
    </w:rPr>
  </w:style>
  <w:style w:type="character" w:customStyle="1" w:styleId="tgc">
    <w:name w:val="_tgc"/>
    <w:rsid w:val="0009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10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5" ma:contentTypeDescription="Create a new document." ma:contentTypeScope="" ma:versionID="ed06de89fb70e16c8f325472add5b96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2d948f4f0ef2fc55568c69c746b0b4b3"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D3267-914A-4F3A-BCD9-AB7D2D50E618}">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5AD9C73F-D413-4B01-AAC8-44D00D10A024}">
  <ds:schemaRefs>
    <ds:schemaRef ds:uri="http://schemas.microsoft.com/sharepoint/v3/contenttype/forms"/>
  </ds:schemaRefs>
</ds:datastoreItem>
</file>

<file path=customXml/itemProps3.xml><?xml version="1.0" encoding="utf-8"?>
<ds:datastoreItem xmlns:ds="http://schemas.openxmlformats.org/officeDocument/2006/customXml" ds:itemID="{D36301F7-91FA-4D64-B402-00BC9CB6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FE594-9E62-44CB-BC39-B8257BD8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5738</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3</cp:revision>
  <cp:lastPrinted>2018-02-21T08:14:00Z</cp:lastPrinted>
  <dcterms:created xsi:type="dcterms:W3CDTF">2024-03-28T13:37:00Z</dcterms:created>
  <dcterms:modified xsi:type="dcterms:W3CDTF">2024-03-28T13:45:00Z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