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BB" w:rsidRPr="00C70B07" w:rsidRDefault="00834DBB">
      <w:pPr>
        <w:spacing w:before="1000"/>
        <w:jc w:val="left"/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834DBB" w:rsidRPr="00C70B07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834DBB" w:rsidRPr="00C70B07" w:rsidRDefault="00834DB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SAŽETAK KARAKTERISTIKA L</w:t>
            </w:r>
            <w:r w:rsidR="0067730E" w:rsidRPr="00C70B0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IJ</w:t>
            </w:r>
            <w:r w:rsidRPr="00C70B0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EKA</w:t>
            </w:r>
          </w:p>
        </w:tc>
      </w:tr>
      <w:tr w:rsidR="00834DBB" w:rsidRPr="00C70B07" w:rsidTr="00ED37A9">
        <w:trPr>
          <w:trHeight w:val="1805"/>
          <w:jc w:val="center"/>
        </w:trPr>
        <w:tc>
          <w:tcPr>
            <w:tcW w:w="9360" w:type="dxa"/>
            <w:gridSpan w:val="2"/>
            <w:vAlign w:val="bottom"/>
          </w:tcPr>
          <w:p w:rsidR="00563E91" w:rsidRPr="00C70B07" w:rsidRDefault="00586D6B" w:rsidP="00563E91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Rebetol</w:t>
            </w:r>
            <w:r w:rsidR="001926DD" w:rsidRPr="006C76B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kapsula, tvrda, 200 mg</w:t>
            </w:r>
            <w:r w:rsidR="00563E91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</w:t>
            </w:r>
          </w:p>
          <w:p w:rsidR="00834DBB" w:rsidRPr="00C70B07" w:rsidRDefault="00563E91" w:rsidP="00563E91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blister, </w:t>
            </w:r>
            <w:r w:rsidR="00586D6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140 kapsula</w:t>
            </w:r>
          </w:p>
        </w:tc>
      </w:tr>
      <w:tr w:rsidR="00834DBB" w:rsidRPr="00C70B07">
        <w:trPr>
          <w:trHeight w:val="1225"/>
          <w:jc w:val="center"/>
        </w:trPr>
        <w:tc>
          <w:tcPr>
            <w:tcW w:w="9360" w:type="dxa"/>
            <w:gridSpan w:val="2"/>
          </w:tcPr>
          <w:p w:rsidR="00834DBB" w:rsidRPr="00C70B07" w:rsidRDefault="00834DBB">
            <w:pPr>
              <w:pStyle w:val="Heading2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</w:tr>
      <w:tr w:rsidR="00D609CB" w:rsidRPr="00C70B07" w:rsidTr="00D609CB">
        <w:trPr>
          <w:jc w:val="center"/>
        </w:trPr>
        <w:tc>
          <w:tcPr>
            <w:tcW w:w="2160" w:type="dxa"/>
            <w:vAlign w:val="bottom"/>
          </w:tcPr>
          <w:p w:rsidR="00D609CB" w:rsidRPr="00C70B07" w:rsidRDefault="00D609CB" w:rsidP="00D609CB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Proizvođač:</w:t>
            </w:r>
          </w:p>
        </w:tc>
        <w:tc>
          <w:tcPr>
            <w:tcW w:w="7200" w:type="dxa"/>
            <w:vAlign w:val="bottom"/>
          </w:tcPr>
          <w:p w:rsidR="00D609CB" w:rsidRPr="00C70B07" w:rsidRDefault="00D609CB" w:rsidP="00D609CB">
            <w:pPr>
              <w:tabs>
                <w:tab w:val="clear" w:pos="284"/>
              </w:tabs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Schering-Plough Labo N.V.</w:t>
            </w:r>
            <w:bookmarkStart w:id="0" w:name="_GoBack"/>
            <w:bookmarkEnd w:id="0"/>
          </w:p>
        </w:tc>
      </w:tr>
      <w:tr w:rsidR="00D609CB" w:rsidRPr="00C70B07" w:rsidTr="00D609CB">
        <w:trPr>
          <w:jc w:val="center"/>
        </w:trPr>
        <w:tc>
          <w:tcPr>
            <w:tcW w:w="2160" w:type="dxa"/>
            <w:vAlign w:val="bottom"/>
          </w:tcPr>
          <w:p w:rsidR="00D609CB" w:rsidRPr="00C70B07" w:rsidRDefault="00D609CB" w:rsidP="00D609CB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7200" w:type="dxa"/>
            <w:vAlign w:val="bottom"/>
          </w:tcPr>
          <w:p w:rsidR="00D609CB" w:rsidRPr="00C70B07" w:rsidRDefault="00D609CB" w:rsidP="00D609CB">
            <w:pPr>
              <w:tabs>
                <w:tab w:val="clear" w:pos="284"/>
              </w:tabs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Industriepark 30, Heist-op-den-Berg, Belgija</w:t>
            </w:r>
          </w:p>
        </w:tc>
      </w:tr>
      <w:tr w:rsidR="00D609CB" w:rsidRPr="00C70B07" w:rsidTr="00D609CB">
        <w:trPr>
          <w:jc w:val="center"/>
        </w:trPr>
        <w:tc>
          <w:tcPr>
            <w:tcW w:w="2160" w:type="dxa"/>
            <w:vAlign w:val="bottom"/>
          </w:tcPr>
          <w:p w:rsidR="00D609CB" w:rsidRPr="00C70B07" w:rsidRDefault="00D609CB" w:rsidP="00D609CB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Podnosilac zaht</w:t>
            </w:r>
            <w:r w:rsidR="0067730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eva:</w:t>
            </w:r>
          </w:p>
        </w:tc>
        <w:tc>
          <w:tcPr>
            <w:tcW w:w="7200" w:type="dxa"/>
            <w:vAlign w:val="bottom"/>
          </w:tcPr>
          <w:p w:rsidR="00D609CB" w:rsidRPr="00C70B07" w:rsidRDefault="00D609CB" w:rsidP="00D609CB">
            <w:pPr>
              <w:tabs>
                <w:tab w:val="clear" w:pos="284"/>
              </w:tabs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DRUŠTVO ZA TRGOVINU NA VELIKO FARMACEUTSKIM PROIZVODIMA "GLOSARIJ" D.O.O. - PODGORICA</w:t>
            </w:r>
          </w:p>
        </w:tc>
      </w:tr>
      <w:tr w:rsidR="00443EB9" w:rsidRPr="00C70B07" w:rsidTr="00F07288">
        <w:trPr>
          <w:jc w:val="center"/>
        </w:trPr>
        <w:tc>
          <w:tcPr>
            <w:tcW w:w="9360" w:type="dxa"/>
            <w:gridSpan w:val="2"/>
            <w:vAlign w:val="bottom"/>
          </w:tcPr>
          <w:p w:rsidR="00443EB9" w:rsidRPr="00C70B07" w:rsidRDefault="00443EB9" w:rsidP="00443EB9">
            <w:pPr>
              <w:spacing w:before="20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                   Adresa:   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Vojislavljevića 76, Podgorica, Crna Gora</w:t>
            </w:r>
          </w:p>
          <w:p w:rsidR="00443EB9" w:rsidRPr="00C70B07" w:rsidRDefault="00443EB9" w:rsidP="00D609CB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</w:tbl>
    <w:p w:rsidR="00834DBB" w:rsidRPr="00C70B07" w:rsidRDefault="00834DBB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834DBB" w:rsidRPr="00C70B07" w:rsidRDefault="00834DBB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70B07">
        <w:rPr>
          <w:rFonts w:ascii="Times New Roman" w:hAnsi="Times New Roman"/>
          <w:sz w:val="22"/>
          <w:szCs w:val="22"/>
          <w:lang w:val="sr-Latn-ME"/>
        </w:rPr>
        <w:br w:type="page"/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1620"/>
        <w:gridCol w:w="7380"/>
      </w:tblGrid>
      <w:tr w:rsidR="00834DBB" w:rsidRPr="00C70B07">
        <w:trPr>
          <w:trHeight w:val="284"/>
        </w:trPr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1. IME L</w:t>
            </w:r>
            <w:r w:rsidR="0067730E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EK</w:t>
            </w:r>
            <w:r w:rsidR="002B6F6A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A</w:t>
            </w:r>
          </w:p>
        </w:tc>
      </w:tr>
      <w:tr w:rsidR="00834DBB" w:rsidRPr="00C70B07" w:rsidTr="003F781D">
        <w:trPr>
          <w:trHeight w:val="813"/>
        </w:trPr>
        <w:tc>
          <w:tcPr>
            <w:tcW w:w="10188" w:type="dxa"/>
            <w:gridSpan w:val="4"/>
            <w:vAlign w:val="center"/>
          </w:tcPr>
          <w:p w:rsidR="00973684" w:rsidRPr="00C70B07" w:rsidRDefault="0097368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834DBB" w:rsidRPr="00C70B07" w:rsidRDefault="003C0E2E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®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200 mg, kapsula, tvrda</w:t>
            </w:r>
            <w:r w:rsidR="0097368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</w:p>
          <w:p w:rsidR="00973684" w:rsidRPr="00C70B07" w:rsidRDefault="0097368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 w:rsidTr="003F781D">
        <w:trPr>
          <w:trHeight w:val="569"/>
        </w:trPr>
        <w:tc>
          <w:tcPr>
            <w:tcW w:w="828" w:type="dxa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INN:</w:t>
            </w:r>
          </w:p>
        </w:tc>
        <w:tc>
          <w:tcPr>
            <w:tcW w:w="9360" w:type="dxa"/>
            <w:gridSpan w:val="3"/>
            <w:vAlign w:val="center"/>
          </w:tcPr>
          <w:p w:rsidR="00973684" w:rsidRPr="00C70B07" w:rsidRDefault="002D274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ribavirin</w:t>
            </w:r>
          </w:p>
          <w:p w:rsidR="00973684" w:rsidRPr="00C70B07" w:rsidRDefault="0097368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973684" w:rsidRPr="00C70B07" w:rsidRDefault="0097368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2. KVALITATIVNI I KVANTITATIVNI SASTAV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973684" w:rsidRPr="00C70B07" w:rsidRDefault="00973684" w:rsidP="0097368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Jedna kapsula l</w:t>
            </w:r>
            <w:r w:rsidR="0067730E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eka Rebetol sadrži 200 mg ribavirina.</w:t>
            </w:r>
          </w:p>
          <w:p w:rsidR="003C0E2E" w:rsidRPr="00C70B07" w:rsidRDefault="003C0E2E" w:rsidP="003C0E2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281C33" w:rsidRPr="00C70B07" w:rsidRDefault="00281C33" w:rsidP="003C0E2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 xml:space="preserve">Pomoćne supstance sa poznatim dejstvom: </w:t>
            </w:r>
          </w:p>
          <w:p w:rsidR="003C0E2E" w:rsidRPr="00C70B07" w:rsidRDefault="00412840" w:rsidP="003C0E2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Jedna kapsula l</w:t>
            </w:r>
            <w:r w:rsidR="0067730E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eka </w:t>
            </w:r>
            <w:r w:rsidR="003C0E2E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Rebetol sadrži 40 mg laktoze, monohidrata.</w:t>
            </w:r>
          </w:p>
          <w:p w:rsidR="003C0E2E" w:rsidRPr="00C70B07" w:rsidRDefault="003C0E2E" w:rsidP="003C0E2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973684" w:rsidRPr="00C70B07" w:rsidRDefault="003C0E2E" w:rsidP="003C0E2E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Za listu svih pomoćnih supstanci vid</w:t>
            </w:r>
            <w:r w:rsidR="0067730E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eti </w:t>
            </w:r>
            <w:r w:rsidR="001A7E8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poglavlje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6.1.</w:t>
            </w:r>
          </w:p>
          <w:p w:rsidR="00973684" w:rsidRPr="00C70B07" w:rsidRDefault="0097368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3. FARMACEUTSKI OBLIK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13565B" w:rsidRPr="00C70B07" w:rsidRDefault="0013565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Kapsula, tvrda.</w:t>
            </w:r>
          </w:p>
          <w:p w:rsidR="0013565B" w:rsidRPr="00C70B07" w:rsidRDefault="003C0E2E" w:rsidP="009F715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Tvrde, neprovidne želatinske kapsule b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 boje, punjene praškom b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 boje sa štampanom oznakom "200 mg" na</w:t>
            </w:r>
            <w:r w:rsidR="009F715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elu kapsule i znakom proizvo</w:t>
            </w:r>
            <w:r w:rsidR="004947E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na kapi kapsule.</w:t>
            </w:r>
          </w:p>
          <w:p w:rsidR="0013565B" w:rsidRPr="00C70B07" w:rsidRDefault="0013565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4. KLINIČKI PODACI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4.1. Terapijske indikacije</w:t>
            </w:r>
          </w:p>
        </w:tc>
      </w:tr>
      <w:tr w:rsidR="00834DBB" w:rsidRPr="00C70B07" w:rsidTr="00ED37A9">
        <w:trPr>
          <w:trHeight w:val="3233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94891" w:rsidRPr="00C70B07" w:rsidRDefault="00197FA7" w:rsidP="00794891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Trojna terapija</w:t>
            </w:r>
          </w:p>
          <w:p w:rsidR="00794891" w:rsidRPr="00C70B07" w:rsidRDefault="00794891" w:rsidP="00794891">
            <w:pPr>
              <w:pStyle w:val="Header"/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Rebetol, u kombinaciji sa boceprevirom i peginterferonom alfa-2b, je indikovan za l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ečenje hroničnog hepatitisa C sa virusnim genotipom 1 kod odraslih pacijenata (uzrasta od 18 godina i stariji) sa kompenzovanim oboljenjem jetre koji prethodno ni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je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su l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ečeni ili kod kojih je prethodna terapija bila neusp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ešna.</w:t>
            </w:r>
          </w:p>
          <w:p w:rsidR="00794891" w:rsidRPr="00C70B07" w:rsidRDefault="00794891" w:rsidP="00794891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 xml:space="preserve">Kada se </w:t>
            </w:r>
            <w:r w:rsidR="002949C1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Rebetol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 xml:space="preserve"> prim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 xml:space="preserve">enjuje u kombinaciji sa </w:t>
            </w:r>
            <w:r w:rsidR="002949C1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boceprevirom i peginterferonom alfa-2b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 xml:space="preserve">, treba detaljno proučiti </w:t>
            </w:r>
            <w:r w:rsidR="00150EFD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S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ažetak karakteristika l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eka za ove l</w:t>
            </w:r>
            <w:r w:rsidR="0067730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ekove.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</w:p>
          <w:p w:rsidR="00794891" w:rsidRPr="00C70B07" w:rsidRDefault="00794891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94891" w:rsidRPr="00C70B07" w:rsidRDefault="0087582E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Dvojna terapija</w:t>
            </w:r>
          </w:p>
          <w:p w:rsidR="005E3FE4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je indikovan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hepatitisa C</w:t>
            </w:r>
            <w:r w:rsidR="002A7EB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odraslih, 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2A7EB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u</w:t>
            </w:r>
            <w:r w:rsidR="0069402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</w:t>
            </w:r>
            <w:r w:rsidR="002A7EB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rasta od 3 godine i starije i adolescenata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mora se koristiti isklju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ivo u kombinaciji sa</w:t>
            </w:r>
            <w:r w:rsidR="0069402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peginterferonom alfa-2b  ili interferonom alfa-2b. Rebetol se ne sm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upotrebljavati kao monoterapija.</w:t>
            </w:r>
          </w:p>
          <w:p w:rsidR="003C0E2E" w:rsidRPr="00C70B07" w:rsidRDefault="00A36653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Kada se Rebetol prim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enjuje u kombinaciji sa interferonom alfa-2b i peginterferonom alfa-2b, treba detaljno proučiti </w:t>
            </w:r>
            <w:r w:rsidR="00150E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ažetak karakteristika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="00ED3E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 ove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</w:t>
            </w:r>
            <w:r w:rsidR="00ED3E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F72703" w:rsidRPr="00C70B07" w:rsidRDefault="00F72703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Nema podataka o bezb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ili efikasnosti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kada se upotrebljava sa drugim oblicima interferona</w:t>
            </w:r>
          </w:p>
          <w:p w:rsidR="003C0E2E" w:rsidRPr="00C70B07" w:rsidRDefault="003C0E2E" w:rsidP="003A292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(tj. interferonima koji ne pripadaju grupi alfa-2b).</w:t>
            </w: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Pacijenti koji prethodno ni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su bili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eni</w:t>
            </w:r>
          </w:p>
          <w:p w:rsidR="007C1689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Odrasli pacijenti</w:t>
            </w:r>
            <w:r w:rsidR="007C1689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(uzrasta od 18 godina i stariji)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 Rebetol je indikovan</w:t>
            </w:r>
            <w:r w:rsidR="007C16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za:</w:t>
            </w:r>
          </w:p>
          <w:p w:rsidR="001677F9" w:rsidRPr="00C70B07" w:rsidRDefault="00AE2AA0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Trojnu terapiju – u kombinaciji sa peginterferonom alfa-2b i boceprevirom 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hroničnog hepatitisa C sa virusnim genotipom 1 kod odraslih pacijenata sa kompenzovanim oboljenjem jetre.</w:t>
            </w:r>
          </w:p>
          <w:p w:rsidR="002F02D7" w:rsidRPr="00C70B07" w:rsidRDefault="003E1E59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Dvojnu terapiju – 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kombinaciji sa interferonom alfa-2b</w:t>
            </w:r>
            <w:r w:rsidR="001677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 peginterferonom alfa-2b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odraslih pacijenata sa</w:t>
            </w:r>
            <w:r w:rsidR="006D23E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hroni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 koji prethodno ni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bili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eni, nemaju dekompenzaciju jetre, imaju povišene vr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</w:t>
            </w:r>
            <w:r w:rsidR="002F0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alanin aminotransferaze (ALT) i pozitivan nalaz HCV</w:t>
            </w:r>
            <w:r w:rsidR="00625F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RNK u serumu. </w:t>
            </w:r>
          </w:p>
          <w:p w:rsidR="003C0E2E" w:rsidRPr="00C70B07" w:rsidRDefault="001C0043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Dvojnu terapiju –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hroničnog hepatitisa C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u</w:t>
            </w:r>
            <w:r w:rsidR="001677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kombinaciji sa peginterferonom alfa-2b</w:t>
            </w:r>
            <w:r w:rsidR="00041D0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indikovan</w:t>
            </w:r>
            <w:r w:rsidR="007900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C741A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odraslih pacijenata sa </w:t>
            </w:r>
            <w:r w:rsidR="00C741A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kompenzovanom cirozom</w:t>
            </w:r>
            <w:r w:rsidR="00F140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4678D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i/ili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klini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stabilnom koinfekcijom HIV-om</w:t>
            </w:r>
            <w:r w:rsidR="00D35C5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4.4).</w:t>
            </w:r>
          </w:p>
          <w:p w:rsidR="00EC5B1A" w:rsidRPr="00C70B07" w:rsidRDefault="00EC5B1A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41655" w:rsidRPr="00C70B07" w:rsidRDefault="00D41655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Dvojna terapija</w:t>
            </w:r>
          </w:p>
          <w:p w:rsidR="003C0E2E" w:rsidRPr="00C70B07" w:rsidRDefault="00A8236B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Pedijatrijski pacijenti</w:t>
            </w:r>
            <w:r w:rsidR="002E2CC6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4165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(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d</w:t>
            </w:r>
            <w:r w:rsidR="0067730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eca </w:t>
            </w:r>
            <w:r w:rsidR="00D4165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uzrasta od 3 godine i starija </w:t>
            </w:r>
            <w:r w:rsidR="003C0E2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 adolescenti</w:t>
            </w:r>
            <w:r w:rsidR="00D4165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)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: Rebetol je, u kombinaciji sa </w:t>
            </w:r>
            <w:r w:rsidR="00B67BB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peginterferonom alfa-2b ili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 alfa-2b, nam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uzrasta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 3</w:t>
            </w: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godine </w:t>
            </w:r>
            <w:r w:rsidR="00B67BB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starije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adolescenata koji imaju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 hepatitis C, ni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bili prethodno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eni, nemaju dekompenzaciju jetre i</w:t>
            </w:r>
            <w:r w:rsidR="00B67BB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imaju pozitivan nalaz HCV-RNK u serumu.</w:t>
            </w:r>
          </w:p>
          <w:p w:rsidR="007D1823" w:rsidRPr="00C70B07" w:rsidRDefault="007D1823" w:rsidP="007D182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 odlučivanju da se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ne odloži do zrelog doba, važno je uzeti u razmatranje da kombinovana terapija indukuje inhibiciju rasta</w:t>
            </w:r>
            <w:r w:rsidR="001D41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koja</w:t>
            </w:r>
            <w:r w:rsidR="000302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može da bude  ireverzibilna kod nekih pacijenata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Odluku o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ečenju treba donositi od slučaja do slučaja (vid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poglavlje 4.4).</w:t>
            </w:r>
          </w:p>
          <w:p w:rsidR="007D1823" w:rsidRPr="00C70B07" w:rsidRDefault="007D1823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0E2E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Pacijenti kod kojih prethodno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enje nije bilo usp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ešno</w:t>
            </w:r>
          </w:p>
          <w:p w:rsidR="007817F9" w:rsidRPr="00C70B07" w:rsidRDefault="003C0E2E" w:rsidP="003C0E2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Odrasli pacijenti: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je</w:t>
            </w:r>
            <w:r w:rsidR="00E979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indikovan za</w:t>
            </w:r>
            <w:r w:rsidR="007817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E44C0F" w:rsidRPr="00C70B07" w:rsidRDefault="007817F9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Trojnu terapiju – u kombinaciji sa peginterferonom alfa-2b i boceprevirom 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ečenje </w:t>
            </w:r>
            <w:r w:rsidR="00973D7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odraslih pacijenata sa hroničnim hepatitisom C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virusnim genotipom 1 </w:t>
            </w:r>
            <w:r w:rsidR="00E44C0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kompenzovanim oboljenjem jetre.</w:t>
            </w:r>
          </w:p>
          <w:p w:rsidR="007717FD" w:rsidRPr="00C70B07" w:rsidRDefault="007717FD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Dvojnu terapiju –  </w:t>
            </w:r>
            <w:r w:rsidR="00692B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kombinaciji sa peginterferonom alfa-2b,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92B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pacijenata sa hroničnim hepatitisom C kod kojih prethodno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92B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kombinovanom terapijom interferonom alfa (pegilovanim ili nepegilovanim) i ribavirinom ili monoterapijom interferonom alfa nije bilo usp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92B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ešno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="00692B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5.1).</w:t>
            </w:r>
          </w:p>
          <w:p w:rsidR="0013565B" w:rsidRPr="00C70B07" w:rsidRDefault="00E44C0F" w:rsidP="008D3315">
            <w:pPr>
              <w:numPr>
                <w:ilvl w:val="0"/>
                <w:numId w:val="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Dvojnu terapiju –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kombinaciji sa interferonom alfa-2b, 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D35C5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pacijenata sa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hroni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 koji su imali odgovor na prethodnu monoterapiju interferonom alfa (uz normalizaciju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ALT na kraju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enja), ali kod kojih je nakon tog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C0E2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C0E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 nastupio relaps. </w:t>
            </w:r>
          </w:p>
          <w:p w:rsidR="0013565B" w:rsidRPr="00C70B07" w:rsidRDefault="0013565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4.2. Doziranje i način prim</w:t>
            </w:r>
            <w:r w:rsidR="0067730E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ene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7F5244" w:rsidRPr="00C70B07" w:rsidRDefault="007F5244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E55236" w:rsidRPr="00C70B07" w:rsidRDefault="00E5523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bi trebalo da zapo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i nadgleda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 sa iskustvom u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pacijenata sa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C.</w:t>
            </w:r>
          </w:p>
          <w:p w:rsidR="00880E96" w:rsidRPr="00C70B07" w:rsidRDefault="00880E9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880E96" w:rsidRPr="00C70B07" w:rsidRDefault="00880E9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mora da se prim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enjuje u kombinaciji sa peginterferonom alfa-2b ili interferonom alfa-2b (dvojna terapija), ili</w:t>
            </w:r>
            <w:r w:rsidR="006C41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kombinaciji sa boceprevirom i peginterferonom alfa-2b (trojna terapi</w:t>
            </w:r>
            <w:r w:rsidR="004E49E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C41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</w:t>
            </w:r>
            <w:r w:rsidR="006C41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 odraslih pacijenata sa hroničnim hepatitisom C sa virusnim genotipom 1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593301" w:rsidRPr="00C70B07" w:rsidRDefault="00593301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93301" w:rsidRPr="00C70B07" w:rsidRDefault="00C40445" w:rsidP="0059330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Proučiti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AC13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ažetak karakteristika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="003D3CE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boceprevir, peginterferon alfa-2b ili interferon alfa-2b </w:t>
            </w:r>
            <w:r w:rsidR="009213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vezi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informacija o</w:t>
            </w:r>
            <w:r w:rsidR="007D33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propisivanju specifičn</w:t>
            </w:r>
            <w:r w:rsidR="00E62C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 za te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59330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ekove.</w:t>
            </w:r>
          </w:p>
          <w:p w:rsidR="00593301" w:rsidRPr="00C70B07" w:rsidRDefault="00593301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55236" w:rsidRPr="00C70B07" w:rsidRDefault="00E5523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Doza koja se prim</w:t>
            </w:r>
            <w:r w:rsidR="0067730E"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enjuje</w:t>
            </w:r>
          </w:p>
          <w:p w:rsidR="00E55236" w:rsidRPr="00C70B07" w:rsidRDefault="00E5523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odre</w:t>
            </w:r>
            <w:r w:rsidR="008B7F4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na osnovu t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pacijenta. Rebetol kapsule prim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enjuju se</w:t>
            </w:r>
            <w:r w:rsidR="00F07288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peroralno svaki dan u dv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eljene doze (ujutro i uve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e) uz obrok.</w:t>
            </w:r>
          </w:p>
          <w:p w:rsidR="003A6326" w:rsidRPr="00C70B07" w:rsidRDefault="003A632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4A0DAA" w:rsidRDefault="00E55236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  <w:t xml:space="preserve">Odrasli pacijenti: </w:t>
            </w:r>
          </w:p>
          <w:p w:rsidR="00F07288" w:rsidRPr="00C70B07" w:rsidRDefault="00F07288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4A0DAA" w:rsidRPr="00C70B07" w:rsidRDefault="004A0DAA" w:rsidP="00E5523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Doza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određuje se na osnovu t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pacijenta (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Tabela 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F07288" w:rsidRDefault="00E55236" w:rsidP="00F0728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se mora uzimati u kombinaciji sa peginterferonom alfa-2b (1,5 mikrograma/kg</w:t>
            </w:r>
            <w:r w:rsidR="00F07288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 ili interferonom alfa-2b (3 miliona internacionalnih jedinica [mil.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] tri puta ned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eljno). Izbor</w:t>
            </w:r>
            <w:r w:rsidR="00F07288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terapijske kombinacije zavisi od osobina pacijenata. Prim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enjena kombinacija bi trebalo da se odabere na osnovu</w:t>
            </w:r>
            <w:r w:rsidR="00F07288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ekivane efikasnosti i bezb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kombinacije za pojedinog pacijenta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5.1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996872" w:rsidRDefault="00BC2910" w:rsidP="00F0728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Proučiti </w:t>
            </w:r>
            <w:r w:rsidR="00AC13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ažetak karakteristika l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="009213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boceprevir </w:t>
            </w:r>
            <w:r w:rsidR="009213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vezi</w:t>
            </w:r>
            <w:r w:rsidR="0042457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7A0D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detalja</w:t>
            </w:r>
            <w:r w:rsidR="0042457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 prim</w:t>
            </w:r>
            <w:r w:rsidR="00677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42457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boceprevira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42457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trojne terapije</w:t>
            </w:r>
            <w:r w:rsidR="00EC732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3F781D" w:rsidRPr="00C70B07" w:rsidRDefault="003F781D" w:rsidP="00E55236">
            <w:pPr>
              <w:pStyle w:val="Header"/>
              <w:tabs>
                <w:tab w:val="left" w:pos="284"/>
              </w:tabs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A6326" w:rsidRPr="00C70B07" w:rsidRDefault="003A6326" w:rsidP="00E55236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95"/>
              <w:gridCol w:w="2485"/>
              <w:gridCol w:w="2940"/>
            </w:tblGrid>
            <w:tr w:rsidR="007F5244" w:rsidRPr="00C70B07" w:rsidTr="007F5244">
              <w:tc>
                <w:tcPr>
                  <w:tcW w:w="8720" w:type="dxa"/>
                  <w:gridSpan w:val="3"/>
                </w:tcPr>
                <w:p w:rsidR="007F5244" w:rsidRPr="00C70B07" w:rsidRDefault="007F5244" w:rsidP="00877188">
                  <w:pPr>
                    <w:ind w:left="1163" w:hanging="1163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Tab</w:t>
                  </w:r>
                  <w:r w:rsidR="00A8708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1.    Doza</w:t>
                  </w:r>
                  <w:r w:rsidR="0087718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l</w:t>
                  </w:r>
                  <w:r w:rsidR="0067730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87718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Rebetol prema </w:t>
                  </w:r>
                  <w:r w:rsidR="0014204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</w:t>
                  </w:r>
                  <w:r w:rsidR="0067730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4204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elesnoj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14204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mas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</w:t>
                  </w:r>
                  <w:r w:rsidR="000F6E5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kod pacijenata inficiranih HCV ili pacijenata ko-inficiranih sa HCV i HIV</w:t>
                  </w:r>
                  <w:r w:rsidR="0068102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bez obzira na virusni genotip</w:t>
                  </w:r>
                </w:p>
              </w:tc>
            </w:tr>
            <w:tr w:rsidR="007F5244" w:rsidRPr="00C70B07" w:rsidTr="007F5244">
              <w:tc>
                <w:tcPr>
                  <w:tcW w:w="3295" w:type="dxa"/>
                </w:tcPr>
                <w:p w:rsidR="007F5244" w:rsidRPr="00C70B07" w:rsidRDefault="0014204F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</w:t>
                  </w:r>
                  <w:r w:rsidR="0067730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elesna</w:t>
                  </w:r>
                  <w:r w:rsidR="007F524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mas</w:t>
                  </w:r>
                  <w:r w:rsidR="007F524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 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pacijenta</w:t>
                  </w:r>
                  <w:r w:rsidR="007F524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(kg)</w:t>
                  </w:r>
                </w:p>
              </w:tc>
              <w:tc>
                <w:tcPr>
                  <w:tcW w:w="2485" w:type="dxa"/>
                </w:tcPr>
                <w:p w:rsidR="007F5244" w:rsidRPr="00C70B07" w:rsidRDefault="007F524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Dnevna doza Rebetola</w:t>
                  </w:r>
                </w:p>
              </w:tc>
              <w:tc>
                <w:tcPr>
                  <w:tcW w:w="2940" w:type="dxa"/>
                </w:tcPr>
                <w:p w:rsidR="007F5244" w:rsidRPr="00C70B07" w:rsidRDefault="007F524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Broj kapsula od 200 mg</w:t>
                  </w:r>
                </w:p>
              </w:tc>
            </w:tr>
            <w:tr w:rsidR="007F5244" w:rsidRPr="00C70B07" w:rsidTr="007F5244">
              <w:tc>
                <w:tcPr>
                  <w:tcW w:w="3295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&lt;65</w:t>
                  </w:r>
                </w:p>
              </w:tc>
              <w:tc>
                <w:tcPr>
                  <w:tcW w:w="2485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800 mg</w:t>
                  </w:r>
                </w:p>
              </w:tc>
              <w:tc>
                <w:tcPr>
                  <w:tcW w:w="2940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a</w:t>
                  </w:r>
                </w:p>
              </w:tc>
            </w:tr>
            <w:tr w:rsidR="007F5244" w:rsidRPr="00C70B07" w:rsidTr="007F5244">
              <w:tc>
                <w:tcPr>
                  <w:tcW w:w="3295" w:type="dxa"/>
                </w:tcPr>
                <w:p w:rsidR="007F5244" w:rsidRPr="00C70B07" w:rsidRDefault="007F5244" w:rsidP="00352320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65-</w:t>
                  </w:r>
                  <w:r w:rsidR="0035232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</w:t>
                  </w:r>
                </w:p>
              </w:tc>
              <w:tc>
                <w:tcPr>
                  <w:tcW w:w="2485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1.000 mg</w:t>
                  </w:r>
                </w:p>
              </w:tc>
              <w:tc>
                <w:tcPr>
                  <w:tcW w:w="2940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b</w:t>
                  </w:r>
                </w:p>
              </w:tc>
            </w:tr>
            <w:tr w:rsidR="007F5244" w:rsidRPr="00C70B07" w:rsidTr="007F5244">
              <w:tc>
                <w:tcPr>
                  <w:tcW w:w="3295" w:type="dxa"/>
                </w:tcPr>
                <w:p w:rsidR="007F5244" w:rsidRPr="00C70B07" w:rsidRDefault="00352320" w:rsidP="00352320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81</w:t>
                  </w:r>
                  <w:r w:rsidR="007F524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-105</w:t>
                  </w:r>
                </w:p>
              </w:tc>
              <w:tc>
                <w:tcPr>
                  <w:tcW w:w="2485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1.200 mg</w:t>
                  </w:r>
                </w:p>
              </w:tc>
              <w:tc>
                <w:tcPr>
                  <w:tcW w:w="2940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c</w:t>
                  </w:r>
                </w:p>
              </w:tc>
            </w:tr>
            <w:tr w:rsidR="007F5244" w:rsidRPr="00C70B07" w:rsidTr="007F5244">
              <w:tc>
                <w:tcPr>
                  <w:tcW w:w="3295" w:type="dxa"/>
                </w:tcPr>
                <w:p w:rsidR="007F5244" w:rsidRPr="00C70B07" w:rsidDel="00B77F3E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&gt;105</w:t>
                  </w:r>
                </w:p>
              </w:tc>
              <w:tc>
                <w:tcPr>
                  <w:tcW w:w="2485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1.400 mg</w:t>
                  </w:r>
                </w:p>
              </w:tc>
              <w:tc>
                <w:tcPr>
                  <w:tcW w:w="2940" w:type="dxa"/>
                </w:tcPr>
                <w:p w:rsidR="007F5244" w:rsidRPr="00C70B07" w:rsidRDefault="007F524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d</w:t>
                  </w:r>
                </w:p>
              </w:tc>
            </w:tr>
          </w:tbl>
          <w:p w:rsidR="007F5244" w:rsidRPr="00C70B07" w:rsidRDefault="007F5244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a: 2 ujutro, 2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uveče</w:t>
            </w:r>
          </w:p>
          <w:p w:rsidR="007F5244" w:rsidRPr="00C70B07" w:rsidRDefault="007F5244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b: 2 ujutro, 3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uveče</w:t>
            </w:r>
          </w:p>
          <w:p w:rsidR="00996872" w:rsidRPr="00C70B07" w:rsidRDefault="007F5244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c: 3 ujutro, 3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uveče</w:t>
            </w:r>
          </w:p>
          <w:p w:rsidR="007F5244" w:rsidRPr="00C70B07" w:rsidRDefault="00996872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d</w:t>
            </w:r>
            <w:r w:rsidR="007F524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: 3 ujutro, 4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uveče</w:t>
            </w:r>
            <w:r w:rsidR="007F524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.</w:t>
            </w:r>
          </w:p>
          <w:p w:rsidR="00772EEC" w:rsidRPr="00C70B07" w:rsidRDefault="00772EEC" w:rsidP="007F5244">
            <w:pPr>
              <w:pStyle w:val="Header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Rebetol kapsule u kombinaciji sa</w:t>
            </w:r>
            <w:r w:rsidR="009647B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boceprevirom 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</w:t>
            </w:r>
            <w:r w:rsidR="007240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peg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interferonom alfa-2b</w:t>
            </w:r>
            <w:r w:rsidR="009647B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, ili u kombinaciji sa peg</w:t>
            </w:r>
            <w:r w:rsidR="006A565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</w:t>
            </w:r>
            <w:r w:rsidR="009647B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nterferonom alfa-2b</w:t>
            </w:r>
            <w:r w:rsidR="004C07F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Trajanje l</w:t>
            </w:r>
            <w:r w:rsidR="0067730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enja – prethodno nel</w:t>
            </w:r>
            <w:r w:rsidR="0067730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eni pacijenti</w:t>
            </w:r>
          </w:p>
          <w:p w:rsidR="00F25DC7" w:rsidRPr="00C70B07" w:rsidRDefault="00F25DC7" w:rsidP="00F25DC7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  <w:t>Trojna terapija:</w:t>
            </w:r>
          </w:p>
          <w:p w:rsidR="00F25DC7" w:rsidRPr="00C70B07" w:rsidRDefault="00F25DC7" w:rsidP="00F25DC7">
            <w:pPr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Proučiti </w:t>
            </w:r>
            <w:r w:rsidR="00AC131F"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S</w:t>
            </w: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ažetak karakteristika l</w:t>
            </w:r>
            <w:r w:rsidR="0067730E"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eka za boceprevir</w:t>
            </w:r>
            <w:r w:rsidR="005E7F60"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 i peginterferon alfa-2b</w:t>
            </w: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.</w:t>
            </w:r>
          </w:p>
          <w:p w:rsidR="001104DE" w:rsidRPr="00C70B07" w:rsidRDefault="001104DE" w:rsidP="001104DE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</w:pPr>
          </w:p>
          <w:p w:rsidR="001104DE" w:rsidRPr="00C70B07" w:rsidRDefault="001104DE" w:rsidP="001104DE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  <w:t xml:space="preserve">Dvojna terapija sa </w:t>
            </w: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u w:val="single"/>
                <w:lang w:val="sr-Latn-ME"/>
              </w:rPr>
              <w:t>peginterferonom alfa-2b</w:t>
            </w: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  <w:t>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Predvidljivost stabilnog virološkog odgovora.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zaraženih virusom genotipa 1 kod kojih nije</w:t>
            </w:r>
            <w:r w:rsidR="00381DA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postignut nem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81DA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erljiv nivo HCV-RNK ili nije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postignut virološki odgovor u</w:t>
            </w:r>
            <w:r w:rsidR="00163D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</w:t>
            </w:r>
            <w:r w:rsidR="002F366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="00163D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12.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od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terapije, vrlo je mala v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 da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posti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stabilan</w:t>
            </w:r>
            <w:r w:rsidR="00163D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virološki odgovor</w:t>
            </w:r>
            <w:r w:rsidR="00107B0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trebalo bi razmotriti mogućnost prekida terapije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="008518C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6F4FF2" w:rsidRPr="00C70B07" w:rsidRDefault="00AE6C5A" w:rsidP="00AE6C5A">
            <w:pPr>
              <w:numPr>
                <w:ilvl w:val="0"/>
                <w:numId w:val="6"/>
              </w:numPr>
              <w:tabs>
                <w:tab w:val="clear" w:pos="284"/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 1.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AE6C5A" w:rsidRPr="00C70B07" w:rsidRDefault="00D54B50" w:rsidP="00611B30">
            <w:pPr>
              <w:numPr>
                <w:ilvl w:val="0"/>
                <w:numId w:val="1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sa nem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erljivim nivoima HCV-RNK 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12. </w:t>
            </w:r>
            <w:r w:rsidR="00611B3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11B3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elji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terapije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AE6C5A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treba nastaviti još sl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="00AE6C5A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9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(ukupno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elja).</w:t>
            </w:r>
          </w:p>
          <w:p w:rsidR="00F831D1" w:rsidRPr="00C70B07" w:rsidRDefault="00D939E9" w:rsidP="008D3315">
            <w:pPr>
              <w:numPr>
                <w:ilvl w:val="0"/>
                <w:numId w:val="1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koji su u 12</w:t>
            </w:r>
            <w:r w:rsidR="006B2DA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terapije imali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erljive nivoe HCV-RNK, ali sa smanjenjem  ≥ 2 log u odnosu na početne vr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trebalo bi da budu ponovo proc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enjivani u 24</w:t>
            </w:r>
            <w:r w:rsidR="00CC55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 i ukoliko je nivo HCV-RNK nem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erljiv, treba da nastave sa terapijom do kraja (tj. ukupno trajanje terapije je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elja). Ipak,  ukoliko se HCV-RNK i dalje može detektovati u 24.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 treba razmotriti mogućnost prekida terapije.</w:t>
            </w:r>
          </w:p>
          <w:p w:rsidR="00AE6C5A" w:rsidRPr="00C70B07" w:rsidRDefault="00AE6C5A" w:rsidP="008D3315">
            <w:pPr>
              <w:numPr>
                <w:ilvl w:val="0"/>
                <w:numId w:val="1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podgrupi pacijenata zaraženih virusom genotipa 1 i sa niskim virusnim optere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enjem (&lt;600.000    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/ml) koji postanu HCV-RNK negativni u 4.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 ostanu HCV-RNK negativni u 24.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se može ili prekinuti nakon 24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ili nastaviti tokom dodatnih 24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(tj. ukupno trajanje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od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elja). Me</w:t>
            </w:r>
            <w:r w:rsidR="008B7F4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l</w:t>
            </w:r>
            <w:r w:rsidR="007640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u ukupnom trajanju od 24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</w:t>
            </w:r>
            <w:r w:rsidR="008518C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može biti povezano sa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 rizikom od relapsa nego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u trajanju od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AE6C5A" w:rsidRPr="00C70B07" w:rsidRDefault="00AE6C5A" w:rsidP="00AE6C5A">
            <w:pPr>
              <w:numPr>
                <w:ilvl w:val="0"/>
                <w:numId w:val="6"/>
              </w:numPr>
              <w:tabs>
                <w:tab w:val="clear" w:pos="284"/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Genotipovi 2 ili 3.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da se svi pacijenti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D939E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24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elje, osim pacijenata sa koinfekcijom HCV</w:t>
            </w:r>
            <w:r w:rsidR="000942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om i HIV-om, kod kojih bi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trebalo da traje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</w:t>
            </w:r>
          </w:p>
          <w:p w:rsidR="00E97D74" w:rsidRPr="00C70B07" w:rsidRDefault="00AE6C5A" w:rsidP="00AE6C5A">
            <w:pPr>
              <w:numPr>
                <w:ilvl w:val="0"/>
                <w:numId w:val="6"/>
              </w:numPr>
              <w:tabs>
                <w:tab w:val="clear" w:pos="284"/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 4.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Uopšteno se smatra da se pacijenti inficirani genotipom 4 teže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e, a ograni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podaci iz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(n=66) pokazuju da im odgovara trajanje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4C211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kao kod genotipa 1.</w:t>
            </w:r>
          </w:p>
          <w:p w:rsidR="00AE6C5A" w:rsidRPr="00C70B07" w:rsidRDefault="00AE6C5A" w:rsidP="00E97D74">
            <w:pPr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AE6C5A" w:rsidRDefault="00736802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 xml:space="preserve">Trajanje </w:t>
            </w:r>
            <w:r w:rsidR="005B152F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>l</w:t>
            </w:r>
            <w:r w:rsidR="0058412D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>ij</w:t>
            </w:r>
            <w:r w:rsidR="005B152F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 xml:space="preserve">ečenja </w:t>
            </w:r>
            <w:r w:rsidR="00923CFA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 xml:space="preserve">- </w:t>
            </w:r>
            <w:r w:rsidR="00AE6C5A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>Koinfekcija HCV-om i HIV-om</w:t>
            </w:r>
            <w:r w:rsidR="005248C2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 xml:space="preserve"> kod pacijenata koji prethodno ni</w:t>
            </w:r>
            <w:r w:rsidR="0058412D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>je</w:t>
            </w:r>
            <w:r w:rsidR="005248C2" w:rsidRPr="00C70B07"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  <w:t>su primali terapiju</w:t>
            </w:r>
          </w:p>
          <w:p w:rsidR="00F07288" w:rsidRPr="00C70B07" w:rsidRDefault="00F07288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bCs/>
                <w:i/>
                <w:noProof w:val="0"/>
                <w:sz w:val="22"/>
                <w:szCs w:val="22"/>
                <w:lang w:val="sr-Latn-ME" w:eastAsia="ja-JP"/>
              </w:rPr>
            </w:pPr>
          </w:p>
          <w:p w:rsidR="00FA12BA" w:rsidRPr="00C70B07" w:rsidRDefault="00FA12B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Dvojna terapija: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trajanje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dozom</w:t>
            </w:r>
            <w:r w:rsidR="005B29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B29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5B29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prema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</w:t>
            </w:r>
            <w:r w:rsidR="005B29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oj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mas</w:t>
            </w:r>
            <w:r w:rsidR="005B29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A963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pacijenta (Tabela 1)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pacijenata sa konfekcijom HCV-om i HIV-om iznosi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</w:t>
            </w:r>
            <w:r w:rsidR="0055278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dvojne terapije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bez obzira na</w:t>
            </w:r>
            <w:r w:rsidR="009B7DD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genotip.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Predvidljivost odgovora i izostanka odgovora </w:t>
            </w:r>
            <w:r w:rsidR="004C4684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kod 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pacijenata s koinfekcijom HCV-om i HIV-om</w:t>
            </w:r>
            <w:r w:rsidR="00F057F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koji prethodno ni</w:t>
            </w:r>
            <w:r w:rsidR="0058412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je</w:t>
            </w:r>
            <w:r w:rsidR="00F057F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su primali terapiju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Rani virološki odgovor do 12.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elje, definisan kao smanjenje virusnog optere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za 2-log ili nem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erljivi nivo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HCV-RNK, pokazao se prediktivnim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iniocem za stabilan terapijski odgovor. Negativna prediktivna vr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 za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stabilan odgovor kod pacijenata sa koinfekcijom HCV-om i HIV-om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enih </w:t>
            </w:r>
            <w:r w:rsidR="00F3550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3550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peginterferonom alfa-2b iznosila je 99% (67/68; Ispitivanje 1)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5.1). Pozitivna prediktivna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vr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ednost kod pacijenata sa koinfekcijom HCV-om i HIV-om koji su primali </w:t>
            </w:r>
            <w:r w:rsidR="00A711A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dvojnu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terapiju iznosila je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50% (52/104; Ispitivanje 1).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Trajanje l</w:t>
            </w:r>
            <w:r w:rsidR="0058412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enja – </w:t>
            </w:r>
            <w:r w:rsidR="00EF055C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ponovo l</w:t>
            </w:r>
            <w:r w:rsidR="0058412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="00EF055C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ečeni pacijenti</w:t>
            </w:r>
          </w:p>
          <w:p w:rsidR="00016EBD" w:rsidRPr="00C70B07" w:rsidRDefault="00016EBD" w:rsidP="00016EBD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u w:val="single"/>
                <w:lang w:val="sr-Latn-ME"/>
              </w:rPr>
              <w:t>Trojna terapija:</w:t>
            </w:r>
          </w:p>
          <w:p w:rsidR="00016EBD" w:rsidRPr="00C70B07" w:rsidRDefault="00016EBD" w:rsidP="00016EBD">
            <w:pPr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Proučiti </w:t>
            </w:r>
            <w:r w:rsidR="00AC131F"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S</w:t>
            </w: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ažetak karakteristika l</w:t>
            </w:r>
            <w:r w:rsidR="0058412D"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eka za boceprevir i peginterferon alfa-2b.</w:t>
            </w:r>
          </w:p>
          <w:p w:rsidR="00016EBD" w:rsidRPr="00C70B07" w:rsidRDefault="00016EBD" w:rsidP="00016EBD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</w:pPr>
          </w:p>
          <w:p w:rsidR="00016EBD" w:rsidRPr="00C70B07" w:rsidRDefault="00016EBD" w:rsidP="00016EBD">
            <w:pPr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lang w:val="sr-Latn-ME"/>
              </w:rPr>
              <w:t xml:space="preserve">Dvojna terapija sa </w:t>
            </w:r>
            <w:r w:rsidRPr="00C70B07">
              <w:rPr>
                <w:rFonts w:ascii="Times New Roman" w:hAnsi="Times New Roman"/>
                <w:bCs/>
                <w:i/>
                <w:noProof w:val="0"/>
                <w:sz w:val="22"/>
                <w:szCs w:val="22"/>
                <w:u w:val="single"/>
                <w:lang w:val="sr-Latn-ME"/>
              </w:rPr>
              <w:t>peginterferonom alfa-2b: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Predvidljivost stabilnog virološkog odgovora</w:t>
            </w:r>
            <w:r w:rsidR="009F03F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: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Svi pacijenti, bez obzira na genotip virusa kojim su zaraženi, a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kojih su koncentracije HCV-RNK u serumu ispod granice detekcije u 12.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 trebalo bi da primaju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171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dvojnu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terapiju u trajanju od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 Pacijenti kod kojih se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ponovilo, a ni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postigli virološki odgovor u 12.</w:t>
            </w:r>
            <w:r w:rsidR="006171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B10E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B10E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elji </w:t>
            </w:r>
            <w:r w:rsidR="001450E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(npr. nivoi HCV-RNK ispod granica detekcije)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v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 ne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posti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stabilan virološki odgovor nakon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525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tako</w:t>
            </w:r>
            <w:r w:rsidR="0065257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6525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 5.1).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sa genotipom 1 kod kojih nije postignut virološki odgovor nije se ispitivalo ponovljeno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kombinovanom terapijom sa pegilovanim interferonom alfa-2b i ribavirinom u trajanju dužem od 48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</w:t>
            </w:r>
          </w:p>
          <w:p w:rsidR="005649CF" w:rsidRDefault="005649CF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Rebetol kapsule u kombinaciji sa interferonom alfa-2b</w:t>
            </w:r>
            <w:r w:rsidR="002903C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(</w:t>
            </w:r>
            <w:r w:rsidR="00862AA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samo </w:t>
            </w:r>
            <w:r w:rsidR="002903C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dvojna terapija)</w:t>
            </w:r>
          </w:p>
          <w:p w:rsidR="00F952FF" w:rsidRPr="00C70B07" w:rsidRDefault="00F952FF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</w:p>
          <w:p w:rsidR="002903C3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Trajanje l</w:t>
            </w:r>
            <w:r w:rsidR="0058412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enja</w:t>
            </w:r>
            <w:r w:rsidR="002903C3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sa interferonom alfa-2b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osnovu rezultata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da se pacijenti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18321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najmanje 6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eseci.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u kojima su pacijenti bili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godinu dana, kod pacijenata koji ni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pokazali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virološki odgovor nakon 6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(HCV-RNK ispod najmanje koncentracije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erljivosti) nije bilo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erovatno da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posti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stabilan virološki odgovor (HCV-RNK ispod najmanje koncentracije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erljivosti 6</w:t>
            </w:r>
            <w:r w:rsidR="005649CF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nakon prestanka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enja).</w:t>
            </w:r>
          </w:p>
          <w:p w:rsidR="00AE6C5A" w:rsidRPr="00C70B07" w:rsidRDefault="00AE6C5A" w:rsidP="00D73390">
            <w:pPr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 1.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</w:t>
            </w:r>
            <w:r w:rsidR="002903C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treba nastaviti tokom sl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6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(tj. do ukupno jedne godine) kod pacijenata</w:t>
            </w:r>
            <w:r w:rsidR="00D733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koji imaju negativan nalaz HCV-RNK nakon 6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</w:t>
            </w:r>
          </w:p>
          <w:p w:rsidR="00B91F21" w:rsidRPr="00C70B07" w:rsidRDefault="00AE6C5A" w:rsidP="00B91F21">
            <w:pPr>
              <w:numPr>
                <w:ilvl w:val="0"/>
                <w:numId w:val="7"/>
              </w:num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Ostali genotipovi.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Odluku o produženju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D733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na jednu godinu kod pacijenata sa negativnim nalazom</w:t>
            </w:r>
            <w:r w:rsidR="00B91F2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HCV-RNK nakon 6 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B91F2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B91F2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 treba don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B91F2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na osnovu drugih prognostičkih faktora (npr. uzrast &gt;40 godina, muški pol, prisustvo fibroze).</w:t>
            </w: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632FF" w:rsidRDefault="005632FF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  <w:t>Pedijatrijska populacija</w:t>
            </w:r>
            <w:r w:rsidR="007F7DCA"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  <w:t xml:space="preserve"> (dvojna terapija)</w:t>
            </w:r>
            <w:r w:rsidR="00AE6C5A"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CD2585" w:rsidRPr="00C70B07" w:rsidRDefault="00CD2585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AE6C5A" w:rsidRPr="00C70B07" w:rsidRDefault="005632FF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Napomena:</w:t>
            </w:r>
            <w:r w:rsidR="00AE6C5A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5A1EC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Pacijente 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 t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elesnom masom &lt;47 kg ili pacijente koji ne mogu</w:t>
            </w:r>
            <w:r w:rsidR="007E2F2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progutati kapsule treba sav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etovati da pro</w:t>
            </w:r>
            <w:r w:rsidR="00AE6C5A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itaju </w:t>
            </w:r>
            <w:r w:rsidR="002A397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ažetak karakteristika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E6C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za ribavirin oralni rastvor 40 mg/ml.</w:t>
            </w:r>
          </w:p>
          <w:p w:rsidR="007E2F20" w:rsidRPr="00C70B07" w:rsidRDefault="007E2F20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B61A2" w:rsidRPr="00C70B07" w:rsidRDefault="00E64CE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Doza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Rebetol 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 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ecu i adolescente se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određuje 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osnovu t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pacijenta</w:t>
            </w:r>
            <w:r w:rsidR="00DB61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a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doza peginterferona alfa-2b i interferona alfa-2b se određuje na osnovu</w:t>
            </w:r>
            <w:r w:rsidR="00DB61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B61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DB61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površin</w:t>
            </w:r>
            <w:r w:rsidR="009C64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7E2F20" w:rsidRPr="00C70B07" w:rsidRDefault="007E2F20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F1949" w:rsidRPr="00C70B07" w:rsidRDefault="000F1949" w:rsidP="000F194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Doza koja se prim</w:t>
            </w:r>
            <w:r w:rsidR="0058412D"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 xml:space="preserve">enjuje kod kombinovane terapije sa </w:t>
            </w:r>
            <w:r w:rsidR="004B5B7F"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peg</w:t>
            </w: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interferonom alfa-2b kod pedijatrijskih pacijenata:</w:t>
            </w:r>
          </w:p>
          <w:p w:rsidR="000F1949" w:rsidRPr="00C70B07" w:rsidRDefault="00140EC0" w:rsidP="00140EC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Preporučena doza peginterferona alfa-2b je 60 μg/m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 subkutano u kombinaciji sa 15mg/kg/dnevno</w:t>
            </w:r>
            <w:r w:rsidR="00055AE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055AE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(</w:t>
            </w:r>
            <w:r w:rsidR="00055AED"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Tabela 2</w:t>
            </w:r>
            <w:r w:rsidR="00055AE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3009D0" w:rsidRPr="00C70B07" w:rsidRDefault="003009D0" w:rsidP="00140EC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45E01" w:rsidRPr="00C70B07" w:rsidRDefault="00945E01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Doza koja se prim</w:t>
            </w:r>
            <w:r w:rsidR="0058412D"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enjuje kod kombinovane terapije sa interferonom alfa-2b kod pedijatrijskih pacijenata</w:t>
            </w:r>
            <w:r w:rsidR="00BC5384"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AE6C5A" w:rsidRPr="00C70B07" w:rsidRDefault="00AE6C5A" w:rsidP="00AE6C5A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kim ispitivanjima sprovedenim u ovoj populaciji, ribavirin je prim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enjivan u dozi od 15 mg/kg/dan, 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interferon alfa-2b u dozi od 3 </w:t>
            </w:r>
            <w:r w:rsidR="003F4E1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miliona internacionalnih jedinica (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Mi.j.</w:t>
            </w:r>
            <w:r w:rsidR="003F4E1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tri puta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 (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Tabela 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CB5014" w:rsidRPr="00C70B07" w:rsidRDefault="00CB5014" w:rsidP="00AE6C5A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7"/>
              <w:gridCol w:w="2587"/>
              <w:gridCol w:w="2906"/>
            </w:tblGrid>
            <w:tr w:rsidR="00E97D74" w:rsidRPr="00C70B07" w:rsidTr="004C5099">
              <w:tc>
                <w:tcPr>
                  <w:tcW w:w="8720" w:type="dxa"/>
                  <w:gridSpan w:val="3"/>
                </w:tcPr>
                <w:p w:rsidR="00E97D74" w:rsidRPr="00C70B07" w:rsidRDefault="00A87085" w:rsidP="00B16217">
                  <w:pPr>
                    <w:ind w:left="1305" w:hanging="1305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lastRenderedPageBreak/>
                    <w:t>Tabela</w:t>
                  </w:r>
                  <w:r w:rsidR="00E97D74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2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    </w:t>
                  </w:r>
                  <w:r w:rsidR="0087449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Doza 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 Rebetol, kada se prim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enjuje u kombi</w:t>
                  </w:r>
                  <w:r w:rsidR="00A771D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naciji sa interferonom alfa 2b ili peginterferonom alfa-2b,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14204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prema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C1396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elesnoj </w:t>
                  </w:r>
                  <w:r w:rsidR="0014204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mas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i </w:t>
                  </w:r>
                  <w:r w:rsidR="00905ED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kod pedijatriskih pacijenata</w:t>
                  </w:r>
                </w:p>
              </w:tc>
            </w:tr>
            <w:tr w:rsidR="00E97D74" w:rsidRPr="00C70B07" w:rsidTr="004C5099">
              <w:tc>
                <w:tcPr>
                  <w:tcW w:w="3227" w:type="dxa"/>
                </w:tcPr>
                <w:p w:rsidR="00E97D74" w:rsidRPr="00C70B07" w:rsidRDefault="0014204F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elesna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mas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 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ta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(kg)</w:t>
                  </w:r>
                </w:p>
              </w:tc>
              <w:tc>
                <w:tcPr>
                  <w:tcW w:w="2587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Dnevna doza 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 Rebetol</w:t>
                  </w:r>
                </w:p>
              </w:tc>
              <w:tc>
                <w:tcPr>
                  <w:tcW w:w="2906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Broj kapsula od 200 mg</w:t>
                  </w:r>
                </w:p>
              </w:tc>
            </w:tr>
            <w:tr w:rsidR="00E97D74" w:rsidRPr="00C70B07" w:rsidTr="004C5099">
              <w:tc>
                <w:tcPr>
                  <w:tcW w:w="3227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47-49</w:t>
                  </w:r>
                </w:p>
              </w:tc>
              <w:tc>
                <w:tcPr>
                  <w:tcW w:w="2587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600 mg</w:t>
                  </w:r>
                </w:p>
              </w:tc>
              <w:tc>
                <w:tcPr>
                  <w:tcW w:w="2906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kapsule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a</w:t>
                  </w:r>
                </w:p>
              </w:tc>
            </w:tr>
            <w:tr w:rsidR="00E97D74" w:rsidRPr="00C70B07" w:rsidTr="004C5099">
              <w:tc>
                <w:tcPr>
                  <w:tcW w:w="3227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50-65</w:t>
                  </w:r>
                </w:p>
              </w:tc>
              <w:tc>
                <w:tcPr>
                  <w:tcW w:w="2587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800 mg</w:t>
                  </w:r>
                </w:p>
              </w:tc>
              <w:tc>
                <w:tcPr>
                  <w:tcW w:w="2906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kapsule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b</w:t>
                  </w:r>
                </w:p>
              </w:tc>
            </w:tr>
            <w:tr w:rsidR="00E97D74" w:rsidRPr="00C70B07" w:rsidTr="004C5099">
              <w:tc>
                <w:tcPr>
                  <w:tcW w:w="3227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&gt;65</w:t>
                  </w:r>
                </w:p>
              </w:tc>
              <w:tc>
                <w:tcPr>
                  <w:tcW w:w="5493" w:type="dxa"/>
                  <w:gridSpan w:val="2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Vid</w:t>
                  </w:r>
                  <w:r w:rsidR="0058412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F473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et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 tab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elu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doziranja za odrasle (</w:t>
                  </w:r>
                  <w:r w:rsidR="00A8708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Tabela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1)</w:t>
                  </w:r>
                </w:p>
              </w:tc>
            </w:tr>
          </w:tbl>
          <w:p w:rsidR="00E97D74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ujutro, 2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uveče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E97D74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 ujutro, 2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uveče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E97D74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A68FF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Trajanje l</w:t>
            </w:r>
            <w:r w:rsidR="0058412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enja kod </w:t>
            </w:r>
            <w:r w:rsidR="0038424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pedijatrijskih pacijenata</w:t>
            </w:r>
          </w:p>
          <w:p w:rsidR="00CD2585" w:rsidRPr="00C70B07" w:rsidRDefault="00CD2585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D569A1" w:rsidRPr="00C70B07" w:rsidRDefault="00CB5014" w:rsidP="00D569A1">
            <w:pPr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 1.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trajanje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C560A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 godinu dana. </w:t>
            </w:r>
            <w:r w:rsidR="00F27A1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Ekstrapolacijom kliničkih podataka o kombinovanoj terapiji sa standardnim interferonom u pedijatrijskoj populaciji (negativna prediktivna vr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27A1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 96% za interferon alfa-2b/</w:t>
            </w:r>
            <w:r w:rsidR="00D569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</w:t>
            </w:r>
            <w:r w:rsidR="00F27A1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="00A6705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koji ni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postigli virološki odgovor u 12.</w:t>
            </w:r>
            <w:r w:rsidR="0056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vrlo v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 ne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posti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stabilan virološki odgovor .</w:t>
            </w:r>
            <w:r w:rsidR="009840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Zato se preporučuje da 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eca i adolescenti koji primaju kombinaciju </w:t>
            </w:r>
            <w:r w:rsidR="0044643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interferona alfa-2b (</w:t>
            </w:r>
            <w:r w:rsidR="003A1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pegilovanog ili nepegilovanog</w:t>
            </w:r>
            <w:r w:rsidR="0044643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</w:t>
            </w:r>
            <w:r w:rsidR="006C48A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C48A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="00FE61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Rebetol 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prekinu sa terapijom ukoliko je pad u nivou HCV-RNK u 12.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 &lt; 2log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bscript"/>
                <w:lang w:val="sr-Latn-ME" w:eastAsia="ja-JP"/>
              </w:rPr>
              <w:t>10,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poređeno sa predtretmanom ili ukoliko se u 24.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E56D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može detektovati nivo HCV-RNK.</w:t>
            </w:r>
          </w:p>
          <w:p w:rsidR="00CB5014" w:rsidRPr="00C70B07" w:rsidRDefault="00CB5014" w:rsidP="00D569A1">
            <w:pPr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Genotipovi 2 ili 3.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trajanje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394E5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dvojnom terapijom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 24 ned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</w:t>
            </w:r>
            <w:r w:rsidR="00FE61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CB5014" w:rsidRPr="00C70B07" w:rsidRDefault="00FF0588" w:rsidP="00F50ACE">
            <w:pPr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Genotip 4.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Samo petoro d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i adolescenata  sa </w:t>
            </w:r>
            <w:r w:rsidR="00D8158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enotipom 4 je 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ečeno u kliničkom ispitivanju sa </w:t>
            </w:r>
            <w:r w:rsidR="0040660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peginterferonom alfa-2b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</w:t>
            </w:r>
            <w:r w:rsidR="0040660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5841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40660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Preporučeno trajanje dvojne  terapije je godinu dana. Preporučuje se da d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eca i adolescenti koji primaju kombinaciju </w:t>
            </w:r>
            <w:r w:rsidR="00F50A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peginterferona alfa-2b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</w:t>
            </w:r>
            <w:r w:rsidR="00F50A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50A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prekinu sa terapijom ukoliko je pad u nivou HCV-RNK u 12</w:t>
            </w:r>
            <w:r w:rsidR="00033B1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ned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 &lt; 2log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bscript"/>
                <w:lang w:val="sr-Latn-ME" w:eastAsia="ja-JP"/>
              </w:rPr>
              <w:t>10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 poređeno sa predtretmanom ili ukoliko se u 24</w:t>
            </w:r>
            <w:r w:rsidR="00033B1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ned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može detektovati nivo HCV-RNK.</w:t>
            </w: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Prilago</w:t>
            </w:r>
            <w:r w:rsidR="00A5772B" w:rsidRPr="00C70B07">
              <w:rPr>
                <w:rFonts w:ascii="Times New Roman" w:eastAsia="TimesNewRoman,Italic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avanje doze za sve pacijente</w:t>
            </w:r>
          </w:p>
          <w:p w:rsidR="00FB0055" w:rsidRPr="00C70B07" w:rsidRDefault="00FB0055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B276E3" w:rsidRPr="00C70B07" w:rsidRDefault="00B276E3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Kombinovana terapija</w:t>
            </w:r>
            <w:r w:rsidR="00240329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AA68FF" w:rsidRDefault="00CB5014" w:rsidP="00AE13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Ako tokom 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B276E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kombinovanom terapijom</w:t>
            </w:r>
            <w:r w:rsidR="00F675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675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 i peginterferonom alfa-2b ili interferonom alfa-2b</w:t>
            </w:r>
            <w:r w:rsidR="00E438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730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 kombinovanom terapijom</w:t>
            </w:r>
            <w:r w:rsidR="00F675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675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</w:t>
            </w:r>
            <w:r w:rsidR="003730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Rebetol, peginterferonom alfa-2b</w:t>
            </w:r>
            <w:r w:rsidR="00E438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boceprevirom,</w:t>
            </w:r>
            <w:r w:rsidR="003730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nastanu teške neželjene</w:t>
            </w:r>
            <w:r w:rsidR="00591B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reakcije ili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 laboratorijskih nalaza, dozu treba prilagoditi</w:t>
            </w:r>
            <w:r w:rsidR="00AE7C2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kao što je navedeno u Tabeli 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 potrebi sve do</w:t>
            </w:r>
            <w:r w:rsidR="00AE13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povla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 neželjenih reakcija. </w:t>
            </w:r>
            <w:r w:rsidR="00FE61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Smanjenje doze boceprevira se ne preporučuje.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</w:t>
            </w:r>
            <w:r w:rsidR="007640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ernice za prilago</w:t>
            </w:r>
            <w:r w:rsidR="00FE6160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avanje doze </w:t>
            </w:r>
            <w:r w:rsidR="00A54D3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utvr</w:t>
            </w:r>
            <w:r w:rsidR="00A54D35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A54D3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tokom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="00AE13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ernice za prilago</w:t>
            </w:r>
            <w:r w:rsidR="00FE6160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avanje doze, 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Tabela 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Budu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da pridržavanje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doza može biti od važnosti za</w:t>
            </w:r>
            <w:r w:rsidR="00AE13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ishod 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potrebno je davati dozu što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niju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enoj standardnoj dozi. Potencijalni negativni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inak</w:t>
            </w:r>
            <w:r w:rsidR="00AE13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smanjenja doze ribavirina na rezultate efikasnosti l</w:t>
            </w:r>
            <w:r w:rsidR="002F53D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se ne može isk</w:t>
            </w:r>
            <w:r w:rsidR="00FE616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iti.</w:t>
            </w:r>
          </w:p>
          <w:p w:rsidR="00CB5014" w:rsidRPr="00C70B07" w:rsidRDefault="00CB5014" w:rsidP="00CB501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4"/>
              <w:gridCol w:w="2214"/>
              <w:gridCol w:w="2214"/>
              <w:gridCol w:w="2214"/>
            </w:tblGrid>
            <w:tr w:rsidR="00E97D74" w:rsidRPr="00C70B07" w:rsidTr="004C5099">
              <w:tc>
                <w:tcPr>
                  <w:tcW w:w="8856" w:type="dxa"/>
                  <w:gridSpan w:val="4"/>
                </w:tcPr>
                <w:p w:rsidR="00E97D74" w:rsidRPr="00C70B07" w:rsidRDefault="00A87085" w:rsidP="00A54D35">
                  <w:pPr>
                    <w:ind w:left="880" w:hanging="88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Tabela</w:t>
                  </w:r>
                  <w:r w:rsidR="00E97D74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3</w:t>
                  </w:r>
                  <w:r w:rsidR="00570F31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F40E79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Sm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="00F40E79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ernice</w:t>
                  </w:r>
                  <w:r w:rsidR="00E97D74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za </w:t>
                  </w:r>
                  <w:r w:rsidR="00F40E79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prilagođavanje</w:t>
                  </w:r>
                  <w:r w:rsidR="00E97D74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doze</w:t>
                  </w:r>
                  <w:r w:rsidR="00050C3A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kod kombinovane terapije na osnovu laboratorijskih parametara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</w:pPr>
                </w:p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  <w:t xml:space="preserve">Laboratorijske </w:t>
                  </w:r>
                  <w:r w:rsidR="00570F31" w:rsidRPr="00C70B07"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  <w:t>vr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  <w:t>ij</w:t>
                  </w:r>
                  <w:r w:rsidR="00570F31" w:rsidRPr="00C70B07">
                    <w:rPr>
                      <w:rFonts w:ascii="Times New Roman" w:hAnsi="Times New Roman"/>
                      <w:bCs/>
                      <w:sz w:val="22"/>
                      <w:szCs w:val="22"/>
                      <w:u w:val="single"/>
                      <w:lang w:val="sr-Latn-ME"/>
                    </w:rPr>
                    <w:t>ednosti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FF3F8C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Smanjiti isključivo dnevnu dozu</w:t>
                  </w:r>
                  <w:r w:rsidR="00FF3F8C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l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="00FF3F8C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eka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Rebetol </w:t>
                  </w:r>
                  <w:r w:rsidR="0058538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(vid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="0058538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eti napomenu br. 1)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, ako su: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Smanjiti isključivo dozu peginterferona alfa-2b</w:t>
                  </w:r>
                  <w:r w:rsidR="0058538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ili interferona alfa-2b</w:t>
                  </w:r>
                  <w:r w:rsidR="00231A7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231A7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(vid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="00231A7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eti napomenu br. 2)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, ako su: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EE1156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Prekinuti </w:t>
                  </w:r>
                  <w:r w:rsidR="00570F31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kombinovano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DF1253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l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eč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enje, ako su</w:t>
                  </w:r>
                  <w:r w:rsidR="00EE1156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zab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ilj</w:t>
                  </w:r>
                  <w:r w:rsidR="00EE1156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ežene dol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="00EE1156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 navedene vr</w:t>
                  </w:r>
                  <w:r w:rsidR="002F53D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="00EE1156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ednosti testova</w:t>
                  </w:r>
                  <w:r w:rsidR="00021698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*</w:t>
                  </w:r>
                  <w:r w:rsidR="00231A77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*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: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Hemoglobin 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&lt;10 g/dl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&lt;8,5 g/dl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AA68FF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Odrasli: Hemoglobin 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kod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pacijenata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sa stabilnom bolešću srca.</w:t>
                  </w:r>
                </w:p>
                <w:p w:rsidR="00E97D74" w:rsidRPr="00C70B07" w:rsidRDefault="00570F31" w:rsidP="00AA68FF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eca</w:t>
                  </w:r>
                  <w:r w:rsidR="00214E6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i adolescenti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: nije prim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enjivo (</w:t>
                  </w:r>
                  <w:r w:rsidR="007509A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509A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eti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poglavlje </w:t>
                  </w:r>
                  <w:r w:rsidR="00E97D74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4.4.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4428" w:type="dxa"/>
                  <w:gridSpan w:val="2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Pad hemoglobina ≥2 g/dl </w:t>
                  </w:r>
                  <w:r w:rsidR="00F40E7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tok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om bilo koj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4 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 za vr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eme trajanja 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enja (trajno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snižena doza)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&lt;12 g/dl nakon 4 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enja sniženom dozom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570F31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leukociti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&lt;1,5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&lt;1,0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Neutrofili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&lt;0,75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&lt;0,5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Trombociti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&lt;50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  <w:r w:rsidR="00214E6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(odrasli)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&lt;25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  <w:r w:rsidR="007A384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(odrasli)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</w:t>
                  </w:r>
                  <w:r w:rsidR="006E164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  <w:r w:rsidR="00214E6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214E6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eca i adolescenti)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&lt;50 × 10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/l</w:t>
                  </w:r>
                  <w:r w:rsidR="007A384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A384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eca i adolescenti)</w:t>
                  </w:r>
                </w:p>
              </w:tc>
            </w:tr>
            <w:tr w:rsidR="00E97D74" w:rsidRPr="00C70B07" w:rsidTr="00F108BA">
              <w:tc>
                <w:tcPr>
                  <w:tcW w:w="2214" w:type="dxa"/>
                  <w:tcBorders>
                    <w:bottom w:val="single" w:sz="4" w:space="0" w:color="auto"/>
                  </w:tcBorders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Direktni bilirubin</w:t>
                  </w:r>
                </w:p>
              </w:tc>
              <w:tc>
                <w:tcPr>
                  <w:tcW w:w="2214" w:type="dxa"/>
                  <w:tcBorders>
                    <w:bottom w:val="single" w:sz="4" w:space="0" w:color="auto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  <w:tcBorders>
                    <w:bottom w:val="single" w:sz="4" w:space="0" w:color="auto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  <w:tcBorders>
                    <w:bottom w:val="single" w:sz="4" w:space="0" w:color="auto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2,5 × GGN**</w:t>
                  </w:r>
                </w:p>
              </w:tc>
            </w:tr>
            <w:tr w:rsidR="00E97D74" w:rsidRPr="00C70B07" w:rsidTr="00F108BA">
              <w:tc>
                <w:tcPr>
                  <w:tcW w:w="2214" w:type="dxa"/>
                  <w:tcBorders>
                    <w:bottom w:val="nil"/>
                  </w:tcBorders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Indirektni bilirubin</w:t>
                  </w:r>
                </w:p>
              </w:tc>
              <w:tc>
                <w:tcPr>
                  <w:tcW w:w="2214" w:type="dxa"/>
                  <w:tcBorders>
                    <w:bottom w:val="nil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&gt;5 mg/dl</w:t>
                  </w:r>
                </w:p>
              </w:tc>
              <w:tc>
                <w:tcPr>
                  <w:tcW w:w="2214" w:type="dxa"/>
                  <w:tcBorders>
                    <w:bottom w:val="nil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  <w:tcBorders>
                    <w:bottom w:val="nil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&gt;4 mg/dl</w:t>
                  </w:r>
                  <w:r w:rsidR="0044216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(odrasli)</w:t>
                  </w:r>
                </w:p>
              </w:tc>
            </w:tr>
            <w:tr w:rsidR="00E97D74" w:rsidRPr="00C70B07" w:rsidTr="00F108BA">
              <w:tc>
                <w:tcPr>
                  <w:tcW w:w="2214" w:type="dxa"/>
                  <w:tcBorders>
                    <w:top w:val="nil"/>
                  </w:tcBorders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</w:tcBorders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</w:tcBorders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214" w:type="dxa"/>
                  <w:tcBorders>
                    <w:top w:val="nil"/>
                  </w:tcBorders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&gt;5 mg/dl </w:t>
                  </w:r>
                  <w:r w:rsidR="007073B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073B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eca )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</w:t>
                  </w:r>
                  <w:r w:rsidR="00F40E7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tok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om &gt;4 </w:t>
                  </w:r>
                  <w:r w:rsidR="00CB501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CB501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)</w:t>
                  </w:r>
                  <w:r w:rsidR="007F766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F766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eca i adolescenti l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7F766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ečeni interferonom alfa-2b) ili &gt;4 mg/dl (d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7F766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eca i adolescenti l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7F766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ečeni peginterferonom alfa-2b)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Kreatinin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&gt;2,0 mg/dl</w:t>
                  </w:r>
                </w:p>
              </w:tc>
            </w:tr>
            <w:tr w:rsidR="006E164E" w:rsidRPr="00C70B07" w:rsidTr="004C5099">
              <w:tc>
                <w:tcPr>
                  <w:tcW w:w="2214" w:type="dxa"/>
                </w:tcPr>
                <w:p w:rsidR="006E164E" w:rsidRPr="00C70B07" w:rsidRDefault="006E164E" w:rsidP="00570F31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Klirens kreatinina</w:t>
                  </w:r>
                </w:p>
              </w:tc>
              <w:tc>
                <w:tcPr>
                  <w:tcW w:w="2214" w:type="dxa"/>
                </w:tcPr>
                <w:p w:rsidR="006E164E" w:rsidRPr="00C70B07" w:rsidRDefault="006E164E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6E164E" w:rsidRPr="00C70B07" w:rsidRDefault="006E164E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6E164E" w:rsidRPr="00C70B07" w:rsidRDefault="006E164E" w:rsidP="003061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Prekinuti terapiju l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ekom Rebetol ukoliko je CrCL &lt;50ml/min</w:t>
                  </w:r>
                </w:p>
              </w:tc>
            </w:tr>
            <w:tr w:rsidR="00E97D74" w:rsidRPr="00C70B07" w:rsidTr="004C5099">
              <w:tc>
                <w:tcPr>
                  <w:tcW w:w="2214" w:type="dxa"/>
                </w:tcPr>
                <w:p w:rsidR="00D16D2E" w:rsidRPr="00C70B07" w:rsidRDefault="00E97D74" w:rsidP="00D16D2E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Alanin aminotransferaza</w:t>
                  </w:r>
                  <w:r w:rsidR="00D16D2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(ALT)</w:t>
                  </w:r>
                </w:p>
                <w:p w:rsidR="00D16D2E" w:rsidRPr="00C70B07" w:rsidRDefault="00D16D2E" w:rsidP="00D16D2E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ili</w:t>
                  </w:r>
                </w:p>
                <w:p w:rsidR="00E97D74" w:rsidRPr="00C70B07" w:rsidRDefault="00D16D2E" w:rsidP="00D16D2E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Aspartat </w:t>
                  </w:r>
                  <w:r w:rsidR="00E97D7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aminotransferaza (AST)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214" w:type="dxa"/>
                </w:tcPr>
                <w:p w:rsidR="00E97D74" w:rsidRPr="00C70B07" w:rsidRDefault="00E97D74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2 × početne 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ednosti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i &gt;10 × GGN**</w:t>
                  </w:r>
                </w:p>
                <w:p w:rsidR="004A62EA" w:rsidRPr="00C70B07" w:rsidRDefault="004A62EA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A62EA" w:rsidRPr="00C70B07" w:rsidRDefault="004A62EA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ili</w:t>
                  </w:r>
                </w:p>
                <w:p w:rsidR="004A62EA" w:rsidRPr="00C70B07" w:rsidRDefault="004A62EA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× početne vr</w:t>
                  </w:r>
                  <w:r w:rsidR="002F53D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ednosti i &gt;10 × GGN**</w:t>
                  </w:r>
                </w:p>
              </w:tc>
            </w:tr>
          </w:tbl>
          <w:p w:rsidR="00021698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*Gornja granica normalnog raspona</w:t>
            </w:r>
          </w:p>
          <w:p w:rsidR="00021698" w:rsidRPr="00C70B07" w:rsidRDefault="00AB0FB6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**</w:t>
            </w:r>
            <w:r w:rsidR="009351C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Konsultovati SmPC za pegilovani interferon alfa-2b ili interferon alfa-2b u vezi </w:t>
            </w:r>
            <w:r w:rsidR="00E8247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prilagođavanja</w:t>
            </w:r>
            <w:r w:rsidR="009351C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doze i prekida terapije</w:t>
            </w:r>
            <w:r w:rsidR="00E97D7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A957DA" w:rsidRPr="00C70B07" w:rsidRDefault="00A957DA" w:rsidP="00F252BE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657A22" w:rsidRPr="00C70B07" w:rsidRDefault="00F252BE" w:rsidP="006E164E">
            <w:pPr>
              <w:ind w:left="1560" w:hanging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Napomena br.1:</w:t>
            </w:r>
            <w:r w:rsidR="006E16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Kod odraslih pacijenata prvo smanjenje doze 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za 200 mg/dan (izuzev kod pacijenata koji primaju 1400 mg, smanjenje doze treba da bude za 400 mg/dan). Ukoliko je potrebno, drugo smanjenje doze 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za dodatnih 200 mg/dan. Pacijenti čija je doza 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05D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smanjena na 600 mg na dan, primaju jednu kapsulu od 200 mg ujutru i dv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kapsule od 200 mg uveče. </w:t>
            </w:r>
          </w:p>
          <w:p w:rsidR="00F252BE" w:rsidRPr="00C70B07" w:rsidRDefault="00F252BE" w:rsidP="00F108BA">
            <w:pPr>
              <w:ind w:left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 peginterferon</w:t>
            </w:r>
            <w:r w:rsidR="0035735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alfa-2b,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prvo smanjenje doze 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074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na 12 mg/kg/dan, a drugo smanjenje doze </w:t>
            </w:r>
            <w:r w:rsidR="006C48A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C48A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Rebetol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je na 8 mg/kg/dan.</w:t>
            </w:r>
          </w:p>
          <w:p w:rsidR="0032455D" w:rsidRPr="00C70B07" w:rsidRDefault="0032455D" w:rsidP="006E164E">
            <w:pPr>
              <w:ind w:left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adolescenata,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Rebetol i interferonom alfa-2b, </w:t>
            </w:r>
            <w:r w:rsidR="004F2F3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treba smanjiti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</w:t>
            </w:r>
            <w:r w:rsidR="004F2F3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Rebetol na </w:t>
            </w:r>
            <w:r w:rsidR="004F2F3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7</w:t>
            </w:r>
            <w:r w:rsidR="006C48A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4F2F3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5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mg/kg/dan.</w:t>
            </w:r>
          </w:p>
          <w:p w:rsidR="008C2AE3" w:rsidRPr="00C70B07" w:rsidRDefault="00F252BE" w:rsidP="006E164E">
            <w:pPr>
              <w:ind w:left="1560" w:hanging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Napomena br.2: </w:t>
            </w:r>
            <w:r w:rsidR="006E16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odraslih pacijenata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5F06B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F06B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F06B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 peginterferonom alfa-2b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prvo smanjenje doze 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peginterferon</w:t>
            </w:r>
            <w:r w:rsidR="001014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alfa-2b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na 1 μg/kg/ned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eljno. Ukoliko je potrebno, drugo smanjenje doze 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peginterferon</w:t>
            </w:r>
            <w:r w:rsidR="001014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alfa-2b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na 0,5 μg/kg/ned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eljno. </w:t>
            </w:r>
          </w:p>
          <w:p w:rsidR="00F252BE" w:rsidRPr="00C70B07" w:rsidRDefault="00F252BE" w:rsidP="00F108BA">
            <w:pPr>
              <w:ind w:left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 peginterferonom alfa-2b,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prvo smanjenje doze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 </w:t>
            </w:r>
            <w:r w:rsidR="008C2AE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peginterferonom alfa-2b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na 40 μg/m</w:t>
            </w:r>
            <w:r w:rsidRPr="00C70B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2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/ned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eljno, a drugo smanjenje doze </w:t>
            </w:r>
            <w:r w:rsidR="006C48A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peginterferona alfa-2b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na 20 μg/m2/ned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eljno.</w:t>
            </w:r>
          </w:p>
          <w:p w:rsidR="00DA755F" w:rsidRPr="00C70B07" w:rsidRDefault="006B218F" w:rsidP="00F108BA">
            <w:pPr>
              <w:ind w:left="15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odraslih pacijenata, d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adolescenata,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2F53D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Rebetol i interferonom alfa-2b, </w:t>
            </w:r>
            <w:r w:rsidR="00DA755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treba smanjiti dozu </w:t>
            </w:r>
            <w:r w:rsidR="006C48A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interferona alfa-2b</w:t>
            </w:r>
            <w:r w:rsidR="00DA755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4842C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za jednu polovinu</w:t>
            </w:r>
            <w:r w:rsidR="00DA755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E97D74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Posebne grupe pacijenata</w:t>
            </w:r>
          </w:p>
          <w:p w:rsidR="00826C04" w:rsidRPr="00C70B07" w:rsidRDefault="00826C0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</w:p>
          <w:p w:rsidR="003E7FA0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Prim</w:t>
            </w:r>
            <w:r w:rsidR="004A47A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ena kod pacijenata sa ošte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enjem bubrega</w:t>
            </w:r>
            <w:r w:rsidR="006C48A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Farmakokinetika ribavirina je prom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enjena kod pacijenata sa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 funkcijom bubrega zbog smanjenog klirensa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Zato se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prov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funkcije bubrega kod svih pacijenata pr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Rebetol. Pacijenti sa klirensom kreatinina &lt;50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ml/min ne sm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ju se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Pacijente sa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 funkcijom bubrega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potrebno je pažljivije nadgledati zbog mogu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 razvoja anemije. Ako serumski kreatinin poraste na &gt;2 mg/dl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Tabela 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),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i peginterferonom alfa-2b ili interferonom alfa-2b se mora prekinuti.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3E7FA0" w:rsidRDefault="003E7FA0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Prim</w:t>
            </w:r>
            <w:r w:rsidR="004A47A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ena kod pacijenata sa ošte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enjem jetre</w:t>
            </w:r>
            <w:r w:rsidR="006C48A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ema farmakokineti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interakcije izme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ribavirina i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funkcije jetre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Zato nije potrebno prilago</w:t>
            </w:r>
            <w:r w:rsidR="004947E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avati dozu 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kod pacijenata sa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enjem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jetre.</w:t>
            </w:r>
            <w:r w:rsidR="008010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Prim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8010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ena </w:t>
            </w:r>
            <w:r w:rsidR="00CC15E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</w:t>
            </w:r>
            <w:r w:rsidR="008010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 kontraindikovana kod pacijenata sa teškim oštećenjem jetre ili dekompenzovanom cirozom (vid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8010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="008010D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4.3)</w:t>
            </w:r>
          </w:p>
          <w:p w:rsidR="00826C04" w:rsidRPr="00C70B07" w:rsidRDefault="00826C0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Prim</w:t>
            </w:r>
            <w:r w:rsidR="004A47AE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ena kod starijih pacijenata (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≥</w:t>
            </w:r>
            <w:r w:rsidR="00CC15EB"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65 godina starosti)</w:t>
            </w:r>
            <w:r w:rsidR="006C48A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 se da uzrast nema zna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ajnog uticaja na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farmakokinetiku ribavirina. Me</w:t>
            </w:r>
            <w:r w:rsidR="004947E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kao i kod mla</w:t>
            </w:r>
            <w:r w:rsidR="004947E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pacijenata, i kod starijih se mora prov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eriti funkcija</w:t>
            </w:r>
            <w:r w:rsidR="003E7FA0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bubrega pr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prim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4947E8" w:rsidRPr="00C70B07" w:rsidRDefault="004947E8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5014" w:rsidRPr="00C70B07" w:rsidRDefault="00CB5014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Prim</w:t>
            </w:r>
            <w:r w:rsidR="007F149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ena kod pacijenata mla</w:t>
            </w:r>
            <w:r w:rsidR="004947E8"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ih od 18 godina</w:t>
            </w:r>
            <w:r w:rsidR="006C48A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se može</w:t>
            </w:r>
            <w:r w:rsidR="00F952F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upotrebljavati u kombinaciji sa</w:t>
            </w:r>
            <w:r w:rsidR="00A368D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peginterferonom alfa-2b 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interferonom alfa-2b kod 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(uzrasta od 3 i više godina) i adolescenata. Odabir</w:t>
            </w:r>
            <w:r w:rsidR="00F952F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farmaceutskog oblika zasnovan je na osobinama pojedinog pacijenta. Nije sprovedena</w:t>
            </w:r>
            <w:r w:rsidR="00C407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proc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bezb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i efikasnosti prim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sa drugim oblicima interferona (npr. ne</w:t>
            </w:r>
            <w:r w:rsidR="00C407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alfa-2b) kod ovih pacijenata.</w:t>
            </w:r>
          </w:p>
          <w:p w:rsidR="004947E8" w:rsidRPr="00C70B07" w:rsidRDefault="004947E8" w:rsidP="00CB501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834DBB" w:rsidRPr="00C70B07" w:rsidRDefault="00CB5014" w:rsidP="00F952F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Pacijenti sa koinfekcijom HCV/HIV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 Pacijenti koji primaju nukleozidne inhibitore reverzne transkriptaze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Nucleoside Reverse Transcriptase Inhibitors, NRTI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 zajedno sa ribavirinom i interferonom alfa-2b ili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peginterferonom alfa-2b mogu biti podložni povećanom riziku od mitohondrijske toksičnosti, laktoacidoze </w:t>
            </w:r>
            <w:r w:rsidR="00EF38D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dekompenzacije jetre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4.4). Molimo Vas da pročitate odgovarajuće informacije o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eku za</w:t>
            </w:r>
            <w:r w:rsidR="00F952F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antiretrovirusne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ekove.</w:t>
            </w:r>
          </w:p>
          <w:p w:rsidR="007F5244" w:rsidRPr="00C70B07" w:rsidRDefault="007F524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6C58A7" w:rsidRPr="00C70B07" w:rsidRDefault="006C58A7" w:rsidP="006C58A7">
            <w:pPr>
              <w:pStyle w:val="Header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 w:eastAsia="en-US"/>
              </w:rPr>
              <w:t>Način prim</w:t>
            </w:r>
            <w:r w:rsidR="004A47AE" w:rsidRPr="00C70B0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 w:eastAsia="en-US"/>
              </w:rPr>
              <w:t>ene</w:t>
            </w:r>
          </w:p>
          <w:p w:rsidR="006C58A7" w:rsidRPr="00C70B07" w:rsidRDefault="006C58A7" w:rsidP="006C58A7">
            <w:pPr>
              <w:pStyle w:val="Header"/>
              <w:jc w:val="left"/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L</w:t>
            </w:r>
            <w:r w:rsidR="004A47A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ek Rebetol treba prim</w:t>
            </w:r>
            <w:r w:rsidR="004A47A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enjivati oraln</w:t>
            </w:r>
            <w:r w:rsidR="001F544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o. Nema posebnih m</w:t>
            </w:r>
            <w:r w:rsidR="004A47A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j</w:t>
            </w:r>
            <w:r w:rsidR="001F544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era opreza kod odlaganja ili rukovanja l</w:t>
            </w:r>
            <w:r w:rsidR="004A47A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ij</w:t>
            </w:r>
            <w:r w:rsidR="001F544E" w:rsidRPr="00C70B07">
              <w:rPr>
                <w:rFonts w:ascii="Times New Roman" w:hAnsi="Times New Roman"/>
                <w:bCs/>
                <w:sz w:val="22"/>
                <w:szCs w:val="22"/>
                <w:lang w:val="sr-Latn-ME" w:eastAsia="en-US"/>
              </w:rPr>
              <w:t>ekom.</w:t>
            </w:r>
          </w:p>
          <w:p w:rsidR="006C58A7" w:rsidRPr="00C70B07" w:rsidRDefault="006C58A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6C58A7" w:rsidRPr="00C70B07" w:rsidRDefault="006C58A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4.3. Kontraindikacije</w:t>
            </w:r>
          </w:p>
        </w:tc>
      </w:tr>
      <w:tr w:rsidR="00834DBB" w:rsidRPr="00C70B07" w:rsidTr="00ED37A9">
        <w:trPr>
          <w:trHeight w:val="353"/>
        </w:trPr>
        <w:tc>
          <w:tcPr>
            <w:tcW w:w="10188" w:type="dxa"/>
            <w:gridSpan w:val="4"/>
            <w:vAlign w:val="center"/>
          </w:tcPr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preos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 na aktivnu supstancu ili bilo koju pomo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supstancu</w:t>
            </w:r>
            <w:r w:rsidR="00BC28D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koja je navedena u </w:t>
            </w:r>
            <w:r w:rsidR="00C102E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poglavlju</w:t>
            </w:r>
            <w:r w:rsidR="00BC28D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6.1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trudno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</w:t>
            </w:r>
            <w:r w:rsidR="00922F3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4.4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,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 xml:space="preserve">4.6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5.3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se ne sm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zapo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ukoliko se ne dobije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negativan rezultat testa na trudno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neposredno pr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dojenje,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teško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 oboljenje u anamnezi,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nestabilno ili nel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 oboljenje u prethodnih 6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4.4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),</w:t>
            </w:r>
          </w:p>
          <w:p w:rsidR="00A979CF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teške, iscrpljuju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bolesti, </w:t>
            </w:r>
          </w:p>
          <w:p w:rsidR="00106E8C" w:rsidRPr="00C70B07" w:rsidRDefault="00A979CF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- </w:t>
            </w:r>
            <w:r w:rsidR="00086B9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hroni</w:t>
            </w:r>
            <w:r w:rsidR="00086B9B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086B9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na insuficijencija </w:t>
            </w:r>
            <w:r w:rsidR="00106E8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bubrega, </w:t>
            </w:r>
            <w:r w:rsidR="00586A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pacijenti </w:t>
            </w:r>
            <w:r w:rsidR="00106E8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</w:t>
            </w:r>
            <w:r w:rsidR="00586A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106E8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klirensom kreatinina &lt;50 ml/min i/ili pacijente na hemodijalizi,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teško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funkcije jetre</w:t>
            </w:r>
            <w:r w:rsidR="00D652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(Child-Pugh klasifikacija B ili C)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 dekompenzovana ciroza jetre,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- hemoglobinopatije (npr. talasemija, anemija srpastih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elija),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- </w:t>
            </w:r>
            <w:r w:rsidR="001B332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uvo</w:t>
            </w:r>
            <w:r w:rsidR="001B3325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1B332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peginterferonom alfa-2b kontraindikovano je kod pacijenata sa koinfekcijom HCV-om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HIV-om koji imaju cirozu i Child-Pugh skor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6.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D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eca i adolescenti: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postoje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ili teški psihijatrijski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u anamnezi, posebno teška depresija,</w:t>
            </w:r>
            <w:r w:rsidR="001B332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sucidalne misli ili pokušaj samoubistva.</w:t>
            </w: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106E8C" w:rsidRPr="00C70B07" w:rsidRDefault="00106E8C" w:rsidP="00106E8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istovremene prim</w:t>
            </w:r>
            <w:r w:rsidR="004A47A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peginterferona alfa-2b ili interferona alfa-2b:</w:t>
            </w:r>
          </w:p>
          <w:p w:rsidR="00E97D74" w:rsidRPr="00C70B07" w:rsidRDefault="00106E8C" w:rsidP="00106E8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autoimuni hepatitis; ili autoimuna bolest u anamnezi.</w:t>
            </w:r>
          </w:p>
        </w:tc>
      </w:tr>
      <w:tr w:rsidR="00834DBB" w:rsidRPr="00C70B07" w:rsidTr="00772EEC">
        <w:trPr>
          <w:trHeight w:val="581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4.4. Posebna upozorenja i m</w:t>
            </w:r>
            <w:r w:rsidR="004A47AE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ere opreza pri upotrebi l</w:t>
            </w:r>
            <w:r w:rsidR="004A47AE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eka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834DBB" w:rsidRPr="00C70B07" w:rsidRDefault="00834DBB" w:rsidP="003E1F6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65596" w:rsidRPr="00C70B07" w:rsidRDefault="00765596" w:rsidP="003E1F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3E1F6B" w:rsidRPr="00C70B07" w:rsidRDefault="00765596" w:rsidP="00A216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Psihijatrijski poremećaji i bolesti centralnog nervnog sistema (CNS</w:t>
            </w:r>
            <w:r w:rsidR="003E1F6B" w:rsidRPr="00C70B07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):</w:t>
            </w:r>
          </w:p>
          <w:p w:rsidR="00765596" w:rsidRPr="00C70B07" w:rsidRDefault="00765596" w:rsidP="00B50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nekih pacijenata su prim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ećena teška</w:t>
            </w:r>
            <w:r w:rsidR="003E1F6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neželjena dejstva na centralni nervni sistem, posebno depresija, suicidalne misli i pokušaj samoubistva za vr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eme</w:t>
            </w:r>
            <w:r w:rsidR="003E1F6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 peginerferonom alfa-2b ili interferonom alfa-2b, ali i nakon prekida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ečenja, uglavnom</w:t>
            </w:r>
            <w:r w:rsidR="003E1F6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tokom šestom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esečnog perioda praćenja. Kod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u kombinaciji sa</w:t>
            </w:r>
            <w:r w:rsidR="003E1F6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interferonom alfa-2b suicidalne misli ili pokušaji samoubistva zab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ilj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eženi su češće nego kod odraslih pacijenata</w:t>
            </w:r>
            <w:r w:rsidR="00B50FA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(2,4% prema 1%), i to tokom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i tokom šestom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esečnog perioda praćenja nakon završetka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ečenja. Kao i</w:t>
            </w:r>
            <w:r w:rsidR="00B50FA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kod odraslih pacijenata, kod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 opisana su i druga psihijatrijsk</w:t>
            </w:r>
            <w:r w:rsidR="0038311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neželjena dejstva (npr.</w:t>
            </w:r>
            <w:r w:rsidR="00B50FA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depresija, emocionalna nestabilnost i somnolencija). Druga dejstva na centralni nervni sistem, uključujući</w:t>
            </w:r>
            <w:r w:rsidR="00B50FA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agresivno ponašanje (ponekad usm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ereno protiv drugih</w:t>
            </w:r>
            <w:r w:rsidR="00312D1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poput ubilačkih ideja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), </w:t>
            </w:r>
            <w:r w:rsidR="00582D5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bipolarni poremećaji, manija, konfuzija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 prom</w:t>
            </w:r>
            <w:r w:rsidR="007F149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ene psihičkog stanja prim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ećeni su kod</w:t>
            </w:r>
            <w:r w:rsidR="00582D5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pacijenata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ečenih alfa interferonima. Pacijente treba pažljivo pratiti zbog mogućnosti pojave znakova ili simptoma psihijatrijskih poremećaja. Ako se takvi simptomi pojave, odgovorni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ekar treba imati na umu moguću ozbiljnost tih neželjenih dejstava i razmotriti potrebu za odgovarajućim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ečenjem. Ako simptomi psihijatrijskih poremećaja traju ili se pogoršavaju, ili se ustanove suicidalne misli, preporučuje se prekid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</w:t>
            </w:r>
            <w:r w:rsidR="00B50FA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peginterferonom alfa-2b ili interferonom alfa-2b i praćenje pacijenta</w:t>
            </w:r>
            <w:r w:rsidR="00B00E7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 po potrebi osigurati intervenciju psihijatra.</w:t>
            </w:r>
          </w:p>
          <w:p w:rsidR="005337DE" w:rsidRPr="00C70B07" w:rsidRDefault="005337DE" w:rsidP="00A216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2160A" w:rsidRPr="00C70B07" w:rsidRDefault="00A2160A" w:rsidP="00A216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Pacijenti sa postojećim ili u anamnezi zab</w:t>
            </w:r>
            <w:r w:rsidR="004A47AE"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ilj</w:t>
            </w:r>
            <w:r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eženim teškim psihijatrijskim poremećajima:</w:t>
            </w:r>
          </w:p>
          <w:p w:rsidR="00117317" w:rsidRPr="00C70B07" w:rsidRDefault="00765596" w:rsidP="00A216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Ako je proc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enjeno da je</w:t>
            </w:r>
            <w:r w:rsidR="00C90A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ečenje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ekom Rebetol i peginterferonom alfa-2b ili interferonom alfa-2b neophodno kod pacijenata sa</w:t>
            </w:r>
            <w:r w:rsidR="00A2160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postojećim ili u anamnezi zab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ilj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eženim teškim psihijatrijskim poremećajima,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ečenje se može započeti isključivo</w:t>
            </w:r>
            <w:r w:rsidR="00A2160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nakon što se psihijatrijski poremećaj individualno dijagnostički i terapijski zbrine.</w:t>
            </w:r>
          </w:p>
          <w:p w:rsidR="00E97D74" w:rsidRPr="00C70B07" w:rsidRDefault="00A2160A" w:rsidP="00A216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-  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Prim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ena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eka Rebetol i</w:t>
            </w:r>
            <w:r w:rsidR="0011731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interferona alfa-2b ili peginterferona alfa-2b kontraindikovana je kod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 adolescenata sa postojećim ili</w:t>
            </w:r>
            <w:r w:rsidR="0011731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prethodnim teškim psihijatrijskim poremećajima (</w:t>
            </w:r>
            <w:r w:rsidR="007509A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vid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509A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eti</w:t>
            </w:r>
            <w:r w:rsidR="0076559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poglavlje 4.3).</w:t>
            </w:r>
          </w:p>
          <w:p w:rsidR="00117317" w:rsidRPr="00C70B07" w:rsidRDefault="00117317" w:rsidP="00A13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17317" w:rsidRPr="00C70B07" w:rsidRDefault="00117317" w:rsidP="009F48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Pacijenti</w:t>
            </w:r>
            <w:r w:rsidR="004F7B60" w:rsidRPr="00C70B07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>sa bolestima zavisnosti:</w:t>
            </w:r>
          </w:p>
          <w:p w:rsidR="00117317" w:rsidRPr="00C70B07" w:rsidRDefault="00117317" w:rsidP="000C7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Kod pacijenata sa</w:t>
            </w:r>
            <w:r w:rsidRPr="00C70B07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="004F7B60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HCV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 xml:space="preserve"> infekcijom koji imaju prateću bolest zavisnosti (od alkohola, kanabisa, itd.) postoji  povišen rizik od nastanka ili pogoršanja već postojećih psihijatriskih poremećaja prilikom prim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ene alfa interferona. Ako se proc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eni da je terapija alfa interferonom kod ovih pacijenata neophodna, prisustvo psihijatriskog komorbiditeta i potencijal od zloupotrebe drugih supstanci treba pažljivo proc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eniti i zbrinuti pr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 započinjanja terapije. Ukoliko je neophodno, treba razmotriti interdisciplinarni pristup i uključiti psihijatra i specijalistu za bolesti zavisnosti radi proc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ene, l</w:t>
            </w:r>
            <w:r w:rsidR="004A47AE"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  <w:t>ečenja i praćenja pacijenta. Pacijente treba pažljivo pratiti tokom terapije, pa i nakon prekida terapije. Preporučuje se rana intervencija pri ponovnoj pojavi ili nastanku psihijatrijskih poremećaja i bolesti zavisnosti.</w:t>
            </w:r>
          </w:p>
          <w:p w:rsidR="00117317" w:rsidRPr="00C70B07" w:rsidRDefault="00117317" w:rsidP="000C7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337DE" w:rsidRPr="00C70B07" w:rsidRDefault="005337DE" w:rsidP="00BE5C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Rast i razvoj (d</w:t>
            </w:r>
            <w:r w:rsidR="004A47AE" w:rsidRPr="00C70B07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j</w:t>
            </w:r>
            <w:r w:rsidRPr="00C70B07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eca i adolescenti)</w:t>
            </w:r>
          </w:p>
          <w:p w:rsidR="005337DE" w:rsidRPr="00C70B07" w:rsidRDefault="005337DE" w:rsidP="00BE5C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B461CF" w:rsidRPr="00C70B07" w:rsidRDefault="005337DE" w:rsidP="002451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Gubitak t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elesne mase i inhibicija rasta su bili česti tokom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kombinovanom terapijom interferon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(standardni ili pegilovani)/ribavirin u trajanju do 48 ned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elja kod pacijenata od 3 do 17 godina</w:t>
            </w:r>
            <w:r w:rsidR="00B528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 Dostupni podaci o dužem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528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ečenju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B528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ece kombinovanom terapijom </w:t>
            </w:r>
            <w:r w:rsidR="00385D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pegilovani</w:t>
            </w:r>
            <w:r w:rsidR="00B528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interferon/ribavirin ukazuju na značajno smanjenje rasta</w:t>
            </w:r>
            <w:r w:rsidR="00385D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 32% (</w:t>
            </w:r>
            <w:r w:rsidR="003B70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30/94</w:t>
            </w:r>
            <w:r w:rsidR="00385D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  <w:r w:rsidR="003B70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ispitanika p</w:t>
            </w:r>
            <w:r w:rsidR="00F5438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</w:t>
            </w:r>
            <w:r w:rsidR="003B70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kazalo je  &gt; 15% smanjenje u visini</w:t>
            </w:r>
            <w:r w:rsidR="00234B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uzrast 5 godina nakon završetka terapije</w:t>
            </w:r>
            <w:r w:rsidR="00B528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(vid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eti </w:t>
            </w:r>
            <w:r w:rsidR="001A7E8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poglavlje</w:t>
            </w:r>
            <w:r w:rsidR="0024514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4.8 i 5.1).</w:t>
            </w:r>
          </w:p>
          <w:p w:rsidR="005337DE" w:rsidRPr="00C70B07" w:rsidRDefault="005337DE" w:rsidP="00A13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Dostupni podaci o dužem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ečenju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kombinovanom terapijom standardni interferon/ribavirin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tako</w:t>
            </w:r>
            <w:r w:rsidR="009E73C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đ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 ukazuju na značajno smanjenje rasta (&gt; 15% smanjenje u visini) kod 21%</w:t>
            </w:r>
            <w:r w:rsidR="004C0D6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(n=20)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uprkos činjenici da</w:t>
            </w:r>
            <w:r w:rsidR="00A132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ni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su na terapiji više od 5 godina.</w:t>
            </w:r>
            <w:r w:rsidR="008E6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četrnaestoro od ove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8E6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je bila poznata maksimalna visina u odraslom dobu i pokazano je da se kod dvanaestoro nastavio sa ispoljavanjem deficit</w:t>
            </w:r>
            <w:r w:rsidR="00C90A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8E6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rasta ˃ 15 procenata, 10 do 12 godina nakon završetka terapije.</w:t>
            </w:r>
          </w:p>
          <w:p w:rsidR="005337DE" w:rsidRPr="00C70B07" w:rsidRDefault="005337DE" w:rsidP="009F48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337DE" w:rsidRPr="00C70B07" w:rsidRDefault="005337DE" w:rsidP="00A1322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Pojedinačni slučajevi proc</w:t>
            </w:r>
            <w:r w:rsidR="004A47AE"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ene korist/ rizik kod d</w:t>
            </w:r>
            <w:r w:rsidR="004A47AE"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ece:</w:t>
            </w:r>
          </w:p>
          <w:p w:rsidR="005337DE" w:rsidRPr="00C70B07" w:rsidRDefault="005337DE" w:rsidP="009F48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Očekivanu korist l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bi trebalo pažljivo proc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eniti u odnosu na bezb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ednosne rizike zapažene kod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ece i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adolescenata tokom kliničkih istraživanja (vid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eti </w:t>
            </w:r>
            <w:r w:rsidR="001A7E8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poglavlj</w:t>
            </w:r>
            <w:r w:rsidR="00C90A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4.8 i 5.1)</w:t>
            </w:r>
            <w:r w:rsidR="00C90AB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5337DE" w:rsidRPr="00C70B07" w:rsidRDefault="005337DE" w:rsidP="009F48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- Veoma je važno uzeti u obzir da kombinovana terapija indukuje inhibiciju rasta</w:t>
            </w:r>
            <w:r w:rsidR="00D5196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koja je kod nekih pacijenata dovela do smanjene visine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5337DE" w:rsidRPr="00C70B07" w:rsidRDefault="005337DE" w:rsidP="000C7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- Rizik bi trebalo proc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eniti u odnosu na karakteristike bolesti kod d</w:t>
            </w:r>
            <w:r w:rsidR="004A47A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eteta, kao što je dokaz o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napredovanju bolesti (značajna fibroza), komorbiditeti koji mogu negativno uticati na tok bolesti (kao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što je istovremena HIV infekcija), kao i prognostički faktori odgovora (HCV genotip i opterećenje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virusom).</w:t>
            </w:r>
          </w:p>
          <w:p w:rsidR="005337DE" w:rsidRPr="00C70B07" w:rsidRDefault="005337DE" w:rsidP="000C7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Kada god je moguće d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ete bi trebalo l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ečiti nakon rasta u pubertetu, u cilju smanjivanja rizika od inhibicije</w:t>
            </w:r>
            <w:r w:rsidR="00257E1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rasta. </w:t>
            </w:r>
            <w:r w:rsidR="00591BA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Iako su podaci ograničeni</w:t>
            </w:r>
            <w:r w:rsidR="006E609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ni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="006E609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su  zab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ilj</w:t>
            </w:r>
            <w:r w:rsidR="006E609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eženi dokazi </w:t>
            </w:r>
            <w:r w:rsidR="00591BA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 </w:t>
            </w:r>
            <w:r w:rsidR="009F14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dugoročnom dejstvu na polno sazr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9F14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evanje</w:t>
            </w:r>
            <w:r w:rsidR="0011615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petogodišnjoj </w:t>
            </w:r>
            <w:r w:rsidR="00D67AF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obzervacionoj</w:t>
            </w:r>
            <w:r w:rsidR="0011615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studiji praćenja</w:t>
            </w:r>
            <w:r w:rsidR="00D2066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5337DE" w:rsidRPr="00C70B07" w:rsidRDefault="005337DE" w:rsidP="000C7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6139A" w:rsidRPr="00C70B07" w:rsidRDefault="0046139A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osnovu rezultata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ispitivanja,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ribavirina kao monoterapije nije efikasna i Rebetol se ne sm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upotrebljavati sâm. Bezb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 i efikasnost kombinovane terapije utvr</w:t>
            </w:r>
            <w:r w:rsidR="00334F9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je isklju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ivo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 zajedno sa peginterferonom alfa-2b ili interferon alfa-2b rastvorom za injekcije.</w:t>
            </w: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257E1C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svih pacijenata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u odre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ispitivanja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hepatitisa C ura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je biopsija jetre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u ispitivanje, premda se u odre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enim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ajevima (npr. kod pacijenata sa infekcijom genotipovima 2 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3),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može sprovesti i bez prethodne patohistološke potvrde bolesti. O neophodnosti biopsije jetre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treba odlu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 na osnovu važe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terapijskih sm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ernica.</w:t>
            </w:r>
          </w:p>
          <w:p w:rsidR="00257E1C" w:rsidRDefault="00257E1C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Hemoliza: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Sniženje koncentracije hemoglobina na &lt;10 g/dl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kod do 14% odraslih pacijenata i 7%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u kombinaciji sa peginterferonom alfa-2b ili interferonom alfa-2b u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kim ispitivanjima. Iako ribavirin nema direktno dejstvo na kardiovaskularni sistem, anemija povezana sa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Rebetolo može dovesti do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funkcije ili pogoršanja simptoma koronarne bolesti, ili oboje.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Zato se Rebetol mora upotrebljavati uz oprez kod pacijenata sa prethodno utvr</w:t>
            </w:r>
            <w:r w:rsidR="00334F9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anim oboljenjem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 status se mora proc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eniti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kontrolisati tokom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enja; ako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nastupi ikakvo pogoršanje,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se mora prekinuti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Kardiovaskularni sistem: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Odrasli pacijenti sa kongestivnom boleš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srca u anamnezi, infarktom miokarda i/ili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prethodnom ili postoje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om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anom aritmijom moraju biti pod strogim nadzorom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ekara. Kod pacijenata sa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257E1C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postoje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anim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ajima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EKG (elektrokardiogram) pregled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i tokom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aritmije (primarno supraventrikularne) obi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dobro reaguju na standardnu terapiju, ali mogu zaht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evati prekid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Nema podataka za 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ecu ili adolescente sa sr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anom boleš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u anamnezi.</w:t>
            </w: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Akutna preos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etljivost: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Ako se razvije reakcija akutne preos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etljivosti (npr. urtikarija, angioedem,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bronhokonstrikcija ili anafilaksa), davanje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se odmah mora prekinuti i zapo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odgovaraju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terapija.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nije potrebno prekidati u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aju prolaznih osipa.</w:t>
            </w: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53545" w:rsidRPr="00C70B07" w:rsidRDefault="00053545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Prom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ene na nivou oka: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Ribavirin se koristi u kombinovanoj terapiji sa alfa interferonima. U kombinovanom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 alfa interferonima zab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eženi su 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etki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ajevi retinopatije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retinalna krvarenja, retinalni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eksudat, edem papile, opti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neuropatija, okluzija retinalne arterije ili vene koje mogu dovesti do gubitka vida.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Svi pacijenti bi trebalo da pro</w:t>
            </w:r>
            <w:r w:rsidR="00334F9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osnovni oftalmološki pregled. Svakom pacijentu koji se žali na smanjenje ili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vida mora se odmah uraditi detaljan oftalmološki pregled. Pacijentima koji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ć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imaju oftalmološke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 (npr. retinopatije povezane sa dijabetesom ili hipertenzijom)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 se periodi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 pregledi vida</w:t>
            </w:r>
            <w:r w:rsidR="00257E1C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 vr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 trajanja kombinovanog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sa alfa interferonima. Kod pacijenata kod kojih se razviju novi ili do</w:t>
            </w:r>
            <w:r w:rsidR="00366356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6635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do pogoršanja prethodnih oftalmoloških poremećaja treba prekinuti kombinovano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6635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 sa alfa interferonima.</w:t>
            </w:r>
          </w:p>
          <w:p w:rsidR="00366356" w:rsidRPr="00C70B07" w:rsidRDefault="00366356" w:rsidP="000C77D2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E97D74" w:rsidRPr="00C70B07" w:rsidRDefault="00366356" w:rsidP="000C77D2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Funkcija jetre: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Svaki pacijent kod kojeg se razvije značajni poremećaj funkcije jetre tokom l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ečenja, mora biti</w:t>
            </w:r>
            <w:r w:rsidR="005B1AA9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pod strogim nadzorom. Potrebni je prekinuti l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ečenje kod pacijenata koji razviju produženo vr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eme koagulacije</w:t>
            </w:r>
            <w:r w:rsidR="005B1AA9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krvi, što može ukazivati na insuficijenciju jetre.</w:t>
            </w:r>
          </w:p>
          <w:p w:rsidR="00867CAE" w:rsidRPr="00C70B07" w:rsidRDefault="00867CAE" w:rsidP="000C77D2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867CAE" w:rsidRPr="00C70B07" w:rsidRDefault="00867CAE" w:rsidP="000C77D2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Potencijal za pogorša</w:t>
            </w:r>
            <w:r w:rsidR="00DE3E8D"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va</w:t>
            </w: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nje imunosupresije: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U literaturi </w:t>
            </w:r>
            <w:r w:rsidR="00090CA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je 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zab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ilj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ežen</w:t>
            </w:r>
            <w:r w:rsidR="00090CA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a pojava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pancitopenij</w:t>
            </w:r>
            <w:r w:rsidR="00090CA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i supresij</w:t>
            </w:r>
            <w:r w:rsidR="00090CA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</w:t>
            </w:r>
            <w:r w:rsidR="007648A3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kosne srži </w:t>
            </w:r>
            <w:r w:rsidR="00090CA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u toku </w:t>
            </w:r>
            <w:r w:rsidR="001A76D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3 do 7 ned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1A76D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elja nakon istovremene prim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1A76D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ene peginterferona i ribavirina sa azatio</w:t>
            </w:r>
            <w:r w:rsidR="002C11D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p</w:t>
            </w:r>
            <w:r w:rsidR="001A76D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rinom.</w:t>
            </w:r>
            <w:r w:rsidR="00E54BEC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Ova mijelotoksičnost je bila reverzibilna </w:t>
            </w:r>
            <w:r w:rsidR="00E13DC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unutar </w:t>
            </w:r>
            <w:r w:rsidR="00E54BEC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4 do 6 ned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E54BEC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elja nakon prekida antivir</w:t>
            </w:r>
            <w:r w:rsidR="00896D9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usne</w:t>
            </w:r>
            <w:r w:rsidR="00E54BEC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terapije</w:t>
            </w:r>
            <w:r w:rsidR="00896D9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HCV</w:t>
            </w:r>
            <w:r w:rsidR="00050E55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i </w:t>
            </w:r>
            <w:r w:rsidR="009133E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istovremene prim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9133E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ene 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azatioprina i nije </w:t>
            </w:r>
            <w:r w:rsidR="00896D9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recidivirala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nakon </w:t>
            </w:r>
            <w:r w:rsidR="00896D9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ponovnog 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uvođenja bilo koje </w:t>
            </w:r>
            <w:r w:rsidR="009133E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od ove dv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="009133E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e 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terapije</w:t>
            </w:r>
            <w:r w:rsidR="009133E4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pojedinačno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(vid</w:t>
            </w:r>
            <w:r w:rsidR="00D4602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eti </w:t>
            </w:r>
            <w:r w:rsidR="001A7E8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poglavlje</w:t>
            </w:r>
            <w:r w:rsidR="00CB573B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4.5).</w:t>
            </w:r>
          </w:p>
          <w:p w:rsidR="007E3DBF" w:rsidRPr="00C70B07" w:rsidRDefault="007E3DBF" w:rsidP="000C77D2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enje funkcije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ezde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kod 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ece i adolescenata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oko 12% do 21% 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i interferonom alfa-2b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(pegilovanim ili nepegilovanim) došlo je do porasta vr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tireoidnog stimuliraju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 hormona TSH. Drugih</w:t>
            </w:r>
            <w:r w:rsidR="008729E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p</w:t>
            </w:r>
            <w:r w:rsidR="003748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ribližno</w:t>
            </w:r>
            <w:r w:rsidR="008729E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="003748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4% 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imalo je prolazno sniženje vr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TSH ispod donje granice normalne vr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ednosti.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 alfa-2b, mora se odrediti koncentracija TSH, a svaki otkriveni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u radu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 mora se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 standardnom terapijom.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 interferonom alfa-2b </w:t>
            </w:r>
            <w:r w:rsidR="003748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(pegilovanim ili nepegilovanim)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može se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ako se koncentracija TSH može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ekovima održavati u rasponu normalnih vr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ednosti. Opisan je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rada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 tokom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i interferonom alfa-2b kao i tokom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</w:t>
            </w:r>
            <w:r w:rsidR="00334F9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i peginterferonom alfa-2b. Ako se utvrdi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funkcije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ezde, potrebno je proc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eniti</w:t>
            </w:r>
            <w:r w:rsidR="00464C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funkciju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 pacijenta i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eniti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ereno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enje. Kod 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adolescenta potrebno je</w:t>
            </w:r>
            <w:r w:rsidR="00464C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kontrolisati funkciju štit</w:t>
            </w:r>
            <w:r w:rsidR="00AB2B9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 svaka 3 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eseca (npr. TSH).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HIV/HCV koinfekcija: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Mitohondrijska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 i lakti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acidoza: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Potreban je oprez kod HIV pozitivnih pacijenata koinficiranih virusom hepatitisa C koji primaju nukleozidne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inhibitore reverzne transkriptaze (NRTI) (posebno ddI i d4T) zajedno sa interferonom alfa-2b i ribavirinom. Kod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HIV pozitivne populacije koja prima NRTI,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ekari moraju strogo kontrolisati pokazatelje mitohondijske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i lakti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acidoze nakon uvo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terapije ribavirinom.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Posebno,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se ne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istovremeno davanje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i didanozina zbog rizika od mitohondrijske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4.5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treba izb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egavati istovremenu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i stavudina kako bi se smanjio rizik od preklapanja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mitohondrijske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Dekompenzacija jetre kod pacijenata sa koinfekcijom HCV-om i HIV-om i uznapredovalom cirozom: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Koinficirani pacijenti sa uznapredovanom cirozom jetre koji primaju visoko aktivnu antiretrovirusnu terapiju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(HAART, Highly Active Anti-retoviral Therapy) mogu biti izloženi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anom riziku od insuficijencije jetre </w:t>
            </w:r>
            <w:r w:rsidR="0037482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smrti. Uvo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alfa interferona kao monoterapije ili u kombinaciji sa ribavirinom može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 rizik u ovoj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podgrupi pacijenata. Ostali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inioci na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etku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koinficiranih pacijenata koji mogu biti povezani sa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anim rizikom od insuficijencije jetre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didanozinom i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anu koncentraciju bilirubina u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serumu.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Koinficirane pacijente koji primaju i antiretrovirusnu terapiju i terapiju za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hepatitisa treba pažljivo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nadgledati, i tokom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im treba odre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ivati Child-Pugh skor. Kod pacijenata kod kojih se razvija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dekompenzacija jetre treba odmah prekinuti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hepatitisa i ponovo razmotriti antiretrovirusnu terapiju.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65DC2" w:rsidRDefault="00065DC2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Hematološki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 kod pacijenata sa koinfekcijom HCV-om i HIV-om: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odnosu na pacijente inficirane samo HCV-om, pacijenti sa koinfekcijom HCV-om i HIV-om koji primaju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 alfa-2b/ribavirin i visoko aktivnu antiretrovirusnu terapiju (HAART) mogu imati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 rizik od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razvoja hematoloških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aja (kao što su neutropenija, trombicitopenija i anemija). Premda se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ina tih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aja može korigovati smanjenjem doze, hematološke parametre u ovoj populaciji pacijenata treba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pažljivo nadgledati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4.2,</w:t>
            </w:r>
            <w:r w:rsidR="001047A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dol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047A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navedeno „</w:t>
            </w:r>
            <w:r w:rsidR="000C0A4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Laboratorijski testovi“</w:t>
            </w:r>
            <w:r w:rsidR="00F667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poglavlje 4.8).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ribavirinom i zidovudinom imaju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 rizik za razvoj anemije pa se zato ne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istovremena prim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ribavirina sa zidovudinom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4.5).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sa niskim brojem CD4</w:t>
            </w:r>
            <w:r w:rsidR="00F6672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koinficiranih HCV-om i HIV-om, dostupni su ograni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podaci o efikasnosti i bezb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(N=25) za ispitanike sa brojem CD4 manjim od 200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 /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l. Zato je potreban oprez u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pacijenata sa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niskim brojem CD4.</w:t>
            </w:r>
          </w:p>
          <w:p w:rsidR="0090604C" w:rsidRPr="00C70B07" w:rsidRDefault="0090604C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E3DBF" w:rsidRPr="00C70B07" w:rsidRDefault="007E3DBF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Potrebno je pro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itati Sažetke karakteristika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za antiretrovirusne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ekove koji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se uzimati istovremeno sa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l</w:t>
            </w:r>
            <w:r w:rsidR="00D4602F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ekovima za l</w:t>
            </w:r>
            <w:r w:rsidR="00D4602F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enje HCV kako bi bili upoznati koja su toksi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na dejstva specifi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na za svaki pojedini l</w:t>
            </w:r>
            <w:r w:rsidR="00D4602F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 i kako ih</w:t>
            </w:r>
            <w:r w:rsidR="00A8029A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tretirati i kolika je mogu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nost njihovog preklapanja sa toksi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nim dejstvima l</w:t>
            </w:r>
            <w:r w:rsidR="00D4602F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eka Rebetol i peginterferona alfa-2b.</w:t>
            </w:r>
          </w:p>
          <w:p w:rsidR="00E97D74" w:rsidRPr="00C70B07" w:rsidRDefault="00E97D74" w:rsidP="000C77D2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Bolesti zuba i parodoncijuma: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Bolesti zuba i parodoncijuma koje mogu dovesti do gubitka zuba zab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ežene su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koji su primali kombinovanu terapiju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sa peginterferonom alfa-2b ili interferonom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alfa-2b. Uz to, i suvo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usta može imati štetno dejstvo na zube i sluznice usta tokom dugotrajne kombinovane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terapije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sa peginterferonom alfa-2b ili interferonom alfa-2b. Pacijenti bi trebalo da detaljno peru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zube dvaput dnevno i redovno da obavljaju preglede zuba. Neki pacijenti mogu i povra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ati. U tom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pacijentima treba sav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etovati da nakon povra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anja detaljno isperu usta.</w:t>
            </w: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Laboratorijski nalazi</w:t>
            </w:r>
            <w:r w:rsidR="00C464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="00C464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svih pacijenata se, pr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D4602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moraju sprovesti standardna hematološka 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biohemijska ispitivanja (kompletna krvna slika [KKS], diferencijalna krvna slika, trombociti, elektroliti,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serumski kreatinin, testovi funkcije jetre i mokra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kis</w:t>
            </w:r>
            <w:r w:rsidR="0027490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elina). Prihvatljive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etne vr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koje se mogu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koristiti kao sm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ernice pr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su:</w:t>
            </w:r>
          </w:p>
          <w:p w:rsidR="009B2FFB" w:rsidRPr="00C70B07" w:rsidRDefault="009B2FFB" w:rsidP="009B391A">
            <w:pPr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Hemoglobin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                  </w:t>
            </w:r>
            <w:r w:rsidR="009B391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Odrasli:  </w:t>
            </w:r>
            <w:r w:rsidR="005C69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12 g/dl (žene); </w:t>
            </w:r>
            <w:r w:rsidR="005C69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13 g/dl (muškarci)</w:t>
            </w:r>
          </w:p>
          <w:p w:rsidR="009B2FFB" w:rsidRPr="00C70B07" w:rsidRDefault="005C6943" w:rsidP="009B391A">
            <w:pPr>
              <w:tabs>
                <w:tab w:val="clear" w:pos="284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   </w:t>
            </w:r>
            <w:r w:rsidR="009B391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                              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B391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eca i adolescenti: 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11 g/dl (d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evoj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ice);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12 g/dl (d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aci)</w:t>
            </w:r>
          </w:p>
          <w:p w:rsidR="009B2FFB" w:rsidRPr="00C70B07" w:rsidRDefault="009B2FFB" w:rsidP="000C77D2">
            <w:pPr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Trombociti 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                  </w:t>
            </w:r>
            <w:r w:rsidR="006F29A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</w:t>
            </w:r>
            <w:r w:rsidR="005C69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100.000/mm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3</w:t>
            </w:r>
          </w:p>
          <w:p w:rsidR="009B2FFB" w:rsidRPr="00C70B07" w:rsidRDefault="009B2FFB" w:rsidP="000C77D2">
            <w:pPr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Broj neutrofila 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         </w:t>
            </w:r>
            <w:r w:rsidR="006F29A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</w:t>
            </w:r>
            <w:r w:rsidR="005C69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1.500/mm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3</w:t>
            </w:r>
          </w:p>
          <w:p w:rsidR="00A8029A" w:rsidRPr="00C70B07" w:rsidRDefault="00A8029A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Laboratorijske analize treba raditi u 2. i 4. ned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l</w:t>
            </w:r>
            <w:r w:rsid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a kasnije povremeno, prema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 potrebi. HCV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RNK</w:t>
            </w:r>
            <w:r w:rsidR="005C69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 trebalo odre</w:t>
            </w:r>
            <w:r w:rsidR="005C69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ivati periodi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tokom trajanja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(vid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4.2).</w:t>
            </w:r>
          </w:p>
          <w:p w:rsidR="005C6943" w:rsidRPr="00C70B07" w:rsidRDefault="005C6943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Žene generativne dobi: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pacijentkinja se moraju sprovoditi rutinski testovi na trudno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jedanput 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za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 tokom 4 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eseca nakon prestanka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enja. Žene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iji partneri uzimaju Rebetol moraju sprovoditi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rutinski test na trudno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jedanput 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za vr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partnera i tokom 7 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nakon prestanka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njegovog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4.6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9B2FFB" w:rsidRPr="00C70B07" w:rsidRDefault="009B2FFB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uzimanja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Rebetol, zbog hemolize, može do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do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anja koncentracije mokra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27490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eline, zato bi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pacijente sa ovom predispozicijom trebalo pažljivo nadgledati zbog mogu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 razvoja gihta.</w:t>
            </w:r>
          </w:p>
          <w:p w:rsidR="005C6943" w:rsidRPr="00C70B07" w:rsidRDefault="005C6943" w:rsidP="000C77D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97D74" w:rsidRPr="00C70B07" w:rsidRDefault="009B2FFB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ena kod pacijenata sa 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etkim nasl</w:t>
            </w:r>
            <w:r w:rsidR="0027490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ednim bolestima: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Jedna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kapsula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sadrži 40 mg laktoze.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sa 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etkim nasl</w:t>
            </w:r>
            <w:r w:rsidR="0027490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ednim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ajima netolerancije galaktoze, nedostatka 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Lapp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laktaze ili malapsorpcije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glukoze-galaktoze ne bi trebalo da uzimaju ovaj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ek.</w:t>
            </w:r>
          </w:p>
          <w:p w:rsidR="00E97D74" w:rsidRDefault="00E97D74" w:rsidP="00F7653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065DC2" w:rsidRDefault="00065DC2" w:rsidP="00F7653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065DC2" w:rsidRPr="00C70B07" w:rsidRDefault="00065DC2" w:rsidP="00F7653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4.5. Interakcije sa drugim l</w:t>
            </w:r>
            <w:r w:rsidR="00317519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ekovima i druge vrste interakcija</w:t>
            </w:r>
          </w:p>
        </w:tc>
      </w:tr>
      <w:tr w:rsidR="00834DBB" w:rsidRPr="00C70B07" w:rsidTr="00ED37A9">
        <w:trPr>
          <w:trHeight w:val="8993"/>
        </w:trPr>
        <w:tc>
          <w:tcPr>
            <w:tcW w:w="10188" w:type="dxa"/>
            <w:gridSpan w:val="4"/>
            <w:vAlign w:val="center"/>
          </w:tcPr>
          <w:p w:rsidR="001E39F3" w:rsidRPr="00C70B07" w:rsidRDefault="001E39F3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Ispitivanja interakcija su sprovedena</w:t>
            </w:r>
            <w:r w:rsidR="005F0B7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samo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odraslih pacijenata.</w:t>
            </w:r>
          </w:p>
          <w:p w:rsidR="001E39F3" w:rsidRPr="00C70B07" w:rsidRDefault="001E39F3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Rezultati </w:t>
            </w:r>
            <w:r w:rsidRPr="00065DC2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in vitro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ispitivanja na preparatima mikrozoma jetre ljudi i pacova pokazali su da enzimi citohroma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P450 ne posreduju u metabolizmu ribavirina. Ribavirin ne inhibira enzime citohroma P450. Ispitivanja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toksi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ni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pokazala da ribavirin indukuje enzime jetre. Zato je potencijal razvoja interakcija vezanih za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citohrom P450 minimalan.</w:t>
            </w:r>
          </w:p>
          <w:p w:rsidR="002917F2" w:rsidRPr="00C70B07" w:rsidRDefault="002917F2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2917F2" w:rsidRPr="00C70B07" w:rsidRDefault="00A6056F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Ribavirin, svojim inhibitornim dejstvom na inozin monofosfat dehidrogenazu, može da remeti metabolizam azatioprina, i da dovede do akumulacije 6-metiltioinozin monofosfata (6-MTIMP), koji se povezuje sa mijelotoksičnošću kod pacijenata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ečenih azatioprinom. 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Treba izb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egavati</w:t>
            </w:r>
            <w:r w:rsidR="00D64D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A629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stovremen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</w:t>
            </w:r>
            <w:r w:rsidR="00A629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A629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</w:t>
            </w:r>
            <w:r w:rsidR="00D64D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</w:t>
            </w:r>
            <w:r w:rsidR="00A629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pegilovanih alfa interferona i ribavirina </w:t>
            </w:r>
            <w:r w:rsidR="00A2664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azatioprinom. U pojedinačnim slučajevima, gd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2912D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korist od </w:t>
            </w:r>
            <w:r w:rsidR="008E736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FF06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stovremene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FF06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ribavirina s azatioprinom opravdava moguć</w:t>
            </w:r>
            <w:r w:rsidR="008E736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rizik, preporu</w:t>
            </w:r>
            <w:r w:rsidR="00FF06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8E736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uje se 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pažljivo praćenje</w:t>
            </w:r>
            <w:r w:rsidR="00FF065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hematoloških parametara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prilikom istovremene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azatioprina kako bi se identifikovali znaci mijelotoksičnosti, </w:t>
            </w:r>
            <w:r w:rsidR="00BA619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kada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treba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prekinuti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A267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ečenje</w:t>
            </w:r>
            <w:r w:rsidR="005C7F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sa ovim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5C7F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ekovima</w:t>
            </w:r>
            <w:r w:rsidR="00BA619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BA619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="00BA619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4.4)</w:t>
            </w:r>
            <w:r w:rsidR="005C7F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sprovedena ispitivanja interakcija Rebetola sa drugim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ekovima osim sa peginterferonom alfa-2b,</w:t>
            </w:r>
            <w:r w:rsidR="000A641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 alfa-2b i antacidima.</w:t>
            </w: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Interferon alfa-2b: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Ni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farmakokineti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interakcije izme</w:t>
            </w:r>
            <w:r w:rsidR="0043166B"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</w:t>
            </w:r>
            <w:r w:rsidR="007D15D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D15D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 i peginterferona alfa-2b ili</w:t>
            </w:r>
            <w:r w:rsidR="000A641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interferona alfa-2b u farmakokineti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 ispitivanju sa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 višestrukih doza.</w:t>
            </w: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Antacidi: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Bioraspoloživost ribavirina od 600 mg bila je smanjena prilikom istovremene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antacida koji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sadrže magnezijum, aluminijum i simetikon; površina ispod krive koncentracija-vr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 (PIKtf) smanjilo se za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14%. Mogu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je da je smanjena bioraspoloživost u ovom ispitivanju bila posl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edica odloženog intestinalnog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prolaska ribavirina ili prom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enjenog pH. Ova se interakcija ne smatra klini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zna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ajnom.</w:t>
            </w:r>
          </w:p>
          <w:p w:rsidR="00C43AEC" w:rsidRPr="00C70B07" w:rsidRDefault="00C43AEC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Analozi nukleozida</w:t>
            </w:r>
            <w:r w:rsidR="00D5530E"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analoga nukleozida, samih ili u kombinaciji sa drugim nukleozidima, izazvala je lakti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ku acidozu.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Farmakološki, ribavirin dovodi do porasta fosforilisanih metabolita purinskih nukleozida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 vitro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Takvo dejstvo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može pove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 rizik od nastanka lakti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acidoze prouzrokovane analozima purinskih nukleozida (npr.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didanozinom ili abakavirom). Ne preporu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istovremena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Rebetola i didanozina. Prijavljeni su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ajevi mitohondrijske toksi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nosti, posebno lakti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acidoze i pankreatitisa, od kojih su neki imali smrtni ishod</w:t>
            </w:r>
            <w:r w:rsidR="00D5530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4.4).</w:t>
            </w: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Pogoršanje anemije uzrokovano ribavirinom zab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eženo je u režimu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HIV infekcije u koji je bio uklju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zidovudin; me</w:t>
            </w:r>
            <w:r w:rsidR="00C43AEC"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ta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mehanizam još treba razjasniti. Ne preporu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se istovremena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ribavirina 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zidovudina zbog pove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anog rizika od razvoja anemije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 Ako je ve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ć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uspostavljena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kombinovana antiretrovirusna terapija, treba razmotriti zam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zidovudina drugim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ekom. To je posebno važno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koji su prethodno imali anemiju uzrokovanu zidovudinom.</w:t>
            </w:r>
          </w:p>
          <w:p w:rsidR="00C43AEC" w:rsidRPr="00C70B07" w:rsidRDefault="00C43AEC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95295" w:rsidRPr="00C70B07" w:rsidRDefault="00095295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Mogu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 nastanka interakcija postoji u razdoblju od najviše dva 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eseca (pet poluvremena eliminacije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ribavirina) nakon prestanka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Rebetolom, zbog dugog poluvremena eliminacije ribavirina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5.2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C43AEC" w:rsidRPr="00C70B07" w:rsidRDefault="00C43AEC" w:rsidP="0009529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43AEC" w:rsidRPr="00C70B07" w:rsidRDefault="00095295" w:rsidP="000A641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Nema dokaza o postojanju interakcija izme</w:t>
            </w:r>
            <w:r w:rsidR="00C43AEC"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ne-nukleozidnih inhibitora reverzne transkriptaze ili inhibitora</w:t>
            </w:r>
            <w:r w:rsidR="000A641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proteaze.</w:t>
            </w:r>
          </w:p>
          <w:p w:rsidR="0047121B" w:rsidRPr="00C70B07" w:rsidRDefault="0047121B" w:rsidP="000A641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97D74" w:rsidRDefault="0047121B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literaturi su zab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eženi protivrečni nalazi</w:t>
            </w:r>
            <w:r w:rsidR="009311C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 istovremenoj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311C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</w:t>
            </w:r>
            <w:r w:rsidR="000D17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aba</w:t>
            </w:r>
            <w:r w:rsidR="00956D7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</w:t>
            </w:r>
            <w:r w:rsidR="000D17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avira i ribavirina. Neki podaci ukazuju da </w:t>
            </w:r>
            <w:r w:rsidR="00BA03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pacijenti </w:t>
            </w:r>
            <w:r w:rsidR="009C34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ko-infici</w:t>
            </w:r>
            <w:r w:rsidR="000D17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rani HIV</w:t>
            </w:r>
            <w:r w:rsidR="000A365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-om</w:t>
            </w:r>
            <w:r w:rsidR="000D17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HCV</w:t>
            </w:r>
            <w:r w:rsidR="000A365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-om</w:t>
            </w:r>
            <w:r w:rsidR="00BA03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, koji primaju </w:t>
            </w:r>
            <w:r w:rsidR="004D5AF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kombinovanu antiret</w:t>
            </w:r>
            <w:r w:rsidR="00E676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rovirusnu terapiju </w:t>
            </w:r>
            <w:r w:rsidR="009C34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koja sadrži</w:t>
            </w:r>
            <w:r w:rsidR="00E676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aba</w:t>
            </w:r>
            <w:r w:rsidR="00956D7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</w:t>
            </w:r>
            <w:r w:rsidR="00E676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avir,</w:t>
            </w:r>
            <w:r w:rsidR="000D179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mogu imati povećan rizik od </w:t>
            </w:r>
            <w:r w:rsidR="00355FD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niže stope odgovora na terapiju pegilovanim interferonom i ribavirinom. Potreban je oprez prilikom istovremene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55FD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</w:t>
            </w:r>
            <w:r w:rsidR="00BA03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oba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BA03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eka.</w:t>
            </w:r>
            <w:r w:rsidR="00355FD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5B1AA9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B1AA9" w:rsidRPr="00065DC2" w:rsidRDefault="005B1AA9" w:rsidP="00065D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lastRenderedPageBreak/>
              <w:t>4.6. Primjena u periodu trudnoće i dojenja</w:t>
            </w:r>
          </w:p>
          <w:p w:rsidR="005B1AA9" w:rsidRPr="00065DC2" w:rsidRDefault="005B1AA9" w:rsidP="005B1AA9">
            <w:pPr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Žene u generativnom dobu/ kontracepcija kod muškaraca i žena</w:t>
            </w:r>
          </w:p>
          <w:p w:rsidR="005B1AA9" w:rsidRPr="00C70B07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Pacijentkinje: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Trudnice ne smiju da uzimaju Rebetol (vidjeti poglavlja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4.3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5.3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Potrebno je strogo paziti da se izbjegne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kod pacijentkinja (vidjeti poglavlje 5.3).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Rebetolom se ne smije zapo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 dok se ne isklju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negativnim nalazom testa na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neposredno prije po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Žene u generativnom dobu moraju koristiti pouzdanu kontracepciju za vrijeme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 i tokom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etiri mjeseca nakon završetka</w:t>
            </w:r>
          </w:p>
          <w:p w:rsidR="005B1AA9" w:rsidRPr="00C70B07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enja; svakog mjeseca tokom navedenog perioda se moraju rutinski raditi testovi na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u. Ako pacijentkinja zatrudni tokom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ili unutar 4 mjeseca po prestanku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mora biti obaviještena da</w:t>
            </w:r>
          </w:p>
          <w:p w:rsidR="005B1AA9" w:rsidRPr="00065DC2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 nosi zna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ajan teratogeni rizik za fetus.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5B1AA9" w:rsidRPr="00065DC2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B1AA9" w:rsidRPr="00C70B07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Pacijenti i njihove partnerke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: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Potrebno je strogo paziti da se izbjegne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 kod žena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iji partneri uzimaju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Rebetol (vidjeti poglavlja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4.3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5.3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). Ribavirin se nakuplja unutar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 i vrlo sporo se eliminiše iz organizma.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Nije poznato ho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li ribavirin sadržan u spermatozoidima iskazati potencijalno teratogena ili genotoksi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dejstva na ljudski embrion/fetus. Iako podaci prikupljeni prospektivnim pra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enjem oko 300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u kojima je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otac primao ribavirin nijesu pokazali pove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rizik od malformacija u pore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 opštom populacijom, ni bilo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kakvu specifi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vrstu malformacija, ili pacijenti muškog pola ili njihove partnerke generativne dobi moraju biti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upozoreni da koriste efikasnu kontracepciju tokom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lijekom Rebetol i tokom 7 mjeseci nakon završetka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enja. Muškarce 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ije su partnerke trudne potrebno je savjetovati da koriste kondome kako bi se prenos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 u tijelo partnerke smanjio na najmanju mogu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mjeru.</w:t>
            </w:r>
          </w:p>
          <w:p w:rsidR="005B1AA9" w:rsidRPr="00065DC2" w:rsidRDefault="005B1AA9" w:rsidP="005B1AA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B1AA9" w:rsidRPr="00065DC2" w:rsidRDefault="005B1AA9" w:rsidP="005B1AA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Trudnoća</w:t>
            </w:r>
          </w:p>
          <w:p w:rsidR="005B1AA9" w:rsidRPr="00C70B07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Primjena lijeka Rebetol kontraindikovana je tokom trudno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e.</w:t>
            </w:r>
          </w:p>
          <w:p w:rsidR="005B1AA9" w:rsidRPr="00065DC2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5B1AA9" w:rsidRPr="00065DC2" w:rsidRDefault="005B1AA9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Dojenje: </w:t>
            </w:r>
          </w:p>
          <w:p w:rsidR="00065DC2" w:rsidRDefault="005B1AA9" w:rsidP="00065D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Nije poznato da li se ribavirin izlu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u maj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ino mlijeko. Zbog mogu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razvoja neželjenih dejstava</w:t>
            </w:r>
            <w: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odoj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eta, dojenje se mora prekinuti prije po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lije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</w:t>
            </w:r>
          </w:p>
          <w:p w:rsidR="00065DC2" w:rsidRDefault="00065DC2" w:rsidP="00065D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65DC2" w:rsidRPr="00065DC2" w:rsidRDefault="00065DC2" w:rsidP="00065D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Plodnost</w:t>
            </w:r>
          </w:p>
          <w:p w:rsidR="00065DC2" w:rsidRPr="00065DC2" w:rsidRDefault="00065DC2" w:rsidP="00065D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Pretklinički podaci</w:t>
            </w:r>
          </w:p>
          <w:p w:rsidR="00065DC2" w:rsidRPr="00C70B07" w:rsidRDefault="00065DC2" w:rsidP="00065DC2">
            <w:pPr>
              <w:numPr>
                <w:ilvl w:val="0"/>
                <w:numId w:val="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Plodnost: u ispitivanjima na životinjama, ribavirin je imao reverzibilne u</w:t>
            </w: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inke na spermatogenezu (vidjeti poglavlje 5.3).</w:t>
            </w:r>
          </w:p>
          <w:p w:rsidR="00065DC2" w:rsidRDefault="00065DC2" w:rsidP="00065DC2">
            <w:pPr>
              <w:numPr>
                <w:ilvl w:val="0"/>
                <w:numId w:val="8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709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Teratogenost: ribavirin je pokazao značajan teratogeni i/ili embriocidni potencijal kod svih životinjskih vrsta na kojima su sprovedena odgovarajuća ispitivanja, pri dozama koje su iznosile samo 1/20 doze koja se preporučuje kod ljudi (vidjeti poglavlje 5.3).</w:t>
            </w:r>
          </w:p>
          <w:p w:rsidR="005B1AA9" w:rsidRPr="00065DC2" w:rsidRDefault="00065DC2" w:rsidP="00065DC2">
            <w:pPr>
              <w:numPr>
                <w:ilvl w:val="0"/>
                <w:numId w:val="8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709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065DC2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Genotoksičnost: ribavirin indukuje genotoksičnost (vidjeti poglavlje 5.3).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065DC2" w:rsidRDefault="00065DC2" w:rsidP="005B1AA9">
            <w:pPr>
              <w:jc w:val="left"/>
              <w:rPr>
                <w:rFonts w:ascii="Times New Roman" w:hAnsi="Times New Roman"/>
                <w:b/>
                <w:bCs/>
                <w:spacing w:val="-8"/>
                <w:sz w:val="22"/>
                <w:szCs w:val="22"/>
                <w:lang w:val="sr-Latn-ME"/>
              </w:rPr>
            </w:pPr>
          </w:p>
          <w:p w:rsidR="005B1AA9" w:rsidRDefault="00834DBB" w:rsidP="005B1AA9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pacing w:val="-8"/>
                <w:sz w:val="22"/>
                <w:szCs w:val="22"/>
                <w:lang w:val="sr-Latn-ME"/>
              </w:rPr>
              <w:t>4.7. Uticaj na psihofizičke sposobnosti prilikom upravljanja motornim vozilom i rukovanja mašinama</w:t>
            </w:r>
            <w:r w:rsidR="005B1AA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065DC2" w:rsidRDefault="00065DC2" w:rsidP="005B1AA9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35C07" w:rsidRDefault="005B1AA9" w:rsidP="005B1AA9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Uticaj lijeka Rebetol na sposobnost upravljanja vozilima ili rukovanja mašinama je zanemarljiv ili ne postoji.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Međutim, peginterferon alfa-2b ili interferon alfa-2b koji se primjenjuju u kombinaciji sa ribavirinom mogu imati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uticaj. Zato se pacijenti u kojih se pojavi umor, somnolencija ili smetenost tokom liječenja moraju upozoriti da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izbjegavaju vožnju ili rukovanje mašinama.</w:t>
            </w:r>
          </w:p>
          <w:p w:rsidR="00065DC2" w:rsidRDefault="00065DC2" w:rsidP="005B1AA9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34DBB" w:rsidRPr="00F35C07" w:rsidRDefault="005B1AA9" w:rsidP="005B1AA9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4.8. Neželjena dejstva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5B1AA9" w:rsidRDefault="005B1AA9" w:rsidP="002A2AD2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</w:p>
          <w:p w:rsidR="002A2AD2" w:rsidRDefault="002A2AD2" w:rsidP="002A2AD2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  <w:t>Odrasli pacijenti:</w:t>
            </w:r>
          </w:p>
          <w:p w:rsidR="00EB6169" w:rsidRPr="00C70B07" w:rsidRDefault="00EB6169" w:rsidP="00EB6169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i/>
                <w:noProof w:val="0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i/>
                <w:noProof w:val="0"/>
                <w:sz w:val="22"/>
                <w:szCs w:val="22"/>
                <w:u w:val="single"/>
                <w:lang w:val="sr-Latn-ME"/>
              </w:rPr>
              <w:t>Trojna terapija</w:t>
            </w:r>
          </w:p>
          <w:p w:rsidR="00EB6169" w:rsidRPr="00C70B07" w:rsidRDefault="00EB6169" w:rsidP="00EB6169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Proučiti sažetak karakteristika l</w:t>
            </w:r>
            <w:r w:rsidR="0031751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eka za boceprevir.</w:t>
            </w:r>
          </w:p>
          <w:p w:rsidR="00EB6169" w:rsidRPr="00C70B07" w:rsidRDefault="00EB6169" w:rsidP="00EB6169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</w:pPr>
          </w:p>
          <w:p w:rsidR="002A2AD2" w:rsidRPr="00C70B07" w:rsidRDefault="00EB6169" w:rsidP="006B1A2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i/>
                <w:noProof w:val="0"/>
                <w:sz w:val="22"/>
                <w:szCs w:val="22"/>
                <w:u w:val="single"/>
                <w:lang w:val="sr-Latn-ME"/>
              </w:rPr>
              <w:t>Dvojna terapija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:rsidR="006B1A26" w:rsidRPr="00C70B07" w:rsidRDefault="006B1A26" w:rsidP="006B1A2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Bezb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 prim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Rebetol kapsula proc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enjena je na osnovu podataka prikupljenih u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etiri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ispitivanja</w:t>
            </w:r>
            <w:r w:rsidR="002459D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koji prethodno ni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bili l</w:t>
            </w:r>
            <w:r w:rsidR="003175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 interferonom 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(interferon-naïve pacijenti)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 u dva ispitivanja</w:t>
            </w:r>
            <w:r w:rsidR="002459D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avan je Rebetol u kombinaciji sa interferonom alfa-2b, i u dva Rebetol u kombinaciji sa peginterferonom</w:t>
            </w:r>
            <w:r w:rsidR="002459D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alfa-2b.</w:t>
            </w:r>
          </w:p>
          <w:p w:rsidR="006B1A26" w:rsidRPr="00C70B07" w:rsidRDefault="006B1A26" w:rsidP="006B1A2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1A26" w:rsidRPr="00C70B07" w:rsidRDefault="006B1A26" w:rsidP="006B1A2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koji se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interferonom alfa-2b i ribavirinom zbog relapsa nakon prethodnog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 ili kod onih koji se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kra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vr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eme, postoji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v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 da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imati bolji bezb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ednosni profil</w:t>
            </w:r>
            <w:r w:rsidR="002459D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nego što je dalje opisano.</w:t>
            </w:r>
          </w:p>
          <w:p w:rsidR="006B1A26" w:rsidRPr="00C70B07" w:rsidRDefault="006B1A26" w:rsidP="006B1A26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96A10" w:rsidRPr="00C70B07" w:rsidRDefault="006B1A26" w:rsidP="005B1A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 </w:t>
            </w:r>
            <w:r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Tabeli 4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prikazana su neželjena dejstva iz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sprovedenih kod odraslih pacijenata koji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prethodno ni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bili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interferonom, kod kojih je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trajalo 1 godinu, kao i tokom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nakon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stavljanja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u promet. Odre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broj neželjenih dejstava, uopšte pripisanih interferonskoj terapiji, ali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zab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eženih u sklopu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hepatitisa C (u kombinaciji sa ribavirinom), tako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je naveden kao referenca 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Tabeli 4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Tako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e, vezano za neželjena dejstva koja mogu biti povezana sa monoterapijom interferonom, potr</w:t>
            </w:r>
            <w:r w:rsidR="004C4B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bno</w:t>
            </w:r>
            <w:r w:rsidR="004C4B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 pogledati Sažetak karakteristika 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za pegilovani interferon alfa-2b i interferon alfa-2b. Neželjena dejstva su</w:t>
            </w:r>
            <w:r w:rsidR="004C4B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razvrstana prema sistemima organa i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estalosti pojavljivanja u sl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kategorije: veoma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esto (</w:t>
            </w:r>
            <w:r w:rsidR="00624915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1/10),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esto</w:t>
            </w:r>
            <w:r w:rsidR="004C4B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</w:t>
            </w:r>
            <w:r w:rsidR="00624915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1/100 do &lt; 1/10), povremeno (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1/1000 do &lt; 1/100), r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etko (</w:t>
            </w:r>
            <w:r w:rsidR="00624915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1/10.000 do &lt; 1/1000), veoma r</w:t>
            </w:r>
            <w:r w:rsidR="00C654E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etko (&lt; 1/10.000),</w:t>
            </w:r>
            <w:r w:rsidR="00874AB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nepoznata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estalost. Neželjena dejstva u pojedinoj grupi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estalosti prikazana su </w:t>
            </w:r>
            <w:r w:rsidR="002459D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 opadajućoj ozbiljnosti.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10"/>
              <w:gridCol w:w="5529"/>
            </w:tblGrid>
            <w:tr w:rsidR="000A6412" w:rsidRPr="00C70B07" w:rsidTr="00C22D59">
              <w:tc>
                <w:tcPr>
                  <w:tcW w:w="9039" w:type="dxa"/>
                  <w:gridSpan w:val="2"/>
                  <w:tcBorders>
                    <w:bottom w:val="nil"/>
                  </w:tcBorders>
                </w:tcPr>
                <w:p w:rsidR="000A6412" w:rsidRPr="00C70B07" w:rsidRDefault="000A6412" w:rsidP="00F35C07">
                  <w:pPr>
                    <w:spacing w:before="8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Tabela 4.   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Neželjena dejstva zab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ežena u kliničkim ispitivanjima ili tokom praćenja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  <w:t>nakon stavljanja l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 u promet, kod pacijenata l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ečenih </w:t>
                  </w:r>
                  <w:r w:rsidR="004C4B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4C4B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ekom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Rebetol i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  <w:t xml:space="preserve">pegilovanim interferonom alfa-2b ili </w:t>
                  </w:r>
                  <w:r w:rsidR="004C4B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4C4B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ekom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Rebetol i interferonom alfa-2b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C22D59">
                  <w:pPr>
                    <w:spacing w:before="8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Sistem organa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Neželjena dejstva</w:t>
                  </w:r>
                </w:p>
              </w:tc>
            </w:tr>
            <w:tr w:rsidR="00B06294" w:rsidRPr="00C70B07" w:rsidTr="00C22D59">
              <w:tc>
                <w:tcPr>
                  <w:tcW w:w="9039" w:type="dxa"/>
                  <w:gridSpan w:val="2"/>
                </w:tcPr>
                <w:p w:rsidR="00B06294" w:rsidRPr="00C70B07" w:rsidRDefault="00B06294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Infekcije i infestacije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0235AE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virusna infekcija, faringitis</w:t>
                  </w:r>
                </w:p>
              </w:tc>
            </w:tr>
            <w:tr w:rsidR="00B06294" w:rsidRPr="00C70B07" w:rsidTr="00C22D59">
              <w:tc>
                <w:tcPr>
                  <w:tcW w:w="3510" w:type="dxa"/>
                </w:tcPr>
                <w:p w:rsidR="00B06294" w:rsidRPr="00C70B07" w:rsidRDefault="00B06294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B06294" w:rsidRPr="00C70B07" w:rsidRDefault="00B06294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bakterijske infekcije (uključujući sepsu), gljivična infekcija, grip, infekcije respiratornog sistema, bronhitis, herpes simplex, sinusitis, otitis media, rinitis, infekcija urinarnog sistema </w:t>
                  </w:r>
                </w:p>
              </w:tc>
            </w:tr>
            <w:tr w:rsidR="00B06294" w:rsidRPr="00C70B07" w:rsidTr="00C22D59">
              <w:tc>
                <w:tcPr>
                  <w:tcW w:w="3510" w:type="dxa"/>
                  <w:vAlign w:val="center"/>
                </w:tcPr>
                <w:p w:rsidR="00B06294" w:rsidRPr="00C70B07" w:rsidRDefault="00B06294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B06294" w:rsidRPr="00C70B07" w:rsidRDefault="00B06294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infekcija na m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estu prim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ene injekcije, infekcije donjeg d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ela respiratornog trakta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EC6F5D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</w:t>
                  </w:r>
                  <w:r w:rsidR="00FC5DB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pneumonija*</w:t>
                  </w:r>
                </w:p>
              </w:tc>
            </w:tr>
            <w:tr w:rsidR="00B06294" w:rsidRPr="00C70B07" w:rsidTr="00C22D59">
              <w:tc>
                <w:tcPr>
                  <w:tcW w:w="3510" w:type="dxa"/>
                  <w:tcBorders>
                    <w:right w:val="nil"/>
                  </w:tcBorders>
                </w:tcPr>
                <w:p w:rsidR="00B06294" w:rsidRPr="00C70B07" w:rsidRDefault="00B06294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bCs/>
                      <w:sz w:val="22"/>
                      <w:szCs w:val="22"/>
                      <w:lang w:val="sr-Latn-ME"/>
                    </w:rPr>
                    <w:t xml:space="preserve">Maligne i benigne neoplazme (uključujući ciste i polipe) 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B06294" w:rsidRPr="00C70B07" w:rsidRDefault="00B06294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0A6412" w:rsidRPr="00C70B07" w:rsidTr="00F108BA">
              <w:tc>
                <w:tcPr>
                  <w:tcW w:w="3510" w:type="dxa"/>
                  <w:vAlign w:val="bottom"/>
                </w:tcPr>
                <w:p w:rsidR="000A6412" w:rsidRPr="00C70B07" w:rsidRDefault="00FA775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  <w:vAlign w:val="bottom"/>
                </w:tcPr>
                <w:p w:rsidR="000A6412" w:rsidRPr="00C70B07" w:rsidRDefault="000A6412" w:rsidP="00F108BA">
                  <w:pPr>
                    <w:spacing w:before="8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nespecifični tumori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  <w:tcBorders>
                    <w:righ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krvi i limfnog sistema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0AA2" w:rsidRPr="00C70B07" w:rsidTr="00C22D59">
              <w:tc>
                <w:tcPr>
                  <w:tcW w:w="3510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anemija, neutropenija 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</w:tcPr>
                <w:p w:rsidR="00310AA2" w:rsidRPr="00C70B07" w:rsidRDefault="004C4B10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  <w:r w:rsidR="00310AA2" w:rsidRPr="00C70B07">
                    <w:rPr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5529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hemolitička anemija, leukopenija, trombocitopenija, limfadenopatija, limfopenija 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aplastična anemija* 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nepoznata učestalost </w:t>
                  </w:r>
                </w:p>
              </w:tc>
              <w:tc>
                <w:tcPr>
                  <w:tcW w:w="5529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aplazija crvenih krvnih zrnaca, idiopatska trombocitopenična purpura, trombocitna trombocitopenična purpura </w:t>
                  </w:r>
                </w:p>
              </w:tc>
            </w:tr>
            <w:tr w:rsidR="00310AA2" w:rsidRPr="00C70B07" w:rsidTr="00C22D59">
              <w:tc>
                <w:tcPr>
                  <w:tcW w:w="9039" w:type="dxa"/>
                  <w:gridSpan w:val="2"/>
                </w:tcPr>
                <w:p w:rsidR="00310AA2" w:rsidRPr="00C70B07" w:rsidRDefault="00310AA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imunog sistema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preos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etljivost 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  <w:vAlign w:val="center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FC5DB3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center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sarkoidoza*, reumatoidni artritis (nov otkriveni ili </w:t>
                  </w:r>
                </w:p>
                <w:p w:rsidR="00310AA2" w:rsidRPr="00C70B07" w:rsidRDefault="00310AA2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pogoršanje) </w:t>
                  </w:r>
                </w:p>
              </w:tc>
            </w:tr>
            <w:tr w:rsidR="00310AA2" w:rsidRPr="00C70B07" w:rsidTr="00C22D59">
              <w:tc>
                <w:tcPr>
                  <w:tcW w:w="3510" w:type="dxa"/>
                  <w:vAlign w:val="center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nepoznata učestalost </w:t>
                  </w:r>
                </w:p>
              </w:tc>
              <w:tc>
                <w:tcPr>
                  <w:tcW w:w="5529" w:type="dxa"/>
                  <w:vAlign w:val="center"/>
                </w:tcPr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VKH sindrom, sistemski lupus </w:t>
                  </w:r>
                  <w:r w:rsidR="002459D2" w:rsidRPr="00C70B07">
                    <w:rPr>
                      <w:sz w:val="22"/>
                      <w:szCs w:val="22"/>
                      <w:lang w:val="sr-Latn-ME"/>
                    </w:rPr>
                    <w:t>eritematozus (Systemic Lupus Erythematosus)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, vaskulitis, </w:t>
                  </w:r>
                </w:p>
                <w:p w:rsidR="00310AA2" w:rsidRPr="00C70B07" w:rsidRDefault="00310AA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lastRenderedPageBreak/>
                    <w:t>akutne reakcije preos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etljivosti uključujući urtikariju, </w:t>
                  </w:r>
                </w:p>
                <w:p w:rsidR="00310AA2" w:rsidRPr="00C70B07" w:rsidRDefault="00310AA2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angioedem, bronhokonstrikcija, anafilaktične reakcije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  <w:tcBorders>
                    <w:righ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lastRenderedPageBreak/>
                    <w:t>Endokrini poremećaji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hipotireoidizam, hipertireoidizam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metabolizma i ishrane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anoreksija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hiperglikemija, hiperurikemija, hipokalcemija, </w:t>
                  </w:r>
                </w:p>
                <w:p w:rsidR="00ED46C9" w:rsidRPr="00C70B07" w:rsidRDefault="00ED46C9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dehidratacija, povećan apetit </w:t>
                  </w:r>
                </w:p>
              </w:tc>
            </w:tr>
            <w:tr w:rsidR="00ED46C9" w:rsidRPr="00C70B07" w:rsidTr="00C22D59">
              <w:trPr>
                <w:trHeight w:val="384"/>
              </w:trPr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Diabetes mellitus, hipertrigliceridemija*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  <w:tcBorders>
                    <w:righ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Psihijatrijski poremećaji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depresija, anksioznost, emocionalna nestabilnost, nesanica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suicidalne misli, psihoze, agresivno ponašanje, smetenost, </w:t>
                  </w:r>
                </w:p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agitiranost, b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es, prom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ene raspoloženja, neuobičajeno </w:t>
                  </w:r>
                </w:p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ponašanje, nervoza, poremećaj spavanja, oslabljen libido, </w:t>
                  </w:r>
                </w:p>
                <w:p w:rsidR="00ED46C9" w:rsidRPr="00C70B07" w:rsidRDefault="00ED46C9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apatija, abnormalni snovi, plač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pokušaj samoubistva, napad panike, halucinacije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2459D2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bipolarni 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 xml:space="preserve">poremećaj*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samoubistvo*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nepoznata učestalost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CD7D6D" w:rsidP="00CD7D6D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misli o 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>ubistv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u*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>, manija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*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>, prom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 xml:space="preserve">ena psihičkog stanja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nervnog sistema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glavobolja, vrtoglavica, suva usta, narušena koncentracija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C80333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amnezija</w:t>
                  </w:r>
                  <w:r w:rsidR="00ED46C9" w:rsidRPr="00C70B07">
                    <w:rPr>
                      <w:sz w:val="22"/>
                      <w:szCs w:val="22"/>
                      <w:lang w:val="sr-Latn-ME"/>
                    </w:rPr>
                    <w:t xml:space="preserve">, poremećaj pamćenja, sinkopa, migrena, ataksija, </w:t>
                  </w:r>
                </w:p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parestezija, disfonija, gubitak čula ukusa, hipoestezija, </w:t>
                  </w:r>
                </w:p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hiperestezija, hipertonija, somnolencija, poremećaj pažnje, </w:t>
                  </w:r>
                </w:p>
                <w:p w:rsidR="00ED46C9" w:rsidRPr="00C70B07" w:rsidRDefault="00ED46C9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tremor, disgezija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neuropatija, periferna neuropatija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napad (konvulzije)*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cerebrovaskularno krvarenje*, cerebrovaskularna ishemija*, </w:t>
                  </w:r>
                </w:p>
                <w:p w:rsidR="00ED46C9" w:rsidRPr="00C70B07" w:rsidRDefault="00ED46C9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encefalopatija*, polineuropatija*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nepoznata učestalost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facijalna paraliza, mononeuropatija </w:t>
                  </w:r>
                </w:p>
              </w:tc>
            </w:tr>
            <w:tr w:rsidR="00ED46C9" w:rsidRPr="00C70B07" w:rsidTr="00C22D59">
              <w:tc>
                <w:tcPr>
                  <w:tcW w:w="9039" w:type="dxa"/>
                  <w:gridSpan w:val="2"/>
                  <w:vAlign w:val="bottom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bCs/>
                      <w:sz w:val="22"/>
                      <w:szCs w:val="22"/>
                      <w:lang w:val="sr-Latn-ME"/>
                    </w:rPr>
                    <w:t xml:space="preserve">Poremećaji na nivou oka </w:t>
                  </w:r>
                </w:p>
              </w:tc>
            </w:tr>
            <w:tr w:rsidR="00ED46C9" w:rsidRPr="00C70B07" w:rsidTr="00C22D59">
              <w:tc>
                <w:tcPr>
                  <w:tcW w:w="3510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poremećaj vida, zamagljen vid, konjunktivitis, iritacija oka, </w:t>
                  </w:r>
                </w:p>
                <w:p w:rsidR="00ED46C9" w:rsidRPr="00C70B07" w:rsidRDefault="00ED46C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bol u oku, poremećaj čula vida, poremećaj suznih žl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ezda, </w:t>
                  </w:r>
                </w:p>
                <w:p w:rsidR="00ED46C9" w:rsidRPr="00C70B07" w:rsidRDefault="00ED46C9" w:rsidP="00C22D59">
                  <w:pPr>
                    <w:pStyle w:val="Default"/>
                    <w:widowControl w:val="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suvo oko </w:t>
                  </w:r>
                </w:p>
              </w:tc>
            </w:tr>
            <w:tr w:rsidR="00ED46C9" w:rsidRPr="00C70B07" w:rsidTr="00C80333">
              <w:tc>
                <w:tcPr>
                  <w:tcW w:w="3510" w:type="dxa"/>
                  <w:vAlign w:val="center"/>
                </w:tcPr>
                <w:p w:rsidR="00ED46C9" w:rsidRPr="00C70B07" w:rsidRDefault="00ED46C9" w:rsidP="00C80333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ED46C9" w:rsidRPr="00C70B07" w:rsidRDefault="00ED46C9" w:rsidP="00ED46C9">
                  <w:pPr>
                    <w:pStyle w:val="CM30"/>
                    <w:pageBreakBefore/>
                    <w:spacing w:line="253" w:lineRule="atLeas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000000"/>
                      <w:sz w:val="22"/>
                      <w:szCs w:val="22"/>
                      <w:lang w:val="sr-Latn-ME"/>
                    </w:rPr>
                    <w:t>retinalno krvarenje*, retinopatija (uključujući makularni edem)*, okluzija retinalne arterije*, okluzija retinalne vene*, optički neuritis*, edem papile*, gubitak oštrine vida ili vidnog polja*, retinalni eksudat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F540CE" w:rsidP="00F540CE">
                  <w:pPr>
                    <w:pStyle w:val="CM29"/>
                    <w:spacing w:line="253" w:lineRule="atLeast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Poremećaji na nivou uha i centra za ravnotežu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vrtoglavica, oštećenje/gubitak sluha, tinitus, bol u uhu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Srčani poremećaji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palpitacije, tahikardija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infarkt miokarda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D7D6D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kardiomiopatija, aritmija*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srčana ishemija*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nepoznata učestalost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perikardni izliv</w:t>
                  </w:r>
                  <w:r w:rsidR="00CD7D6D" w:rsidRPr="00C70B07">
                    <w:rPr>
                      <w:sz w:val="22"/>
                      <w:szCs w:val="22"/>
                      <w:lang w:val="sr-Latn-ME"/>
                    </w:rPr>
                    <w:t>*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, perikarditis</w:t>
                  </w:r>
                  <w:r w:rsidR="00CD7D6D" w:rsidRPr="00C70B07">
                    <w:rPr>
                      <w:sz w:val="22"/>
                      <w:szCs w:val="22"/>
                      <w:lang w:val="sr-Latn-ME"/>
                    </w:rPr>
                    <w:t>*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</w:tc>
            </w:tr>
            <w:tr w:rsidR="00F540CE" w:rsidRPr="00C70B07" w:rsidTr="00C22D59">
              <w:tc>
                <w:tcPr>
                  <w:tcW w:w="9039" w:type="dxa"/>
                  <w:gridSpan w:val="2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bCs/>
                      <w:sz w:val="22"/>
                      <w:szCs w:val="22"/>
                      <w:lang w:val="sr-Latn-ME"/>
                    </w:rPr>
                    <w:t xml:space="preserve">Vaskularni poremećaji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hipotenzija, hipertenzija, crvenilo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lastRenderedPageBreak/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vaskulitis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periferna ishemija* </w:t>
                  </w:r>
                </w:p>
              </w:tc>
            </w:tr>
            <w:tr w:rsidR="00F540CE" w:rsidRPr="00C70B07" w:rsidTr="00C22D59">
              <w:tc>
                <w:tcPr>
                  <w:tcW w:w="9039" w:type="dxa"/>
                  <w:gridSpan w:val="2"/>
                  <w:vAlign w:val="bottom"/>
                </w:tcPr>
                <w:p w:rsidR="00F540CE" w:rsidRPr="00C70B07" w:rsidRDefault="00F540CE" w:rsidP="00F540CE">
                  <w:pPr>
                    <w:pStyle w:val="CM28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Respiratorni, torakalni i medijastinalni poremećaji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dispneja, kašalj </w:t>
                  </w:r>
                </w:p>
              </w:tc>
            </w:tr>
            <w:tr w:rsidR="00F540CE" w:rsidRPr="00C70B07" w:rsidTr="00F540CE">
              <w:tc>
                <w:tcPr>
                  <w:tcW w:w="3510" w:type="dxa"/>
                </w:tcPr>
                <w:p w:rsidR="00F540CE" w:rsidRPr="00C70B07" w:rsidRDefault="00F540CE" w:rsidP="00F540CE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epistaksa, respiratorni poremećaj, kongestija respiratornog trakta, kongestija sinusa, kongestija nosa, rinoreja, povećana sekrecija u gornjim respiratornim putevima, faringolaringealni bol, neproduktivni kašalj </w:t>
                  </w:r>
                </w:p>
              </w:tc>
            </w:tr>
            <w:tr w:rsidR="00F540CE" w:rsidRPr="00C70B07" w:rsidTr="00C22D59">
              <w:tc>
                <w:tcPr>
                  <w:tcW w:w="3510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etko </w:t>
                  </w:r>
                </w:p>
              </w:tc>
              <w:tc>
                <w:tcPr>
                  <w:tcW w:w="5529" w:type="dxa"/>
                  <w:vAlign w:val="bottom"/>
                </w:tcPr>
                <w:p w:rsidR="00F540CE" w:rsidRPr="00C70B07" w:rsidRDefault="00F540CE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plućni infiltrati*, pneumonitis*, intersticijski pneumonitis * </w:t>
                  </w:r>
                </w:p>
              </w:tc>
            </w:tr>
            <w:tr w:rsidR="000A6412" w:rsidRPr="00C70B07" w:rsidTr="00F108BA">
              <w:trPr>
                <w:trHeight w:val="534"/>
              </w:trPr>
              <w:tc>
                <w:tcPr>
                  <w:tcW w:w="9039" w:type="dxa"/>
                  <w:gridSpan w:val="2"/>
                </w:tcPr>
                <w:p w:rsidR="000A6412" w:rsidRPr="00C70B07" w:rsidRDefault="00C22D59" w:rsidP="00C22D59">
                  <w:pPr>
                    <w:pStyle w:val="CM33"/>
                    <w:spacing w:line="253" w:lineRule="atLeast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Gastrointestinalni poremećaji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C22D59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</w:tcPr>
                <w:p w:rsidR="000A6412" w:rsidRPr="00C70B07" w:rsidRDefault="00C22D59" w:rsidP="00C22D59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proliv, povraćanje, mučnina, bol u abdomenu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C22D59" w:rsidP="0025460E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ulcerozni stomatitis, stomatitis, ulceracije u ustima, kolitis, bol u gornjem desnom kvadrantu, dispepsija, gastroezofagealni refluks*, glositis, helitis, distenzija abdomena, krvarenje iz desni, gingivitis, mekane stolice, poremećaj zuba, konstipacija, nadutost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C22D59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C22D5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pankreatitis, bol u ustima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496321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C22D59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ishemijski kolitis </w:t>
                  </w:r>
                </w:p>
              </w:tc>
            </w:tr>
            <w:tr w:rsidR="00496321" w:rsidRPr="00C70B07" w:rsidTr="00C22D59">
              <w:tc>
                <w:tcPr>
                  <w:tcW w:w="3510" w:type="dxa"/>
                </w:tcPr>
                <w:p w:rsidR="00496321" w:rsidRPr="00C70B07" w:rsidRDefault="00496321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496321" w:rsidRPr="00C70B07" w:rsidRDefault="00496321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ulcerozni kolitis* </w:t>
                  </w:r>
                </w:p>
              </w:tc>
            </w:tr>
            <w:tr w:rsidR="00496321" w:rsidRPr="00C70B07" w:rsidTr="00C22D59">
              <w:tc>
                <w:tcPr>
                  <w:tcW w:w="3510" w:type="dxa"/>
                </w:tcPr>
                <w:p w:rsidR="00496321" w:rsidRPr="00C70B07" w:rsidRDefault="00496321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nepoznata učestalost</w:t>
                  </w:r>
                </w:p>
              </w:tc>
              <w:tc>
                <w:tcPr>
                  <w:tcW w:w="5529" w:type="dxa"/>
                </w:tcPr>
                <w:p w:rsidR="00496321" w:rsidRPr="00C70B07" w:rsidRDefault="00496321" w:rsidP="00C22D59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poremećaji periodoncijuma, poremećaji zuba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jetre i žuči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hepatomegalija, žutica, hiperbilirubinemija*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hepatotoksičnost (uključujući fatalnu)*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kože i potkožnog tkiva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740080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alopecija, pruritus, suva koža, </w:t>
                  </w:r>
                  <w:r w:rsidR="0074008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ospa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13483E" w:rsidP="00740080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psorijaza, pogoršanje psorijaze, ekcem, fotosenzitivna reakcija, makulopapularn</w:t>
                  </w:r>
                  <w:r w:rsidR="00740080" w:rsidRPr="00C70B07">
                    <w:rPr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 </w:t>
                  </w:r>
                  <w:r w:rsidR="00740080" w:rsidRPr="00C70B07">
                    <w:rPr>
                      <w:sz w:val="22"/>
                      <w:szCs w:val="22"/>
                      <w:lang w:val="sr-Latn-ME"/>
                    </w:rPr>
                    <w:t>ospa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, eritematozn</w:t>
                  </w:r>
                  <w:r w:rsidR="00740080" w:rsidRPr="00C70B07">
                    <w:rPr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 </w:t>
                  </w:r>
                  <w:r w:rsidR="00740080" w:rsidRPr="00C70B07">
                    <w:rPr>
                      <w:sz w:val="22"/>
                      <w:szCs w:val="22"/>
                      <w:lang w:val="sr-Latn-ME"/>
                    </w:rPr>
                    <w:t>ospa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, noćno znojenje, hiperhidroza, dermatitis, akne, fur</w:t>
                  </w:r>
                  <w:r w:rsidR="00740080" w:rsidRPr="00C70B07">
                    <w:rPr>
                      <w:sz w:val="22"/>
                      <w:szCs w:val="22"/>
                      <w:lang w:val="sr-Latn-ME"/>
                    </w:rPr>
                    <w:t>u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nkul, eritem,  urtikarija, </w:t>
                  </w:r>
                  <w:r w:rsidR="009D5819" w:rsidRPr="00C70B07">
                    <w:rPr>
                      <w:sz w:val="22"/>
                      <w:szCs w:val="22"/>
                      <w:lang w:val="sr-Latn-ME"/>
                    </w:rPr>
                    <w:t xml:space="preserve">poremećaj kože, 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modrice, pojačano znojenje, izm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enjena tekstura kose, poremećaj noktiju* </w:t>
                  </w:r>
                </w:p>
              </w:tc>
            </w:tr>
            <w:tr w:rsidR="0013483E" w:rsidRPr="00C70B07" w:rsidTr="00C22D59">
              <w:tc>
                <w:tcPr>
                  <w:tcW w:w="3510" w:type="dxa"/>
                </w:tcPr>
                <w:p w:rsidR="0013483E" w:rsidRPr="00C70B07" w:rsidRDefault="0013483E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13483E" w:rsidRDefault="0013483E" w:rsidP="00C22D59">
                  <w:pPr>
                    <w:spacing w:before="8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sarkoidoza kože</w:t>
                  </w:r>
                </w:p>
                <w:p w:rsidR="005B1AA9" w:rsidRPr="00C70B07" w:rsidRDefault="005B1AA9" w:rsidP="00C22D59">
                  <w:pPr>
                    <w:spacing w:before="8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Default="00740080" w:rsidP="00740080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Stiven Džonsonov sindrom (</w:t>
                  </w:r>
                  <w:r w:rsidR="0013483E" w:rsidRPr="00C70B07">
                    <w:rPr>
                      <w:sz w:val="22"/>
                      <w:szCs w:val="22"/>
                      <w:lang w:val="sr-Latn-ME"/>
                    </w:rPr>
                    <w:t>Stevens Johnson</w:t>
                  </w:r>
                  <w:r w:rsidR="006F3F5F" w:rsidRPr="00C70B07">
                    <w:rPr>
                      <w:sz w:val="22"/>
                      <w:szCs w:val="22"/>
                      <w:lang w:val="sr-Latn-ME"/>
                    </w:rPr>
                    <w:t>-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syndrome)</w:t>
                  </w:r>
                  <w:r w:rsidR="0013483E" w:rsidRPr="00C70B07">
                    <w:rPr>
                      <w:sz w:val="22"/>
                      <w:szCs w:val="22"/>
                      <w:lang w:val="sr-Latn-ME"/>
                    </w:rPr>
                    <w:t xml:space="preserve">*, toksična epidermalna nekroliza*, multiformni eritem* </w:t>
                  </w:r>
                </w:p>
                <w:p w:rsidR="005B1AA9" w:rsidRPr="00C70B07" w:rsidRDefault="005B1AA9" w:rsidP="00740080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Poremećaji mišićno-koštanog </w:t>
                  </w:r>
                </w:p>
                <w:p w:rsidR="000A6412" w:rsidRPr="00C70B07" w:rsidRDefault="000A6412" w:rsidP="00C22D5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sistema i vezivnog tkiva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artralgija, mialgija, bol u mišićima, bol u kostima</w:t>
                  </w:r>
                </w:p>
              </w:tc>
            </w:tr>
            <w:tr w:rsidR="000A6412" w:rsidRPr="00C70B07" w:rsidTr="0091473E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91473E" w:rsidP="0091473E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artritis, bol u leđima, spazam mišića, bol u ekstremitetima </w:t>
                  </w:r>
                </w:p>
              </w:tc>
            </w:tr>
            <w:tr w:rsidR="0091473E" w:rsidRPr="00C70B07" w:rsidTr="00C22D59">
              <w:tc>
                <w:tcPr>
                  <w:tcW w:w="3510" w:type="dxa"/>
                </w:tcPr>
                <w:p w:rsidR="0091473E" w:rsidRPr="00C70B07" w:rsidRDefault="00310A3D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91473E" w:rsidRPr="00C70B07" w:rsidRDefault="0091473E" w:rsidP="0091473E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bol u kostima, mišićna slabost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rabdomioliza*, miozitis*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bubrega i urinarnog sistema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učestalo mokrenje, poliurija</w:t>
                  </w:r>
                  <w:r w:rsidR="00310A3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 prom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310A3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u mokraći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9D581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prestanak rada bubrega, bubrežna insuficijencija*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nefrotski sindrom*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454590" w:rsidP="00454590">
                  <w:pPr>
                    <w:pStyle w:val="CM28"/>
                    <w:spacing w:line="253" w:lineRule="atLeast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lastRenderedPageBreak/>
                    <w:t xml:space="preserve">Poremećaji reproduktivnog sistema i na nivou dojki 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454590" w:rsidP="00454590">
                  <w:pPr>
                    <w:pStyle w:val="CM2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u w:val="single"/>
                      <w:lang w:val="sr-Latn-ME"/>
                    </w:rPr>
                    <w:t>žene: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 amenoreja, menoragija, menstrualni poremećaj, dismenoreja, bol u dojkama, poremećaj jajnika, vaginalni poremećaj.</w:t>
                  </w:r>
                  <w:r w:rsidRPr="00C70B07">
                    <w:rPr>
                      <w:sz w:val="22"/>
                      <w:szCs w:val="22"/>
                      <w:u w:val="single"/>
                      <w:lang w:val="sr-Latn-ME"/>
                    </w:rPr>
                    <w:t xml:space="preserve"> muškarci: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 impotencija, prostatitis, erektilna disfunkcija, seksualna disfunkcija (nije specifikovano)* 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0A6412" w:rsidP="00C22D5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Opšti poremećaji i reakcije na </w:t>
                  </w:r>
                </w:p>
                <w:p w:rsidR="000A6412" w:rsidRPr="00C70B07" w:rsidRDefault="000A6412" w:rsidP="00C22D5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m</w:t>
                  </w:r>
                  <w:r w:rsidR="0026038D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estu prim</w:t>
                  </w:r>
                  <w:r w:rsidR="0026038D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ene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4B0434" w:rsidP="00C22D59">
                  <w:pPr>
                    <w:spacing w:before="8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zapaljenje na 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prim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injekcije, reakcije na 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prim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ene injekcije, umor, </w:t>
                  </w:r>
                  <w:r w:rsidR="009D581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ukočenost,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pireksija, simptomi nalik gripu, astenija, razdražljivost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7915D0" w:rsidP="007915D0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bol u grudnom košu, nelagodnost u grudima, periferni edemi, opšta slabost, bol na m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estu injekcije, neuobičajen os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ećaj, žeđ</w:t>
                  </w:r>
                </w:p>
              </w:tc>
            </w:tr>
            <w:tr w:rsidR="007915D0" w:rsidRPr="00C70B07" w:rsidTr="00C22D59">
              <w:tc>
                <w:tcPr>
                  <w:tcW w:w="3510" w:type="dxa"/>
                </w:tcPr>
                <w:p w:rsidR="007915D0" w:rsidRPr="00C70B07" w:rsidRDefault="007915D0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7915D0" w:rsidRPr="00C70B07" w:rsidRDefault="007915D0" w:rsidP="00C22D59">
                  <w:pPr>
                    <w:spacing w:before="8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edem lica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r</w:t>
                  </w:r>
                  <w:r w:rsidR="0026038D" w:rsidRPr="00C70B07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>etko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adjustRightInd w:val="0"/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nekroza na m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injekcije</w:t>
                  </w:r>
                </w:p>
              </w:tc>
            </w:tr>
            <w:tr w:rsidR="000A6412" w:rsidRPr="00C70B07" w:rsidTr="00C22D59">
              <w:tc>
                <w:tcPr>
                  <w:tcW w:w="9039" w:type="dxa"/>
                  <w:gridSpan w:val="2"/>
                </w:tcPr>
                <w:p w:rsidR="000A6412" w:rsidRPr="00C70B07" w:rsidRDefault="004B0434" w:rsidP="00C22D59">
                  <w:pPr>
                    <w:adjustRightInd w:val="0"/>
                    <w:spacing w:before="8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Laboratorijska ispitivanja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4B0434" w:rsidP="00C22D59">
                  <w:pPr>
                    <w:adjustRightInd w:val="0"/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smanjenje t</w:t>
                  </w:r>
                  <w:r w:rsidR="0026038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elesne mase</w:t>
                  </w:r>
                </w:p>
              </w:tc>
            </w:tr>
            <w:tr w:rsidR="000A6412" w:rsidRPr="00C70B07" w:rsidTr="00C22D59">
              <w:tc>
                <w:tcPr>
                  <w:tcW w:w="3510" w:type="dxa"/>
                </w:tcPr>
                <w:p w:rsidR="000A6412" w:rsidRPr="00C70B07" w:rsidRDefault="000A6412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0A6412" w:rsidRPr="00C70B07" w:rsidRDefault="000A6412" w:rsidP="00C22D59">
                  <w:pPr>
                    <w:adjustRightInd w:val="0"/>
                    <w:spacing w:before="8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šum na srcu</w:t>
                  </w:r>
                </w:p>
              </w:tc>
            </w:tr>
          </w:tbl>
          <w:p w:rsidR="004B0434" w:rsidRPr="00C70B07" w:rsidRDefault="004B0434" w:rsidP="004B0434">
            <w:pPr>
              <w:pStyle w:val="CM12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* Kako se ribavirin uv</w:t>
            </w:r>
            <w:r w:rsidR="0026038D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ek propisuje u kombinaciji sa alfa interferonom, navedena neželjena dejstva, uključujući iskustvo nakon stavljanja l</w:t>
            </w:r>
            <w:r w:rsidR="0026038D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eka u promet, ne omogućavaju tačnu kvantifikaciju učestalosti. Gore navedena učestalost je iz kliničkih studija u kojima je ribavirin korišćen u kombinaciji sa interferon</w:t>
            </w:r>
            <w:r w:rsidR="00792C42" w:rsidRPr="00C70B07">
              <w:rPr>
                <w:sz w:val="22"/>
                <w:szCs w:val="22"/>
                <w:lang w:val="sr-Latn-ME"/>
              </w:rPr>
              <w:t>om</w:t>
            </w:r>
            <w:r w:rsidRPr="00C70B07">
              <w:rPr>
                <w:sz w:val="22"/>
                <w:szCs w:val="22"/>
                <w:lang w:val="sr-Latn-ME"/>
              </w:rPr>
              <w:t xml:space="preserve"> alfa-2b (pegilovani</w:t>
            </w:r>
            <w:r w:rsidR="00792C42" w:rsidRPr="00C70B07">
              <w:rPr>
                <w:sz w:val="22"/>
                <w:szCs w:val="22"/>
                <w:lang w:val="sr-Latn-ME"/>
              </w:rPr>
              <w:t>m</w:t>
            </w:r>
            <w:r w:rsidRPr="00C70B07">
              <w:rPr>
                <w:sz w:val="22"/>
                <w:szCs w:val="22"/>
                <w:lang w:val="sr-Latn-ME"/>
              </w:rPr>
              <w:t xml:space="preserve"> ili nepegilovani</w:t>
            </w:r>
            <w:r w:rsidR="00792C42" w:rsidRPr="00C70B07">
              <w:rPr>
                <w:sz w:val="22"/>
                <w:szCs w:val="22"/>
                <w:lang w:val="sr-Latn-ME"/>
              </w:rPr>
              <w:t>m</w:t>
            </w:r>
            <w:r w:rsidRPr="00C70B07">
              <w:rPr>
                <w:sz w:val="22"/>
                <w:szCs w:val="22"/>
                <w:lang w:val="sr-Latn-ME"/>
              </w:rPr>
              <w:t xml:space="preserve">). </w:t>
            </w:r>
          </w:p>
          <w:p w:rsidR="00E97D74" w:rsidRPr="00C70B07" w:rsidRDefault="00E97D74" w:rsidP="00E97D7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koncentracije hemoglobina za &gt;4 g/dl prim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kod 30% pacijenata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 i</w:t>
            </w:r>
            <w:r w:rsidR="00C7154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peginterferonom alfa-2b i 37% pacijenata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enih 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Rebetol i interferonom alfa-2b. Koncentracije 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hemoglobin</w:t>
            </w:r>
            <w:r w:rsidR="00792C4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pale su na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ispod 10 g/dl u do 14% odraslih pacijenata i 7% d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</w:t>
            </w:r>
            <w:r w:rsidR="00522B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kombinaciji sa peginterferonom alfa-2b ili interferonom alfa-2b.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ajeva anemija, neutropenija i trombocitopenija su bile blage (SZO stepen 1 ili 2). Bilo je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teže neutropenije kod pacijenata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enih </w:t>
            </w:r>
            <w:r w:rsidR="0034430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4430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 peginterferonom alfa-2b (SZO stepen 3: 39</w:t>
            </w:r>
            <w:r w:rsidR="0034430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od 186 [21%]; i SZO stepen 4: 13 od 186 [7%]; SZO stepen 3 leukopenije </w:t>
            </w:r>
            <w:r w:rsidR="0030254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takođe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 opisan kod 7%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u ovoj grupi.</w:t>
            </w:r>
          </w:p>
          <w:p w:rsidR="00EF739E" w:rsidRPr="00C70B07" w:rsidRDefault="00EF739E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nekih pacijenata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enih </w:t>
            </w:r>
            <w:r w:rsidR="0045317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45317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 peginterferonom alfa-2b ili interferonom alfa-2b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prim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mokra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 i indirektnog bilirubina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povezano sa hemolizom, ali su se te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vratile na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etne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ednosti do kraja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etvrte ned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po završetku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Me</w:t>
            </w:r>
            <w:r w:rsidR="00EF739E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pacijentima sa povišenim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ednostima mokra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eline, veoma mali broj onih koji su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kombinovanom terapijom razvilo je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ku sliku gihta, a kod nijednog od tih pacijenata nije bilo potrebno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modifikovati 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ili isklju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 pacijenta iz ispitivanja.</w:t>
            </w:r>
          </w:p>
          <w:p w:rsidR="00EF739E" w:rsidRPr="00C70B07" w:rsidRDefault="00EF739E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u w:val="single"/>
                <w:lang w:val="sr-Latn-ME" w:eastAsia="ja-JP"/>
              </w:rPr>
              <w:t>Pacijenti sa koinfekcijom HCV-om i HIV-om: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sa koinfekcijom HCV-om i HIV-om koji primaju Rebetol u kombinaciji sa peginterferonom alfa-2b, druga neželjena dejstva (koja ni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bile zab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kod pacijenata sa monoinfekcijom) zab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ispitivanjima sa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estaloš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od &gt;5%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ivala su oralnu kandidijazu (14%), ste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lipodistrofiju (13%),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smanjeni broj CD4 limfocita (8%), smanjeni apetit (8%), povišenu gama-glutamiltransferazu (9%), bol u le</w:t>
            </w:r>
            <w:r w:rsidR="00E6081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(5%),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amilaze u krvi (6%),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ml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 u krvi (5%), citoliti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hepatitis (6%),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vr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lipaze (6%) i bol u udovima (6%).</w:t>
            </w:r>
          </w:p>
          <w:p w:rsidR="00706702" w:rsidRPr="00C70B07" w:rsidRDefault="0070670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065DC2" w:rsidRDefault="00065DC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lastRenderedPageBreak/>
              <w:t>Mitohondrijska toksi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nost: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Mitohondrijska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 i laktoacidoza zab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su kod HIV pozitivnih pacijenata koji su primali NRTI 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dodatnu terapiju ribavirinom zbog koinfekcije HCV-om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26038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</w:t>
            </w:r>
            <w:r w:rsidR="0070670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706702" w:rsidRPr="00C70B07" w:rsidRDefault="0070670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Laboratorijske vr</w:t>
            </w:r>
            <w:r w:rsidR="0026038D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ednosti kod pacijenta sa koinfekcijom HCV-om i HIV-om: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Premda su se hematološka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na dejstva, poput neutropenije, trombocitopenije i anemije, javljala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kod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sa koinfekcijom HCV-om i HIV-om,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ina njih je korigovana modifikacijom doze, a 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etko je trebaloranije prekinuti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4.4). Hematološki poreme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eženi su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kod pacijenata koji suprimali Rebetol u kombinaciji sa peginterferonom alfa-2b nego kod pacijenata koji su primali Rebetol u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kombinaciji sa interferonom alfa-2b. U ispitivanju br. 1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5.1), smanjenje apsolutnog broja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neutrofila ispod vr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ednosti od 500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elija/mm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eženo je kod 4% (8/194) pacijenata, a smanjenje broja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trombocita ispod 50.000/mm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3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opaženo je kod 4% (8/194) pacijenata koji su primali Rebetol u kombinaciji sa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peginterferonom alfa-2b. Anemija (hemoglobin &lt;9,4 g/dl)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je kod 12% (23/194) pacijenata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</w:t>
            </w:r>
            <w:r w:rsidR="0087346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87346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 peginterferonom alfa-2b.</w:t>
            </w:r>
          </w:p>
          <w:p w:rsidR="00706702" w:rsidRPr="00C70B07" w:rsidRDefault="0070670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Smanjenje broja CD4 limfocita: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 </w:t>
            </w:r>
            <w:r w:rsidR="00D976A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D976A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 peginterferonom alfa-2b bilo je povezano sa smanjenjem apsolutnog broja</w:t>
            </w:r>
            <w:r w:rsidR="0050764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CD4+ limfocita u prve 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bez smanjenja procenta CD4+ limfocita. Smanjenje broja CD4+ limfocita bilo</w:t>
            </w:r>
            <w:r w:rsidR="0050764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 reverzibilno nakon smanjenja doze ili prestanka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Upotreba</w:t>
            </w:r>
            <w:r w:rsidR="009626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9626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 u kombinaciji sa peginterferonom</w:t>
            </w:r>
            <w:r w:rsidR="0050764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alfa-2b nije imala vidljivih negativnih dejstava na kontrolu viremije HIV-a 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ili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pacijenta.</w:t>
            </w:r>
          </w:p>
          <w:p w:rsidR="00E81482" w:rsidRPr="00C70B07" w:rsidRDefault="00E81482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Dostupni su ograni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podaci o bezb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(N=25) za pacijente sa koinfekcijom kod kojih je broj CD4+</w:t>
            </w:r>
            <w:r w:rsidR="0096263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limfocita &lt;200/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4.4).</w:t>
            </w:r>
          </w:p>
          <w:p w:rsidR="006B6A04" w:rsidRPr="00C70B07" w:rsidRDefault="006B6A04" w:rsidP="00E8148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6A04" w:rsidRPr="00C70B07" w:rsidRDefault="00E81482" w:rsidP="00740080">
            <w:p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Potrebno je pro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itati Sažetke karakteristika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za antiretrovirusne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ekove koje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pacijent uzimati istovremeno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 terapijom za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hepatitisa kako bi saznali koja su toksi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dejstva specifi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za pojedini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ek, kako ih</w:t>
            </w:r>
            <w:r w:rsidR="0085737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tretirati kao i kako se preklapaju sa toksi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dejstvima</w:t>
            </w:r>
            <w:r w:rsidR="00AE12A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E12A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Rebetol u kombinaciji sa peginterferonom alfa-2b.</w:t>
            </w:r>
          </w:p>
          <w:p w:rsidR="000F4E4A" w:rsidRPr="00C70B07" w:rsidRDefault="000F4E4A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6A04" w:rsidRPr="00C70B07" w:rsidRDefault="00777193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u w:val="single"/>
                <w:lang w:val="sr-Latn-ME" w:eastAsia="ja-JP"/>
              </w:rPr>
              <w:t>Pedijatrijska populacija</w:t>
            </w:r>
            <w:r w:rsidR="00994D03"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(samo dvojna terapija)</w:t>
            </w:r>
            <w:r w:rsidR="006B6A04"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</w:p>
          <w:p w:rsidR="006B6A04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U kombinaciji sa peginterferonom alfa-2b</w:t>
            </w:r>
          </w:p>
          <w:p w:rsidR="003E612A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kim ispitivanjima kod 107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ili adolescenata uzrasta od 3 do 17 godina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kombinovanom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terapijom peginterferona alfa-2b i l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Rebetol, bilo je neophodno prilagoditi dozu kod 25% pacijenata, naj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zbog anemije, neutropenije i gubitka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mase. Uopšteno, profil neželjenih dejstava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bio je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onim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eženim kod odraslih, premda postoji specifi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 oprez kod pedijatrijske populacije zbog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inhibicije rasta . 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do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pegilovanim interferonom alfa-2b 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prim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je</w:t>
            </w:r>
            <w:r w:rsidR="0074008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inhibicija rasta </w:t>
            </w:r>
            <w:r w:rsidR="007E0802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koja je dovela do smanjen</w:t>
            </w:r>
            <w:r w:rsidR="00716B86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7E0802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510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visine</w:t>
            </w:r>
            <w:r w:rsidR="007E0802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kod nekih pacijenata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4.4). Gubitak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i inhibicija</w:t>
            </w:r>
            <w:r w:rsidR="00397CC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rasta su bili veoma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esti 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( na kraju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smanjenje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i visine u procentima</w:t>
            </w:r>
            <w:r w:rsidR="00397CC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je bilo 15 % odnosno 8% respektivno) dok je brzina rasta bila smanjena (manje od </w:t>
            </w:r>
            <w:r w:rsidR="00897CF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trećeg  percentila 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kod 70% pacijenata). </w:t>
            </w:r>
          </w:p>
          <w:p w:rsidR="003E612A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kraju 24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perioda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nakon terapije, 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smanjenje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elesne mase i visine u </w:t>
            </w:r>
            <w:r w:rsidR="00897CF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percentilima 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 bilo i</w:t>
            </w:r>
            <w:r w:rsidR="00397CC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dalje 3</w:t>
            </w:r>
            <w:r w:rsidR="00897CF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percentila 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7</w:t>
            </w:r>
            <w:r w:rsidR="00897CF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percentila,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respektivno, i 20%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je imalo inhibiran rast (brzina rasta manja od </w:t>
            </w:r>
            <w:r w:rsidR="00897CF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trećeg percentila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). </w:t>
            </w:r>
          </w:p>
          <w:p w:rsidR="006B6A04" w:rsidRPr="00C70B07" w:rsidRDefault="008D7A08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Devedeset četvoro od 107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</w:t>
            </w:r>
            <w:r w:rsidR="001658E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uključeno je u petogodišnj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</w:t>
            </w:r>
            <w:r w:rsidR="001658E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dugoročnu studiju praćenja. </w:t>
            </w:r>
            <w:r w:rsidR="00E7548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Uticaji na rast su bili manji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E7548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E7548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 24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u odnosu na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ecu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</w:t>
            </w:r>
            <w:r w:rsidR="001B14A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 perioda 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početka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</w:t>
            </w:r>
            <w:r w:rsidR="0090451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pa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do </w:t>
            </w:r>
            <w:r w:rsidR="00A359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završeka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dugoročnog praćenja među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ecom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1B14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</w:t>
            </w:r>
            <w:r w:rsidR="00EC44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24 ili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EC44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</w:t>
            </w:r>
            <w:r w:rsidR="009269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92690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visine za uzrast u procentima bilo je</w:t>
            </w:r>
            <w:r w:rsidR="00F14DC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1,3</w:t>
            </w:r>
            <w:r w:rsidR="006B7B0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odnosno </w:t>
            </w:r>
            <w:r w:rsidR="00F14DC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9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percentila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24%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(11/46)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 24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i 40% d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</w:t>
            </w:r>
            <w:r w:rsidR="0043317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(19/48)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koja su l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DA030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</w:t>
            </w:r>
            <w:r w:rsidR="0043317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48 ned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43317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imalo je</w:t>
            </w:r>
            <w:r w:rsidR="00F945C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F543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&gt; 15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percentila </w:t>
            </w:r>
            <w:r w:rsidR="00F543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u visini za uzrast</w:t>
            </w:r>
            <w:r w:rsidR="00537BD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 perioda pr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37BD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l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537BD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 do završetka petogodišnjeg</w:t>
            </w:r>
            <w:r w:rsidR="00D8449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praćenja u </w:t>
            </w:r>
            <w:r w:rsidR="00C114F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odnosu na</w:t>
            </w:r>
            <w:r w:rsidR="00D8449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percentile </w:t>
            </w:r>
            <w:r w:rsidR="00BF0D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BF0D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početka terapije</w:t>
            </w:r>
            <w:r w:rsidR="0064625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. </w:t>
            </w:r>
            <w:r w:rsidR="006E397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Kod 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11%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(5/46)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 24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 i 13%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(</w:t>
            </w:r>
            <w:r w:rsidR="006E397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6</w:t>
            </w:r>
            <w:r w:rsidR="007956B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/48)</w:t>
            </w:r>
            <w:r w:rsidR="00BF0D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BF0D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ečena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BF0DF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</w:t>
            </w:r>
            <w:r w:rsidR="006E397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uočeno je ˃ 30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percentila </w:t>
            </w:r>
            <w:r w:rsidR="006E397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u visini za uzrast</w:t>
            </w:r>
            <w:r w:rsidR="00AB0AA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 perioda 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B0AA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početka terapije</w:t>
            </w:r>
            <w:r w:rsidR="006E397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C108E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</w:t>
            </w:r>
            <w:r w:rsidR="00AB0AA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završetka</w:t>
            </w:r>
            <w:r w:rsidR="00C108E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18616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petogodišnjeg dugoročnog praćenja. </w:t>
            </w:r>
            <w:r w:rsidR="0018616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Što se tiče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18616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elesne mase,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percentilno </w:t>
            </w:r>
            <w:r w:rsidR="00F845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F845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</w:t>
            </w:r>
            <w:r w:rsidR="003468B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od perioda</w:t>
            </w:r>
            <w:r w:rsidR="00F845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845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="003468B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F845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etka terapije do </w:t>
            </w:r>
            <w:r w:rsidR="003468B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kraja dugoročnog praćenja, bilo je 1.3 odnosno 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5.5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percentila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među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ečenom 24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elje </w:t>
            </w:r>
            <w:r w:rsidR="005F41A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odnosno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8C42E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</w:t>
            </w:r>
            <w:r w:rsidR="003468B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A77B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Što se tiče BMI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percentilno</w:t>
            </w:r>
            <w:r w:rsidR="00A77B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BMI</w:t>
            </w:r>
            <w:r w:rsidR="00704F4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 uzrast,</w:t>
            </w:r>
            <w:r w:rsidR="00A77B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 perioda 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77B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="00704F4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A77B4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etka terapije do završetka </w:t>
            </w:r>
            <w:r w:rsidR="009A7E8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dugoročno</w:t>
            </w:r>
            <w:r w:rsidR="00704F4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 praćenja,</w:t>
            </w:r>
            <w:r w:rsidR="00BA19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bilo je 1,</w:t>
            </w:r>
            <w:r w:rsidR="0040116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8</w:t>
            </w:r>
            <w:r w:rsidR="00BA19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odnosno 7,5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percentila </w:t>
            </w:r>
            <w:r w:rsidR="00BA19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među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ečenom 24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elje </w:t>
            </w:r>
            <w:r w:rsidR="005F41A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odnosno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DC1F9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elja.</w:t>
            </w:r>
            <w:r w:rsidR="00BA199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3468B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no smanjenje visine u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percentilima 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prvoj godini dugoro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pra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je bilo najve</w:t>
            </w:r>
            <w:r w:rsidR="006B6A0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u</w:t>
            </w:r>
            <w:r w:rsidR="007172D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periodu pr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puberteta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Smanjenje visine, 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 i BMI</w:t>
            </w:r>
            <w:r w:rsidR="008C4E5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  </w:t>
            </w:r>
            <w:r w:rsidR="00DF45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rezultata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</w:t>
            </w:r>
            <w:r w:rsidR="008C4E5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tokom faze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</w:t>
            </w:r>
            <w:r w:rsidR="00DF45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pore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78144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normativnom populacijom, ni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="00DF45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se </w:t>
            </w:r>
            <w:r w:rsidR="00206DB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potpuno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F45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povratili</w:t>
            </w:r>
            <w:r w:rsidR="006A24E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na kraju  perioda dugoročnog praćenja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koja su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ečena </w:t>
            </w:r>
            <w:r w:rsidR="005F41A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48 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5F41A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</w:t>
            </w:r>
            <w:r w:rsidR="00F75D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="006B6A0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4.4).</w:t>
            </w:r>
          </w:p>
          <w:p w:rsidR="000F4E4A" w:rsidRPr="00C70B07" w:rsidRDefault="000F4E4A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6A04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 </w:t>
            </w:r>
            <w:r w:rsidR="0041220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fazi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41220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 ovog ispitivanja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, neželjena dejstva koja su se javljala kod svih </w:t>
            </w:r>
            <w:r w:rsidR="00A6266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ispitanika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bili su pireksija (80%), </w:t>
            </w:r>
            <w:r w:rsidR="0096012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glavobolja (62%),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neutropenija</w:t>
            </w:r>
            <w:r w:rsidR="00CE57D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(33%), slabost (30%), anoreksija (29%) i eritem na m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estu injekcije (29%). Samo je jedan ispitanik odustao od</w:t>
            </w:r>
            <w:r w:rsidR="00CE57D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zbog pojave neželjenog dejstva (trombocitopenija).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ina neželjenih dejstava prijavljenih u</w:t>
            </w:r>
            <w:r w:rsidR="00CF01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istraživanjima su bila blaga ili um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erena u pogledu težine.Teška neželjena dejstva su prijavljena kod 7% (8/107)</w:t>
            </w:r>
            <w:r w:rsidR="00CF01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 svih ispitanika i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 bol na m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estu injekcije (1%), bol u ekstremitetima (1%), glavobolja (1%),</w:t>
            </w:r>
            <w:r w:rsidR="00CF01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neutropenija (1%) i pireksija (1%). Važna neželjena dejstva koja su zaht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evala hitnu intervenciju, a koja su se</w:t>
            </w:r>
            <w:r w:rsidR="00CF01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pojavila tokom terapije bila su nervoza (8%), agresija (3%), b</w:t>
            </w:r>
            <w:r w:rsidR="000D75F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 (2%), depresija/depresivno raspoloženje (4%) i</w:t>
            </w:r>
            <w:r w:rsidR="00CF012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hipotireoidizam (3%) i pet ispitanika je primalo levotiroksin zbog hipotireoidiz</w:t>
            </w:r>
            <w:r w:rsidR="000D75F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a/pove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vr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TSH.</w:t>
            </w:r>
          </w:p>
          <w:p w:rsidR="000F4E4A" w:rsidRPr="00C70B07" w:rsidRDefault="000F4E4A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6A04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u w:val="single"/>
                <w:lang w:val="sr-Latn-ME" w:eastAsia="ja-JP"/>
              </w:rPr>
              <w:t>U kombinaciji sa interferonom alfa-2b</w:t>
            </w:r>
          </w:p>
          <w:p w:rsidR="006B6A04" w:rsidRPr="00C70B07" w:rsidRDefault="006B6A04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kim ispitivanjima u koje je bilo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118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uzrasta od 3 do 16 godina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kombinovanom terapijom interferonom alfa-2b 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Rebetol,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je bilo prekinuto u 6% slu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ajeva zbog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neželjenih dejstava. Uopšte, profil neželjenih dejstava u ispitivanoj ograni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enoj populaciji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bio je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onome u odraslih, premda postoji specifi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pedijatrijski problem povezan sa inhibicijom rasta, u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smislu smanjenja percentila visine (pros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smanjenje od 9 percentila) i percentila mase (pros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smanjenje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 13 percentila) 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Tokom 5 godina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u periodu posl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završetka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eca su imala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visinu oko 44 percentile, što je bilo ispod 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za uobi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ajenu populaciju i manje od njihove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visine (oko 48 percentila). Dvadesetoro (21%) od 97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je imalo za više od 15 percentila smanjenja u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percentilima visine, od kojih je 10 od 20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imalo za više od 30 percentila smanjenje u percentilima visine od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do završetka dogoro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 (5 godina). </w:t>
            </w:r>
            <w:r w:rsidR="00BE28B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četrnaestoro od ove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BE28B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je bila poznata maksimalna visina u odraslom dobu i pokazano je da se kod dvanaestoro nastavio sa ispoljavanjem deficit rasta ˃ 15 procenata, 10 do 12 godina nakon završetka terapije.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kombinovanom terapijom do 48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interferonom alfa-2b i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Rebetol, prim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ena je inhibicija rasta, </w:t>
            </w:r>
            <w:r w:rsidR="00BE28B6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koj</w:t>
            </w:r>
            <w:r w:rsidR="00CD1E29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="00BE28B6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je kod nekih pacijenata dove</w:t>
            </w:r>
            <w:r w:rsidR="00CD1E29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la</w:t>
            </w:r>
            <w:r w:rsidR="00BE28B6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do smanjene maksimalne visine u odraslom dobu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Pros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 smanjenje percentila visine do kraja dugoro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je bilo najve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u periodu pr</w:t>
            </w:r>
            <w:r w:rsidR="00513DC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9E685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puberteta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(vid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4.4).</w:t>
            </w:r>
          </w:p>
          <w:p w:rsidR="000F4E4A" w:rsidRPr="00C70B07" w:rsidRDefault="000F4E4A" w:rsidP="006B6A0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B6A04" w:rsidRPr="00C70B07" w:rsidRDefault="006B6A04" w:rsidP="00575ED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Suicidalne misli i pokušaji samoubistva zab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eženi su kod d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i adolescenata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nego kod odraslih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(2,4% prema 1%) tokom l</w:t>
            </w:r>
            <w:r w:rsidR="00BD7BF4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i šestom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perioda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nakon završetka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Kao i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odrasli pacijenti, 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eca i adolescenti imali su i druga psihijatrijska neželjena dejstva (npr. depresiju, emocionalnu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nestabilnost i somnolenciju)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4.4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 Pored toga, reakcije na 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estu prim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injekcije, pireksija,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anoreksija, povra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anje i emocionalna nestabilnost pojavljivali su se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kod 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nego kod</w:t>
            </w:r>
            <w:r w:rsidR="00575ED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odraslih pacijenta. Prilago</w:t>
            </w:r>
            <w:r w:rsidR="000F4E4A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avanje doze bilo je potrebno kod 30% pacijenta, naj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zbog anemije </w:t>
            </w:r>
            <w:r w:rsidR="00DE05C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 </w:t>
            </w:r>
            <w:r w:rsidR="000F4E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neutropenije.</w:t>
            </w:r>
          </w:p>
          <w:p w:rsidR="000F4E4A" w:rsidRPr="00C70B07" w:rsidRDefault="000F4E4A" w:rsidP="006B6A04">
            <w:p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F76AD" w:rsidRPr="00C70B07" w:rsidRDefault="000F4E4A" w:rsidP="00733D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Zab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ežena neželjena dejstva navedene u </w:t>
            </w:r>
            <w:r w:rsidR="009A2709"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T</w:t>
            </w:r>
            <w:r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abeli 5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zasnovana su na iskustvu iz 2 multicentri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ispitivanja koja su</w:t>
            </w:r>
            <w:r w:rsidR="00733D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ila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i interferonom alfa-2b ili peginterferonom alfa-2b. Neželjena</w:t>
            </w:r>
            <w:r w:rsidR="009A270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dejstva su razvrstana prema sistemima organa i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estalosti pojavljivanja koriste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sl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kategorije: veoma</w:t>
            </w:r>
            <w:r w:rsidR="00733D43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esto (</w:t>
            </w:r>
            <w:r w:rsidR="009E685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1/10);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esto (</w:t>
            </w:r>
            <w:r w:rsidR="009E685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1/100 i &lt; 1/10) i povremeno (</w:t>
            </w:r>
            <w:r w:rsidR="009E685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1/1000 i &lt; 1/100). Neželjena dejstva u pojedinoj grupi</w:t>
            </w:r>
            <w:r w:rsidR="00733D4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obzirom na 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estalost prikazana su </w:t>
            </w:r>
            <w:r w:rsidR="002875F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 opadajućoj ozbiljnosti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  <w:r w:rsidR="007F76A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7F76AD" w:rsidRPr="00C70B07" w:rsidRDefault="007F76AD" w:rsidP="000F4E4A">
            <w:p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10"/>
              <w:gridCol w:w="5529"/>
            </w:tblGrid>
            <w:tr w:rsidR="007F76AD" w:rsidRPr="00C70B07" w:rsidTr="009A6AA5">
              <w:tc>
                <w:tcPr>
                  <w:tcW w:w="9039" w:type="dxa"/>
                  <w:gridSpan w:val="2"/>
                  <w:tcBorders>
                    <w:bottom w:val="nil"/>
                  </w:tcBorders>
                </w:tcPr>
                <w:p w:rsidR="007F76AD" w:rsidRDefault="007F76AD" w:rsidP="009E73C6">
                  <w:pPr>
                    <w:ind w:left="1507" w:hanging="1507"/>
                    <w:jc w:val="left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lastRenderedPageBreak/>
                    <w:t xml:space="preserve">Tabela 5. 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ab/>
                  </w:r>
                  <w:r w:rsidR="00E36DA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Neželjena dejstva zab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ilj</w:t>
                  </w:r>
                  <w:r w:rsidR="00E36DA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ežena veoma često, često ili povremeno u kliničkim ispitivanja koja su uključila l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ij</w:t>
                  </w:r>
                  <w:r w:rsidR="00E36DA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ečenje d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j</w:t>
                  </w:r>
                  <w:r w:rsidR="00E36DA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ece i adolescenata l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ij</w:t>
                  </w:r>
                  <w:r w:rsidR="00E36DA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ekom Rebetol i interferonom alfa-2b ili peginterferonom alfa-2b</w:t>
                  </w:r>
                </w:p>
                <w:p w:rsidR="00065DC2" w:rsidRPr="00C70B07" w:rsidRDefault="00065DC2" w:rsidP="009E73C6">
                  <w:pPr>
                    <w:ind w:left="1507" w:hanging="1507"/>
                    <w:jc w:val="left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7F76AD" w:rsidRPr="00C70B07" w:rsidTr="009A6AA5">
              <w:tc>
                <w:tcPr>
                  <w:tcW w:w="3510" w:type="dxa"/>
                  <w:tcBorders>
                    <w:right w:val="nil"/>
                  </w:tcBorders>
                </w:tcPr>
                <w:p w:rsidR="007F76AD" w:rsidRPr="00C70B07" w:rsidRDefault="007F76AD" w:rsidP="009E73C6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Sistem organa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7F76AD" w:rsidRPr="00C70B07" w:rsidRDefault="007F76AD" w:rsidP="009E73C6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Neželjena dejstva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  <w:tcBorders>
                    <w:right w:val="nil"/>
                  </w:tcBorders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Infekcije i infestacije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virusna infekcija, faringitis</w:t>
                  </w:r>
                </w:p>
              </w:tc>
            </w:tr>
            <w:tr w:rsidR="00E36DAF" w:rsidRPr="00C70B07" w:rsidTr="009A6AA5">
              <w:tc>
                <w:tcPr>
                  <w:tcW w:w="3510" w:type="dxa"/>
                </w:tcPr>
                <w:p w:rsidR="00E36DAF" w:rsidRPr="00C70B07" w:rsidRDefault="00E36DAF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  <w:vAlign w:val="bottom"/>
                </w:tcPr>
                <w:p w:rsidR="00E36DAF" w:rsidRPr="00C70B07" w:rsidRDefault="00E36DAF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gljivična infekcija, bakterijska infekcija, pulmonarna infekcija, nazofaringitis, streptokokni faringitis, zapaljenje srednjeg uha, sinusitis, apsces zuba, grip, oralni herpes, herpes simplex, infekcija mokraćnog sistema, vaginitis, gastroenteritis </w:t>
                  </w:r>
                </w:p>
              </w:tc>
            </w:tr>
            <w:tr w:rsidR="001442FB" w:rsidRPr="00C70B07" w:rsidTr="009A6AA5">
              <w:tc>
                <w:tcPr>
                  <w:tcW w:w="3510" w:type="dxa"/>
                  <w:vAlign w:val="bottom"/>
                </w:tcPr>
                <w:p w:rsidR="001442FB" w:rsidRPr="00C70B07" w:rsidRDefault="001442FB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1442FB" w:rsidRPr="00C70B07" w:rsidRDefault="001442FB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pneumonija, askarijaza, enterobiaza, herpes zoster, celulitis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62260F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Maligne i benigne neoplazme (uključujući ciste i polipe)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nespecifični tumori 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krvi i limfnog sistema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anemija, neutropenija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trombocitopenija, limfadenopatija</w:t>
                  </w:r>
                </w:p>
              </w:tc>
            </w:tr>
            <w:tr w:rsidR="0062260F" w:rsidRPr="00C70B07" w:rsidTr="009A6AA5">
              <w:tc>
                <w:tcPr>
                  <w:tcW w:w="9039" w:type="dxa"/>
                  <w:gridSpan w:val="2"/>
                </w:tcPr>
                <w:p w:rsidR="0062260F" w:rsidRPr="00C70B07" w:rsidRDefault="0062260F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Endokrini poremećaji</w:t>
                  </w:r>
                </w:p>
              </w:tc>
            </w:tr>
            <w:tr w:rsidR="0062260F" w:rsidRPr="00C70B07" w:rsidTr="009A6AA5">
              <w:tc>
                <w:tcPr>
                  <w:tcW w:w="3510" w:type="dxa"/>
                  <w:vAlign w:val="bottom"/>
                </w:tcPr>
                <w:p w:rsidR="0062260F" w:rsidRPr="00C70B07" w:rsidRDefault="0062260F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62260F" w:rsidRPr="00C70B07" w:rsidRDefault="0062260F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hipotireoidizam, </w:t>
                  </w:r>
                </w:p>
              </w:tc>
            </w:tr>
            <w:tr w:rsidR="0062260F" w:rsidRPr="00C70B07" w:rsidTr="009A6AA5">
              <w:tc>
                <w:tcPr>
                  <w:tcW w:w="3510" w:type="dxa"/>
                  <w:vAlign w:val="bottom"/>
                </w:tcPr>
                <w:p w:rsidR="0062260F" w:rsidRPr="00C70B07" w:rsidRDefault="0062260F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62260F" w:rsidRPr="00C70B07" w:rsidRDefault="0062260F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hipertireoidizam, virilizam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metabolizma i ishrane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anoreksija, pojačan apetit, smanjen apetit 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hipertrigliceridemija, hiperuricemija 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  <w:tcBorders>
                    <w:right w:val="nil"/>
                  </w:tcBorders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Psihijatrijski poremećaji</w:t>
                  </w:r>
                </w:p>
              </w:tc>
              <w:tc>
                <w:tcPr>
                  <w:tcW w:w="5529" w:type="dxa"/>
                  <w:tcBorders>
                    <w:left w:val="nil"/>
                  </w:tcBorders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depresija, nesanica, emocionalna nestabilnost 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EB20E2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suicidalne misli, agresija, smetenost, poremećaj afekta, poremećaj ponašanja, agitiranost, somnambulizam, anksioznost, prom</w:t>
                  </w:r>
                  <w:r w:rsidR="00F659C7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ene raspoloženja, nemir, nervoza, poremećaj spavanja, abnormalni snovi, apatija 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center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neuobičajeno ponašanje, depresivno raspoloženje, emocionalni poremećaj, strah, noćne more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nervnog sistema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glavobolja, nesv</w:t>
                  </w:r>
                  <w:r w:rsidR="00513DC1" w:rsidRPr="00C70B07">
                    <w:rPr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estica </w:t>
                  </w:r>
                </w:p>
              </w:tc>
            </w:tr>
            <w:tr w:rsidR="007F76AD" w:rsidRPr="00C70B07" w:rsidTr="003E3CAD">
              <w:tc>
                <w:tcPr>
                  <w:tcW w:w="3510" w:type="dxa"/>
                </w:tcPr>
                <w:p w:rsidR="007F76AD" w:rsidRPr="00C70B07" w:rsidRDefault="003E3CAD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3E3CAD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hiperkinezija, tremor, disfonija, parestezija, hipoestezija, hiperestezija, narušena koncentracija, somnolencija, poremećaj pažnje, slab kvalitet sna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</w:tcPr>
                <w:p w:rsidR="003E3CAD" w:rsidRPr="00C70B07" w:rsidRDefault="003E3CAD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neuralgija, letargija, psihomotorna hiperaktivnost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3E3C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Poremećaji na nivou oka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7F76AD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konjunktivitis, bol u oku, poremećaj vida, poremećaj suznih žl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ezda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  <w:vAlign w:val="center"/>
                </w:tcPr>
                <w:p w:rsidR="003E3CAD" w:rsidRPr="00C70B07" w:rsidRDefault="003E3CAD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krvarenje konjuktive, svrab oka, keratitis, zamagljen vid, fotofobija</w:t>
                  </w:r>
                </w:p>
              </w:tc>
            </w:tr>
            <w:tr w:rsidR="003E3CAD" w:rsidRPr="00C70B07" w:rsidTr="009A6AA5">
              <w:tc>
                <w:tcPr>
                  <w:tcW w:w="9039" w:type="dxa"/>
                  <w:gridSpan w:val="2"/>
                  <w:vAlign w:val="bottom"/>
                </w:tcPr>
                <w:p w:rsidR="003E3CAD" w:rsidRPr="00C70B07" w:rsidRDefault="008F7278" w:rsidP="009E73C6">
                  <w:pPr>
                    <w:pStyle w:val="CM30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Poremećaji na nivou uha i centra za ravnotežu </w:t>
                  </w:r>
                </w:p>
              </w:tc>
            </w:tr>
            <w:tr w:rsidR="003E3CAD" w:rsidRPr="00C70B07" w:rsidTr="009A6AA5">
              <w:tc>
                <w:tcPr>
                  <w:tcW w:w="3510" w:type="dxa"/>
                  <w:vAlign w:val="bottom"/>
                </w:tcPr>
                <w:p w:rsidR="003E3CAD" w:rsidRPr="00C70B07" w:rsidRDefault="008F7278" w:rsidP="009E73C6">
                  <w:pPr>
                    <w:pStyle w:val="CM3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3E3CAD" w:rsidRPr="00C70B07" w:rsidRDefault="008F7278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vertigo</w:t>
                  </w:r>
                </w:p>
              </w:tc>
            </w:tr>
            <w:tr w:rsidR="00101DD4" w:rsidRPr="00C70B07" w:rsidTr="00471D97">
              <w:tc>
                <w:tcPr>
                  <w:tcW w:w="9039" w:type="dxa"/>
                  <w:gridSpan w:val="2"/>
                  <w:vAlign w:val="bottom"/>
                </w:tcPr>
                <w:p w:rsidR="00101DD4" w:rsidRPr="00C70B07" w:rsidRDefault="00101DD4" w:rsidP="009E73C6">
                  <w:pPr>
                    <w:pStyle w:val="CM30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Srčani poremećeji </w:t>
                  </w:r>
                </w:p>
              </w:tc>
            </w:tr>
            <w:tr w:rsidR="00101DD4" w:rsidRPr="00C70B07" w:rsidTr="00471D97">
              <w:tc>
                <w:tcPr>
                  <w:tcW w:w="3510" w:type="dxa"/>
                  <w:vAlign w:val="bottom"/>
                </w:tcPr>
                <w:p w:rsidR="00101DD4" w:rsidRPr="00C70B07" w:rsidRDefault="00101DD4" w:rsidP="009E73C6">
                  <w:pPr>
                    <w:pStyle w:val="CM30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  <w:vAlign w:val="center"/>
                </w:tcPr>
                <w:p w:rsidR="00101DD4" w:rsidRPr="00C70B07" w:rsidRDefault="00101DD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sz w:val="22"/>
                      <w:szCs w:val="22"/>
                      <w:lang w:val="sr-Latn-ME"/>
                    </w:rPr>
                    <w:t>tahikardija, palpitacije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101DD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V</w:t>
                  </w:r>
                  <w:r w:rsidR="007F76AD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askularni poremećaji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101DD4" w:rsidP="00EB20E2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bl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edilo,</w:t>
                  </w:r>
                  <w:r w:rsidR="001E0FAA" w:rsidRPr="00C70B07" w:rsidDel="001E0FAA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crvenilo</w:t>
                  </w:r>
                </w:p>
              </w:tc>
            </w:tr>
            <w:tr w:rsidR="00101DD4" w:rsidRPr="00C70B07" w:rsidTr="009A6AA5">
              <w:tc>
                <w:tcPr>
                  <w:tcW w:w="3510" w:type="dxa"/>
                </w:tcPr>
                <w:p w:rsidR="00101DD4" w:rsidRPr="00C70B07" w:rsidRDefault="00101DD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101DD4" w:rsidRPr="00C70B07" w:rsidRDefault="00101DD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hipotenzija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101DD4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lastRenderedPageBreak/>
                    <w:t>Respiratorni, torakalni i medijastinalni poremećaji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101DD4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dispneja, tahipneja, epistaksa, kašalj, kongestija nosa, iritacija nosa, rinoreja, kijanje, faringolaringealni bol</w:t>
                  </w:r>
                </w:p>
              </w:tc>
            </w:tr>
            <w:tr w:rsidR="00101DD4" w:rsidRPr="00C70B07" w:rsidTr="009A6AA5">
              <w:tc>
                <w:tcPr>
                  <w:tcW w:w="3510" w:type="dxa"/>
                </w:tcPr>
                <w:p w:rsidR="00101DD4" w:rsidRPr="00C70B07" w:rsidRDefault="00101DD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</w:tcPr>
                <w:p w:rsidR="00101DD4" w:rsidRPr="00C70B07" w:rsidRDefault="00101DD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sviranje u grudima, nazalna nelagodnost </w:t>
                  </w:r>
                </w:p>
              </w:tc>
            </w:tr>
            <w:tr w:rsidR="00825BC4" w:rsidRPr="00C70B07" w:rsidTr="009A6AA5">
              <w:tc>
                <w:tcPr>
                  <w:tcW w:w="9039" w:type="dxa"/>
                  <w:gridSpan w:val="2"/>
                </w:tcPr>
                <w:p w:rsidR="00825BC4" w:rsidRPr="00C70B07" w:rsidRDefault="00825BC4" w:rsidP="009E73C6">
                  <w:pPr>
                    <w:pStyle w:val="CM33"/>
                    <w:spacing w:line="253" w:lineRule="atLeast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b/>
                      <w:sz w:val="22"/>
                      <w:szCs w:val="22"/>
                      <w:lang w:val="sr-Latn-ME"/>
                    </w:rPr>
                    <w:t xml:space="preserve">Gastrointestinalni poremećaji 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veoma često 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bol u abdomenu, bol u gornjem abdomenu, povraćanje, proliv, mučnina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ulceracije u ustima, ulcerozni stomatitis, stomatitis, aftozni stomatitis, dispepsija, helioza, glositis, gastroezofagealni refluks, poremećaji na nivou rektuma, poremećaji digestivnog sistema, konstipacija, mekane stolice, zubobolja, poremećaji zuba, nelagodnost u stomaku, bol u ustima 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gingivitis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825BC4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jetre i žuči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često 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poremećaj funkcije jetre 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povremeno 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hepatomegalija 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kože i potkožnog tkiva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825BC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alopecija, osip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825BC4" w:rsidP="002875FC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pruritus, fotosenz</w:t>
                  </w:r>
                  <w:r w:rsidR="002875F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itivna reakcija, makulopapularna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2875F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ospa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 ekcem, hiperhidroza, akne, poremećaj kože, poremećaj noktiju, poremećaj boje kože, suva koža, eritem, modrice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poremećaj pigmentacije, atopijski dermatitis, eksfolijacija kože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825BC4" w:rsidRPr="00C70B07" w:rsidRDefault="00825BC4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mišićno-koštanog</w:t>
                  </w:r>
                </w:p>
                <w:p w:rsidR="007F76AD" w:rsidRPr="00C70B07" w:rsidRDefault="00825BC4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sistema i vezivnog tkiva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825BC4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825BC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artralgija, mialgija, bol u mišićima/kostima</w:t>
                  </w:r>
                </w:p>
              </w:tc>
            </w:tr>
            <w:tr w:rsidR="00825BC4" w:rsidRPr="00C70B07" w:rsidTr="009A6AA5">
              <w:tc>
                <w:tcPr>
                  <w:tcW w:w="3510" w:type="dxa"/>
                </w:tcPr>
                <w:p w:rsidR="00825BC4" w:rsidRPr="00C70B07" w:rsidRDefault="00825BC4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825BC4" w:rsidRPr="00C70B07" w:rsidRDefault="00825BC4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bol u ekstremitetima, bol u le</w:t>
                  </w:r>
                  <w:r w:rsidR="009E73C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đ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ima, zgrčenost mišića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bubrega i urinarnog sistema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AD5B6C" w:rsidRPr="00C70B07" w:rsidRDefault="00AD5B6C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Enureza, poremećaji mokrenja, urinarna inkontinencija,</w:t>
                  </w:r>
                </w:p>
                <w:p w:rsidR="007F76AD" w:rsidRPr="00C70B07" w:rsidRDefault="00AD5B6C" w:rsidP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proteinurija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9E73C6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b/>
                      <w:bCs/>
                      <w:noProof w:val="0"/>
                      <w:sz w:val="22"/>
                      <w:szCs w:val="22"/>
                      <w:lang w:val="sr-Latn-ME" w:eastAsia="ja-JP"/>
                    </w:rPr>
                    <w:t>Poreme</w:t>
                  </w:r>
                  <w:r w:rsidRPr="00C70B07">
                    <w:rPr>
                      <w:rFonts w:ascii="Times New Roman" w:eastAsia="TimesNewRoman,Bold" w:hAnsi="Times New Roman"/>
                      <w:b/>
                      <w:bCs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b/>
                      <w:bCs/>
                      <w:noProof w:val="0"/>
                      <w:sz w:val="22"/>
                      <w:szCs w:val="22"/>
                      <w:lang w:val="sr-Latn-ME" w:eastAsia="ja-JP"/>
                    </w:rPr>
                    <w:t>aji reproduktivnog sistema i na nivou dojki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žene: amenoreja, menoragija, menstrualni poreme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aj,</w:t>
                  </w:r>
                </w:p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vaginalni poreme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aj,</w:t>
                  </w:r>
                </w:p>
                <w:p w:rsidR="007F76AD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muškarci: bol u testisima</w:t>
                  </w:r>
                </w:p>
              </w:tc>
            </w:tr>
            <w:tr w:rsidR="009E73C6" w:rsidRPr="00C70B07" w:rsidTr="009A6AA5">
              <w:tc>
                <w:tcPr>
                  <w:tcW w:w="3510" w:type="dxa"/>
                </w:tcPr>
                <w:p w:rsidR="009E73C6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žene: dismenoreja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Opšti poremećaji i reakcije na </w:t>
                  </w:r>
                </w:p>
                <w:p w:rsidR="007F76AD" w:rsidRPr="00C70B07" w:rsidRDefault="007F76AD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m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estu prim</w:t>
                  </w:r>
                  <w:r w:rsidR="00F659C7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ene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zapaljenje na 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prim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injekcije, reakcije na 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</w:t>
                  </w:r>
                </w:p>
                <w:p w:rsidR="009E73C6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prim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injekcije, eritem na 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prim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injekcije, bol na</w:t>
                  </w:r>
                  <w:r w:rsidR="0045509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 prim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injekcije, umor, ukočenost, pireksija,</w:t>
                  </w:r>
                </w:p>
                <w:p w:rsidR="007F76AD" w:rsidRPr="00C70B07" w:rsidRDefault="009E73C6" w:rsidP="00EB20E2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simptomi nalik gripu, astenija, opšta</w:t>
                  </w:r>
                  <w:r w:rsidR="00EB20E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slabost, razdražljivost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7F76AD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bol u grudnom košu, edem, </w:t>
                  </w:r>
                  <w:r w:rsidR="00EB20E2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bol, 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svrab na 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estu prim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ene</w:t>
                  </w:r>
                </w:p>
                <w:p w:rsidR="007F76AD" w:rsidRPr="00C70B07" w:rsidRDefault="009E73C6" w:rsidP="0045509F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injekcije, osip na 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estu prim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ene injekcije, suvo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 na 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estu</w:t>
                  </w:r>
                  <w:r w:rsidR="0045509F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prim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ene injekcije, os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aj hladno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</w:t>
                  </w:r>
                </w:p>
              </w:tc>
            </w:tr>
            <w:tr w:rsidR="009E73C6" w:rsidRPr="00C70B07" w:rsidTr="009A6AA5">
              <w:tc>
                <w:tcPr>
                  <w:tcW w:w="3510" w:type="dxa"/>
                </w:tcPr>
                <w:p w:rsidR="009E73C6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nelagodnost u grudima, bol na licu, tvrdoća na 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estu</w:t>
                  </w:r>
                </w:p>
                <w:p w:rsidR="009E73C6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prim</w:t>
                  </w:r>
                  <w:r w:rsidR="00F659C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ene injekcije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9E73C6" w:rsidP="009E73C6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b/>
                      <w:bCs/>
                      <w:noProof w:val="0"/>
                      <w:sz w:val="22"/>
                      <w:szCs w:val="22"/>
                      <w:lang w:val="sr-Latn-ME" w:eastAsia="ja-JP"/>
                    </w:rPr>
                    <w:t>Laboratorijska ispitivanja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veoma često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usporena stopa rasta (smanjenje t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elesne visine i/ili mase za</w:t>
                  </w:r>
                </w:p>
                <w:p w:rsidR="007F76AD" w:rsidRPr="00C70B07" w:rsidRDefault="009E73C6" w:rsidP="009E73C6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uzrast)</w:t>
                  </w:r>
                </w:p>
              </w:tc>
            </w:tr>
            <w:tr w:rsidR="009E73C6" w:rsidRPr="00C70B07" w:rsidTr="009A6AA5">
              <w:tc>
                <w:tcPr>
                  <w:tcW w:w="3510" w:type="dxa"/>
                </w:tcPr>
                <w:p w:rsidR="009E73C6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lastRenderedPageBreak/>
                    <w:t>često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pove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ane vr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ednosti tireostimuliraju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eg hormona u krvi,</w:t>
                  </w:r>
                </w:p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pove</w:t>
                  </w:r>
                  <w:r w:rsidRPr="00C70B07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ane vr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ednosti tireoglobulina</w:t>
                  </w:r>
                </w:p>
              </w:tc>
            </w:tr>
            <w:tr w:rsidR="009E73C6" w:rsidRPr="00C70B07" w:rsidTr="009A6AA5">
              <w:tc>
                <w:tcPr>
                  <w:tcW w:w="3510" w:type="dxa"/>
                </w:tcPr>
                <w:p w:rsidR="009E73C6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 w:rsidP="009E73C6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antitireoidna antit</w:t>
                  </w:r>
                  <w:r w:rsidR="00F659C7"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ela pozitivna</w:t>
                  </w:r>
                </w:p>
              </w:tc>
            </w:tr>
            <w:tr w:rsidR="007F76AD" w:rsidRPr="00C70B07" w:rsidTr="009A6AA5">
              <w:tc>
                <w:tcPr>
                  <w:tcW w:w="9039" w:type="dxa"/>
                  <w:gridSpan w:val="2"/>
                </w:tcPr>
                <w:p w:rsidR="007F76AD" w:rsidRPr="00C70B07" w:rsidRDefault="009E73C6" w:rsidP="009E73C6">
                  <w:pPr>
                    <w:adjustRightInd w:val="0"/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b/>
                      <w:bCs/>
                      <w:noProof w:val="0"/>
                      <w:sz w:val="22"/>
                      <w:szCs w:val="22"/>
                      <w:lang w:val="sr-Latn-ME" w:eastAsia="ja-JP"/>
                    </w:rPr>
                    <w:t>Povrede, trovanja i medicinske procedure</w:t>
                  </w:r>
                </w:p>
              </w:tc>
            </w:tr>
            <w:tr w:rsidR="007F76AD" w:rsidRPr="00C70B07" w:rsidTr="009A6AA5">
              <w:tc>
                <w:tcPr>
                  <w:tcW w:w="3510" w:type="dxa"/>
                </w:tcPr>
                <w:p w:rsidR="007F76AD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često</w:t>
                  </w:r>
                </w:p>
              </w:tc>
              <w:tc>
                <w:tcPr>
                  <w:tcW w:w="5529" w:type="dxa"/>
                </w:tcPr>
                <w:p w:rsidR="007F76AD" w:rsidRPr="00C70B07" w:rsidRDefault="009E73C6" w:rsidP="009E73C6">
                  <w:pPr>
                    <w:adjustRightInd w:val="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laceracija kože</w:t>
                  </w:r>
                </w:p>
              </w:tc>
            </w:tr>
            <w:tr w:rsidR="009E73C6" w:rsidRPr="00C70B07" w:rsidTr="009A6AA5">
              <w:tc>
                <w:tcPr>
                  <w:tcW w:w="3510" w:type="dxa"/>
                </w:tcPr>
                <w:p w:rsidR="009E73C6" w:rsidRPr="00C70B07" w:rsidRDefault="009E73C6" w:rsidP="00F108BA">
                  <w:pPr>
                    <w:pStyle w:val="Default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color w:val="auto"/>
                      <w:sz w:val="22"/>
                      <w:szCs w:val="22"/>
                      <w:lang w:val="sr-Latn-ME"/>
                    </w:rPr>
                    <w:t>povremeno</w:t>
                  </w:r>
                </w:p>
              </w:tc>
              <w:tc>
                <w:tcPr>
                  <w:tcW w:w="5529" w:type="dxa"/>
                </w:tcPr>
                <w:p w:rsidR="009E73C6" w:rsidRPr="00C70B07" w:rsidRDefault="009E73C6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kontuzija</w:t>
                  </w:r>
                </w:p>
              </w:tc>
            </w:tr>
          </w:tbl>
          <w:p w:rsidR="000F4E4A" w:rsidRPr="00C70B07" w:rsidRDefault="000F4E4A" w:rsidP="000F4E4A">
            <w:p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F4E4A" w:rsidRPr="00C70B07" w:rsidRDefault="000F4E4A" w:rsidP="006B6A0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97D74" w:rsidRPr="00C70B07" w:rsidRDefault="00016EFC" w:rsidP="0045509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ina prom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vr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laboratorijskih ispitivanja u toku Rebetol/peginterferon alfa-2b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kih ispitivanja su</w:t>
            </w:r>
            <w:r w:rsidR="0045509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bila blaga do um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erena. Smanjenje hemoglobina, b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elih krvnih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elija, plo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ica, neutrofila, i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 bilirubina</w:t>
            </w:r>
            <w:r w:rsidR="0045509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može zaht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evati smanjenje doze ili trajno ukidanje terapije (vid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eti </w:t>
            </w:r>
            <w:r w:rsidR="001A7E8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poglavlje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4.2). Prom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u laboratorijskim</w:t>
            </w:r>
            <w:r w:rsidR="0045509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vr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ednostima prim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su kod nekih pacijenata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 u kombinaciji sa peginterferonom alfa-2b</w:t>
            </w:r>
            <w:r w:rsidR="0045509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kim ispitivanjima, iste vr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su se vratile na osnovne nakon nekoliko ned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od završetka l</w:t>
            </w:r>
            <w:r w:rsidR="00F659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</w:t>
            </w:r>
          </w:p>
          <w:p w:rsidR="004D361F" w:rsidRPr="00C70B07" w:rsidRDefault="004D361F" w:rsidP="004D361F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4D361F" w:rsidRPr="00C70B07" w:rsidRDefault="004D361F" w:rsidP="004D361F">
            <w:pPr>
              <w:pStyle w:val="Header"/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Prijavljivanje sumnji na neželjene reakcije</w:t>
            </w:r>
          </w:p>
          <w:p w:rsidR="00E97D74" w:rsidRPr="00C70B07" w:rsidRDefault="004D361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Prijavljivanje sumnji na neželjene reakcije nakon </w:t>
            </w:r>
            <w:r w:rsidR="0045509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stavljanja 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l</w:t>
            </w:r>
            <w:r w:rsidR="00F659C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eka</w:t>
            </w:r>
            <w:r w:rsidR="0045509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u promet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je važno. Omogućava neprekidno praćenje </w:t>
            </w:r>
            <w:r w:rsidR="0045509F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odnosa 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koristi i rizika od prim</w:t>
            </w:r>
            <w:r w:rsidR="00F659C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ene l</w:t>
            </w:r>
            <w:r w:rsidR="00F659C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eka. Mole se zdravstveni radnici da prijave svaku sumnju na neželjenu reakciju nacionalnom centru za farmakovigilancu.</w:t>
            </w:r>
            <w:r w:rsidR="00AF7078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</w:t>
            </w:r>
          </w:p>
          <w:p w:rsidR="0045509F" w:rsidRPr="00C70B07" w:rsidRDefault="0045509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Agencija za ljekove i medicinska sredstva Crne Gore</w:t>
            </w:r>
          </w:p>
          <w:p w:rsidR="0045509F" w:rsidRPr="00C70B07" w:rsidRDefault="0045509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Bulevar Ivana Crnojevića 64/a</w:t>
            </w:r>
          </w:p>
          <w:p w:rsidR="0045509F" w:rsidRPr="00C70B07" w:rsidRDefault="0045509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Tel: + 381 20 310 280</w:t>
            </w:r>
          </w:p>
          <w:p w:rsidR="0045509F" w:rsidRPr="00C70B07" w:rsidRDefault="0045509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Fax: + 381 20 310 581</w:t>
            </w:r>
          </w:p>
          <w:p w:rsidR="0045509F" w:rsidRPr="00C70B07" w:rsidRDefault="00C664A7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hyperlink r:id="rId9" w:history="1">
              <w:r w:rsidR="0045509F" w:rsidRPr="00C70B07">
                <w:rPr>
                  <w:rStyle w:val="Hyperlink"/>
                  <w:rFonts w:ascii="Times New Roman" w:hAnsi="Times New Roman"/>
                  <w:sz w:val="22"/>
                  <w:szCs w:val="22"/>
                  <w:lang w:val="sr-Latn-ME" w:eastAsia="en-US"/>
                </w:rPr>
                <w:t>nezeljenadejstva@calims.me</w:t>
              </w:r>
            </w:hyperlink>
          </w:p>
          <w:p w:rsidR="0045509F" w:rsidRPr="00C70B07" w:rsidRDefault="0045509F" w:rsidP="0045509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Putem IS zdravstvene zaštite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15178C" w:rsidRPr="00C70B07" w:rsidRDefault="0015178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</w:p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4.9. Predoziranje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26225E" w:rsidRPr="00C70B07" w:rsidRDefault="0026225E" w:rsidP="0026225E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  <w:t>Trojna terapija</w:t>
            </w:r>
          </w:p>
          <w:p w:rsidR="0026225E" w:rsidRPr="00C70B07" w:rsidRDefault="0026225E" w:rsidP="0026225E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Proučiti sažetak karakteristika l</w:t>
            </w:r>
            <w:r w:rsidR="00F659C7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eka za boceprevir.</w:t>
            </w:r>
          </w:p>
          <w:p w:rsidR="0026225E" w:rsidRPr="00C70B07" w:rsidRDefault="0026225E" w:rsidP="0026225E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</w:pPr>
          </w:p>
          <w:p w:rsidR="0026225E" w:rsidRPr="00C70B07" w:rsidRDefault="0026225E" w:rsidP="0026225E">
            <w:pPr>
              <w:tabs>
                <w:tab w:val="clear" w:pos="284"/>
              </w:tabs>
              <w:jc w:val="lef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  <w:t>Dvojna terapija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</w:p>
          <w:p w:rsidR="00E97D74" w:rsidRPr="00C70B07" w:rsidRDefault="00A45C13" w:rsidP="00CD2585">
            <w:pPr>
              <w:pStyle w:val="CM27"/>
              <w:spacing w:line="253" w:lineRule="atLeast"/>
              <w:rPr>
                <w:sz w:val="22"/>
                <w:szCs w:val="22"/>
                <w:lang w:val="sr-Latn-ME" w:eastAsia="en-US"/>
              </w:rPr>
            </w:pPr>
            <w:r w:rsidRPr="00C70B07">
              <w:rPr>
                <w:sz w:val="22"/>
                <w:szCs w:val="22"/>
                <w:lang w:val="sr-Latn-ME"/>
              </w:rPr>
              <w:t>U kliničkim ispitivanjima</w:t>
            </w:r>
            <w:r w:rsidR="0015178C" w:rsidRPr="00C70B07">
              <w:rPr>
                <w:sz w:val="22"/>
                <w:szCs w:val="22"/>
                <w:lang w:val="sr-Latn-ME"/>
              </w:rPr>
              <w:t xml:space="preserve">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15178C" w:rsidRPr="00C70B07">
              <w:rPr>
                <w:sz w:val="22"/>
                <w:szCs w:val="22"/>
                <w:lang w:val="sr-Latn-ME"/>
              </w:rPr>
              <w:t>eka</w:t>
            </w:r>
            <w:r w:rsidRPr="00C70B07">
              <w:rPr>
                <w:sz w:val="22"/>
                <w:szCs w:val="22"/>
                <w:lang w:val="sr-Latn-ME"/>
              </w:rPr>
              <w:t xml:space="preserve"> Rebetol</w:t>
            </w:r>
            <w:r w:rsidR="0015178C" w:rsidRPr="00C70B07">
              <w:rPr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sz w:val="22"/>
                <w:szCs w:val="22"/>
                <w:lang w:val="sr-Latn-ME"/>
              </w:rPr>
              <w:t>u kombinaciji sa peginterferonom alfa-2b ili interferonom alfa-2b, najveće zab</w:t>
            </w:r>
            <w:r w:rsidR="00F659C7" w:rsidRPr="00C70B07">
              <w:rPr>
                <w:sz w:val="22"/>
                <w:szCs w:val="22"/>
                <w:lang w:val="sr-Latn-ME"/>
              </w:rPr>
              <w:t>ilj</w:t>
            </w:r>
            <w:r w:rsidRPr="00C70B07">
              <w:rPr>
                <w:sz w:val="22"/>
                <w:szCs w:val="22"/>
                <w:lang w:val="sr-Latn-ME"/>
              </w:rPr>
              <w:t xml:space="preserve">eženo predoziranje iznosilo je 10 g </w:t>
            </w:r>
            <w:r w:rsidR="0015178C" w:rsidRPr="00C70B07">
              <w:rPr>
                <w:sz w:val="22"/>
                <w:szCs w:val="22"/>
                <w:lang w:val="sr-Latn-ME"/>
              </w:rPr>
              <w:t>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15178C" w:rsidRPr="00C70B07">
              <w:rPr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sz w:val="22"/>
                <w:szCs w:val="22"/>
                <w:lang w:val="sr-Latn-ME"/>
              </w:rPr>
              <w:t>Rebetol (50 kapsula od 200 mg) i 39 mil.</w:t>
            </w:r>
            <w:r w:rsidR="00BC2910" w:rsidRPr="00C70B07">
              <w:rPr>
                <w:sz w:val="22"/>
                <w:szCs w:val="22"/>
                <w:lang w:val="sr-Latn-ME"/>
              </w:rPr>
              <w:t>i.j.</w:t>
            </w:r>
            <w:r w:rsidRPr="00C70B07">
              <w:rPr>
                <w:sz w:val="22"/>
                <w:szCs w:val="22"/>
                <w:lang w:val="sr-Latn-ME"/>
              </w:rPr>
              <w:t xml:space="preserve"> interferona alfa-2b (13 subkutanih injekcija od 3 mil.</w:t>
            </w:r>
            <w:r w:rsidR="00BC2910" w:rsidRPr="00C70B07">
              <w:rPr>
                <w:sz w:val="22"/>
                <w:szCs w:val="22"/>
                <w:lang w:val="sr-Latn-ME"/>
              </w:rPr>
              <w:t>i.j.</w:t>
            </w:r>
            <w:r w:rsidRPr="00C70B07">
              <w:rPr>
                <w:sz w:val="22"/>
                <w:szCs w:val="22"/>
                <w:lang w:val="sr-Latn-ME"/>
              </w:rPr>
              <w:t>) koje je pacijent uzeo u jednom danu u pokušaju samoubistva. Pacijent je bio pod nadzorom l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ekara dva dana u intenzivnoj jedinici. Za to vr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eme ni</w:t>
            </w:r>
            <w:r w:rsidR="00F659C7" w:rsidRPr="00C70B07">
              <w:rPr>
                <w:sz w:val="22"/>
                <w:szCs w:val="22"/>
                <w:lang w:val="sr-Latn-ME"/>
              </w:rPr>
              <w:t>je</w:t>
            </w:r>
            <w:r w:rsidRPr="00C70B07">
              <w:rPr>
                <w:sz w:val="22"/>
                <w:szCs w:val="22"/>
                <w:lang w:val="sr-Latn-ME"/>
              </w:rPr>
              <w:t>su bila prim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 xml:space="preserve">ećena neželjena dejstva zbog predoziranja. </w:t>
            </w:r>
          </w:p>
          <w:p w:rsidR="00E97D74" w:rsidRPr="00C70B07" w:rsidRDefault="00E97D7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5. FARMAKOLOŠKI PODACI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5.1. Farmakodinamski podaci</w:t>
            </w:r>
          </w:p>
        </w:tc>
      </w:tr>
      <w:tr w:rsidR="00834DBB" w:rsidRPr="00C70B07">
        <w:trPr>
          <w:trHeight w:val="576"/>
        </w:trPr>
        <w:tc>
          <w:tcPr>
            <w:tcW w:w="2808" w:type="dxa"/>
            <w:gridSpan w:val="3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Farmakoterapijska grupa:</w:t>
            </w:r>
          </w:p>
        </w:tc>
        <w:tc>
          <w:tcPr>
            <w:tcW w:w="7380" w:type="dxa"/>
            <w:vAlign w:val="center"/>
          </w:tcPr>
          <w:p w:rsidR="00834DBB" w:rsidRPr="00C70B07" w:rsidRDefault="00C904B0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antivirotici koji d</w:t>
            </w:r>
            <w:r w:rsidR="00F659C7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</w:t>
            </w:r>
            <w:r w:rsidR="004C509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eluju direktno, nukleozidi i nukleotidi (osim inhibitora reverzne transkriptaze)</w:t>
            </w:r>
          </w:p>
        </w:tc>
      </w:tr>
      <w:tr w:rsidR="00834DBB" w:rsidRPr="00C70B07">
        <w:trPr>
          <w:trHeight w:val="542"/>
        </w:trPr>
        <w:tc>
          <w:tcPr>
            <w:tcW w:w="1188" w:type="dxa"/>
            <w:gridSpan w:val="2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ATC kod:</w:t>
            </w:r>
          </w:p>
        </w:tc>
        <w:tc>
          <w:tcPr>
            <w:tcW w:w="9000" w:type="dxa"/>
            <w:gridSpan w:val="2"/>
            <w:vAlign w:val="center"/>
          </w:tcPr>
          <w:p w:rsidR="00834DBB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J05AB04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26225E" w:rsidRPr="00C70B07" w:rsidRDefault="0026225E" w:rsidP="0026225E">
            <w:pPr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Mehanizam dejstva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 xml:space="preserve">Ribavirin (Rebetol) je sintetski analog nukleozida koji se pokazao efikasnim protiv nekih </w:t>
            </w:r>
            <w:r w:rsidR="006E6483" w:rsidRPr="00C70B07">
              <w:rPr>
                <w:sz w:val="22"/>
                <w:szCs w:val="22"/>
                <w:lang w:val="sr-Latn-ME"/>
              </w:rPr>
              <w:t xml:space="preserve">RNK </w:t>
            </w:r>
            <w:r w:rsidRPr="00C70B07">
              <w:rPr>
                <w:sz w:val="22"/>
                <w:szCs w:val="22"/>
                <w:lang w:val="sr-Latn-ME"/>
              </w:rPr>
              <w:t xml:space="preserve">i DNA virusa 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>in vitro</w:t>
            </w:r>
            <w:r w:rsidRPr="00C70B07">
              <w:rPr>
                <w:sz w:val="22"/>
                <w:szCs w:val="22"/>
                <w:lang w:val="sr-Latn-ME"/>
              </w:rPr>
              <w:t>. Nije poznat mehanizam d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elovanja Rebetola u kombinaciji sa peginterferonom alfa-2b ili interferonom alfa</w:t>
            </w:r>
            <w:r w:rsidRPr="00C70B07">
              <w:rPr>
                <w:sz w:val="22"/>
                <w:szCs w:val="22"/>
                <w:lang w:val="sr-Latn-ME"/>
              </w:rPr>
              <w:softHyphen/>
              <w:t xml:space="preserve">2b na HCV. Oralni oblici Rebetola ispitivani su u nekoliko kliničkih ispitivanja kao monoterapija za hronični hepatitis C. Rezultati tih ispitivanja pokazali su da monoterapija Rebetolom nije imala dejstvo na uklanjanje </w:t>
            </w:r>
            <w:r w:rsidRPr="00C70B07">
              <w:rPr>
                <w:sz w:val="22"/>
                <w:szCs w:val="22"/>
                <w:lang w:val="sr-Latn-ME"/>
              </w:rPr>
              <w:lastRenderedPageBreak/>
              <w:t>virusa hepatitisa (HCV-</w:t>
            </w:r>
            <w:r w:rsidR="006E6483" w:rsidRPr="00C70B07">
              <w:rPr>
                <w:sz w:val="22"/>
                <w:szCs w:val="22"/>
                <w:lang w:val="sr-Latn-ME"/>
              </w:rPr>
              <w:t>RNK</w:t>
            </w:r>
            <w:r w:rsidRPr="00C70B07">
              <w:rPr>
                <w:sz w:val="22"/>
                <w:szCs w:val="22"/>
                <w:lang w:val="sr-Latn-ME"/>
              </w:rPr>
              <w:t>) ili poboljšanje histološkog stanja jetre nakon 6 do 12 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eseci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i 6 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 xml:space="preserve">eseci praćenja. 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pStyle w:val="CM29"/>
              <w:spacing w:line="253" w:lineRule="atLeast"/>
              <w:rPr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sz w:val="22"/>
                <w:szCs w:val="22"/>
                <w:u w:val="single"/>
                <w:lang w:val="sr-Latn-ME"/>
              </w:rPr>
              <w:t>Klinička ispitivanja</w:t>
            </w:r>
            <w:r w:rsidR="000E1714" w:rsidRPr="00C70B07">
              <w:rPr>
                <w:sz w:val="22"/>
                <w:szCs w:val="22"/>
                <w:u w:val="single"/>
                <w:lang w:val="sr-Latn-ME"/>
              </w:rPr>
              <w:t xml:space="preserve"> efikasnosti i bezb</w:t>
            </w:r>
            <w:r w:rsidR="00F659C7" w:rsidRPr="00C70B07">
              <w:rPr>
                <w:sz w:val="22"/>
                <w:szCs w:val="22"/>
                <w:u w:val="single"/>
                <w:lang w:val="sr-Latn-ME"/>
              </w:rPr>
              <w:t>j</w:t>
            </w:r>
            <w:r w:rsidR="000E1714" w:rsidRPr="00C70B07">
              <w:rPr>
                <w:sz w:val="22"/>
                <w:szCs w:val="22"/>
                <w:u w:val="single"/>
                <w:lang w:val="sr-Latn-ME"/>
              </w:rPr>
              <w:t>ednosti l</w:t>
            </w:r>
            <w:r w:rsidR="00F659C7" w:rsidRPr="00C70B07">
              <w:rPr>
                <w:sz w:val="22"/>
                <w:szCs w:val="22"/>
                <w:u w:val="single"/>
                <w:lang w:val="sr-Latn-ME"/>
              </w:rPr>
              <w:t>ij</w:t>
            </w:r>
            <w:r w:rsidR="000E1714" w:rsidRPr="00C70B07">
              <w:rPr>
                <w:sz w:val="22"/>
                <w:szCs w:val="22"/>
                <w:u w:val="single"/>
                <w:lang w:val="sr-Latn-ME"/>
              </w:rPr>
              <w:t>eka</w:t>
            </w:r>
            <w:r w:rsidRPr="00C70B07">
              <w:rPr>
                <w:sz w:val="22"/>
                <w:szCs w:val="22"/>
                <w:u w:val="single"/>
                <w:lang w:val="sr-Latn-ME"/>
              </w:rPr>
              <w:t xml:space="preserve"> Rebetola kod odraslih</w:t>
            </w:r>
            <w:r w:rsidR="000E1714" w:rsidRPr="00C70B07">
              <w:rPr>
                <w:sz w:val="22"/>
                <w:szCs w:val="22"/>
                <w:u w:val="single"/>
                <w:lang w:val="sr-Latn-ME"/>
              </w:rPr>
              <w:t xml:space="preserve"> ispitanika</w:t>
            </w:r>
            <w:r w:rsidRPr="00C70B07">
              <w:rPr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:rsidR="002D6DC8" w:rsidRPr="00C70B07" w:rsidRDefault="002D6DC8" w:rsidP="002D6DC8">
            <w:pPr>
              <w:pStyle w:val="Defaul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Trojna terapija</w:t>
            </w:r>
          </w:p>
          <w:p w:rsidR="002D6DC8" w:rsidRPr="00C70B07" w:rsidRDefault="002D6DC8" w:rsidP="002D6DC8">
            <w:pPr>
              <w:pStyle w:val="Defaul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 xml:space="preserve">Proučiti </w:t>
            </w:r>
            <w:r w:rsidR="00245A2D" w:rsidRPr="00C70B07">
              <w:rPr>
                <w:sz w:val="22"/>
                <w:szCs w:val="22"/>
                <w:lang w:val="sr-Latn-ME"/>
              </w:rPr>
              <w:t>S</w:t>
            </w:r>
            <w:r w:rsidRPr="00C70B07">
              <w:rPr>
                <w:sz w:val="22"/>
                <w:szCs w:val="22"/>
                <w:lang w:val="sr-Latn-ME"/>
              </w:rPr>
              <w:t>ažetak karakteristika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eka za boceprevir.</w:t>
            </w:r>
          </w:p>
          <w:p w:rsidR="002D6DC8" w:rsidRPr="00C70B07" w:rsidRDefault="002D6DC8" w:rsidP="002D6DC8">
            <w:pPr>
              <w:pStyle w:val="Default"/>
              <w:rPr>
                <w:sz w:val="22"/>
                <w:szCs w:val="22"/>
                <w:lang w:val="sr-Latn-ME"/>
              </w:rPr>
            </w:pPr>
          </w:p>
          <w:p w:rsidR="002D6DC8" w:rsidRPr="00C70B07" w:rsidRDefault="002D6DC8" w:rsidP="002D6DC8">
            <w:pPr>
              <w:pStyle w:val="Defaul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 xml:space="preserve">Dvojna terapija </w:t>
            </w:r>
          </w:p>
          <w:p w:rsidR="00880048" w:rsidRPr="00C70B07" w:rsidRDefault="00880048" w:rsidP="00880048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Prim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 xml:space="preserve">ena </w:t>
            </w:r>
            <w:r w:rsidR="006969D5" w:rsidRPr="00C70B07">
              <w:rPr>
                <w:sz w:val="22"/>
                <w:szCs w:val="22"/>
                <w:lang w:val="sr-Latn-ME"/>
              </w:rPr>
              <w:t>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6969D5" w:rsidRPr="00C70B07">
              <w:rPr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sz w:val="22"/>
                <w:szCs w:val="22"/>
                <w:lang w:val="sr-Latn-ME"/>
              </w:rPr>
              <w:t>Rebetol</w:t>
            </w:r>
            <w:r w:rsidR="00E83CD0" w:rsidRPr="00C70B07">
              <w:rPr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sz w:val="22"/>
                <w:szCs w:val="22"/>
                <w:lang w:val="sr-Latn-ME"/>
              </w:rPr>
              <w:t>u kombinaciji sa peginterferonom alfa-2b ili interferonom alfa-2b istraživana je u nekoliko kliničkih ispitivanja. Pogodni ispitanici za ova ispitivanja imali su hronični hepatitis C potvr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>en pozitivnim nalazom HCV-</w:t>
            </w:r>
            <w:r w:rsidR="006969D5" w:rsidRPr="00C70B07">
              <w:rPr>
                <w:sz w:val="22"/>
                <w:szCs w:val="22"/>
                <w:lang w:val="sr-Latn-ME"/>
              </w:rPr>
              <w:t xml:space="preserve">RNK </w:t>
            </w:r>
            <w:r w:rsidRPr="00C70B07">
              <w:rPr>
                <w:sz w:val="22"/>
                <w:szCs w:val="22"/>
                <w:lang w:val="sr-Latn-ME"/>
              </w:rPr>
              <w:t xml:space="preserve">pomoću lančane reakcije polimerazom (PCR) (&gt;30 </w:t>
            </w:r>
            <w:r w:rsidR="00BC2910" w:rsidRPr="00C70B07">
              <w:rPr>
                <w:sz w:val="22"/>
                <w:szCs w:val="22"/>
                <w:lang w:val="sr-Latn-ME"/>
              </w:rPr>
              <w:t>i.j.</w:t>
            </w:r>
            <w:r w:rsidRPr="00C70B07">
              <w:rPr>
                <w:sz w:val="22"/>
                <w:szCs w:val="22"/>
                <w:lang w:val="sr-Latn-ME"/>
              </w:rPr>
              <w:t xml:space="preserve">/ml), nalaz biopsije jetre koji je odgovarao patohistološkoj dijagnozi hroničnog hepatitisa bez nekog drugog mogućeg uzroka hroničnog hepatitisa, i povišenu koncentraciju serumske ALT. 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pStyle w:val="CM1"/>
              <w:rPr>
                <w:sz w:val="22"/>
                <w:szCs w:val="22"/>
                <w:lang w:val="sr-Latn-ME"/>
              </w:rPr>
            </w:pPr>
            <w:r w:rsidRPr="00C70B07">
              <w:rPr>
                <w:i/>
                <w:iCs/>
                <w:sz w:val="22"/>
                <w:szCs w:val="22"/>
                <w:lang w:val="sr-Latn-ME"/>
              </w:rPr>
              <w:t>Prethodno nel</w:t>
            </w:r>
            <w:r w:rsidR="00F659C7" w:rsidRPr="00C70B07">
              <w:rPr>
                <w:i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>e</w:t>
            </w:r>
            <w:r w:rsidRPr="00C70B07">
              <w:rPr>
                <w:i/>
                <w:sz w:val="22"/>
                <w:szCs w:val="22"/>
                <w:lang w:val="sr-Latn-ME"/>
              </w:rPr>
              <w:t>č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 xml:space="preserve">eni pacijenti </w:t>
            </w:r>
          </w:p>
          <w:p w:rsidR="00880048" w:rsidRPr="00C70B07" w:rsidRDefault="00880048" w:rsidP="00880048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U tri klinička ispitivanja proučavana je prim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ena interferona kod prethodno nel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ečenih pacijenata, i to prim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ena</w:t>
            </w:r>
            <w:r w:rsidR="00036314" w:rsidRPr="00C70B07">
              <w:rPr>
                <w:sz w:val="22"/>
                <w:szCs w:val="22"/>
                <w:lang w:val="sr-Latn-ME"/>
              </w:rPr>
              <w:t xml:space="preserve">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036314" w:rsidRPr="00C70B07">
              <w:rPr>
                <w:sz w:val="22"/>
                <w:szCs w:val="22"/>
                <w:lang w:val="sr-Latn-ME"/>
              </w:rPr>
              <w:t>eka</w:t>
            </w:r>
            <w:r w:rsidRPr="00C70B07">
              <w:rPr>
                <w:sz w:val="22"/>
                <w:szCs w:val="22"/>
                <w:lang w:val="sr-Latn-ME"/>
              </w:rPr>
              <w:t xml:space="preserve"> Rebetol u kombinaciji sa interferonom alfa-2b (C95-132 i I95-143), a u jednom prim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ena</w:t>
            </w:r>
            <w:r w:rsidR="00036314" w:rsidRPr="00C70B07">
              <w:rPr>
                <w:sz w:val="22"/>
                <w:szCs w:val="22"/>
                <w:lang w:val="sr-Latn-ME"/>
              </w:rPr>
              <w:t xml:space="preserve">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036314" w:rsidRPr="00C70B07">
              <w:rPr>
                <w:sz w:val="22"/>
                <w:szCs w:val="22"/>
                <w:lang w:val="sr-Latn-ME"/>
              </w:rPr>
              <w:t>eka</w:t>
            </w:r>
            <w:r w:rsidRPr="00C70B07">
              <w:rPr>
                <w:sz w:val="22"/>
                <w:szCs w:val="22"/>
                <w:lang w:val="sr-Latn-ME"/>
              </w:rPr>
              <w:t xml:space="preserve"> Rebetol u kombinaciji sa peginterferonom alfa-2b (C/I98-580). U svim slučajevima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je sprovo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>eno tokom godinu dana, uz 6 m</w:t>
            </w:r>
            <w:r w:rsidR="00F659C7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 xml:space="preserve">eseci praćenja. </w:t>
            </w:r>
            <w:r w:rsidR="00824D92" w:rsidRPr="00C70B07">
              <w:rPr>
                <w:sz w:val="22"/>
                <w:szCs w:val="22"/>
                <w:lang w:val="sr-Latn-ME"/>
              </w:rPr>
              <w:t>Stabilni</w:t>
            </w:r>
            <w:r w:rsidRPr="00C70B07">
              <w:rPr>
                <w:sz w:val="22"/>
                <w:szCs w:val="22"/>
                <w:lang w:val="sr-Latn-ME"/>
              </w:rPr>
              <w:t xml:space="preserve"> odgovor na terapiju na kraju perioda praćenja značajno se povećao dodavanjem</w:t>
            </w:r>
            <w:r w:rsidR="00036314" w:rsidRPr="00C70B07">
              <w:rPr>
                <w:sz w:val="22"/>
                <w:szCs w:val="22"/>
                <w:lang w:val="sr-Latn-ME"/>
              </w:rPr>
              <w:t xml:space="preserve">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="00036314" w:rsidRPr="00C70B07">
              <w:rPr>
                <w:sz w:val="22"/>
                <w:szCs w:val="22"/>
                <w:lang w:val="sr-Latn-ME"/>
              </w:rPr>
              <w:t>eka</w:t>
            </w:r>
            <w:r w:rsidRPr="00C70B07">
              <w:rPr>
                <w:sz w:val="22"/>
                <w:szCs w:val="22"/>
                <w:lang w:val="sr-Latn-ME"/>
              </w:rPr>
              <w:t xml:space="preserve"> Rebetol interferonu alfa-2b (41% prema 16%, p&lt;0,001). 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U kliničkim ispitivanjima C95-132 i I95-143, Rebetol se u kombinaciji sa interferonom alfa-2b pokazao značajno efikasnijim od monoterapije interferonom alfa-2b (udvostručen stabilan virološki odgovor na terapiju). Kombinovano l</w:t>
            </w:r>
            <w:r w:rsidR="00F659C7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tako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>e je smanjilo stopu relapsa za sve genotipove HCV-a, posebno genotip 1, u kojem je stepen relapsa smanjen za 30% u pore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 xml:space="preserve">enju sa monoterapijom interferonom alfa-2b. 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 ispitivanju C/I98-580, 1.530 prethodno nel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pacijenta l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godinu dana jednom od</w:t>
            </w:r>
            <w:r w:rsidR="005B1AA9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kombinacija:</w:t>
            </w:r>
          </w:p>
          <w:p w:rsidR="00880048" w:rsidRPr="00C70B07" w:rsidRDefault="00880048" w:rsidP="0088004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- Rebetol (800 mg/dan) + peginterferon alfa-2b (1,5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g/kg/ned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 (n=511),</w:t>
            </w:r>
          </w:p>
          <w:p w:rsidR="00880048" w:rsidRPr="00C70B07" w:rsidRDefault="00880048" w:rsidP="0088004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- Rebetol (1.000/1.200 mg/dan) + peginterferon alfa-2b (1,5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g/kg/ned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 tokom jednog m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eseca i 0,5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g/kg/ned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 tokom sl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ih 11 m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eseci) (n=514),</w:t>
            </w:r>
          </w:p>
          <w:p w:rsidR="004C5099" w:rsidRPr="00C70B07" w:rsidRDefault="00880048" w:rsidP="00880048">
            <w:pPr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Rebetol (1.000/1.200 mg/dan) + interferona alfa-2b (3 mil.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tri puta ned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 (n=505).</w:t>
            </w:r>
          </w:p>
          <w:p w:rsidR="00880048" w:rsidRPr="00C70B07" w:rsidRDefault="00880048" w:rsidP="0088004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 ovom ispitivanju, kombinovano 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ečenje </w:t>
            </w:r>
            <w:r w:rsidR="00601F7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01F7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  <w:r w:rsidR="0076573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 peginterferonom alfa-2b (1,5 µg/kg/ned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eljno) bilo je značajno efikasnije od kombinacije </w:t>
            </w:r>
            <w:r w:rsidR="00071CA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71CA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 i interferona alfa-2b, posebno kod pacijenata inficiranih genotipom</w:t>
            </w:r>
            <w:r w:rsidR="000B47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1. Stabilan virološki odgovor na terapiju proc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enjen je na osnovu stope odgovora 6 m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eseci nakon prestanka</w:t>
            </w:r>
            <w:r w:rsidR="000B47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ečenja.</w:t>
            </w:r>
          </w:p>
          <w:p w:rsidR="00880048" w:rsidRPr="00C70B07" w:rsidRDefault="00880048" w:rsidP="0088004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80048" w:rsidRPr="00C70B07" w:rsidRDefault="00880048" w:rsidP="0088004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HCV genotip i početno virusno opterećenje poznati su prognostički činioci koji utiču na odgovor na terapiju.</w:t>
            </w:r>
            <w:r w:rsidR="005B1AA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Me</w:t>
            </w:r>
            <w:r w:rsidR="009E73C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đ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utim, pokazalo se da je stepen odgovora u ovom ispitivanju zavisio i od prim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enjene doze 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 u</w:t>
            </w:r>
            <w:r w:rsidR="005B1AA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kombinaciji sa peginterferonom alfa-2b ili interferonom alfa-2b. Kod pacijenata koji su primili &gt;10,6 mg/kg</w:t>
            </w:r>
            <w:r w:rsidR="005B1AA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Rebetol (doza od 800 mg kod pacijenata </w:t>
            </w:r>
            <w:r w:rsidR="00E83CD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elesne mase od 75 kg), bez obzira na genotip ili virusno opterećenje,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stope odgovora bile su značajno više od stopa kod pacijenata koji su primili ≤10,6 mg/kg </w:t>
            </w:r>
            <w:r w:rsidR="00DD141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D141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 (Tabela 6),</w:t>
            </w:r>
            <w:r w:rsidR="00BD654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dok su stope odgovora kod pacijenata koji su primili &gt;13,2 mg/kg </w:t>
            </w:r>
            <w:r w:rsidR="0076573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76573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 bile čak i više.</w:t>
            </w:r>
          </w:p>
          <w:p w:rsidR="004C5099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55"/>
              <w:gridCol w:w="1749"/>
              <w:gridCol w:w="1739"/>
              <w:gridCol w:w="1739"/>
              <w:gridCol w:w="1738"/>
            </w:tblGrid>
            <w:tr w:rsidR="004C5099" w:rsidRPr="00C70B07" w:rsidTr="004C5099">
              <w:tc>
                <w:tcPr>
                  <w:tcW w:w="1755" w:type="dxa"/>
                  <w:tcBorders>
                    <w:right w:val="nil"/>
                  </w:tcBorders>
                </w:tcPr>
                <w:p w:rsidR="004C5099" w:rsidRPr="00C70B07" w:rsidRDefault="00A87085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Tabela</w:t>
                  </w:r>
                  <w:r w:rsidR="004C5099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6</w:t>
                  </w:r>
                </w:p>
              </w:tc>
              <w:tc>
                <w:tcPr>
                  <w:tcW w:w="6965" w:type="dxa"/>
                  <w:gridSpan w:val="4"/>
                  <w:tcBorders>
                    <w:left w:val="nil"/>
                  </w:tcBorders>
                </w:tcPr>
                <w:p w:rsidR="004C5099" w:rsidRPr="00C70B07" w:rsidRDefault="004C5099" w:rsidP="00DD1414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St</w:t>
                  </w:r>
                  <w:r w:rsidR="00F2721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</w:t>
                  </w:r>
                  <w:r w:rsidR="00F2721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 trajnog terapijskog odgovora kod kombin</w:t>
                  </w:r>
                  <w:r w:rsidR="00F2721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ov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ane terapije</w:t>
                  </w:r>
                  <w:r w:rsidR="0076573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76573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ekom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Rebetol i peginterferonom alfa-2b (prema dozi</w:t>
                  </w:r>
                  <w:r w:rsidR="00DD141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D141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Rebetol [mg/kg], genotipu i virusnom opterećenju)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HCV genotip </w:t>
                  </w:r>
                </w:p>
              </w:tc>
              <w:tc>
                <w:tcPr>
                  <w:tcW w:w="1749" w:type="dxa"/>
                </w:tcPr>
                <w:p w:rsidR="004C5099" w:rsidRPr="00C70B07" w:rsidRDefault="004C5099" w:rsidP="00DD1414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Doza </w:t>
                  </w:r>
                  <w:r w:rsidR="0076573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76573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eka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Rebetol (mg/kg)</w:t>
                  </w:r>
                </w:p>
              </w:tc>
              <w:tc>
                <w:tcPr>
                  <w:tcW w:w="1739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 1,5/R</w:t>
                  </w:r>
                </w:p>
              </w:tc>
              <w:tc>
                <w:tcPr>
                  <w:tcW w:w="1739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 0,5/R</w:t>
                  </w:r>
                </w:p>
              </w:tc>
              <w:tc>
                <w:tcPr>
                  <w:tcW w:w="1738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I/R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lastRenderedPageBreak/>
                    <w:t>Svi genotipovi</w:t>
                  </w:r>
                </w:p>
              </w:tc>
              <w:tc>
                <w:tcPr>
                  <w:tcW w:w="174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svi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54%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47%</w:t>
                  </w:r>
                </w:p>
              </w:tc>
              <w:tc>
                <w:tcPr>
                  <w:tcW w:w="1738" w:type="dxa"/>
                  <w:tcBorders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47%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≤10,6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41%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61%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47%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Genotip 1</w:t>
                  </w:r>
                </w:p>
              </w:tc>
              <w:tc>
                <w:tcPr>
                  <w:tcW w:w="174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Svi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42%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34%</w:t>
                  </w:r>
                </w:p>
              </w:tc>
              <w:tc>
                <w:tcPr>
                  <w:tcW w:w="1738" w:type="dxa"/>
                  <w:tcBorders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33%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≤10,6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25%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34%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34%</w:t>
                  </w:r>
                </w:p>
              </w:tc>
            </w:tr>
            <w:tr w:rsidR="004C5099" w:rsidRPr="00C70B07" w:rsidTr="00F108BA">
              <w:tc>
                <w:tcPr>
                  <w:tcW w:w="1755" w:type="dxa"/>
                  <w:vMerge w:val="restart"/>
                  <w:tcBorders>
                    <w:right w:val="nil"/>
                  </w:tcBorders>
                  <w:vAlign w:val="center"/>
                </w:tcPr>
                <w:p w:rsidR="004C5099" w:rsidRPr="00C70B07" w:rsidRDefault="004C5099" w:rsidP="00F108BA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Genotip 1 ≤600.000 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174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Svi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73%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51%</w:t>
                  </w:r>
                </w:p>
              </w:tc>
              <w:tc>
                <w:tcPr>
                  <w:tcW w:w="1738" w:type="dxa"/>
                  <w:tcBorders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45%</w:t>
                  </w:r>
                </w:p>
              </w:tc>
            </w:tr>
            <w:tr w:rsidR="004C5099" w:rsidRPr="00C70B07" w:rsidTr="00F108BA">
              <w:tc>
                <w:tcPr>
                  <w:tcW w:w="1755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4C5099" w:rsidRPr="00C70B07" w:rsidRDefault="004C5099" w:rsidP="00F108BA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≤10,6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74%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25%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33%</w:t>
                  </w:r>
                </w:p>
              </w:tc>
            </w:tr>
            <w:tr w:rsidR="004C5099" w:rsidRPr="00C70B07" w:rsidTr="00F108BA">
              <w:tc>
                <w:tcPr>
                  <w:tcW w:w="1755" w:type="dxa"/>
                  <w:tcBorders>
                    <w:top w:val="nil"/>
                    <w:right w:val="nil"/>
                  </w:tcBorders>
                  <w:vAlign w:val="center"/>
                </w:tcPr>
                <w:p w:rsidR="004C5099" w:rsidRPr="00C70B07" w:rsidRDefault="004C5099" w:rsidP="00F108BA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71%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52%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45%</w:t>
                  </w:r>
                </w:p>
              </w:tc>
            </w:tr>
            <w:tr w:rsidR="004C5099" w:rsidRPr="00C70B07" w:rsidTr="00F108BA">
              <w:tc>
                <w:tcPr>
                  <w:tcW w:w="1755" w:type="dxa"/>
                  <w:vMerge w:val="restart"/>
                  <w:tcBorders>
                    <w:right w:val="nil"/>
                  </w:tcBorders>
                  <w:vAlign w:val="center"/>
                </w:tcPr>
                <w:p w:rsidR="004C5099" w:rsidRPr="00C70B07" w:rsidRDefault="004C5099" w:rsidP="00F108BA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Genotip 1 &gt;600.000 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174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Svi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30%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27%</w:t>
                  </w:r>
                </w:p>
              </w:tc>
              <w:tc>
                <w:tcPr>
                  <w:tcW w:w="1738" w:type="dxa"/>
                  <w:tcBorders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vMerge/>
                  <w:tcBorders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≤10,6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25%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37%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Genotip 2/3</w:t>
                  </w:r>
                </w:p>
              </w:tc>
              <w:tc>
                <w:tcPr>
                  <w:tcW w:w="174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svi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82%</w:t>
                  </w:r>
                </w:p>
              </w:tc>
              <w:tc>
                <w:tcPr>
                  <w:tcW w:w="1739" w:type="dxa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80%</w:t>
                  </w:r>
                </w:p>
              </w:tc>
              <w:tc>
                <w:tcPr>
                  <w:tcW w:w="1738" w:type="dxa"/>
                  <w:tcBorders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79%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≤10,6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79%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73%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50%</w:t>
                  </w:r>
                </w:p>
              </w:tc>
            </w:tr>
            <w:tr w:rsidR="004C5099" w:rsidRPr="00C70B07" w:rsidTr="004C5099">
              <w:tc>
                <w:tcPr>
                  <w:tcW w:w="1755" w:type="dxa"/>
                  <w:tcBorders>
                    <w:top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&gt;10,6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88%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righ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80%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80%</w:t>
                  </w:r>
                </w:p>
              </w:tc>
            </w:tr>
          </w:tbl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 1,5/R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>Rebetol (800 mg/kg) + peginterferon alfa-2b (1,5 μg/kg)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 0,5/R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  <w:t>Rebetol (1.000/1.200 mg) + peginterferon alfa-2b (1,5 do 0,5 μg/kg)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I/R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="00F2721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ab/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Rebetol (1.000/1.200 mg) + interferon alfa-2b (3 mil.</w:t>
            </w:r>
            <w:r w:rsidR="00BC2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C5099" w:rsidRPr="00C70B07" w:rsidRDefault="004C5099" w:rsidP="007506CB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posebnom ispitivanju, 224 </w:t>
            </w:r>
            <w:r w:rsidR="007639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pacijenta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inficiranih genotipom 2 ili 3 primalo je peginterferon alfa-2b</w:t>
            </w:r>
            <w:r w:rsidR="007506C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1,5 mikrograma/kg sub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kutano, jedanput </w:t>
            </w:r>
            <w:r w:rsidR="007506C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506C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eljno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 u kombinaciji s</w:t>
            </w:r>
            <w:r w:rsidR="007506C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ribavirinom od 800 – 1.400 mg p.o. </w:t>
            </w:r>
            <w:r w:rsidR="00F40E7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tok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om 6 </w:t>
            </w:r>
            <w:r w:rsidR="00F40E7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m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F40E7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esec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(samo su 3 </w:t>
            </w:r>
            <w:r w:rsidR="007639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pacijenta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teža od 105 kg primila, na </w:t>
            </w:r>
            <w:r w:rsidR="007506CB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osnovu t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elesne </w:t>
            </w:r>
            <w:r w:rsidR="0014204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mas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e, dozu od 1400 mg) (</w:t>
            </w:r>
            <w:r w:rsidR="00A87085" w:rsidRPr="00C70B0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Tabela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7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). Dvadeset četiri posto </w:t>
            </w:r>
            <w:r w:rsidR="007639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imalo je premoštavajuću fibrozu ili cirozu jetre (Knodell 3/4).</w:t>
            </w:r>
          </w:p>
          <w:p w:rsidR="004C5099" w:rsidRPr="00C70B07" w:rsidRDefault="004C5099" w:rsidP="007506CB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68"/>
              <w:gridCol w:w="2551"/>
              <w:gridCol w:w="2323"/>
              <w:gridCol w:w="2178"/>
            </w:tblGrid>
            <w:tr w:rsidR="00BC1D2C" w:rsidRPr="00C70B07" w:rsidTr="00696973">
              <w:tc>
                <w:tcPr>
                  <w:tcW w:w="8720" w:type="dxa"/>
                  <w:gridSpan w:val="4"/>
                </w:tcPr>
                <w:p w:rsidR="00BC1D2C" w:rsidRPr="00C70B07" w:rsidRDefault="00BC1D2C" w:rsidP="00120C31">
                  <w:pPr>
                    <w:ind w:left="1447" w:hanging="1447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Tabela 7. 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ab/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Virološki odgovor na kraju l</w:t>
                  </w:r>
                  <w:r w:rsidR="00B74665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ečenja, stabilan virološki odgovor i relaps prema HCV genotipu i virusnom opterećenju*</w:t>
                  </w:r>
                </w:p>
              </w:tc>
            </w:tr>
            <w:tr w:rsidR="004C5099" w:rsidRPr="00C70B07" w:rsidTr="004C5099">
              <w:tc>
                <w:tcPr>
                  <w:tcW w:w="1668" w:type="dxa"/>
                  <w:vMerge w:val="restart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7052" w:type="dxa"/>
                  <w:gridSpan w:val="3"/>
                </w:tcPr>
                <w:p w:rsidR="004C5099" w:rsidRPr="00C70B07" w:rsidRDefault="004C5099" w:rsidP="007506CB">
                  <w:pPr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Rebetol 800-1.400 mg/dan + peginterferon alfa-2b 1,5 μg/kg jedanput </w:t>
                  </w:r>
                  <w:r w:rsidR="007506C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ned</w:t>
                  </w:r>
                  <w:r w:rsidR="00B74665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="007506CB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eljno</w:t>
                  </w:r>
                </w:p>
              </w:tc>
            </w:tr>
            <w:tr w:rsidR="004C5099" w:rsidRPr="00C70B07" w:rsidTr="004C5099">
              <w:tc>
                <w:tcPr>
                  <w:tcW w:w="1668" w:type="dxa"/>
                  <w:vMerge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551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Odgovor na kraju </w:t>
                  </w:r>
                  <w:r w:rsidR="00DF1253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eč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enja</w:t>
                  </w:r>
                </w:p>
              </w:tc>
              <w:tc>
                <w:tcPr>
                  <w:tcW w:w="2323" w:type="dxa"/>
                </w:tcPr>
                <w:p w:rsidR="004C5099" w:rsidRPr="00C70B07" w:rsidRDefault="00824D92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Stabilni</w:t>
                  </w:r>
                  <w:r w:rsidR="004C5099"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 xml:space="preserve"> virološki odgovor</w:t>
                  </w:r>
                </w:p>
              </w:tc>
              <w:tc>
                <w:tcPr>
                  <w:tcW w:w="2178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Relaps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Svi ispitanici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94% (211/224)</w:t>
                  </w:r>
                </w:p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81% (182/224)</w:t>
                  </w:r>
                </w:p>
              </w:tc>
              <w:tc>
                <w:tcPr>
                  <w:tcW w:w="2178" w:type="dxa"/>
                  <w:tcBorders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12% (27/224)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HCV 2</w:t>
                  </w:r>
                </w:p>
              </w:tc>
              <w:tc>
                <w:tcPr>
                  <w:tcW w:w="2551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100% (42/42)</w:t>
                  </w:r>
                </w:p>
              </w:tc>
              <w:tc>
                <w:tcPr>
                  <w:tcW w:w="2323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93% (39/42)</w:t>
                  </w:r>
                </w:p>
              </w:tc>
              <w:tc>
                <w:tcPr>
                  <w:tcW w:w="2178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7% (3/42)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≤600.000 </w:t>
                  </w:r>
                  <w:r w:rsidR="00BC2910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0224DF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100% </w:t>
                  </w:r>
                  <w:r w:rsidR="000224DF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(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20/20)</w:t>
                  </w:r>
                </w:p>
              </w:tc>
              <w:tc>
                <w:tcPr>
                  <w:tcW w:w="2323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95% (19/20)</w:t>
                  </w:r>
                </w:p>
              </w:tc>
              <w:tc>
                <w:tcPr>
                  <w:tcW w:w="2178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5% (1/20)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top w:val="nil"/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&gt;600.000 </w:t>
                  </w:r>
                  <w:r w:rsidR="00BC2910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100% (22/22)</w:t>
                  </w:r>
                </w:p>
              </w:tc>
              <w:tc>
                <w:tcPr>
                  <w:tcW w:w="2323" w:type="dxa"/>
                  <w:tcBorders>
                    <w:top w:val="nil"/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91% (20/22)</w:t>
                  </w:r>
                </w:p>
              </w:tc>
              <w:tc>
                <w:tcPr>
                  <w:tcW w:w="2178" w:type="dxa"/>
                  <w:tcBorders>
                    <w:top w:val="nil"/>
                    <w:bottom w:val="single" w:sz="4" w:space="0" w:color="auto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9% (2/22)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HCV 3</w:t>
                  </w:r>
                </w:p>
              </w:tc>
              <w:tc>
                <w:tcPr>
                  <w:tcW w:w="2551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93% (169/182)</w:t>
                  </w:r>
                </w:p>
              </w:tc>
              <w:tc>
                <w:tcPr>
                  <w:tcW w:w="2323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79% (143/182)</w:t>
                  </w:r>
                </w:p>
              </w:tc>
              <w:tc>
                <w:tcPr>
                  <w:tcW w:w="2178" w:type="dxa"/>
                  <w:tcBorders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14% (24/166)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≤600.000 </w:t>
                  </w:r>
                  <w:r w:rsidR="00BC2910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93% (92/99)</w:t>
                  </w:r>
                </w:p>
              </w:tc>
              <w:tc>
                <w:tcPr>
                  <w:tcW w:w="2323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86% (85/99)</w:t>
                  </w:r>
                </w:p>
              </w:tc>
              <w:tc>
                <w:tcPr>
                  <w:tcW w:w="2178" w:type="dxa"/>
                  <w:tcBorders>
                    <w:top w:val="nil"/>
                    <w:bottom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8% (7/91)</w:t>
                  </w:r>
                </w:p>
              </w:tc>
            </w:tr>
            <w:tr w:rsidR="004C5099" w:rsidRPr="00C70B07" w:rsidTr="007B70E6">
              <w:tc>
                <w:tcPr>
                  <w:tcW w:w="1668" w:type="dxa"/>
                  <w:tcBorders>
                    <w:top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&gt;600.000 </w:t>
                  </w:r>
                  <w:r w:rsidR="00BC2910"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/ml</w:t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93% (77/83)</w:t>
                  </w:r>
                </w:p>
              </w:tc>
              <w:tc>
                <w:tcPr>
                  <w:tcW w:w="2323" w:type="dxa"/>
                  <w:tcBorders>
                    <w:top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70% (58/83)</w:t>
                  </w:r>
                </w:p>
              </w:tc>
              <w:tc>
                <w:tcPr>
                  <w:tcW w:w="2178" w:type="dxa"/>
                  <w:tcBorders>
                    <w:top w:val="nil"/>
                  </w:tcBorders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23% (17/75)</w:t>
                  </w:r>
                </w:p>
              </w:tc>
            </w:tr>
          </w:tbl>
          <w:p w:rsidR="00BF1818" w:rsidRPr="00C70B07" w:rsidRDefault="00BF1818" w:rsidP="00BF1818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* Za sve ispitanike sa nem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erljivim nivoom HCV-</w:t>
            </w:r>
            <w:r w:rsidR="004027F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RNK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 12. 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elji praćenja i nedostatkom podataka u 24. 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elji praćenja smatralo se da imaju </w:t>
            </w:r>
            <w:r w:rsidR="00803EF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stabilni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odgovor. Za sve ispitanike sa nepotpunim podacima tokom i nakon 12. 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elje praćenja smatralo se da nemaju odgovor u 24. ned</w:t>
            </w:r>
            <w:r w:rsidR="00B7466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elji praćenja.</w:t>
            </w:r>
          </w:p>
          <w:p w:rsidR="00BF1818" w:rsidRPr="00C70B07" w:rsidRDefault="00BF1818" w:rsidP="00BF181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F4E17" w:rsidRPr="00C70B07" w:rsidRDefault="002F4E17" w:rsidP="002F4E17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Šestom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esečno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u okviru ovog ispitivanja bolje se podnosilo nego jednogodišnje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u pivotalnom ispitivanju kombinovane terapije; prekid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zab</w:t>
            </w:r>
            <w:r w:rsidR="00B74665" w:rsidRPr="00C70B07">
              <w:rPr>
                <w:sz w:val="22"/>
                <w:szCs w:val="22"/>
                <w:lang w:val="sr-Latn-ME"/>
              </w:rPr>
              <w:t>ilj</w:t>
            </w:r>
            <w:r w:rsidRPr="00C70B07">
              <w:rPr>
                <w:sz w:val="22"/>
                <w:szCs w:val="22"/>
                <w:lang w:val="sr-Latn-ME"/>
              </w:rPr>
              <w:t xml:space="preserve">ežen u 5% u odnosu na 14%, modifikacija doze u 18% u odnosu na 49%. </w:t>
            </w:r>
          </w:p>
          <w:p w:rsidR="00BF1818" w:rsidRPr="00C70B07" w:rsidRDefault="00BF1818" w:rsidP="00BF181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F4E17" w:rsidRPr="00C70B07" w:rsidRDefault="002F4E17" w:rsidP="002F4E17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 xml:space="preserve">U ne-komparativnom ispitivanju, 235 pacijenata sa genotipom 1 i malim virusnim opterećenjem (&lt;600.000 </w:t>
            </w:r>
            <w:r w:rsidR="00BC2910" w:rsidRPr="00C70B07">
              <w:rPr>
                <w:sz w:val="22"/>
                <w:szCs w:val="22"/>
                <w:lang w:val="sr-Latn-ME"/>
              </w:rPr>
              <w:t>i.j.</w:t>
            </w:r>
            <w:r w:rsidRPr="00C70B07">
              <w:rPr>
                <w:sz w:val="22"/>
                <w:szCs w:val="22"/>
                <w:lang w:val="sr-Latn-ME"/>
              </w:rPr>
              <w:t>/ml) potkožno su primali peginterferon alfa-2b u dozi od 1,5 mikrograma/kg jedanput ned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 xml:space="preserve">eljno, u kombinaciji sa </w:t>
            </w:r>
            <w:r w:rsidR="009F63E1" w:rsidRPr="00C70B07">
              <w:rPr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="009F63E1" w:rsidRPr="00C70B07">
              <w:rPr>
                <w:sz w:val="22"/>
                <w:szCs w:val="22"/>
                <w:lang w:val="sr-Latn-ME"/>
              </w:rPr>
              <w:t xml:space="preserve">ekom </w:t>
            </w:r>
            <w:r w:rsidRPr="00C70B07">
              <w:rPr>
                <w:sz w:val="22"/>
                <w:szCs w:val="22"/>
                <w:lang w:val="sr-Latn-ME"/>
              </w:rPr>
              <w:t>Rebetol u dozi prilago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>enoj t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elesnoj masi. Ukupni stepen stabilnog odgovora nakon 24 ned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elje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bio je 50%. Od ukupnog broja pacijenata, 41% (97/235) imalo je nem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erljivu koncentraciju HCV-RNK u plazmi u 4. i 24. ned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elji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ečenja. U toj podgrupi stepen stabilnog terapijskog odgovora iznosio je 92% (89/97). Visoka stopa stabilnog odgovora u ovoj podgrupi pacijenata utvr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 xml:space="preserve">ena je preliminarnom analizom </w:t>
            </w:r>
            <w:r w:rsidRPr="00C70B07">
              <w:rPr>
                <w:sz w:val="22"/>
                <w:szCs w:val="22"/>
                <w:lang w:val="sr-Latn-ME"/>
              </w:rPr>
              <w:lastRenderedPageBreak/>
              <w:t>(n=49) pa je</w:t>
            </w:r>
            <w:r w:rsidR="009F63E1" w:rsidRPr="00C70B07">
              <w:rPr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sz w:val="22"/>
                <w:szCs w:val="22"/>
                <w:lang w:val="sr-Latn-ME"/>
              </w:rPr>
              <w:t xml:space="preserve">prospektivno potvrđena (n=48). </w:t>
            </w:r>
          </w:p>
          <w:p w:rsidR="002F4E17" w:rsidRPr="00C70B07" w:rsidRDefault="002F4E17" w:rsidP="002F4E17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Ograničeni istorijski podaci ukazuju da bi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u trajanju od 48 ned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elja moglo biti povezano sa većom stopom stabilnog odgovora (11/11) i sa nižim rizikom relapsa (0/11 u pore</w:t>
            </w:r>
            <w:r w:rsidR="009E73C6" w:rsidRPr="00C70B07">
              <w:rPr>
                <w:sz w:val="22"/>
                <w:szCs w:val="22"/>
                <w:lang w:val="sr-Latn-ME"/>
              </w:rPr>
              <w:t>đ</w:t>
            </w:r>
            <w:r w:rsidRPr="00C70B07">
              <w:rPr>
                <w:sz w:val="22"/>
                <w:szCs w:val="22"/>
                <w:lang w:val="sr-Latn-ME"/>
              </w:rPr>
              <w:t>enju sa 7/96 nakon 24 ned</w:t>
            </w:r>
            <w:r w:rsidR="00B74665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elje l</w:t>
            </w:r>
            <w:r w:rsidR="00B74665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 xml:space="preserve">ečenja). </w:t>
            </w:r>
          </w:p>
          <w:p w:rsidR="00BF1818" w:rsidRPr="00C70B07" w:rsidRDefault="00BF1818" w:rsidP="00BF181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0CFF" w:rsidRPr="00C70B07" w:rsidRDefault="002B0CFF" w:rsidP="002B0CFF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Obimno randomizovano ispitivanje poredilo je efikasnost i bezb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ednost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 tokom 48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elja sa dva terapijska režima 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peginterferonom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i 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ekom 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[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peginterferonom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1,5 µg/kg i 1 µg/kg </w:t>
            </w:r>
            <w:r w:rsidR="00A861B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supkutano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jednom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eljno, u oba slučaja u kombinaciji sa 800 do 1400 mg 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="00DE649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eka 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, peroralno, dnevno (u dv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 pod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eljene doze)] i peginterferonom alfa-2a 180 µg </w:t>
            </w:r>
            <w:r w:rsidR="00A861B9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supkutano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jednom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eljno sa 1000 do 1200 mg ribavirina peroralno dnevno (u dv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 pod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eljene doze) kod  3070 odraslih pacijenata koji prethodno ni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je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su primali terapiju, a koji boluju od hroničnog hepatitisa C  genotipa 1. Odgovor na tretman bio je m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eren stabilnim virološkim odgovorom (SVR) koji je definisan kao nem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erljivi nivo HCV-RNK u 24.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elji nakon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 (</w:t>
            </w:r>
            <w:r w:rsidR="007509A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vid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="007509A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eti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Tabelu 8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).</w:t>
            </w:r>
          </w:p>
          <w:p w:rsidR="002B0CFF" w:rsidRPr="00C70B07" w:rsidRDefault="002B0CFF" w:rsidP="002B0CFF">
            <w:pPr>
              <w:tabs>
                <w:tab w:val="clear" w:pos="284"/>
                <w:tab w:val="center" w:pos="4536"/>
                <w:tab w:val="right" w:pos="9072"/>
              </w:tabs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</w:p>
          <w:p w:rsidR="002B0CFF" w:rsidRPr="00C70B07" w:rsidRDefault="002B0CFF" w:rsidP="0084421D">
            <w:pPr>
              <w:ind w:left="993" w:hanging="993"/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Tabela 8  Virološki odgovor na l</w:t>
            </w:r>
            <w:r w:rsidR="00B74665"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ečenje u 12. ned</w:t>
            </w:r>
            <w:r w:rsidR="00B74665"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elji, odgovor na kraju l</w:t>
            </w:r>
            <w:r w:rsidR="00B74665"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ečenja, stopa recidiva*</w:t>
            </w:r>
            <w:r w:rsidR="0084421D"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  <w:t>i stabilan virološki odgovor (SVR)</w:t>
            </w:r>
          </w:p>
          <w:p w:rsidR="00935D37" w:rsidRPr="00C70B07" w:rsidRDefault="00935D37" w:rsidP="0084421D">
            <w:pPr>
              <w:ind w:left="993" w:hanging="993"/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1797"/>
              <w:gridCol w:w="1797"/>
              <w:gridCol w:w="1797"/>
            </w:tblGrid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Terapijska grupa</w:t>
                  </w:r>
                </w:p>
              </w:tc>
              <w:tc>
                <w:tcPr>
                  <w:tcW w:w="5391" w:type="dxa"/>
                  <w:gridSpan w:val="3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% (broj) pacijenata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alfa-2b 1,5 µg/kg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+ Rebetol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alfa-2b 1 µg/kg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+ Rebetol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alfa-2a 180 µg +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ribavirin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Nem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erljivi nivoi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u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12. 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elji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ečenja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 (407/1019)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36 (366/1016)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45 (466/1035)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Odgovor na kraju</w:t>
                  </w:r>
                </w:p>
                <w:p w:rsidR="00935D37" w:rsidRPr="00C70B07" w:rsidRDefault="00473398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935D37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ečenja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*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53 (542/1019)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49 (500/1016)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64 (667/1035)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Recidiv</w:t>
                  </w:r>
                  <w:r w:rsidR="0047339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*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24 (123/523)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 (95/475)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 (193/612)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SVR</w:t>
                  </w:r>
                  <w:r w:rsidR="0047339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*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 (406/1019)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 (386/1016)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41 (423/1035)</w:t>
                  </w:r>
                </w:p>
              </w:tc>
            </w:tr>
            <w:tr w:rsidR="00935D37" w:rsidRPr="00C70B07" w:rsidTr="008A622E">
              <w:trPr>
                <w:trHeight w:val="20"/>
                <w:jc w:val="center"/>
              </w:trPr>
              <w:tc>
                <w:tcPr>
                  <w:tcW w:w="3189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SVR kod pacijenata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sa nem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erljivim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nivoima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 u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12.ned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elji</w:t>
                  </w:r>
                </w:p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ečenja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81 (328/407)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83 (303/366)</w:t>
                  </w:r>
                </w:p>
              </w:tc>
              <w:tc>
                <w:tcPr>
                  <w:tcW w:w="1797" w:type="dxa"/>
                  <w:hideMark/>
                </w:tcPr>
                <w:p w:rsidR="00935D37" w:rsidRPr="00C70B07" w:rsidRDefault="00935D37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74 (344/466)</w:t>
                  </w:r>
                </w:p>
              </w:tc>
            </w:tr>
          </w:tbl>
          <w:p w:rsidR="002B0CFF" w:rsidRPr="00C70B07" w:rsidRDefault="002B0CFF" w:rsidP="002B0CFF">
            <w:pPr>
              <w:ind w:left="360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   *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ab/>
              <w:t xml:space="preserve">(HCV-RNK PCR analiza, sa donjom granicom kvantifikacije od 27 </w:t>
            </w:r>
            <w:r w:rsidR="00BC2910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/ml).</w:t>
            </w:r>
          </w:p>
          <w:p w:rsidR="002B0CFF" w:rsidRPr="00C70B07" w:rsidRDefault="002B0CFF" w:rsidP="002B0CFF">
            <w:pPr>
              <w:ind w:left="720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Odsustvo ranog virološkog odgovora do 12.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elje terapije (nivoi HCV-RNK koji se mogu detektovati, sa &lt; 2 log10 smanjenjem u odnosu na početne vr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ednosti) bio je kriterijum za prestanak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ečenja.</w:t>
            </w:r>
          </w:p>
          <w:p w:rsidR="002B0CFF" w:rsidRPr="00C70B07" w:rsidRDefault="002B0CFF" w:rsidP="002B0CFF">
            <w:pPr>
              <w:rPr>
                <w:rFonts w:ascii="Times New Roman" w:hAnsi="Times New Roman"/>
                <w:b/>
                <w:noProof w:val="0"/>
                <w:sz w:val="22"/>
                <w:szCs w:val="22"/>
                <w:lang w:val="sr-Latn-ME"/>
              </w:rPr>
            </w:pPr>
          </w:p>
          <w:p w:rsidR="002B0CFF" w:rsidRPr="00C70B07" w:rsidRDefault="002B0CFF" w:rsidP="000E403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U sve tri terapijske grupe, procenat stabilnog virološkog odgovora bio je sličan. Kod pacijenata afro-američkog por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ekla (za koje se zna da je loš prognostički faktor za eredikaciju HCV), kombinovana terapija sa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ekom </w:t>
            </w:r>
            <w:r w:rsidR="000E4034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peginterferonom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(1,5 µg/kg) i </w:t>
            </w:r>
            <w:r w:rsidR="00E767D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="00E767D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ekom 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imala je za posl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edicu višu stopu stabilnog virološkog odgovora u poređenju sa dozom </w:t>
            </w:r>
            <w:r w:rsidR="00E767D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peginterferona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od 1 µg/kg. Pri dozi </w:t>
            </w:r>
            <w:r w:rsidR="00E767D2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peginterferona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od 1,5 µg/kg sa </w:t>
            </w:r>
            <w:r w:rsidR="0076348A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="0076348A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ekom 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, ud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o stabilnog virološkog odgovora bio je niži kod pacijenata sa cirozom, kod pacijenata sa normalnim ALT nivoom, kod pacijenata sa uobičajenom količinom virusa &gt; 600 000 i.j./ml, i kod pacijenata starijih od 40 godina. Pacijenti b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ele rase imali su viši nivo stabilnog virološkog odgovora od Afroamerikanaca. Među pacijentima kod kojih su nivoi HCV-RNK bili nem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erljivi na kraju l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ečenja, stopa recidiva bila je 24 %.</w:t>
            </w:r>
          </w:p>
          <w:p w:rsidR="002B0CFF" w:rsidRPr="00C70B07" w:rsidRDefault="002B0CFF" w:rsidP="00BF1818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F4E17" w:rsidRPr="00C70B07" w:rsidRDefault="002F4E17" w:rsidP="002F4E1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Predvidljivost trajnog virološkog odgovora kod prethodno nel</w:t>
            </w:r>
            <w:r w:rsidR="00B74665"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enih pacijenata</w:t>
            </w:r>
          </w:p>
          <w:p w:rsidR="008F1C87" w:rsidRPr="00C70B07" w:rsidRDefault="008F1C87" w:rsidP="00F7431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irološki odgovor do 12. </w:t>
            </w:r>
            <w:r w:rsidR="0006333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ned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06333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definisan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kao smanjenje virusnog optere</w:t>
            </w:r>
            <w:r w:rsidR="002F4E17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za</w:t>
            </w:r>
            <w:r w:rsidR="00F743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najmanje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2-log ili</w:t>
            </w:r>
            <w:r w:rsidR="00F7431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nem</w:t>
            </w:r>
            <w:r w:rsidR="00B7466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2F4E1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erljiva koncentracija HCV-RNK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.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Virusološki odgovor do 4.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elje definisan je  kao smanjenje virusnog opterećenja za 1-log ili nem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erljiv nivo HCV-RNK. Ove vremenske tačke (4. i 12.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elja terapije) pokazale su se kao prediktivne za stabilan odgovor (</w:t>
            </w:r>
            <w:r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 xml:space="preserve">Tabela </w:t>
            </w:r>
            <w:r w:rsidR="00EC6AF2"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>9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).</w:t>
            </w:r>
          </w:p>
          <w:p w:rsidR="00612590" w:rsidRPr="00C70B07" w:rsidRDefault="00612590" w:rsidP="00F7431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805"/>
              <w:gridCol w:w="1160"/>
              <w:gridCol w:w="1100"/>
              <w:gridCol w:w="1160"/>
              <w:gridCol w:w="1140"/>
              <w:gridCol w:w="1160"/>
              <w:gridCol w:w="1220"/>
              <w:gridCol w:w="144"/>
            </w:tblGrid>
            <w:tr w:rsidR="00316A9C" w:rsidRPr="00C70B07" w:rsidTr="00EE3DBD">
              <w:trPr>
                <w:trHeight w:val="238"/>
              </w:trPr>
              <w:tc>
                <w:tcPr>
                  <w:tcW w:w="9145" w:type="dxa"/>
                  <w:gridSpan w:val="8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Tabela 9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  <w:t>Prediktivne vr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ednosti virološkog odgovora za vr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eme kombinovane terapije sa  1,5 µg/kg peginterferona alfa-2b i  800-1400 mg 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eka Rebetol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8"/>
              </w:trPr>
              <w:tc>
                <w:tcPr>
                  <w:tcW w:w="9145" w:type="dxa"/>
                  <w:gridSpan w:val="8"/>
                  <w:vMerge/>
                  <w:tcBorders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3"/>
              </w:trPr>
              <w:tc>
                <w:tcPr>
                  <w:tcW w:w="14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 w:val="restart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Negativna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Pozitivna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1"/>
              </w:trPr>
              <w:tc>
                <w:tcPr>
                  <w:tcW w:w="1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Bez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reakcije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elji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ečenja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Bez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održive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reakcije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8" w:space="0" w:color="000000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Negativna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prediktivna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Reakcija/e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elji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ečenja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Održiva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reakcija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Pozitivne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prediktivne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ednosti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1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8" w:space="0" w:color="000000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2"/>
              </w:trPr>
              <w:tc>
                <w:tcPr>
                  <w:tcW w:w="1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8" w:space="0" w:color="000000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1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8" w:space="0" w:color="000000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5"/>
              </w:trPr>
              <w:tc>
                <w:tcPr>
                  <w:tcW w:w="14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8" w:space="0" w:color="000000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78"/>
              </w:trPr>
              <w:tc>
                <w:tcPr>
                  <w:tcW w:w="9145" w:type="dxa"/>
                  <w:gridSpan w:val="8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Genotip 1*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38"/>
              </w:trPr>
              <w:tc>
                <w:tcPr>
                  <w:tcW w:w="140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Do 4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*** 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8"/>
              </w:trPr>
              <w:tc>
                <w:tcPr>
                  <w:tcW w:w="140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(n=950)</w:t>
                  </w:r>
                </w:p>
              </w:tc>
              <w:tc>
                <w:tcPr>
                  <w:tcW w:w="805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1"/>
              </w:trPr>
              <w:tc>
                <w:tcPr>
                  <w:tcW w:w="140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negativna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834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539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65 %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107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92 %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305"/>
              </w:trPr>
              <w:tc>
                <w:tcPr>
                  <w:tcW w:w="1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(539/834)</w:t>
                  </w: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(107/116)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1"/>
              </w:trPr>
              <w:tc>
                <w:tcPr>
                  <w:tcW w:w="2205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negativna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ili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≥ 1 log smanjenje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virusnog opterećenja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95 %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392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54 %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(210/220)</w:t>
                  </w: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(392/730)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5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96"/>
              </w:trPr>
              <w:tc>
                <w:tcPr>
                  <w:tcW w:w="2205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Do 12.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*** ned</w:t>
                  </w:r>
                  <w:r w:rsidR="00B74665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60"/>
              </w:trPr>
              <w:tc>
                <w:tcPr>
                  <w:tcW w:w="140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(n=915</w:t>
                  </w:r>
                  <w:r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805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0"/>
              </w:trPr>
              <w:tc>
                <w:tcPr>
                  <w:tcW w:w="2205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negativa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85 %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81 %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75"/>
              </w:trPr>
              <w:tc>
                <w:tcPr>
                  <w:tcW w:w="140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(433/508)</w:t>
                  </w: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(328/407)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0"/>
              </w:trPr>
              <w:tc>
                <w:tcPr>
                  <w:tcW w:w="2205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negativan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ili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≥ 2 log smanjenje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virusnog opterećenja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vertAlign w:val="superscript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N/A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vertAlign w:val="superscript"/>
                      <w:lang w:val="sr-Latn-ME"/>
                    </w:rPr>
                    <w:t>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57 %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(402/709)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5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90"/>
              </w:trPr>
              <w:tc>
                <w:tcPr>
                  <w:tcW w:w="2205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Genotip 2, 3**</w:t>
                  </w:r>
                </w:p>
              </w:tc>
              <w:tc>
                <w:tcPr>
                  <w:tcW w:w="1160" w:type="dxa"/>
                  <w:tcBorders>
                    <w:top w:val="single" w:sz="8" w:space="0" w:color="000000"/>
                    <w:bottom w:val="single" w:sz="4" w:space="0" w:color="000000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bottom w:val="single" w:sz="4" w:space="0" w:color="000000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8" w:space="0" w:color="000000"/>
                    <w:bottom w:val="single" w:sz="4" w:space="0" w:color="000000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bottom w:val="single" w:sz="4" w:space="0" w:color="000000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8" w:space="0" w:color="000000"/>
                    <w:bottom w:val="single" w:sz="4" w:space="0" w:color="000000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38"/>
              </w:trPr>
              <w:tc>
                <w:tcPr>
                  <w:tcW w:w="14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Do 12. ned</w:t>
                  </w:r>
                  <w:r w:rsidR="00B74665"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sr-Latn-ME"/>
                    </w:rPr>
                    <w:t>elje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8"/>
              </w:trPr>
              <w:tc>
                <w:tcPr>
                  <w:tcW w:w="140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(n= 215)</w:t>
                  </w:r>
                </w:p>
              </w:tc>
              <w:tc>
                <w:tcPr>
                  <w:tcW w:w="805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41"/>
              </w:trPr>
              <w:tc>
                <w:tcPr>
                  <w:tcW w:w="2205" w:type="dxa"/>
                  <w:gridSpan w:val="2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HCV-RNK negativna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ili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≥ 2 log smanjenje</w:t>
                  </w:r>
                </w:p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 količini virusa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50 %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83 %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(1/2)</w:t>
                  </w: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(177/213)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3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316A9C" w:rsidRPr="00C70B07" w:rsidTr="00EE3DBD">
              <w:trPr>
                <w:trHeight w:val="255"/>
              </w:trPr>
              <w:tc>
                <w:tcPr>
                  <w:tcW w:w="2205" w:type="dxa"/>
                  <w:gridSpan w:val="2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A9C" w:rsidRPr="00C70B07" w:rsidRDefault="00316A9C" w:rsidP="00EE3DB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:rsidR="00316A9C" w:rsidRPr="00C70B07" w:rsidRDefault="00316A9C" w:rsidP="00EE3DBD">
                  <w:pPr>
                    <w:tabs>
                      <w:tab w:val="clear" w:pos="284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</w:tbl>
          <w:p w:rsidR="008F1C87" w:rsidRPr="00C70B07" w:rsidRDefault="008F1C87" w:rsidP="008F1C87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*Genotip 1 dobija terapiju od 48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elja </w:t>
            </w:r>
          </w:p>
          <w:p w:rsidR="008F1C87" w:rsidRPr="00C70B07" w:rsidRDefault="008F1C87" w:rsidP="008F1C87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**Genotip 2, 3 dobijaju terapiju od 24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elje </w:t>
            </w:r>
          </w:p>
          <w:p w:rsidR="008F1C87" w:rsidRPr="00C70B07" w:rsidRDefault="008F1C87" w:rsidP="008F1C87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lastRenderedPageBreak/>
              <w:t>*** Predstavljeni rezultatii su iz jedne vremenske tačke. Pacijentu mogu nedostajati ili može da ima različite rezultate za  4. ili 12.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elju.</w:t>
            </w:r>
          </w:p>
          <w:p w:rsidR="008F1C87" w:rsidRPr="00C70B07" w:rsidRDefault="008F1C87" w:rsidP="008F1C87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† Ovi kriterijumi su korišćeni u protokolu: Ako je u 12.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elji HCV-RNK pozitivna i &lt; 2log10 smanjenje od početne vr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ednosti, pacijentima se prekida terapija. Ako je u 12.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elji  HCV-RNK pozitivna i smanjenje ≥ 2log10 od početne vr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ednosti, onda se  HCV-RNK ponovo testira u 24. ned</w:t>
            </w:r>
            <w:r w:rsidR="00B74665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elji i ako je pozitivan, pacijentu se prekida terapija.</w:t>
            </w:r>
          </w:p>
          <w:p w:rsidR="00EC39E9" w:rsidRPr="00C70B07" w:rsidRDefault="00EC39E9" w:rsidP="004C5099">
            <w:pPr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4C5099" w:rsidRPr="00C70B07" w:rsidRDefault="007639F0" w:rsidP="004C5099">
            <w:pPr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Pacijenti</w:t>
            </w:r>
            <w:r w:rsidR="004C5099" w:rsidRPr="00C70B0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 xml:space="preserve"> s</w:t>
            </w:r>
            <w:r w:rsidR="007506CB" w:rsidRPr="00C70B0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a</w:t>
            </w:r>
            <w:r w:rsidR="004C5099" w:rsidRPr="00C70B0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 xml:space="preserve"> koinfekcijom HCV-om i HIV-om</w:t>
            </w:r>
          </w:p>
          <w:p w:rsidR="004C5099" w:rsidRPr="00C70B07" w:rsidRDefault="009232F8" w:rsidP="009232F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Sprovedena su dva ispitivanja kod pacijenata sa koinfekcijom HIV-om i HCV-om. Odgovor na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u oba ova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ispitivanja prikazan je u </w:t>
            </w:r>
            <w:r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Tabeli </w:t>
            </w:r>
            <w:r w:rsidR="00EC6AF2" w:rsidRPr="00C70B07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10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Ispitivanje br. 1 (RIBAVIC; P01017) bilo je randomizovano, multicentri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ispitivanje u koje je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412 prethodno nel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odraslih pacijenata sa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koinficiranih HIV-om. Pacijenti su bili randomizovani u grupe koje su primale ili Rebetol (800 mg dnevno) sa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peginterferonom alfa-2b (1,5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μ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g/kg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 ili Rebetol (800 mg dnevno) sa interferonom alfa-2b (3 mil.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puta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eljno) tokom 48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elja; razdoblje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trajalo je 6 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eseci. Ispitivanje br. 2 (P02080) bilo 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randomizovano ispitivanje sprovedeno u jednom centru, u koje je uklju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eno 95 prethodno nel</w:t>
            </w:r>
            <w:r w:rsidR="0081574C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enih odraslih pacijenata sa hroni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nim hepatitisom C koinficiranih HIV-om. Pacijenti su bili randomizovani tako da su primali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ili Rebetol (800-1.200 mg dnevno na osnovu t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elesne mase) sa peginterferonom alfa-2b (100 ili 150 µg/kg ned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eljno na osnovu t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elesne mase) ili Rebetol (800-1,200 µg/kg dnevno na osnovu t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elesne mase) sa interferonom alfa-2b (3 mil.</w:t>
            </w:r>
            <w:r w:rsidR="00BC2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tri puta ned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eljno). L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ečenje je trajalo 48 ned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elja, a razdoblje praćenja 6 m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eseci, osim kod pacijenata inficiranih genotipovima 2 ili 3 i virusnim opterećenjem od</w:t>
            </w:r>
            <w:r w:rsidR="00A81CF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&lt;800.000 </w:t>
            </w:r>
            <w:r w:rsidR="00BC291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/ml (Amplicor), koji su bili l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ečeni 24 ned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elje i praćeni 6 m</w:t>
            </w:r>
            <w:r w:rsidR="0081574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eseci.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 </w:t>
            </w:r>
          </w:p>
          <w:p w:rsidR="009232F8" w:rsidRPr="00C70B07" w:rsidRDefault="009232F8" w:rsidP="009232F8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tbl>
            <w:tblPr>
              <w:tblW w:w="9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2"/>
              <w:gridCol w:w="1560"/>
              <w:gridCol w:w="1559"/>
              <w:gridCol w:w="850"/>
              <w:gridCol w:w="1560"/>
              <w:gridCol w:w="1559"/>
              <w:gridCol w:w="886"/>
            </w:tblGrid>
            <w:tr w:rsidR="004C5099" w:rsidRPr="00C70B07" w:rsidTr="004C5099">
              <w:tc>
                <w:tcPr>
                  <w:tcW w:w="9216" w:type="dxa"/>
                  <w:gridSpan w:val="7"/>
                </w:tcPr>
                <w:p w:rsidR="004C5099" w:rsidRPr="00C70B07" w:rsidRDefault="00A87085" w:rsidP="00776640">
                  <w:pPr>
                    <w:adjustRightInd w:val="0"/>
                    <w:spacing w:before="30" w:after="30"/>
                    <w:ind w:left="1021" w:hanging="1021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sr-Latn-ME"/>
                    </w:rPr>
                    <w:t>Tabela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EC6AF2" w:rsidRPr="00C70B0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sr-Latn-ME"/>
                    </w:rPr>
                    <w:t>10</w:t>
                  </w:r>
                  <w:r w:rsidR="00EC6AF2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9232F8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Stabilan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virološki odgovor na </w:t>
                  </w:r>
                  <w:r w:rsidR="00BF1818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osnovu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genotipa nakon </w:t>
                  </w:r>
                  <w:r w:rsidR="00DF1253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eč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enja Rebetolom u kombinaciji s</w:t>
                  </w:r>
                  <w:r w:rsidR="001E69D4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a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peginterferonom alfa-2b </w:t>
                  </w:r>
                  <w:r w:rsidR="001E69D4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kod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7639F0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pacijenata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s</w:t>
                  </w:r>
                  <w:r w:rsidR="001E69D4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>a</w:t>
                  </w:r>
                  <w:r w:rsidR="004C5099" w:rsidRPr="00C70B0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sr-Latn-ME"/>
                    </w:rPr>
                    <w:t xml:space="preserve"> koinfekcijom HCV-om i HIV-om</w:t>
                  </w:r>
                </w:p>
              </w:tc>
            </w:tr>
            <w:tr w:rsidR="004C5099" w:rsidRPr="00C70B07" w:rsidTr="004C5099">
              <w:tc>
                <w:tcPr>
                  <w:tcW w:w="1242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Ispitivanje 1</w:t>
                  </w:r>
                  <w:r w:rsidRPr="00C70B07">
                    <w:rPr>
                      <w:rFonts w:ascii="Times New Roman" w:hAnsi="Times New Roman"/>
                      <w:snapToGrid w:val="0"/>
                      <w:sz w:val="22"/>
                      <w:szCs w:val="22"/>
                      <w:vertAlign w:val="superscript"/>
                      <w:lang w:val="sr-Latn-ME"/>
                    </w:rPr>
                    <w:t>1</w:t>
                  </w:r>
                </w:p>
              </w:tc>
              <w:tc>
                <w:tcPr>
                  <w:tcW w:w="4005" w:type="dxa"/>
                  <w:gridSpan w:val="3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Ispitivanje 2</w:t>
                  </w:r>
                  <w:r w:rsidRPr="00C70B07">
                    <w:rPr>
                      <w:rFonts w:ascii="Times New Roman" w:hAnsi="Times New Roman"/>
                      <w:snapToGrid w:val="0"/>
                      <w:sz w:val="22"/>
                      <w:szCs w:val="22"/>
                      <w:vertAlign w:val="superscript"/>
                      <w:lang w:val="sr-Latn-ME"/>
                    </w:rPr>
                    <w:t>2</w:t>
                  </w:r>
                </w:p>
              </w:tc>
            </w:tr>
            <w:tr w:rsidR="004C5099" w:rsidRPr="00C70B07" w:rsidTr="004C5099">
              <w:tc>
                <w:tcPr>
                  <w:tcW w:w="1242" w:type="dxa"/>
                </w:tcPr>
                <w:p w:rsidR="004C5099" w:rsidRPr="00C70B07" w:rsidRDefault="004C5099" w:rsidP="004C5099">
                  <w:pPr>
                    <w:pStyle w:val="EndnoteText"/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before="30" w:after="3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Rebetol 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(800 mg/dan) +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 alfa-2b (1.5 µg/kg/</w:t>
                  </w:r>
                </w:p>
                <w:p w:rsidR="004C5099" w:rsidRPr="00C70B07" w:rsidRDefault="001E69D4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Rebetol 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(800 mg/dan) +</w:t>
                  </w:r>
                </w:p>
                <w:p w:rsidR="004C5099" w:rsidRPr="00C70B07" w:rsidRDefault="00792F0C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interferon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alfa-2b (3 mil.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tri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put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1E69D4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 vr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ed-nost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a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Rebetol (800-1,200 mg/dan)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d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+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 alfa-2b (100 ili 150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c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µg/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)  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Rebetol (800-1,200 mg/dan)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d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+</w:t>
                  </w:r>
                </w:p>
                <w:p w:rsidR="004C5099" w:rsidRPr="00C70B07" w:rsidRDefault="00792F0C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interferon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alfa-2b </w:t>
                  </w:r>
                </w:p>
                <w:p w:rsidR="004C5099" w:rsidRPr="00C70B07" w:rsidRDefault="004C5099" w:rsidP="004C5099">
                  <w:pPr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(3 mil.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tri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put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no)  </w:t>
                  </w:r>
                </w:p>
              </w:tc>
              <w:tc>
                <w:tcPr>
                  <w:tcW w:w="886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 vr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ed-nost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b</w:t>
                  </w:r>
                </w:p>
              </w:tc>
            </w:tr>
            <w:tr w:rsidR="004C5099" w:rsidRPr="00C70B07" w:rsidTr="004C5099">
              <w:tc>
                <w:tcPr>
                  <w:tcW w:w="1242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 Svi 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27% (56/205)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20 % (41/205)</w:t>
                  </w:r>
                </w:p>
              </w:tc>
              <w:tc>
                <w:tcPr>
                  <w:tcW w:w="85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0,047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44% (23/52)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21% (9/43)</w:t>
                  </w:r>
                </w:p>
              </w:tc>
              <w:tc>
                <w:tcPr>
                  <w:tcW w:w="886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0,017</w:t>
                  </w:r>
                </w:p>
              </w:tc>
            </w:tr>
            <w:tr w:rsidR="004C5099" w:rsidRPr="00C70B07" w:rsidTr="004C5099">
              <w:tc>
                <w:tcPr>
                  <w:tcW w:w="1242" w:type="dxa"/>
                </w:tcPr>
                <w:p w:rsidR="004C5099" w:rsidRPr="00C70B07" w:rsidRDefault="004C5099" w:rsidP="004C5099">
                  <w:pPr>
                    <w:tabs>
                      <w:tab w:val="left" w:pos="0"/>
                      <w:tab w:val="left" w:pos="720"/>
                    </w:tabs>
                    <w:adjustRightInd w:val="0"/>
                    <w:spacing w:before="30" w:after="30"/>
                    <w:ind w:left="720" w:hanging="648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Genotip1, 4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17% (21/125)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6% (8/129)</w:t>
                  </w:r>
                </w:p>
              </w:tc>
              <w:tc>
                <w:tcPr>
                  <w:tcW w:w="85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0,006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38% (12/32)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7% (2/27)</w:t>
                  </w:r>
                </w:p>
              </w:tc>
              <w:tc>
                <w:tcPr>
                  <w:tcW w:w="886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0,007</w:t>
                  </w:r>
                </w:p>
              </w:tc>
            </w:tr>
            <w:tr w:rsidR="004C5099" w:rsidRPr="00C70B07" w:rsidTr="004C5099">
              <w:tc>
                <w:tcPr>
                  <w:tcW w:w="1242" w:type="dxa"/>
                </w:tcPr>
                <w:p w:rsidR="004C5099" w:rsidRPr="00C70B07" w:rsidRDefault="004C5099" w:rsidP="004C5099">
                  <w:pPr>
                    <w:tabs>
                      <w:tab w:val="left" w:pos="0"/>
                      <w:tab w:val="left" w:pos="720"/>
                    </w:tabs>
                    <w:adjustRightInd w:val="0"/>
                    <w:spacing w:before="30" w:after="30"/>
                    <w:ind w:left="720" w:hanging="648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2, 3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44% (35/80)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43% (33/76)</w:t>
                  </w:r>
                </w:p>
              </w:tc>
              <w:tc>
                <w:tcPr>
                  <w:tcW w:w="85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0,88</w:t>
                  </w:r>
                </w:p>
              </w:tc>
              <w:tc>
                <w:tcPr>
                  <w:tcW w:w="1560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53% (10/19)</w:t>
                  </w:r>
                </w:p>
              </w:tc>
              <w:tc>
                <w:tcPr>
                  <w:tcW w:w="1559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47% (7/15)</w:t>
                  </w:r>
                </w:p>
              </w:tc>
              <w:tc>
                <w:tcPr>
                  <w:tcW w:w="886" w:type="dxa"/>
                </w:tcPr>
                <w:p w:rsidR="004C5099" w:rsidRPr="00C70B07" w:rsidRDefault="004C5099" w:rsidP="004C5099">
                  <w:pPr>
                    <w:adjustRightInd w:val="0"/>
                    <w:spacing w:before="30" w:after="3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0,730</w:t>
                  </w:r>
                </w:p>
              </w:tc>
            </w:tr>
            <w:tr w:rsidR="004C5099" w:rsidRPr="00C70B07" w:rsidTr="004C5099">
              <w:tc>
                <w:tcPr>
                  <w:tcW w:w="9216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4C5099" w:rsidRPr="00C70B07" w:rsidRDefault="001E69D4" w:rsidP="004C5099">
                  <w:pPr>
                    <w:tabs>
                      <w:tab w:val="left" w:pos="0"/>
                      <w:tab w:val="left" w:pos="360"/>
                    </w:tabs>
                    <w:adjustRightInd w:val="0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mil.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= milio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n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internacionalnih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jedinica</w:t>
                  </w:r>
                </w:p>
                <w:p w:rsidR="004C5099" w:rsidRPr="00C70B07" w:rsidRDefault="001E69D4" w:rsidP="004C5099">
                  <w:pPr>
                    <w:tabs>
                      <w:tab w:val="left" w:pos="0"/>
                      <w:tab w:val="left" w:pos="360"/>
                    </w:tabs>
                    <w:adjustRightInd w:val="0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a: p vr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ednost na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osnovu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Cochran-Mantel Haenszel </w:t>
                  </w:r>
                  <w:r w:rsidR="00EF6E0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C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hi kvadrat testa.</w:t>
                  </w:r>
                </w:p>
                <w:p w:rsidR="004C5099" w:rsidRPr="00C70B07" w:rsidRDefault="001E69D4" w:rsidP="004C5099">
                  <w:pPr>
                    <w:tabs>
                      <w:tab w:val="left" w:pos="0"/>
                      <w:tab w:val="left" w:pos="360"/>
                    </w:tabs>
                    <w:adjustRightInd w:val="0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b: p vr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ednost na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osnovu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EF6E0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C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hi kvadrat testa.</w:t>
                  </w:r>
                </w:p>
                <w:p w:rsidR="004C5099" w:rsidRPr="00C70B07" w:rsidRDefault="004C5099" w:rsidP="004C5099">
                  <w:pPr>
                    <w:tabs>
                      <w:tab w:val="left" w:pos="0"/>
                      <w:tab w:val="left" w:pos="360"/>
                    </w:tabs>
                    <w:adjustRightInd w:val="0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c: ispitanici s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&lt;75 kg primali su 100 µg/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o peginterferona alfa-2b, a ispitanici s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≥75 kg primali su 150 µg/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peginterferona alfa-2b .</w:t>
                  </w:r>
                </w:p>
                <w:p w:rsidR="004C5099" w:rsidRPr="00C70B07" w:rsidRDefault="004C5099" w:rsidP="004C5099">
                  <w:pPr>
                    <w:tabs>
                      <w:tab w:val="left" w:pos="0"/>
                      <w:tab w:val="left" w:pos="360"/>
                    </w:tabs>
                    <w:adjustRightInd w:val="0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d: Doza </w:t>
                  </w:r>
                  <w:r w:rsidR="00161F2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161F2F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eka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Rebetol iznosila je 800 mg za 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pacijente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s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&lt;60 kg, 1.000 mg za 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pacijente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s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60-75 kg, a 1.200 mg za </w:t>
                  </w:r>
                  <w:r w:rsidR="001E69D4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pacijente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sa &gt;75 kg.</w:t>
                  </w:r>
                </w:p>
                <w:p w:rsidR="004C5099" w:rsidRPr="00C70B07" w:rsidRDefault="004C5099" w:rsidP="004C5099">
                  <w:pPr>
                    <w:pStyle w:val="EndnoteText"/>
                    <w:widowControl w:val="0"/>
                    <w:tabs>
                      <w:tab w:val="clear" w:pos="567"/>
                    </w:tabs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0B07">
                    <w:rPr>
                      <w:rFonts w:ascii="Times New Roman" w:hAnsi="Times New Roman" w:cs="Times New Roman"/>
                      <w:noProof/>
                      <w:snapToGrid w:val="0"/>
                      <w:vertAlign w:val="superscript"/>
                      <w:lang w:val="sr-Latn-ME"/>
                    </w:rPr>
                    <w:t>1</w:t>
                  </w:r>
                  <w:r w:rsidRPr="00C70B07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Carrat F, Bani-Sadr F, Pol S et al. JAMA 2004; 292(23): 2839-2848.</w:t>
                  </w:r>
                </w:p>
                <w:p w:rsidR="004C5099" w:rsidRPr="00C70B07" w:rsidRDefault="004C5099" w:rsidP="004C5099">
                  <w:pPr>
                    <w:pStyle w:val="EndnoteText"/>
                    <w:widowControl w:val="0"/>
                    <w:tabs>
                      <w:tab w:val="clear" w:pos="567"/>
                    </w:tabs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0B07">
                    <w:rPr>
                      <w:rFonts w:ascii="Times New Roman" w:hAnsi="Times New Roman" w:cs="Times New Roman"/>
                      <w:noProof/>
                      <w:vertAlign w:val="superscript"/>
                      <w:lang w:val="sr-Latn-ME"/>
                    </w:rPr>
                    <w:t>2</w:t>
                  </w:r>
                  <w:r w:rsidRPr="00C70B07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Laguno M, Murillas J, Blanco J.L et al. AIDS 2004; 18(13): F27-F36.</w:t>
                  </w:r>
                </w:p>
                <w:p w:rsidR="004C5099" w:rsidRPr="00C70B07" w:rsidRDefault="004C5099" w:rsidP="004C5099">
                  <w:pPr>
                    <w:pStyle w:val="EndnoteText"/>
                    <w:widowControl w:val="0"/>
                    <w:tabs>
                      <w:tab w:val="clear" w:pos="567"/>
                    </w:tabs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:rsidR="00765C04" w:rsidRDefault="00765C04" w:rsidP="004C5099">
            <w:pPr>
              <w:tabs>
                <w:tab w:val="left" w:pos="0"/>
                <w:tab w:val="left" w:pos="720"/>
              </w:tabs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</w:p>
          <w:p w:rsidR="004C5099" w:rsidRPr="00C70B07" w:rsidRDefault="004C5099" w:rsidP="004C5099">
            <w:pPr>
              <w:tabs>
                <w:tab w:val="left" w:pos="0"/>
                <w:tab w:val="left" w:pos="720"/>
              </w:tabs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  <w:lastRenderedPageBreak/>
              <w:t>Histološki odgovor</w:t>
            </w:r>
          </w:p>
          <w:p w:rsidR="00147033" w:rsidRPr="00C70B07" w:rsidRDefault="00147033" w:rsidP="00147033">
            <w:pPr>
              <w:pStyle w:val="CM29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Biopsija jetre urađena je pr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 i nakon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u Ispitivanju br. 1, a nalazi su bili dostupni za 210 od 412 ispitanika (51%). I Metavir skor i stepen po Ishaku smanjili su se kod ispitanika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 xml:space="preserve">ečenih Rebetolom u kombinaciji sa peginterferonom alfa-2b. To smanjenje je bilo značajno kod pacijenata sa terapijskim odgovorom (-0.3 za Metavir i -1.2 za Ishak) i stabilno (-0.1 za Metavir i -0.2 za Ishak) kod pacijenata bez odgovora. Obzirom na aktivnost, poboljšanje je nastupilo kod oko jedne trećine pacijenata sa stabilnim odgovorom, dok pogoršanja nije bilo ni kod jednog pacijenta. U ovom ispitivanju nije opaženo poboljšanje fibroze. Steatoza se značajno poboljšala kod pacijenata inficiranih genotipom 3 HCV-a. </w:t>
            </w:r>
          </w:p>
          <w:p w:rsidR="004C5099" w:rsidRPr="00C70B07" w:rsidRDefault="004C5099" w:rsidP="004C5099">
            <w:pPr>
              <w:tabs>
                <w:tab w:val="left" w:pos="0"/>
                <w:tab w:val="left" w:pos="720"/>
              </w:tabs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r-Latn-ME"/>
              </w:rPr>
            </w:pPr>
          </w:p>
          <w:p w:rsidR="00147033" w:rsidRPr="00C70B07" w:rsidRDefault="00147033" w:rsidP="00147033">
            <w:pPr>
              <w:pStyle w:val="CM1"/>
              <w:rPr>
                <w:i/>
                <w:iCs/>
                <w:sz w:val="22"/>
                <w:szCs w:val="22"/>
                <w:lang w:val="sr-Latn-ME"/>
              </w:rPr>
            </w:pPr>
            <w:r w:rsidRPr="00C70B07">
              <w:rPr>
                <w:i/>
                <w:iCs/>
                <w:sz w:val="22"/>
                <w:szCs w:val="22"/>
                <w:lang w:val="sr-Latn-ME"/>
              </w:rPr>
              <w:t>Pacijenti kod kojih prethodno l</w:t>
            </w:r>
            <w:r w:rsidR="0081574C" w:rsidRPr="00C70B07">
              <w:rPr>
                <w:i/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>e</w:t>
            </w:r>
            <w:r w:rsidRPr="00C70B07">
              <w:rPr>
                <w:i/>
                <w:sz w:val="22"/>
                <w:szCs w:val="22"/>
                <w:lang w:val="sr-Latn-ME"/>
              </w:rPr>
              <w:t>č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>enje nije bilo usp</w:t>
            </w:r>
            <w:r w:rsidR="0081574C" w:rsidRPr="00C70B07">
              <w:rPr>
                <w:i/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i/>
                <w:iCs/>
                <w:sz w:val="22"/>
                <w:szCs w:val="22"/>
                <w:lang w:val="sr-Latn-ME"/>
              </w:rPr>
              <w:t xml:space="preserve">ešno </w:t>
            </w:r>
          </w:p>
          <w:p w:rsidR="00147033" w:rsidRPr="00C70B07" w:rsidRDefault="00147033" w:rsidP="00147033">
            <w:pPr>
              <w:pStyle w:val="CM1"/>
              <w:rPr>
                <w:sz w:val="22"/>
                <w:szCs w:val="22"/>
                <w:lang w:val="sr-Latn-ME"/>
              </w:rPr>
            </w:pPr>
            <w:r w:rsidRPr="00C70B07">
              <w:rPr>
                <w:iCs/>
                <w:sz w:val="22"/>
                <w:szCs w:val="22"/>
                <w:lang w:val="sr-Latn-ME"/>
              </w:rPr>
              <w:t>Ponovljeno 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Cs/>
                <w:sz w:val="22"/>
                <w:szCs w:val="22"/>
                <w:lang w:val="sr-Latn-ME"/>
              </w:rPr>
              <w:t>e</w:t>
            </w:r>
            <w:r w:rsidRPr="00C70B07">
              <w:rPr>
                <w:sz w:val="22"/>
                <w:szCs w:val="22"/>
                <w:lang w:val="sr-Latn-ME"/>
              </w:rPr>
              <w:t>č</w:t>
            </w:r>
            <w:r w:rsidRPr="00C70B07">
              <w:rPr>
                <w:iCs/>
                <w:sz w:val="22"/>
                <w:szCs w:val="22"/>
                <w:lang w:val="sr-Latn-ME"/>
              </w:rPr>
              <w:t>enje kod pacijenata sa prethodno neusp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iCs/>
                <w:sz w:val="22"/>
                <w:szCs w:val="22"/>
                <w:lang w:val="sr-Latn-ME"/>
              </w:rPr>
              <w:t>ešnim 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Cs/>
                <w:sz w:val="22"/>
                <w:szCs w:val="22"/>
                <w:lang w:val="sr-Latn-ME"/>
              </w:rPr>
              <w:t>e</w:t>
            </w:r>
            <w:r w:rsidRPr="00C70B07">
              <w:rPr>
                <w:sz w:val="22"/>
                <w:szCs w:val="22"/>
                <w:lang w:val="sr-Latn-ME"/>
              </w:rPr>
              <w:t>č</w:t>
            </w:r>
            <w:r w:rsidRPr="00C70B07">
              <w:rPr>
                <w:iCs/>
                <w:sz w:val="22"/>
                <w:szCs w:val="22"/>
                <w:lang w:val="sr-Latn-ME"/>
              </w:rPr>
              <w:t>enjem (pacijenti sa relapsom i oni bez odgovora) peginterferonom alfa-2b u kombinaciji sa</w:t>
            </w:r>
            <w:r w:rsidR="008C7603" w:rsidRPr="00C70B07">
              <w:rPr>
                <w:iCs/>
                <w:sz w:val="22"/>
                <w:szCs w:val="22"/>
                <w:lang w:val="sr-Latn-ME"/>
              </w:rPr>
              <w:t xml:space="preserve"> 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="008C7603" w:rsidRPr="00C70B07">
              <w:rPr>
                <w:iCs/>
                <w:sz w:val="22"/>
                <w:szCs w:val="22"/>
                <w:lang w:val="sr-Latn-ME"/>
              </w:rPr>
              <w:t>ekom</w:t>
            </w:r>
            <w:r w:rsidRPr="00C70B07">
              <w:rPr>
                <w:iCs/>
                <w:sz w:val="22"/>
                <w:szCs w:val="22"/>
                <w:lang w:val="sr-Latn-ME"/>
              </w:rPr>
              <w:t xml:space="preserve"> Rebetol</w:t>
            </w:r>
            <w:r w:rsidR="00D0600D" w:rsidRPr="00C70B07">
              <w:rPr>
                <w:iCs/>
                <w:sz w:val="22"/>
                <w:szCs w:val="22"/>
                <w:lang w:val="sr-Latn-ME"/>
              </w:rPr>
              <w:t>:</w:t>
            </w:r>
            <w:r w:rsidRPr="00C70B07">
              <w:rPr>
                <w:iCs/>
                <w:sz w:val="22"/>
                <w:szCs w:val="22"/>
                <w:lang w:val="sr-Latn-ME"/>
              </w:rPr>
              <w:t xml:space="preserve"> </w:t>
            </w:r>
          </w:p>
          <w:p w:rsidR="00147033" w:rsidRPr="00C70B07" w:rsidRDefault="00147033" w:rsidP="00147033">
            <w:pPr>
              <w:pStyle w:val="Default"/>
              <w:pageBreakBefore/>
              <w:rPr>
                <w:color w:val="auto"/>
                <w:sz w:val="22"/>
                <w:szCs w:val="22"/>
                <w:lang w:val="sr-Latn-ME"/>
              </w:rPr>
            </w:pPr>
            <w:r w:rsidRPr="00C70B07">
              <w:rPr>
                <w:iCs/>
                <w:sz w:val="22"/>
                <w:szCs w:val="22"/>
                <w:lang w:val="sr-Latn-ME"/>
              </w:rPr>
              <w:t>U ne-komparativnom ispitivanju, 2293 pacijenata sa um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iCs/>
                <w:sz w:val="22"/>
                <w:szCs w:val="22"/>
                <w:lang w:val="sr-Latn-ME"/>
              </w:rPr>
              <w:t>erenom do teškom fibrozom kod kojih prethodno 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Cs/>
                <w:sz w:val="22"/>
                <w:szCs w:val="22"/>
                <w:lang w:val="sr-Latn-ME"/>
              </w:rPr>
              <w:t>ečenje interferonom alfa u kombinaciji sa ribavirinom nije bilo usp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iCs/>
                <w:sz w:val="22"/>
                <w:szCs w:val="22"/>
                <w:lang w:val="sr-Latn-ME"/>
              </w:rPr>
              <w:t>ešno ponovo je 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Cs/>
                <w:sz w:val="22"/>
                <w:szCs w:val="22"/>
                <w:lang w:val="sr-Latn-ME"/>
              </w:rPr>
              <w:t>ečeno peginterferonom alfa-2b u dozi od 1,5 mikrograma/kg prim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Pr="00C70B07">
              <w:rPr>
                <w:iCs/>
                <w:sz w:val="22"/>
                <w:szCs w:val="22"/>
                <w:lang w:val="sr-Latn-ME"/>
              </w:rPr>
              <w:t>enjenog subkutano jedanput ned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j</w:t>
            </w:r>
            <w:r w:rsidRPr="00C70B07">
              <w:rPr>
                <w:iCs/>
                <w:sz w:val="22"/>
                <w:szCs w:val="22"/>
                <w:lang w:val="sr-Latn-ME"/>
              </w:rPr>
              <w:t xml:space="preserve">eljno u kombinaciji sa </w:t>
            </w:r>
            <w:r w:rsidR="008C7603" w:rsidRPr="00C70B07">
              <w:rPr>
                <w:iCs/>
                <w:sz w:val="22"/>
                <w:szCs w:val="22"/>
                <w:lang w:val="sr-Latn-ME"/>
              </w:rPr>
              <w:t>l</w:t>
            </w:r>
            <w:r w:rsidR="0081574C" w:rsidRPr="00C70B07">
              <w:rPr>
                <w:iCs/>
                <w:sz w:val="22"/>
                <w:szCs w:val="22"/>
                <w:lang w:val="sr-Latn-ME"/>
              </w:rPr>
              <w:t>ij</w:t>
            </w:r>
            <w:r w:rsidR="008C7603" w:rsidRPr="00C70B07">
              <w:rPr>
                <w:iCs/>
                <w:sz w:val="22"/>
                <w:szCs w:val="22"/>
                <w:lang w:val="sr-Latn-ME"/>
              </w:rPr>
              <w:t>e</w:t>
            </w:r>
            <w:r w:rsidR="00EF6E08" w:rsidRPr="00C70B07">
              <w:rPr>
                <w:iCs/>
                <w:sz w:val="22"/>
                <w:szCs w:val="22"/>
                <w:lang w:val="sr-Latn-ME"/>
              </w:rPr>
              <w:t>k</w:t>
            </w:r>
            <w:r w:rsidR="008C7603" w:rsidRPr="00C70B07">
              <w:rPr>
                <w:iCs/>
                <w:sz w:val="22"/>
                <w:szCs w:val="22"/>
                <w:lang w:val="sr-Latn-ME"/>
              </w:rPr>
              <w:t xml:space="preserve">om </w:t>
            </w:r>
            <w:r w:rsidRPr="00C70B07">
              <w:rPr>
                <w:iCs/>
                <w:sz w:val="22"/>
                <w:szCs w:val="22"/>
                <w:lang w:val="sr-Latn-ME"/>
              </w:rPr>
              <w:t xml:space="preserve">Rebetol u dozi 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prilagođenoj t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elesnoj masi pacijenata. Neusp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eh prethodnog l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ečenja definisan je kao relaps ili izostanak odgovora (HCV-RNK pozitivan nalaz nakon najmanje 12 ned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elja l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 xml:space="preserve">ečenja). </w:t>
            </w:r>
          </w:p>
          <w:p w:rsidR="004C5099" w:rsidRPr="00C70B07" w:rsidRDefault="004C5099" w:rsidP="004C5099">
            <w:pPr>
              <w:tabs>
                <w:tab w:val="left" w:pos="0"/>
                <w:tab w:val="left" w:pos="720"/>
              </w:tabs>
              <w:adjustRightInd w:val="0"/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</w:pPr>
          </w:p>
          <w:p w:rsidR="00147033" w:rsidRPr="00C70B07" w:rsidRDefault="00147033" w:rsidP="00147033">
            <w:pPr>
              <w:pStyle w:val="CM28"/>
              <w:spacing w:line="253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Pacijenti koji su imali negativan nalaz HCV-RNK u 12. ned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elji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nastavili su sa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ečenjem tokom 48 ned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elja i praćeni su još 24 ned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elje po završetku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ečenja. Stabilan virološki odgovor definisan je kao nem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erljiva HCV</w:t>
            </w:r>
            <w:r w:rsidRPr="00C70B07">
              <w:rPr>
                <w:sz w:val="22"/>
                <w:szCs w:val="22"/>
                <w:lang w:val="sr-Latn-ME"/>
              </w:rPr>
              <w:softHyphen/>
              <w:t>RNK u 24. ned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elji nakon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ečenja (</w:t>
            </w:r>
            <w:r w:rsidRPr="00C70B07">
              <w:rPr>
                <w:b/>
                <w:sz w:val="22"/>
                <w:szCs w:val="22"/>
                <w:lang w:val="sr-Latn-ME"/>
              </w:rPr>
              <w:t xml:space="preserve">Tabela </w:t>
            </w:r>
            <w:r w:rsidR="00AA5795" w:rsidRPr="00C70B07">
              <w:rPr>
                <w:b/>
                <w:sz w:val="22"/>
                <w:szCs w:val="22"/>
                <w:lang w:val="sr-Latn-ME"/>
              </w:rPr>
              <w:t>11</w:t>
            </w:r>
            <w:r w:rsidRPr="00C70B07">
              <w:rPr>
                <w:sz w:val="22"/>
                <w:szCs w:val="22"/>
                <w:lang w:val="sr-Latn-ME"/>
              </w:rPr>
              <w:t xml:space="preserve">). </w:t>
            </w:r>
          </w:p>
          <w:p w:rsidR="004C5099" w:rsidRPr="00C70B07" w:rsidRDefault="004C5099" w:rsidP="004C5099">
            <w:pPr>
              <w:tabs>
                <w:tab w:val="left" w:pos="0"/>
                <w:tab w:val="left" w:pos="720"/>
              </w:tabs>
              <w:adjustRightInd w:val="0"/>
              <w:rPr>
                <w:rFonts w:ascii="Times New Roman" w:hAnsi="Times New Roman"/>
                <w:iCs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1440"/>
              <w:gridCol w:w="1441"/>
              <w:gridCol w:w="1441"/>
              <w:gridCol w:w="1441"/>
              <w:gridCol w:w="1441"/>
            </w:tblGrid>
            <w:tr w:rsidR="004C5099" w:rsidRPr="00C70B07" w:rsidTr="004C5099">
              <w:tc>
                <w:tcPr>
                  <w:tcW w:w="8644" w:type="dxa"/>
                  <w:gridSpan w:val="6"/>
                </w:tcPr>
                <w:p w:rsidR="004C5099" w:rsidRDefault="00A87085" w:rsidP="00AA5795">
                  <w:pPr>
                    <w:keepNext/>
                    <w:keepLines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Tabela</w:t>
                  </w:r>
                  <w:r w:rsidR="004C5099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AA5795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11</w:t>
                  </w:r>
                  <w:r w:rsidR="003953CB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ab/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Stopa odgovora na ponovljeno 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enje 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pacijenata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kod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kojih je prethodno 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enje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bilo</w:t>
                  </w:r>
                  <w:r w:rsidR="004C5099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neusp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ešno</w:t>
                  </w:r>
                </w:p>
                <w:p w:rsidR="00765C04" w:rsidRPr="00C70B07" w:rsidRDefault="00765C04" w:rsidP="00AA5795">
                  <w:pPr>
                    <w:keepNext/>
                    <w:keepLines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5763" w:type="dxa"/>
                  <w:gridSpan w:val="4"/>
                </w:tcPr>
                <w:p w:rsidR="004C5099" w:rsidRPr="00C70B07" w:rsidRDefault="007639F0" w:rsidP="004C5099">
                  <w:pPr>
                    <w:tabs>
                      <w:tab w:val="left" w:pos="216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Pacijenti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s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nem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erljivom HCV-RNA u 12 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5C407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enja i </w:t>
                  </w:r>
                  <w:r w:rsidR="003C7CC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stabilnim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virološkim odgovorom nakon ponovljenog 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DF1253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enja 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881" w:type="dxa"/>
                  <w:gridSpan w:val="2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interferon alfa/ribavirin</w:t>
                  </w:r>
                </w:p>
              </w:tc>
              <w:tc>
                <w:tcPr>
                  <w:tcW w:w="2882" w:type="dxa"/>
                  <w:gridSpan w:val="2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peginterferon alfa/ribavirin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Svi ispitanici*</w:t>
                  </w:r>
                </w:p>
              </w:tc>
            </w:tr>
            <w:tr w:rsidR="004C5099" w:rsidRPr="00C70B07" w:rsidTr="004C5099">
              <w:trPr>
                <w:trHeight w:val="1666"/>
              </w:trPr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0" w:type="dxa"/>
                </w:tcPr>
                <w:p w:rsidR="004C5099" w:rsidRPr="00C70B07" w:rsidRDefault="004C5099" w:rsidP="003953CB">
                  <w:pPr>
                    <w:keepNext/>
                    <w:keepLines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Odgovor 12 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elja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% (n/N)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803EFA" w:rsidP="003953CB">
                  <w:pPr>
                    <w:keepNext/>
                    <w:keepLines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Stabilni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virološki odgovor 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% (n/N)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99% CI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3953CB">
                  <w:pPr>
                    <w:keepNext/>
                    <w:keepLines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Odgovor 12 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81574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elja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% (n/N)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803EFA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Stabilni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virološki odgovor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% (n/N)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99% CI</w:t>
                  </w:r>
                </w:p>
              </w:tc>
              <w:tc>
                <w:tcPr>
                  <w:tcW w:w="1441" w:type="dxa"/>
                </w:tcPr>
                <w:p w:rsidR="004C5099" w:rsidRPr="00C70B07" w:rsidRDefault="00803EFA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Stabilni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virološki odgovor 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% (n/N)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99% C</w:t>
                  </w:r>
                  <w:r w:rsidR="003953C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Svi ispitanici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(549/1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423)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59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(326/549)</w:t>
                  </w:r>
                </w:p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54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;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64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(272/863)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(137/272)</w:t>
                  </w:r>
                </w:p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58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(497/2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293)</w:t>
                  </w:r>
                </w:p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19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23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Prethodni odgovor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Relaps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67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(203/300)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59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(121/203)</w:t>
                  </w:r>
                </w:p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C1187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58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 (200/344)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52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(105/200)</w:t>
                  </w:r>
                </w:p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43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61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37</w:t>
                  </w:r>
                  <w:r w:rsidR="00C1187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(243/645)</w:t>
                  </w:r>
                </w:p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1/4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59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(129/216)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(66/129)</w:t>
                  </w:r>
                </w:p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39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62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(122/251)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(54/122)</w:t>
                  </w:r>
                </w:p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55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(134/468)</w:t>
                  </w:r>
                </w:p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23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34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2/3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51769E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88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(72/81)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73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(53/72)</w:t>
                  </w:r>
                </w:p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(60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87</w:t>
                  </w:r>
                  <w:r w:rsidR="0051769E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83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(77/92)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64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(50/77)</w:t>
                  </w:r>
                </w:p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78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61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(106/173)</w:t>
                  </w:r>
                </w:p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70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Bez odgovora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28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(258/903)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57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(147/258)</w:t>
                  </w:r>
                </w:p>
                <w:p w:rsidR="004C5099" w:rsidRPr="00C70B07" w:rsidRDefault="004C5099" w:rsidP="00935C06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49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64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(59/476)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 (26/59)</w:t>
                  </w:r>
                </w:p>
                <w:p w:rsidR="004C5099" w:rsidRPr="00C70B07" w:rsidRDefault="004C5099" w:rsidP="00507D3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4, 60.7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13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(188/1</w:t>
                  </w:r>
                  <w:r w:rsidR="00507D3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385)</w:t>
                  </w:r>
                </w:p>
                <w:p w:rsidR="004C5099" w:rsidRPr="00C70B07" w:rsidRDefault="004C5099" w:rsidP="00935C06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11.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15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1/4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23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(182/790)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(94/182)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(44/446)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(17/44)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19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57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(123/1,242)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2/3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67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(74/109)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70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(52/74)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56.6, 84.0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53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(15/28)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60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(9/15)</w:t>
                  </w:r>
                </w:p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92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46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(63/137)</w:t>
                  </w:r>
                </w:p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35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57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30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(343/1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135)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(176/343)</w:t>
                  </w:r>
                </w:p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58.3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23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(162/704)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(69/162)</w:t>
                  </w:r>
                </w:p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52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14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(270/1,846)</w:t>
                  </w:r>
                </w:p>
                <w:p w:rsidR="004C5099" w:rsidRPr="00C70B07" w:rsidRDefault="004C5099" w:rsidP="00305DA8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16</w:t>
                  </w:r>
                  <w:r w:rsidR="00305DA8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2/3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77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 (185/240)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73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(135/185)</w:t>
                  </w:r>
                </w:p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64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81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75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(96/127)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63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(61/96)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50.9, 76.2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55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(203/367)</w:t>
                  </w:r>
                </w:p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62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(17/40)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70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(12/17)</w:t>
                  </w:r>
                </w:p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42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99.1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(12/27)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(6/12)</w:t>
                  </w:r>
                </w:p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12.8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87.2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28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(19/67)</w:t>
                  </w:r>
                </w:p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14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2,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;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42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METAVIR skor fibroze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F2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46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(193/420)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66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 (129/193)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58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75.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EE3DB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33</w:t>
                  </w:r>
                  <w:r w:rsidR="00EE3DB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(78/232)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57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(45/78)</w:t>
                  </w:r>
                </w:p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43.3, 72.1</w:t>
                  </w:r>
                </w:p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(191/653)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24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33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F3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(163/429)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(102/163)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(78/241)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(40/78)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36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7, 65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 (147/672)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26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F4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33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(192/572)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49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(95/192)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58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 (116/390)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 (52/116)</w:t>
                  </w:r>
                </w:p>
                <w:p w:rsidR="004C5099" w:rsidRPr="00C70B07" w:rsidRDefault="004C5099" w:rsidP="00806B0D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9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56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16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(159/966)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13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;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19</w:t>
                  </w:r>
                  <w:r w:rsidR="00806B0D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Početno virusno opterećenje 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HVL (&gt;600,000 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/ml)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32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.4 (280/864)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56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 (157/280)</w:t>
                  </w:r>
                </w:p>
                <w:p w:rsidR="004C5099" w:rsidRPr="00C70B07" w:rsidRDefault="004C5099" w:rsidP="00935C06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63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26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 (152/573)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41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 (63/152)</w:t>
                  </w:r>
                </w:p>
                <w:p w:rsidR="004C5099" w:rsidRPr="00C70B07" w:rsidRDefault="004C5099" w:rsidP="00935C06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31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51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16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 (239/1,441)</w:t>
                  </w:r>
                </w:p>
                <w:p w:rsidR="004C5099" w:rsidRPr="00C70B07" w:rsidRDefault="004C5099" w:rsidP="00935C06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14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19</w:t>
                  </w:r>
                  <w:r w:rsidR="00935C06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</w:tr>
            <w:tr w:rsidR="004C5099" w:rsidRPr="00C70B07" w:rsidTr="004C5099">
              <w:tc>
                <w:tcPr>
                  <w:tcW w:w="1440" w:type="dxa"/>
                </w:tcPr>
                <w:p w:rsidR="004C5099" w:rsidRPr="00C70B07" w:rsidRDefault="004C5099" w:rsidP="004C5099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LVL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u w:val="single"/>
                      <w:lang w:val="sr-Latn-ME"/>
                    </w:rPr>
                    <w:t xml:space="preserve">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</w:t>
                  </w:r>
                  <w:r w:rsidRPr="00C70B0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≤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600,000 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/ml)</w:t>
                  </w:r>
                </w:p>
              </w:tc>
              <w:tc>
                <w:tcPr>
                  <w:tcW w:w="1440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48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(269/557)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62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 (169/269)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55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70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057522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41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(118/288)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61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 (72/118)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49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72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.6</w:t>
                  </w:r>
                </w:p>
              </w:tc>
              <w:tc>
                <w:tcPr>
                  <w:tcW w:w="1441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30</w:t>
                  </w:r>
                  <w:r w:rsidR="00057522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(256/848)</w:t>
                  </w:r>
                </w:p>
                <w:p w:rsidR="004C5099" w:rsidRPr="00C70B07" w:rsidRDefault="004C5099" w:rsidP="00A5677A">
                  <w:pPr>
                    <w:keepNext/>
                    <w:keepLines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26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; 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34</w:t>
                  </w:r>
                  <w:r w:rsidR="00A5677A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</w:tr>
          </w:tbl>
          <w:p w:rsidR="003C7CC2" w:rsidRPr="00C70B07" w:rsidRDefault="003C7CC2" w:rsidP="003C7CC2">
            <w:pPr>
              <w:pStyle w:val="Default"/>
              <w:spacing w:line="231" w:lineRule="atLeast"/>
              <w:rPr>
                <w:color w:val="auto"/>
                <w:sz w:val="22"/>
                <w:szCs w:val="22"/>
                <w:lang w:val="sr-Latn-ME"/>
              </w:rPr>
            </w:pPr>
            <w:r w:rsidRPr="00C70B07">
              <w:rPr>
                <w:color w:val="auto"/>
                <w:sz w:val="22"/>
                <w:szCs w:val="22"/>
                <w:lang w:val="sr-Latn-ME"/>
              </w:rPr>
              <w:t>NR-pacijenti bez odgovora, što je bilo definisano kao pozitivan nalaz HCV-RNK u serumu ili plazmi nakon 12 ned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elja l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>ečenja. HCV-RNK u serumu m</w:t>
            </w:r>
            <w:r w:rsidR="0081574C" w:rsidRPr="00C70B07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C70B07">
              <w:rPr>
                <w:color w:val="auto"/>
                <w:sz w:val="22"/>
                <w:szCs w:val="22"/>
                <w:lang w:val="sr-Latn-ME"/>
              </w:rPr>
              <w:t xml:space="preserve">erena je postupkom kvantitativne lančane reakcije polimerazom u centralnoj laboratoriji zasnovanom na istraživanju. </w:t>
            </w:r>
          </w:p>
          <w:p w:rsidR="003C7CC2" w:rsidRPr="00C70B07" w:rsidRDefault="003C7CC2" w:rsidP="003C7CC2">
            <w:pPr>
              <w:pStyle w:val="CM29"/>
              <w:spacing w:line="231" w:lineRule="atLeast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* Svi ispitanici uključujući i 7 pacijenata za koje se nije moglo potvrditi prethodno l</w:t>
            </w:r>
            <w:r w:rsidR="0081574C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ečenje u trajanju od najmanje 12 ned</w:t>
            </w:r>
            <w:r w:rsidR="0081574C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 xml:space="preserve">elja HVL – veliko virusno opterećenje; LVL -malo virusno opterećenje </w:t>
            </w:r>
          </w:p>
          <w:p w:rsidR="004C5099" w:rsidRPr="00C70B07" w:rsidRDefault="004C5099" w:rsidP="004C5099">
            <w:pPr>
              <w:tabs>
                <w:tab w:val="left" w:pos="2160"/>
              </w:tabs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Koncentracija HCV-RNK u plazmi kod oko 36% (821/2286) pacijenata bila je ispod koncentracije detekcije u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12.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a 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erena je pomo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 testa zasnovanog na istraživanju (granica detekcije 125 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/ml). I u toj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podgrupi je stopa stabilanog virološkog odgovora iznosila 56% (463/823). Za pacijente kod kojih prethodno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nepegilovanim ili pegilovanim interferonom nije bilo usp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ešno i sa negativnim nalazom u 12.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stabilan virološki odgovor ostvarilo je 59% pacijenata prethodno neusp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ešno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nepegilovanim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intereferonom, kao i 50% pacijenata prethodno neusp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ešno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pegilovanim intereferonom. Kod oko 480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sa smanjenjem virusnog optere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od 2-log, ali još 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erljivim virusom u 12.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 ukupno 188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je nastavilo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enje. Kod tih pacijenata stabilan virološki odgovor bio je 12%.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 da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pacijenti kod kojih nije nastupio odgovor na prethodno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pegilovanim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interferonom/ribavirinom reagovati na ponovljeno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bila je manja nego kod pacijenata koji ni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imali odgovor na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nepegilovanim interferonom/ribavirinom (12,4% naspram 28,6%). Ipak, ako je postignut odgovor u 12. ned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elji, postojala je mala razlika u stabilnom virološkom odgovoru bez obzira na prethodno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ili prethodni odgovor.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7CC2" w:rsidRPr="00C70B07" w:rsidRDefault="003C7CC2" w:rsidP="008B339B">
            <w:pPr>
              <w:numPr>
                <w:ilvl w:val="0"/>
                <w:numId w:val="1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Ponovljeno l</w:t>
            </w:r>
            <w:r w:rsidR="0081574C"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,Italic" w:hAnsi="Times New Roman"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 xml:space="preserve">enje pacijenata sa relapsom </w:t>
            </w:r>
            <w:r w:rsidR="009534A4"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sa l</w:t>
            </w:r>
            <w:r w:rsidR="0081574C"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="009534A4"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Rebetol u kombinaciji sa interferonom alfa-2b</w:t>
            </w:r>
            <w:r w:rsidR="005734CF" w:rsidRPr="00C70B07">
              <w:rPr>
                <w:rFonts w:ascii="Times New Roman" w:eastAsia="MS Mincho" w:hAnsi="Times New Roman"/>
                <w:iCs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kombinovanog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Rebetolom i interferonom alfa-2b kod pacijenata sa relapsom ispitana je u dva</w:t>
            </w:r>
            <w:r w:rsidR="00ED7C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ispitivanja (C95-144 i I95-145); 345 pacijenata s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koji su imali relaps nakon prethodne terapije interferonom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6 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i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6 m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nakon završetka terapije. Kombinovano</w:t>
            </w:r>
            <w:r w:rsidR="00ED7C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enje </w:t>
            </w:r>
            <w:r w:rsidR="008B339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8B339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i interferonom alfa-2b dovelo je do stabilnog virološkog odgovora koji je bio deseterostruko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od odgovora na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samo interferonom alfa-2b (49% naspram 5%, p&lt;0,0001). Ovo povoljno dejstvo zadržalo se bez obzira na standardne prediktore odgovora na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interferonom alfa-2b, kao što su virusno optere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enje, genotip HCV-a i histološki stepen.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Podaci o dugotrajnoj efikasnosti</w:t>
            </w:r>
            <w:r w:rsidR="00AA579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- Odrasli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Dv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velike studije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dugotrajne efikasnosti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ivale su 1071 pacijenta i 567 pacijenata iz prethodnih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studija sa nepegilovanim interferonom alfa- 2b (sa ili bez 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 i pegilovanim interferonom alfa- 2b (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 ili bez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), ponaosob. Svrha studija bila je proc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postojanost stabilnog virološkog odgovora i uticaja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kontinuirano negativnog nalaza virusa na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ishod. Ukupno 462 pacijenta i 327 pacijenata završilo je</w:t>
            </w:r>
            <w:r w:rsidR="008162A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najmanje 5 godina dugotrajnog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nakon l</w:t>
            </w:r>
            <w:r w:rsidR="0081574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U ovim studijama relaps je imalo 12 od 492 pacijenta sa</w:t>
            </w:r>
            <w:r w:rsidR="00ED7C4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stabilnim terapijskim odgovorom i samo 3 od 366 sa </w:t>
            </w:r>
            <w:r w:rsidR="00114EC5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stabilnim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terapijskim odgovorom.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Proc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kontinuiranog stabilnog terapijskog odgovora tokom 5 godina prema Kaplan-Meieru za pacijente koji su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dobijali nepegilovani interferon alfa- 2b (</w:t>
            </w:r>
            <w:r w:rsidR="004D31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 ili bez 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4D31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 iznosi 97% (s 95% CI: 95- 99%) i 99% (s 95% CI:</w:t>
            </w:r>
            <w:r w:rsidR="004D312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98- 100%) za pacijente koji su dobijali pegilovani interferon alfa- 2b (sa ili bez </w:t>
            </w:r>
            <w:r w:rsidR="009A5EA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9A5EA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Rebetol).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Stabilan virološki odgovor nakon 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HCV-a sa interferonom alfa-2b (pegilovanim ili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nepegilovanim, sa ili bez </w:t>
            </w:r>
            <w:r w:rsidR="00E9423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E9423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Rebetol) dovodi do dugotrajnog uklanjanja virusa osiguravaju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otklanjanje hepati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</w:t>
            </w:r>
            <w:r w:rsidR="00E9423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infekcije i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 „izl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enje“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nog hepatitisa C. 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ovo ne isklju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pojavu prom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na jetri kod</w:t>
            </w:r>
            <w:r w:rsidR="00E9423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pacijenata sa cirozom (uklju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hepatokarcinom).</w:t>
            </w:r>
          </w:p>
          <w:p w:rsidR="003C7CC2" w:rsidRPr="00C70B07" w:rsidRDefault="003C7CC2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C7CC2" w:rsidRPr="00C70B07" w:rsidRDefault="00BE62C4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Klinička efikasnost i bezb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ednost - </w:t>
            </w:r>
            <w:r w:rsidR="00595AD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Klini</w:t>
            </w:r>
            <w:r w:rsidR="00595AD0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č</w:t>
            </w:r>
            <w:r w:rsidR="00595AD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ka ispitivanja</w:t>
            </w:r>
            <w:r w:rsidR="003622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ij</w:t>
            </w:r>
            <w:r w:rsidR="003622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eka</w:t>
            </w:r>
            <w:r w:rsidR="00595AD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Rebetol kod</w:t>
            </w:r>
            <w:r w:rsidR="003C7CC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pedijatrijske populacije</w:t>
            </w:r>
          </w:p>
          <w:p w:rsidR="0088415D" w:rsidRPr="00C70B07" w:rsidRDefault="0088415D" w:rsidP="0088415D">
            <w:pPr>
              <w:widowControl w:val="0"/>
              <w:overflowPunct w:val="0"/>
              <w:autoSpaceDE w:val="0"/>
              <w:spacing w:line="256" w:lineRule="exact"/>
              <w:ind w:left="80" w:right="80"/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i/>
                <w:noProof w:val="0"/>
                <w:sz w:val="22"/>
                <w:szCs w:val="22"/>
                <w:lang w:val="sr-Latn-ME"/>
              </w:rPr>
              <w:t>Rebetol u kombinaciji sa peginterferonom alfa-2b</w:t>
            </w:r>
          </w:p>
          <w:p w:rsidR="00CC2305" w:rsidRPr="00C70B07" w:rsidRDefault="00CC2305" w:rsidP="00CC2305">
            <w:pPr>
              <w:widowControl w:val="0"/>
              <w:overflowPunct w:val="0"/>
              <w:autoSpaceDE w:val="0"/>
              <w:spacing w:line="256" w:lineRule="exact"/>
              <w:ind w:left="80" w:right="80"/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eca i adolescenti od 3 do 17 godina starosti sa kompenzovanim hroničnim hepatitisom C i m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erljivim nivoima HCV-RNK </w:t>
            </w:r>
            <w:r w:rsidR="006C601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bili su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uključeni u multicentričnu kliničku studiju i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ečeni su </w:t>
            </w:r>
            <w:r w:rsidR="00D5241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="00D5241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ekom 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,</w:t>
            </w:r>
            <w:r w:rsidR="00A06BD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15 mg/kg dnevno uz dodatak </w:t>
            </w:r>
            <w:r w:rsidR="00362E2E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pegilovanog interferona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, 60 </w:t>
            </w:r>
            <w:r w:rsidRPr="00C70B07">
              <w:rPr>
                <w:rFonts w:ascii="Times New Roman" w:eastAsia="Arial Unicode MS" w:hAnsi="Times New Roman"/>
                <w:noProof w:val="0"/>
                <w:sz w:val="22"/>
                <w:szCs w:val="22"/>
                <w:lang w:val="sr-Latn-ME"/>
              </w:rPr>
              <w:t>μ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g/m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vertAlign w:val="superscript"/>
                <w:lang w:val="sr-Latn-ME"/>
              </w:rPr>
              <w:t>2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jednom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eljno, tokom 24 ili 48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elja, prema</w:t>
            </w:r>
            <w:r w:rsidR="00362E2E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HCV  genotipu i početnoj količini virusa. Svi pacijenti praćeni su 24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elje nakon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ečenja. Ukupno 107 pacijenata primilo je terapiju od kojih je 52% bilo ženskog  pola, 89% b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ele rase, 67% sa HCV</w:t>
            </w:r>
            <w:r w:rsidR="00362E2E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genotipom 1 i 63 % </w:t>
            </w:r>
            <w:r w:rsidR="00665BA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je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imalo manje od 12 godina. Populaciju koja je uključena u studiju uglavnom su činila 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eca sa blagim do um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erenim oblikom  hepatitisa C. Zbog nedostatka podataka kod 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ece sa teškom progresijom bolesti, i potencijala za izazivanje neželjenih dejstava</w:t>
            </w:r>
            <w:r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>,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odnos koristi i rizika kombinacije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eka </w:t>
            </w:r>
            <w:r w:rsidR="00665BA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Rebetol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sa </w:t>
            </w:r>
            <w:r w:rsidR="00665BA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pegilovanim interferonom alfa-2b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mora da bude pažljivo razmotren kod ove populacije (vid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eti poglavlja 4.1, 4.4 i 4.8). Rezultati studije su prikazani u </w:t>
            </w:r>
            <w:r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>Tabeli 1</w:t>
            </w:r>
            <w:r w:rsidR="008D20E8"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>2</w:t>
            </w:r>
            <w:r w:rsidRPr="00C70B07">
              <w:rPr>
                <w:rFonts w:ascii="Times New Roman" w:hAnsi="Times New Roman"/>
                <w:b/>
                <w:bCs/>
                <w:noProof w:val="0"/>
                <w:sz w:val="22"/>
                <w:szCs w:val="22"/>
                <w:lang w:val="sr-Latn-ME"/>
              </w:rPr>
              <w:t>.</w:t>
            </w:r>
          </w:p>
          <w:p w:rsidR="00CC2305" w:rsidRPr="00C70B07" w:rsidRDefault="00CC2305" w:rsidP="00CC2305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6"/>
              <w:gridCol w:w="2980"/>
              <w:gridCol w:w="2880"/>
            </w:tblGrid>
            <w:tr w:rsidR="00D82D05" w:rsidRPr="00C70B07" w:rsidTr="00D82D05">
              <w:trPr>
                <w:trHeight w:val="193"/>
              </w:trPr>
              <w:tc>
                <w:tcPr>
                  <w:tcW w:w="92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spacing w:line="276" w:lineRule="auto"/>
                    <w:ind w:left="1021" w:hanging="1021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noProof w:val="0"/>
                      <w:sz w:val="22"/>
                      <w:szCs w:val="22"/>
                      <w:lang w:val="sr-Latn-ME"/>
                    </w:rPr>
                    <w:t>Tabela 12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 xml:space="preserve"> Ud</w:t>
                  </w:r>
                  <w:r w:rsidR="00992141"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i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o stabilnih viroloških odgovora (n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vertAlign w:val="superscript"/>
                      <w:lang w:val="sr-Latn-ME"/>
                    </w:rPr>
                    <w:t>a,b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 xml:space="preserve"> (%)) kod prethodno nel</w:t>
                  </w:r>
                  <w:r w:rsidR="00992141"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ečene d</w:t>
                  </w:r>
                  <w:r w:rsidR="00992141"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ece i adolescenata prema  genotipu i trajanju l</w:t>
                  </w:r>
                  <w:r w:rsidR="00992141"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noProof w:val="0"/>
                      <w:sz w:val="22"/>
                      <w:szCs w:val="22"/>
                      <w:lang w:val="sr-Latn-ME"/>
                    </w:rPr>
                    <w:t>ečenja – Svi ispitanici n = 107</w:t>
                  </w:r>
                </w:p>
              </w:tc>
            </w:tr>
            <w:tr w:rsidR="00D82D05" w:rsidRPr="00C70B07" w:rsidTr="00D82D05">
              <w:trPr>
                <w:trHeight w:val="303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ind w:firstLine="72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24 ned</w:t>
                  </w:r>
                  <w:r w:rsidR="00992141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elje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48 ned</w:t>
                  </w:r>
                  <w:r w:rsidR="00992141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j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elje</w:t>
                  </w:r>
                </w:p>
              </w:tc>
            </w:tr>
            <w:tr w:rsidR="00D82D05" w:rsidRPr="00C70B07" w:rsidTr="00D82D05">
              <w:trPr>
                <w:trHeight w:val="303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Svi genotipovi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26/27 (96 %)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44/80 (55 %)</w:t>
                  </w:r>
                </w:p>
              </w:tc>
            </w:tr>
            <w:tr w:rsidR="00D82D05" w:rsidRPr="00C70B07" w:rsidTr="00D82D05">
              <w:trPr>
                <w:trHeight w:val="303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38/72 (53 %)</w:t>
                  </w:r>
                </w:p>
              </w:tc>
            </w:tr>
            <w:tr w:rsidR="00D82D05" w:rsidRPr="00C70B07" w:rsidTr="00D82D05">
              <w:trPr>
                <w:trHeight w:val="303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2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14/15 (93 %)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</w:tr>
            <w:tr w:rsidR="00D82D05" w:rsidRPr="00C70B07" w:rsidTr="00D82D05">
              <w:trPr>
                <w:trHeight w:val="303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Genotip 3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c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12/12 (100 %)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2/3 (67 %)</w:t>
                  </w:r>
                </w:p>
              </w:tc>
            </w:tr>
            <w:tr w:rsidR="00D82D05" w:rsidRPr="00C70B07" w:rsidTr="00D82D05">
              <w:trPr>
                <w:trHeight w:val="244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4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2D05" w:rsidRPr="00C70B07" w:rsidRDefault="00D82D05" w:rsidP="00A04BEE">
                  <w:pPr>
                    <w:tabs>
                      <w:tab w:val="clear" w:pos="284"/>
                    </w:tabs>
                    <w:spacing w:line="276" w:lineRule="auto"/>
                    <w:ind w:firstLine="720"/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4/5 (80 %)</w:t>
                  </w:r>
                </w:p>
              </w:tc>
            </w:tr>
          </w:tbl>
          <w:p w:rsidR="00CC2305" w:rsidRPr="00C70B07" w:rsidRDefault="00CC2305" w:rsidP="006320BB">
            <w:pPr>
              <w:widowControl w:val="0"/>
              <w:numPr>
                <w:ilvl w:val="0"/>
                <w:numId w:val="11"/>
              </w:numPr>
              <w:tabs>
                <w:tab w:val="clear" w:pos="284"/>
                <w:tab w:val="left" w:pos="248"/>
              </w:tabs>
              <w:suppressAutoHyphens/>
              <w:overflowPunct w:val="0"/>
              <w:autoSpaceDE w:val="0"/>
              <w:spacing w:line="252" w:lineRule="auto"/>
              <w:ind w:right="1320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Odgovor na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ečenje je definisan kao </w:t>
            </w:r>
            <w:r w:rsidR="000C6D3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nem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="000C6D3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erljiva 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HCV-RNK 24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elje nakon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ečenja</w:t>
            </w:r>
            <w:r w:rsidR="000C6D3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,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donji nivo </w:t>
            </w:r>
            <w:r w:rsidR="000C6D3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m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="000C6D3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erljivosti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=125 </w:t>
            </w:r>
            <w:r w:rsidR="006320BB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/ml </w:t>
            </w:r>
          </w:p>
          <w:p w:rsidR="00CC2305" w:rsidRPr="00C70B07" w:rsidRDefault="00CC2305" w:rsidP="00CC2305">
            <w:pPr>
              <w:widowControl w:val="0"/>
              <w:autoSpaceDE w:val="0"/>
              <w:spacing w:line="1" w:lineRule="exac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</w:p>
          <w:p w:rsidR="00CC2305" w:rsidRPr="00C70B07" w:rsidRDefault="00CC2305" w:rsidP="00CC2305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260" w:hanging="182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n = broj ispitanika/broj sa određenim genotipom, i proc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enjeno trajanje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ečenja. </w:t>
            </w:r>
          </w:p>
          <w:p w:rsidR="00CC2305" w:rsidRPr="00C70B07" w:rsidRDefault="00CC2305" w:rsidP="00CC2305">
            <w:pPr>
              <w:widowControl w:val="0"/>
              <w:autoSpaceDE w:val="0"/>
              <w:spacing w:line="62" w:lineRule="exac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</w:p>
          <w:p w:rsidR="00CC2305" w:rsidRPr="00C70B07" w:rsidRDefault="00CC2305" w:rsidP="00CC2305">
            <w:pPr>
              <w:tabs>
                <w:tab w:val="clear" w:pos="284"/>
              </w:tabs>
              <w:jc w:val="left"/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 Pacijenti sa genotipom 3 niskom količinom virusa (&lt; 600 000 </w:t>
            </w:r>
            <w:r w:rsidR="009972D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i.j./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ml) l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ečeni su 24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elje dok su oni sa genotipom 3 i visokom količinom (≥ 600 000 </w:t>
            </w:r>
            <w:r w:rsidR="009972D8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i.j.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/ml) dobijali 48 ned</w:t>
            </w:r>
            <w:r w:rsidR="00992141"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elja tretmana. </w:t>
            </w:r>
          </w:p>
          <w:p w:rsidR="00CC2305" w:rsidRPr="00C70B07" w:rsidRDefault="00CC2305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</w:p>
          <w:p w:rsidR="00CE54EB" w:rsidRPr="00C70B07" w:rsidRDefault="00CE54EB" w:rsidP="003C7CC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u w:val="single"/>
                <w:lang w:val="sr-Latn-ME" w:eastAsia="ja-JP"/>
              </w:rPr>
              <w:t>Rebetol u kombinaciji sa interferonom alfa-2b</w:t>
            </w:r>
          </w:p>
          <w:p w:rsidR="004C5099" w:rsidRPr="00C70B07" w:rsidRDefault="003C7CC2" w:rsidP="00A81CF4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eca i adolescenti uzrasta od 3 do 16 godina sa kompenzovanim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 i 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erljivom HCV-RNK</w:t>
            </w:r>
            <w:r w:rsidR="009972D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(odre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 u centralnoj laboratoriji pomo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RT-PCR testa zasnovanog na istraživanju)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u dva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multicentri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ispitivanja primili su Rebetol u dozi od 15 mg/kg na dan uz interferon alfa-2b u dozi od 3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mil.</w:t>
            </w:r>
            <w:r w:rsidR="00BC29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i.j.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tri puta ned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 tokom godinu dana i bili su pra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 tokom 6 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po završetku 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Ukupno 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bilo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118 pacijenata: 57% 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aka, 80% b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elaca i 78% s genotipom 1, 64% s </w:t>
            </w:r>
            <w:r w:rsidR="00FB069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≤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12 godina starosti. 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u ispitivanje uglavnom su imala blagi do um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ereno težak hepatitis C. Stopa trajnog virološkog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odgovora kod 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bila je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onoj kod odraslih. Zbog nedostatka podataka za 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ecu sa teškom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progresivnom boleš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i mogu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razvoja neželjenih dejstava, odnos koristi i rizika (</w:t>
            </w:r>
            <w:r w:rsidRPr="00C70B07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benefit/risk ratio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kombinacije ribavirina i interferona alfa-2b u ovoj populaciji se mora pažljivo razmotriti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4.1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="00DC0E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 xml:space="preserve">4.4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DC0E8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4.8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  <w:r w:rsidR="00DE0A8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4C509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Rezultati ispitivanja sažeti su u </w:t>
            </w:r>
            <w:r w:rsidR="004C5099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Tab</w:t>
            </w:r>
            <w:r w:rsidR="009E0A90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el</w:t>
            </w:r>
            <w:r w:rsidR="004C5099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i </w:t>
            </w:r>
            <w:r w:rsidR="00CE54E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13</w:t>
            </w:r>
            <w:r w:rsidR="004C5099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4C5099" w:rsidRPr="00C70B07" w:rsidRDefault="004C5099" w:rsidP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508"/>
            </w:tblGrid>
            <w:tr w:rsidR="004C5099" w:rsidRPr="00C70B07" w:rsidTr="004C5099">
              <w:tc>
                <w:tcPr>
                  <w:tcW w:w="8856" w:type="dxa"/>
                  <w:gridSpan w:val="2"/>
                </w:tcPr>
                <w:p w:rsidR="004C5099" w:rsidRPr="00C70B07" w:rsidRDefault="00A87085" w:rsidP="00CE54EB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Tabela</w:t>
                  </w:r>
                  <w:r w:rsidR="004C5099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CE54EB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13</w:t>
                  </w:r>
                  <w:r w:rsidR="00CE54EB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  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Virološki odgovor </w:t>
                  </w:r>
                  <w:r w:rsidR="009E0A9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kod d</w:t>
                  </w:r>
                  <w:r w:rsidR="0099214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ece i adolescenata koji prethodno ni</w:t>
                  </w:r>
                  <w:r w:rsidR="0099214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je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su bili 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l</w:t>
                  </w:r>
                  <w:r w:rsidR="0099214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7639F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ečeni</w:t>
                  </w:r>
                </w:p>
              </w:tc>
            </w:tr>
            <w:tr w:rsidR="004C5099" w:rsidRPr="00C70B07" w:rsidTr="004C5099">
              <w:tc>
                <w:tcPr>
                  <w:tcW w:w="3348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5508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Rebetol 15 mg/kg/dan</w:t>
                  </w:r>
                </w:p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+</w:t>
                  </w:r>
                </w:p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interferon alfa-2b 3 mil.</w:t>
                  </w:r>
                  <w:r w:rsidR="00BC2910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/m</w:t>
                  </w: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vertAlign w:val="superscript"/>
                      <w:lang w:val="sr-Latn-ME"/>
                    </w:rPr>
                    <w:t>2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tri puta </w:t>
                  </w:r>
                  <w:r w:rsidR="009E0A9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99214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9E0A9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</w:p>
              </w:tc>
            </w:tr>
            <w:tr w:rsidR="004C5099" w:rsidRPr="00C70B07" w:rsidTr="004C5099">
              <w:tc>
                <w:tcPr>
                  <w:tcW w:w="3348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Ukupni odgovor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1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(n=118)</w:t>
                  </w:r>
                </w:p>
              </w:tc>
              <w:tc>
                <w:tcPr>
                  <w:tcW w:w="5508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54 (46%)*</w:t>
                  </w:r>
                </w:p>
              </w:tc>
            </w:tr>
            <w:tr w:rsidR="004C5099" w:rsidRPr="00C70B07" w:rsidTr="004C5099">
              <w:tc>
                <w:tcPr>
                  <w:tcW w:w="3348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1 (n=92)</w:t>
                  </w:r>
                </w:p>
              </w:tc>
              <w:tc>
                <w:tcPr>
                  <w:tcW w:w="5508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33 (36%)*</w:t>
                  </w:r>
                </w:p>
              </w:tc>
            </w:tr>
            <w:tr w:rsidR="004C5099" w:rsidRPr="00C70B07" w:rsidTr="004C5099">
              <w:tc>
                <w:tcPr>
                  <w:tcW w:w="3348" w:type="dxa"/>
                </w:tcPr>
                <w:p w:rsidR="004C5099" w:rsidRPr="00C70B07" w:rsidRDefault="004C5099" w:rsidP="004C5099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Genotip 2/3/4 (n=26)</w:t>
                  </w:r>
                </w:p>
              </w:tc>
              <w:tc>
                <w:tcPr>
                  <w:tcW w:w="5508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21 (81%)*</w:t>
                  </w:r>
                </w:p>
              </w:tc>
            </w:tr>
          </w:tbl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* Broj (%) </w:t>
            </w:r>
            <w:r w:rsidR="007639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3C7CC2" w:rsidRPr="00C70B07" w:rsidRDefault="003C7CC2" w:rsidP="003C7CC2">
            <w:pPr>
              <w:pStyle w:val="CM27"/>
              <w:spacing w:line="253" w:lineRule="atLeast"/>
              <w:jc w:val="both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1. Definisan je kao HCV-RNK ispod koncentracije m</w:t>
            </w:r>
            <w:r w:rsidR="00992141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erljivosti izm</w:t>
            </w:r>
            <w:r w:rsidR="00992141" w:rsidRPr="00C70B07">
              <w:rPr>
                <w:sz w:val="22"/>
                <w:szCs w:val="22"/>
                <w:lang w:val="sr-Latn-ME"/>
              </w:rPr>
              <w:t>j</w:t>
            </w:r>
            <w:r w:rsidRPr="00C70B07">
              <w:rPr>
                <w:sz w:val="22"/>
                <w:szCs w:val="22"/>
                <w:lang w:val="sr-Latn-ME"/>
              </w:rPr>
              <w:t>erene na kraju l</w:t>
            </w:r>
            <w:r w:rsidR="00992141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 xml:space="preserve">ečenja i tokom razdoblja praćenja pomoću RT-PCR testa zasnovanog na istraživanju. </w:t>
            </w:r>
          </w:p>
          <w:p w:rsidR="004C5099" w:rsidRPr="00C70B07" w:rsidRDefault="004C5099" w:rsidP="009E0A90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C50FD" w:rsidRPr="00C70B07" w:rsidRDefault="00EE5D04" w:rsidP="002074DB">
            <w:pPr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Podaci o dugotrajnoj efikasnosti – </w:t>
            </w:r>
            <w:r w:rsidR="005C5FBB" w:rsidRPr="00C70B0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Pedijatrijska populacija</w:t>
            </w:r>
          </w:p>
          <w:p w:rsidR="002074DB" w:rsidRPr="00C70B07" w:rsidRDefault="002074DB" w:rsidP="002074DB">
            <w:pPr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Rebetol u kombinaciji sa peginterferonom alfa-2b</w:t>
            </w:r>
          </w:p>
          <w:p w:rsidR="002074DB" w:rsidRPr="00C70B07" w:rsidRDefault="002074DB" w:rsidP="002074DB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Petogodišnja, dugotrajna, obzervaciona, studija praćenja uključivala je 94 pedijatriskih pacijenata sa hroničnim hepatitisom C, nakon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u multicentričnoj studiji. Od navedenog broja pacijenata, 63 je imalo stabilan odgovor. Svrha ove studije bila je da jednom godišnje proc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eni trajnost stabilnog virusološkog odgovora (SVR) i da proc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eni uticaj kontinuirane virusološke negacije na klinički ishod kod pacijenata sa stabilnim odgovorom 24 ned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elje nakon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ečenja </w:t>
            </w:r>
            <w:r w:rsidR="006F261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peg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interferonom alfa-2b i ribavirinom u trajanju od 24 ili 48 ned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elja. Nakon 5 godina, 85% (80/94) svih uključenih pacijenata i 86% (54/63) pacijenata koji su imali stabilan odgovor je završilo studiju. Nijedan pedijatriski pacijent sa SVR nije recidivirao tokom 5 godina praćenja.</w:t>
            </w:r>
          </w:p>
          <w:p w:rsidR="002074DB" w:rsidRPr="00C70B07" w:rsidRDefault="002074DB" w:rsidP="002074DB">
            <w:pPr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A50EF0" w:rsidRPr="00C70B07" w:rsidRDefault="00A50EF0" w:rsidP="002074DB">
            <w:pPr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Rebetol u kombinaciji sa interferonom alfa-2b</w:t>
            </w:r>
          </w:p>
          <w:p w:rsidR="007A455A" w:rsidRPr="00C70B07" w:rsidRDefault="00EE5D04" w:rsidP="007A455A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Petogodišnja, dugotrajna, ob</w:t>
            </w:r>
            <w:r w:rsidR="008F711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zervaciona, studija praćenja uključi</w:t>
            </w:r>
            <w:r w:rsidR="005E36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va</w:t>
            </w:r>
            <w:r w:rsidR="008F711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la je 97 pedijatrijskih pacijenata sa hroničnim hepatitisom C</w:t>
            </w:r>
            <w:r w:rsidR="003864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 nakon 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864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u dv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864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 prethodno pomenute multicentrične studije</w:t>
            </w:r>
            <w:r w:rsidR="0017383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38644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70%</w:t>
            </w:r>
            <w:r w:rsidR="0017383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(68/97)</w:t>
            </w:r>
            <w:r w:rsidR="00264D7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od</w:t>
            </w:r>
            <w:r w:rsidR="007C641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svih uključenih pacijenata je završilo studiju, od čega je 75% (42/56) imalo stabilan odgovor. Svrha ove studije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bila je</w:t>
            </w:r>
            <w:r w:rsidR="006337A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6215B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jednom 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godišnj</w:t>
            </w:r>
            <w:r w:rsidR="006337A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proc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</w:t>
            </w:r>
            <w:r w:rsidR="006337A6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6215B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64D7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trajnost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stabilnog vir</w:t>
            </w:r>
            <w:r w:rsidR="00001F4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us</w:t>
            </w:r>
            <w:r w:rsidR="0060569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ološkog odgovora</w:t>
            </w:r>
            <w:r w:rsidR="006215BA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(SVR) i</w:t>
            </w:r>
            <w:r w:rsidR="00A33AD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proc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en</w:t>
            </w:r>
            <w:r w:rsidR="00A33AD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33AD4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uticaj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kontinuiran</w:t>
            </w:r>
            <w:r w:rsidR="003D3DF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2E5F92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3D3DF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virusološke negacije na klinički ishod</w:t>
            </w:r>
            <w:r w:rsidR="00DF2F95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pacijenata sa stabilnim odgovorom</w:t>
            </w:r>
            <w:r w:rsidR="006132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24 ned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6132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elje nakon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132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interferonom alfa-2b i ribavirinom u trajanju od 48 ned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6132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elja. </w:t>
            </w:r>
            <w:r w:rsidR="00360FE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Svi pedijatrijski pacijenti, osim jednog, </w:t>
            </w:r>
            <w:r w:rsidR="003D3DF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su </w:t>
            </w:r>
            <w:r w:rsidR="00064F7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ostali sa stabilnim odgovorom tokom dugoročnog pra</w:t>
            </w:r>
            <w:r w:rsidR="008649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ć</w:t>
            </w:r>
            <w:r w:rsidR="00064F7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enja nakon završetka </w:t>
            </w:r>
            <w:r w:rsidR="008649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terapije</w:t>
            </w:r>
            <w:r w:rsidR="00064F7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interferonom alfa-2b i ribavirinom</w:t>
            </w:r>
            <w:r w:rsidR="00DA580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0F3808" w:rsidRPr="00C70B07" w:rsidRDefault="007A455A" w:rsidP="007A455A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Kaplan-Meier-o</w:t>
            </w:r>
            <w:r w:rsidR="008572F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va proc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8572F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ena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trajnog stabilnog odgovora tokom 5 godina za </w:t>
            </w:r>
            <w:r w:rsidR="008649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pedijatrijske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pacijente</w:t>
            </w:r>
            <w:r w:rsidR="00C572A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,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C572A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ečene  interferonom alfa-2b i ribavirinom,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iznosi 9</w:t>
            </w:r>
            <w:r w:rsidR="00DA580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8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% (95 % CI: 9</w:t>
            </w:r>
            <w:r w:rsidR="00DA580C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5%,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100 %)</w:t>
            </w:r>
            <w:r w:rsidR="008649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  <w:r w:rsidR="00E4147E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8F318F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Dodatno, 98% (51/52)</w:t>
            </w:r>
            <w:r w:rsidR="0079488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pacijenata sa normalnim n</w:t>
            </w:r>
            <w:r w:rsidR="008572F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79488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voima ALT u 24. </w:t>
            </w:r>
            <w:r w:rsidR="008572F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</w:t>
            </w:r>
            <w:r w:rsidR="0079488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ed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9488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elji praćenja </w:t>
            </w:r>
            <w:r w:rsidR="007831E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za</w:t>
            </w:r>
            <w:r w:rsidR="00794883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držalo je normalne nivoe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ALT kod posl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ednje</w:t>
            </w:r>
            <w:r w:rsidR="008509B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g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8509B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pregleda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1476F8" w:rsidRPr="00C70B07" w:rsidRDefault="001476F8" w:rsidP="007A455A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A455A" w:rsidRPr="00C70B07" w:rsidRDefault="007A455A" w:rsidP="007A455A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Stabilan virusološki odgovor na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kon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ečenja hroničnog HCV nepegilovanim interferonom alfa-2b</w:t>
            </w:r>
            <w:r w:rsidR="007831E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F380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Rebetol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ima za posl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edicu dugo</w:t>
            </w:r>
            <w:r w:rsidR="00993098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trajni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klirens virusa obezb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eđujući rezoluciju infekcije jetre i kliničko “izl</w:t>
            </w:r>
            <w:r w:rsidR="00992141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ečenje” od hroničnog HCV. Ipak, ovo ne isključuje pojavu problema sa jetrom kod pacijenata sa cirozom (uključujući karcinom jetre).</w:t>
            </w:r>
          </w:p>
          <w:p w:rsidR="004C5099" w:rsidRPr="00C70B07" w:rsidRDefault="004C5099" w:rsidP="00E4147E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5.2. Farmakokinetički podaci</w:t>
            </w:r>
          </w:p>
        </w:tc>
      </w:tr>
      <w:tr w:rsidR="00834DBB" w:rsidRPr="00C70B07">
        <w:trPr>
          <w:trHeight w:val="1145"/>
        </w:trPr>
        <w:tc>
          <w:tcPr>
            <w:tcW w:w="10188" w:type="dxa"/>
            <w:gridSpan w:val="4"/>
            <w:vAlign w:val="center"/>
          </w:tcPr>
          <w:p w:rsidR="001966C2" w:rsidRPr="00C70B07" w:rsidRDefault="001966C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834DBB" w:rsidRPr="00C70B07" w:rsidRDefault="00AD40F1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U ukrštenoj studiji pojedinačnih doza ribavirina kod zdravih </w:t>
            </w:r>
            <w:r w:rsidR="00C04A2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odraslih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ispitanika</w:t>
            </w:r>
            <w:r w:rsidR="00C04A29"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 utvrđena je bioekvivalencija kapsula i oralnog rastvora.</w:t>
            </w:r>
          </w:p>
          <w:p w:rsidR="00AD40F1" w:rsidRPr="00C70B07" w:rsidRDefault="00AD40F1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DC6EFB" w:rsidRPr="00C70B07" w:rsidRDefault="000E55A3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Re</w:t>
            </w:r>
            <w:r w:rsidR="00DC6EFB" w:rsidRPr="00C70B07">
              <w:rPr>
                <w:rFonts w:ascii="Times New Roman" w:hAnsi="Times New Roman"/>
                <w:sz w:val="22"/>
                <w:szCs w:val="22"/>
                <w:u w:val="single"/>
                <w:lang w:val="sr-Latn-ME" w:eastAsia="en-US"/>
              </w:rPr>
              <w:t>sorpcija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Nakon peroralne prim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jednokratne doze Ribavirin se brzo </w:t>
            </w:r>
            <w:r w:rsidR="000E5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</w:t>
            </w:r>
            <w:r w:rsidR="008C436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sorbuje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(pros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no Tmax = 1,5 sati), nakon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 brza raspod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ela i produžena faza eliminacije (nakon jednokratne doze poluvr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eme </w:t>
            </w:r>
            <w:r w:rsidR="000E5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</w:t>
            </w:r>
            <w:r w:rsidR="008C436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sorpcije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iznosi 0,05,distribucije 3,73 i eliminacije 79 sati). </w:t>
            </w:r>
            <w:r w:rsidR="000E5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</w:t>
            </w:r>
            <w:r w:rsidR="008C436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sorpcija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je opsežna, uz oko 10% radioaktivno ozna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doze koja se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izlu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 stolicom. 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apsolutna bioraspoloživost iznosi oko 45-65%, što je najv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erovatnije rezultat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metabolizma prvog prolaza. Postoji linearni odnos izme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doze i PIKtf  nakon prim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jedne doze od 200-1.200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mg ribavirina. Volumen distribucije iznosi oko 5.000 litara. Ribavirin se ne vezuje za proteine plazme.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0A31C1" w:rsidRPr="00C70B07" w:rsidRDefault="000A31C1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Distribucija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Prenos ribavirina u ne-plazmatske prostore najviše je istraživan na crvenim krvnim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elijama, i utvr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 je da se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doga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prvenstveno putem es-tipa ekvilibracijskog nukleozidnog transportera. Ovaj tip transportera prisutan 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na gotovo svim tipovima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 i može objasniti veliki volumen distribucije ribavirina. Odnos koncentracije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 u krvi u odnosu na plazmu iznosi oko 60:1; višak ribavirina u krvi postoji jer se nukleotidi ribavirina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sekvestriraju u eritrocite.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32D9" w:rsidRPr="00C70B07" w:rsidRDefault="00CB32D9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Biotransformacija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 ima dva metaboli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puta: (1) reverzibilni fosforilacijski put; (2) put razgradnje koji uklju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deribozilaciju i hidrolizu amida kojim se dobija metabolit triazol karboksilna kis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elina. Ribavirin i njegovi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metaboliti, triazol karboksiamid i triazol karboksilna kis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elina, izlu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 se putem bubrega.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2A7300" w:rsidRPr="00C70B07" w:rsidRDefault="002A7300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 pokazuje veliku farmakokineti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ku varijabilnost izme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razli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itih ispitanika i kod pojedinog ispitanika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nakon jednokratne peroralne doze (varijabilnost kod pojedinog ispitanika iznosila je oko 30%, kako za PIKtf  tako i za Cmax), što može biti posl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edica opsežnog metabolizma prilikom prvog prolaza i prelaska unutar i izvan krvnog sistema.</w:t>
            </w:r>
          </w:p>
          <w:p w:rsidR="00465AFE" w:rsidRPr="00C70B07" w:rsidRDefault="00465AFE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2A7300" w:rsidRPr="00C70B07" w:rsidRDefault="00465AFE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Eliminacija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Nakon prim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višekratnih doza, ribavirin se znatno nakuplja u plazmi, uz šesterostruki odnos PIK12hr nakon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višekratne u odnosu na jednokr</w:t>
            </w:r>
            <w:r w:rsidR="00B12B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atnu dozu. Nakon peroralne prim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600 mg dva puta dnevno, stanje ravnoteže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postiže se nakon otprilike 4 ned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elje, uz pros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koncentraciju u plazmi pri ravnotežnom stanju od oko 2.200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ng/ml. Nakon prekida prim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ene, poluvr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 eliminacije je iznosio oko 298 sati, v</w:t>
            </w:r>
            <w:r w:rsidR="0099214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erovatno zbog spore eliminacije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iz ne-plazmatskog prostora.</w:t>
            </w:r>
          </w:p>
          <w:p w:rsidR="00826EFA" w:rsidRPr="00C70B07" w:rsidRDefault="00826EFA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826EFA" w:rsidRPr="00C70B07" w:rsidRDefault="00826EFA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Transfer u s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emenu tečnost:</w:t>
            </w:r>
            <w:r w:rsidR="00C2131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Ispitivan je t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ransfer ribavirina u s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emenu tečnost. Koncetracije ribavirina u s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emenoj tečnosti su približno dva puta veće nego</w:t>
            </w:r>
            <w:r w:rsidR="007673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koncentracije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serumu. Ipak, </w:t>
            </w:r>
            <w:r w:rsidR="00A4558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određena 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sistemska izloženost partnerke ribavirin</w:t>
            </w:r>
            <w:r w:rsidR="00A37A1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nakon seksualnog odnosa sa 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ečenim pacijentom</w:t>
            </w:r>
            <w:r w:rsidR="00CB7DD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, i </w:t>
            </w:r>
            <w:r w:rsidR="00C67A1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dalje je </w:t>
            </w:r>
            <w:r w:rsidR="00CB7DD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veoma ograničena u poređenju sa terapeutskim koncentracijama ribavirina u plazmi.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lastRenderedPageBreak/>
              <w:t>Uticaj hrane</w:t>
            </w:r>
            <w:r w:rsidR="004B75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Bioraspoloživost jednokratne peroralne doze bila je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ana uz istovremenu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hrane sa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velikim sadržajem masti (PIKtf i Cmax su se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ali za 70%). Mogu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je da je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ana bioraspoloživost u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ovom ispitivanju bila posl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edica odloženog prelaska ribavirina ili prom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enjenog pH.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 zna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rezultata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ovog ispitivanja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jednokratne doze nije poznato. U pivotalnom klini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kom ispitivanju efikasnosti,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pacijentima je sav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etovano da uzimaju ribavirin sa hranom kako bi se postigle maksimalne koncentracije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 u plazmi.</w:t>
            </w: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Bubrežna funkcija</w:t>
            </w:r>
            <w:r w:rsidR="004B75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Farmakokinetika ribavirina nakon jednokratne doze bila je izm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enjena (pove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ani PIKtf </w:t>
            </w:r>
            <w:r w:rsidR="0069414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Cmax)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sa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enom funkcijom bubrega u pore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n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 kontrolnim ispitanicima (klirens kreatinina &gt;90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ml/min).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 se da je to posl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edica smanjenog klirensa kod tih pacijenata. Koncentracije ribavirina ni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se bitno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enile hemodijalizom.</w:t>
            </w:r>
          </w:p>
          <w:p w:rsidR="0091372C" w:rsidRPr="00C70B07" w:rsidRDefault="0091372C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Funkcija jetre</w:t>
            </w:r>
            <w:r w:rsidR="004B75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Farmakokinetika jednokratno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enjene doze ribavirina kod pacijenata sa blagim, um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erenim ili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teškim ošte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enjem funkcije jetre (Child-Pugh klasifikacija A, B ili C) bila je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onoj kod ispitanika sa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normalnom funkcijom.</w:t>
            </w:r>
          </w:p>
          <w:p w:rsidR="0091372C" w:rsidRPr="00C70B07" w:rsidRDefault="0091372C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80C05" w:rsidRPr="00C70B07" w:rsidRDefault="00D80C05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Stariji pacijenti (</w:t>
            </w:r>
            <w:r w:rsidR="003239D4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≥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65 godina starosti)</w:t>
            </w:r>
            <w:r w:rsidR="004B75CE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Ni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sprovedena posebna ispitivanja farmakokinetike ribavirina za starije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pacijente. Me</w:t>
            </w:r>
            <w:r w:rsidR="00B12B7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utim, u ispitivanju populacijske farmakokinetike, uzrast nije bila klju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 faktor u kinetici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ribavirina; bubrežna funkcija bila je odlu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faktor.</w:t>
            </w:r>
          </w:p>
          <w:p w:rsidR="0091372C" w:rsidRPr="00C70B07" w:rsidRDefault="0091372C" w:rsidP="00D80C0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1372C" w:rsidRPr="00C70B07" w:rsidRDefault="00D80C05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Populacijska farmakokineti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ka analiza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zasniva se na malom broju prikupljenih vr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 serumskih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koncentracija iz 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etiri kontrolisana klini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ispitivanja. Dobijeni model klirensa pokazao je da su t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elesna masa,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pol, uzrast i serumski kreatinin bili glavne kovarijable. Kod muškaraca, klirens je bio oko 20% ve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nego u žena.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Klirens se pove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avao sa pove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anjem t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elesne mase, a bio je smanjen kod pacijenata starijih od 40 godina. 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 se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da su dejstva ovih kovarijabli na klirens ribavirina od ograni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enog klini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kog zna</w:t>
            </w:r>
            <w:r w:rsidR="0091372C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zbog znatne rezidualne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varijabilnosti koju model nije objasnio.</w:t>
            </w: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14AF1" w:rsidRPr="00C70B07" w:rsidRDefault="005220AA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Pedijatrijska populacija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.</w:t>
            </w:r>
            <w:r w:rsidR="0091372C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714AF1" w:rsidRPr="00C70B07" w:rsidRDefault="00714AF1" w:rsidP="00714AF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Rebetol u kombinaciji sa peginterferonom alfa-2b</w:t>
            </w:r>
          </w:p>
          <w:p w:rsidR="00714AF1" w:rsidRPr="00C70B07" w:rsidRDefault="00714AF1" w:rsidP="00714AF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Farmakokinetičke osobine višestrukih doza 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="009233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</w:t>
            </w:r>
            <w:r w:rsidR="009233C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9233C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peginterferona alfa-2b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kod 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sa hroničnim hepatitisom C proc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enjene su</w:t>
            </w:r>
            <w:r w:rsidR="00994B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5D6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kliničke studije. Kod 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ece i adolescenata koja su primala dozu </w:t>
            </w:r>
            <w:r w:rsidR="005D6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peginterferona alfa-2b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od 60 μg/m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vertAlign w:val="superscript"/>
                <w:lang w:val="sr-Latn-ME" w:eastAsia="ja-JP"/>
              </w:rPr>
              <w:t>2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/ned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</w:t>
            </w:r>
            <w:r w:rsidR="00994B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koja je prilagođavana površini t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ela, log transformisana stopa proc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izloženosti tokom perioda doziranja predviđena je da bude 58 % (90 % CI: </w:t>
            </w:r>
            <w:r w:rsidR="00994B26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141-177 %) viša od one koja je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zab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kod odraslih koji primaju 1</w:t>
            </w:r>
            <w:r w:rsidR="000C255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5 μg/kg/ned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eljno.</w:t>
            </w:r>
            <w:r w:rsidR="0074380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Farmakokinetika 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4380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Rebetol </w:t>
            </w:r>
            <w:r w:rsidR="009372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(prilagođena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9372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enjenim dozama) u ovoj studiji bila je slična</w:t>
            </w:r>
            <w:r w:rsidR="00A307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farmakokinetici zab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="00A307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eženoj u prethodnoj studiji 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A307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Rebetol u kombinaciji sa </w:t>
            </w:r>
            <w:r w:rsidR="004837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interferonom alfa-2b kod 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483710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</w:t>
            </w:r>
            <w:r w:rsidR="00AB2CC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, </w:t>
            </w:r>
            <w:r w:rsidR="00A307DA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adolescenata</w:t>
            </w:r>
            <w:r w:rsidR="00AB2CC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odraslih pacijenata.</w:t>
            </w:r>
          </w:p>
          <w:p w:rsidR="00714AF1" w:rsidRPr="00C70B07" w:rsidRDefault="00714AF1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714AF1" w:rsidRPr="00C70B07" w:rsidRDefault="00714AF1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 xml:space="preserve">Rebetol u kombinaciji sa </w:t>
            </w:r>
            <w:r w:rsidR="001B5143"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i</w:t>
            </w:r>
            <w:r w:rsidRPr="00C70B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nterferonom alfa-2b</w:t>
            </w: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Farmakokineti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ka svojstva Rebetol </w:t>
            </w:r>
            <w:r w:rsidR="00746678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kapsula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interferona alfa-2b nakon višekratne doze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 sa hroni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hepatitisom C u uzrastu izme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 5 i 16 godina prikazana su u </w:t>
            </w:r>
            <w:r w:rsidR="0014471B"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 xml:space="preserve">Tabeli </w:t>
            </w:r>
            <w:r w:rsidR="00714AF1"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14</w:t>
            </w:r>
            <w:r w:rsidRPr="00C70B07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4C5099" w:rsidRPr="00C70B07" w:rsidRDefault="0091372C" w:rsidP="0053180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Farmakokinetika </w:t>
            </w:r>
            <w:r w:rsidR="0014471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14471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i interferona alfa-2b (prilago</w:t>
            </w:r>
            <w:r w:rsidR="00B12B78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enjenim dozama) sli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je kod odraslih i 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</w:t>
            </w:r>
            <w:r w:rsidR="00353E7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ili adolescenata.</w:t>
            </w:r>
          </w:p>
          <w:p w:rsidR="0091372C" w:rsidRPr="00C70B07" w:rsidRDefault="0091372C" w:rsidP="0091372C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9"/>
              <w:gridCol w:w="3925"/>
              <w:gridCol w:w="2906"/>
            </w:tblGrid>
            <w:tr w:rsidR="004C5099" w:rsidRPr="00C70B07" w:rsidTr="004C5099">
              <w:tc>
                <w:tcPr>
                  <w:tcW w:w="8720" w:type="dxa"/>
                  <w:gridSpan w:val="3"/>
                </w:tcPr>
                <w:p w:rsidR="004C5099" w:rsidRPr="00C70B07" w:rsidRDefault="00A87085" w:rsidP="00714AF1">
                  <w:pPr>
                    <w:jc w:val="left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Tabela</w:t>
                  </w:r>
                  <w:r w:rsidR="004C5099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714AF1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14</w:t>
                  </w:r>
                  <w:r w:rsidR="00200B1C"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Pros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ečne (% CV) farmakokinetičke 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570F31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ednosti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nakon višestruke doze 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    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interferona 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alfa-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2b i Rebetola u kapsulama prim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enj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enih kod d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ece ili adolescenata sa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ab/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hroničnim hepatitisom C</w:t>
                  </w:r>
                </w:p>
              </w:tc>
            </w:tr>
            <w:tr w:rsidR="004C5099" w:rsidRPr="00C70B07" w:rsidTr="004C5099">
              <w:tc>
                <w:tcPr>
                  <w:tcW w:w="1889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Parametar</w:t>
                  </w:r>
                </w:p>
              </w:tc>
              <w:tc>
                <w:tcPr>
                  <w:tcW w:w="3925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Rebetol</w:t>
                  </w:r>
                </w:p>
                <w:p w:rsidR="004C5099" w:rsidRPr="00C70B07" w:rsidRDefault="00200B1C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15 mg/kg/dan u dv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ij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 pod</w:t>
                  </w:r>
                  <w:r w:rsidR="004C509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eljene doze (n=17)</w:t>
                  </w:r>
                </w:p>
              </w:tc>
              <w:tc>
                <w:tcPr>
                  <w:tcW w:w="2906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Interferon alfa-2b</w:t>
                  </w:r>
                </w:p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mil.</w:t>
                  </w:r>
                  <w:r w:rsidR="00BC2910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i.j.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/m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2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tri puta 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ned</w:t>
                  </w:r>
                  <w:r w:rsidR="00D831F9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="00200B1C"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eljno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(n=54)</w:t>
                  </w:r>
                </w:p>
              </w:tc>
            </w:tr>
            <w:tr w:rsidR="004C5099" w:rsidRPr="00C70B07" w:rsidTr="004C5099">
              <w:tc>
                <w:tcPr>
                  <w:tcW w:w="1889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T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bscript"/>
                      <w:lang w:val="sr-Latn-ME"/>
                    </w:rPr>
                    <w:t>max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(h)</w:t>
                  </w:r>
                </w:p>
              </w:tc>
              <w:tc>
                <w:tcPr>
                  <w:tcW w:w="3925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1,9 (83)</w:t>
                  </w:r>
                </w:p>
              </w:tc>
              <w:tc>
                <w:tcPr>
                  <w:tcW w:w="2906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5,9 (36)</w:t>
                  </w:r>
                </w:p>
              </w:tc>
            </w:tr>
            <w:tr w:rsidR="004C5099" w:rsidRPr="00C70B07" w:rsidTr="004C5099">
              <w:tc>
                <w:tcPr>
                  <w:tcW w:w="1889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C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vertAlign w:val="subscript"/>
                      <w:lang w:val="sr-Latn-ME"/>
                    </w:rPr>
                    <w:t>max</w:t>
                  </w: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(ng/ml)</w:t>
                  </w:r>
                </w:p>
              </w:tc>
              <w:tc>
                <w:tcPr>
                  <w:tcW w:w="3925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3.275 (25)</w:t>
                  </w:r>
                </w:p>
              </w:tc>
              <w:tc>
                <w:tcPr>
                  <w:tcW w:w="2906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51 (48)</w:t>
                  </w:r>
                </w:p>
              </w:tc>
            </w:tr>
            <w:tr w:rsidR="004C5099" w:rsidRPr="00C70B07" w:rsidTr="004C5099">
              <w:tc>
                <w:tcPr>
                  <w:tcW w:w="1889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lastRenderedPageBreak/>
                    <w:t>PIK*</w:t>
                  </w:r>
                </w:p>
              </w:tc>
              <w:tc>
                <w:tcPr>
                  <w:tcW w:w="3925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29.774 (26)</w:t>
                  </w:r>
                </w:p>
              </w:tc>
              <w:tc>
                <w:tcPr>
                  <w:tcW w:w="2906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622 (48)</w:t>
                  </w:r>
                </w:p>
              </w:tc>
            </w:tr>
            <w:tr w:rsidR="004C5099" w:rsidRPr="00C70B07" w:rsidTr="004C5099">
              <w:tc>
                <w:tcPr>
                  <w:tcW w:w="1889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Klirens l/h/kg</w:t>
                  </w:r>
                </w:p>
              </w:tc>
              <w:tc>
                <w:tcPr>
                  <w:tcW w:w="3925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0,27 (27)</w:t>
                  </w:r>
                </w:p>
              </w:tc>
              <w:tc>
                <w:tcPr>
                  <w:tcW w:w="2906" w:type="dxa"/>
                </w:tcPr>
                <w:p w:rsidR="004C5099" w:rsidRPr="00C70B07" w:rsidRDefault="004C5099" w:rsidP="004C509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C70B0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Nije određivan</w:t>
                  </w:r>
                </w:p>
              </w:tc>
            </w:tr>
          </w:tbl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*PIK</w:t>
            </w:r>
            <w:r w:rsidRPr="00C70B07">
              <w:rPr>
                <w:rFonts w:ascii="Times New Roman" w:hAnsi="Times New Roman"/>
                <w:sz w:val="22"/>
                <w:szCs w:val="22"/>
                <w:vertAlign w:val="subscript"/>
                <w:lang w:val="sr-Latn-ME"/>
              </w:rPr>
              <w:t>12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(ng.h/ml) za Rebetol, PIK 0-24 (IUh/ml) za interferon afa-2b.</w:t>
            </w:r>
          </w:p>
          <w:p w:rsidR="004C5099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Default="00842FF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5.3. Pret</w:t>
            </w:r>
            <w:r w:rsidR="00834DB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klinički podaci o bezb</w:t>
            </w:r>
            <w:r w:rsidR="00D831F9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="00834DB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ednosti l</w:t>
            </w:r>
            <w:r w:rsidR="00D831F9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ij</w:t>
            </w:r>
            <w:r w:rsidR="00834DB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eka</w:t>
            </w:r>
          </w:p>
          <w:p w:rsidR="00765C04" w:rsidRPr="00C70B07" w:rsidRDefault="00765C0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rPr>
          <w:trHeight w:val="1823"/>
        </w:trPr>
        <w:tc>
          <w:tcPr>
            <w:tcW w:w="10188" w:type="dxa"/>
            <w:gridSpan w:val="4"/>
            <w:vAlign w:val="center"/>
          </w:tcPr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Ribavirin</w:t>
            </w:r>
            <w:r w:rsidR="002C7FE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Ribavirin je pokazao embriotoksi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ne ili teratogene </w:t>
            </w:r>
            <w:r w:rsidR="000E55A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efekte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ili oboje, kod svih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životinjskih vrsta kod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kojih su sprovedena istraživanja pri dozama koje su daleko ispod onih preporu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za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kod ljudi.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Opisane su malformacije lobanje, nepca, oka,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eljusti, udova, skeleta i digestivnog sistema. Incidenca i težina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teratogenih dejstava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avale su se sa pove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anjem doze. Preživljavanje fetusa i podmladka bilo je smanjeno.</w:t>
            </w: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ispitivanju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na mladim pacovima, mladi pacovi su primali ribavirin u dozi od 10, 25 i 50 mg/kg od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7 do 63 dana nakon ro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 Pokazalo se smanjenje ukupnog rasta koje je zavisilo od doze, a posl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se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manifestovalo kao blago smanjenje t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mase, dužine od t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emena do trtice i dužine kostiju. Na kraju razdoblja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oporavka, tibijalne i femuralne prom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bile su minimalne, premda statisti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ki zna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ajne u odnosu na kontrole.</w:t>
            </w:r>
          </w:p>
          <w:p w:rsidR="00BB790D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histopatološka dejstva na kost. Nije bilo dejstava ribavirina na neurološki ili reproduktivni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razvoj. Koncentracije u plazmi mladih pacova bile su manje od koncentracija kakve se nalaze u ljudskoj plazmi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eni terapijskih doza. </w:t>
            </w:r>
          </w:p>
          <w:p w:rsidR="00BB790D" w:rsidRPr="00C70B07" w:rsidRDefault="00BB790D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dejstva ribavirina u ispitivanjima na životinjama prvenstveno su usm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erena</w:t>
            </w:r>
            <w:r w:rsidR="008A057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eritrocite. Anemija se razvije ubrzo nakon po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ene, ali se brzo povla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nakon prekida 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enja.</w:t>
            </w: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1372C" w:rsidRPr="00C70B07" w:rsidRDefault="0091372C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ispitivanjima dejstava ribavirina na testise i spermatozoide kod miševa u trajanju od 3 i 6 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eseci, patološke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na spermatozoidima dogodile su se pri dozama od 15 mg/kg i više. Ove doze kod životinja dovode do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sistemske izloženosti daleko manje od one koja se postiže pri terapijskim dozama kod ljudi. Nakon prestanka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enja, nastupa zapravo potpuni oporavak od testikularne toksi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izvazvane ribavirinom unutar jednog ili</w:t>
            </w:r>
            <w:r w:rsidR="00CB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dva spermatogena ciklusa (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509A2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eti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poglavlje </w:t>
            </w:r>
            <w:r w:rsidRPr="00C70B07">
              <w:rPr>
                <w:rFonts w:ascii="Times New Roman" w:eastAsia="MS Mincho" w:hAnsi="Times New Roman"/>
                <w:bCs/>
                <w:noProof w:val="0"/>
                <w:sz w:val="22"/>
                <w:szCs w:val="22"/>
                <w:lang w:val="sr-Latn-ME" w:eastAsia="ja-JP"/>
              </w:rPr>
              <w:t>4.6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CB7FFD" w:rsidRPr="00C70B07" w:rsidRDefault="00CB7FFD" w:rsidP="0091372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7FFD" w:rsidRPr="00C70B07" w:rsidRDefault="0091372C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Ispitivanja genotoksi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nosti pokazala su da ribavirin ima </w:t>
            </w:r>
            <w:r w:rsidR="00B9040B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odre</w:t>
            </w:r>
            <w:r w:rsidR="00B9040B"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đ</w:t>
            </w:r>
            <w:r w:rsidR="00B9040B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eno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genotoksi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no d</w:t>
            </w:r>
            <w:r w:rsidR="00D831F9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elovanje. Ribavirin je bio</w:t>
            </w:r>
            <w:r w:rsidR="00CB7FFD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aktivan u Balb/3T3 </w:t>
            </w:r>
            <w:r w:rsidRPr="00C70B07">
              <w:rPr>
                <w:rFonts w:ascii="Times New Roman" w:eastAsia="MS Mincho" w:hAnsi="Times New Roman"/>
                <w:i/>
                <w:iCs/>
                <w:sz w:val="22"/>
                <w:szCs w:val="22"/>
                <w:lang w:val="sr-Latn-ME" w:eastAsia="ja-JP"/>
              </w:rPr>
              <w:t xml:space="preserve">in vitro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transformacijskom testu. Genotoksi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na aktivnost je prim</w:t>
            </w:r>
            <w:r w:rsidR="00D831F9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ena u testu mišjeg</w:t>
            </w:r>
            <w:r w:rsidR="00CB7FFD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>limfoma, kao i pri dozama od 20-200 mg/kg u testu mišjeg mikronukleusa. Dominantni letalni test kod pacova</w:t>
            </w:r>
            <w:r w:rsidR="00CB7FFD" w:rsidRPr="00C70B07">
              <w:rPr>
                <w:rFonts w:ascii="Times New Roman" w:eastAsia="MS Mincho" w:hAnsi="Times New Roman"/>
                <w:sz w:val="22"/>
                <w:szCs w:val="22"/>
                <w:lang w:val="sr-Latn-ME" w:eastAsia="ja-JP"/>
              </w:rPr>
              <w:t xml:space="preserve"> </w:t>
            </w:r>
            <w:r w:rsidR="00CB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bio je negativan, što zna</w:t>
            </w:r>
            <w:r w:rsidR="00CB7FFD"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CB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da se mutacije, ako su se dogodile kod pacova, ni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="00CB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pren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CB7FFD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 preko gameta mužjaka.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Konvencionalna ispitivanja karcinogenosti kod glodara pri manjoj izloženosti u pore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 izloženoš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ljudi u terapijskim uslovima (faktor 0,1 kod pacova i 1 kod miševa) ni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pokazala tumorogenost ribavirina. Osim toga,</w:t>
            </w:r>
            <w:r w:rsidR="005609F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ispitivanju karcinogenosti u trajanju od 26 ned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elja na heterozigotnom mišjem modelu p53(+/-), ribavirin nije</w:t>
            </w:r>
            <w:r w:rsidR="005609F3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prouzrokovao tumore pri maksimalnoj tolerisanoj dozi od 300 mg/kg (faktor plazmatske izloženosti oko 2,5 upore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n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enju sa izloženoš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ljudi). Ova ispitivanja pokazuju da karcinogeni potencijal ribavirina kod ljudi nije v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erovatan.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834DBB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Ribavirin uz interferon</w:t>
            </w:r>
            <w:r w:rsidR="002C7FE1" w:rsidRPr="00C70B07"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  <w:t>: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Kada je prim</w:t>
            </w:r>
            <w:r w:rsidR="00D831F9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enjivan u kombinaciji sa peginterferonom alfa-2b ili interferonom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alfa-2b, ribavirin nije prouzrokovao nikakva dejstva koja se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ć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</w:t>
            </w:r>
            <w:r w:rsidR="006B18C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javila prilikom zasebne prim</w:t>
            </w:r>
            <w:r w:rsidR="006B18C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tih</w:t>
            </w:r>
            <w:r w:rsidR="00A81CF4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aktivnih supstanci. Glavna prom</w:t>
            </w:r>
            <w:r w:rsidR="006B18C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povezana sa l</w:t>
            </w:r>
            <w:r w:rsidR="006B18C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enjem bila je reverzibilna blaga do um</w:t>
            </w:r>
            <w:r w:rsidR="006B18CB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erena anemija, 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ija je težina bila ve</w:t>
            </w:r>
            <w:r w:rsidRPr="00C70B07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od one izazvane svakom od tih aktivnih supstanci posebno.</w:t>
            </w: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C5099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65C04" w:rsidRDefault="00765C0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765C04" w:rsidRPr="00C70B07" w:rsidRDefault="00765C04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4C5099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6. FARMACEUTSKI PODACI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 xml:space="preserve">6.1. Lista </w:t>
            </w:r>
            <w:r w:rsidR="002B6F6A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pomoćnih supstanci</w:t>
            </w:r>
          </w:p>
        </w:tc>
      </w:tr>
      <w:tr w:rsidR="00834DBB" w:rsidRPr="00C70B07">
        <w:trPr>
          <w:trHeight w:val="779"/>
        </w:trPr>
        <w:tc>
          <w:tcPr>
            <w:tcW w:w="10188" w:type="dxa"/>
            <w:gridSpan w:val="4"/>
            <w:vAlign w:val="center"/>
          </w:tcPr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Sadržaj kapsule: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celuloza, mikrokristalna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laktoza, monohidrat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kroskarmeloza</w:t>
            </w:r>
            <w:r w:rsidR="003C14A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natrijum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magnezijum</w:t>
            </w:r>
            <w:r w:rsidR="00F34537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stearat</w:t>
            </w:r>
          </w:p>
          <w:p w:rsidR="00CB7FFD" w:rsidRPr="00C70B07" w:rsidRDefault="00CB7FFD" w:rsidP="00CB7FFD">
            <w:pPr>
              <w:tabs>
                <w:tab w:val="clear" w:pos="284"/>
                <w:tab w:val="left" w:pos="290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Sastav kapsule: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želatin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firstLine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titan</w:t>
            </w:r>
            <w:r w:rsidR="003C14A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dioksid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Oznake otisnute na kapsuli: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left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šelak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left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propilenglikol</w:t>
            </w:r>
          </w:p>
          <w:p w:rsidR="00CB7FFD" w:rsidRPr="00C70B07" w:rsidRDefault="00CB7FFD" w:rsidP="00CB7FFD">
            <w:pPr>
              <w:tabs>
                <w:tab w:val="clear" w:pos="284"/>
              </w:tabs>
              <w:autoSpaceDE w:val="0"/>
              <w:autoSpaceDN w:val="0"/>
              <w:adjustRightInd w:val="0"/>
              <w:ind w:left="18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amonijum</w:t>
            </w:r>
            <w:r w:rsidR="003C14AF"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hidroksid</w:t>
            </w:r>
          </w:p>
          <w:p w:rsidR="004C5099" w:rsidRPr="00C70B07" w:rsidRDefault="00CB7FFD" w:rsidP="00CB7F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ind w:left="180"/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boja E 132</w:t>
            </w: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6.2. Inkompatibilnost</w:t>
            </w:r>
          </w:p>
        </w:tc>
      </w:tr>
      <w:tr w:rsidR="00834DBB" w:rsidRPr="00C70B07">
        <w:trPr>
          <w:trHeight w:val="833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Nije primjenjivo.</w:t>
            </w:r>
          </w:p>
          <w:p w:rsidR="004C5099" w:rsidRPr="00C70B07" w:rsidRDefault="004C5099" w:rsidP="003C14A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6.3. Rok upotrebe</w:t>
            </w:r>
          </w:p>
        </w:tc>
      </w:tr>
      <w:tr w:rsidR="00834DBB" w:rsidRPr="00C70B07">
        <w:trPr>
          <w:trHeight w:val="851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2 godine.</w:t>
            </w:r>
          </w:p>
          <w:p w:rsidR="004C5099" w:rsidRPr="00C70B07" w:rsidRDefault="004C5099" w:rsidP="003C14A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6.4. Posebne m</w:t>
            </w:r>
            <w:r w:rsidR="006B18C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ere upozorenja pri čuvanju</w:t>
            </w:r>
          </w:p>
        </w:tc>
      </w:tr>
      <w:tr w:rsidR="00834DBB" w:rsidRPr="00C70B07">
        <w:trPr>
          <w:trHeight w:val="671"/>
        </w:trPr>
        <w:tc>
          <w:tcPr>
            <w:tcW w:w="10188" w:type="dxa"/>
            <w:gridSpan w:val="4"/>
            <w:vAlign w:val="center"/>
          </w:tcPr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C5099" w:rsidRPr="00C70B07" w:rsidRDefault="004C5099" w:rsidP="004C50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Čuvajte na temperaturi do 30°C.</w:t>
            </w:r>
          </w:p>
          <w:p w:rsidR="004C5099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80"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6.5. Priroda i sadržaj kontaktne ambalaže</w:t>
            </w:r>
          </w:p>
        </w:tc>
      </w:tr>
      <w:tr w:rsidR="00834DBB" w:rsidRPr="00C70B07">
        <w:trPr>
          <w:trHeight w:val="671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CB7FFD" w:rsidRPr="00C70B07" w:rsidRDefault="00CB7F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Kapsule ribavirina su pakovane u PVC/PE/PVdC/Alu blister. </w:t>
            </w:r>
          </w:p>
          <w:p w:rsidR="004C5099" w:rsidRPr="00C70B07" w:rsidRDefault="00CB7FF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Rebetol je dostupan u pakovanju od 140 kapsula. </w:t>
            </w:r>
          </w:p>
          <w:p w:rsidR="004C5099" w:rsidRPr="00C70B07" w:rsidRDefault="004C509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vAlign w:val="center"/>
          </w:tcPr>
          <w:p w:rsidR="00834DBB" w:rsidRPr="00C70B07" w:rsidRDefault="00834DBB" w:rsidP="00B66C73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after="24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6.6. Posebne m</w:t>
            </w:r>
            <w:r w:rsidR="006B18C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ere opreza pri odlaganju materijala koji treba odbaciti nakon prim</w:t>
            </w:r>
            <w:r w:rsidR="006B18C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ene l</w:t>
            </w:r>
            <w:r w:rsidR="006B18CB"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ij</w:t>
            </w: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 xml:space="preserve">eka </w:t>
            </w:r>
          </w:p>
        </w:tc>
      </w:tr>
      <w:tr w:rsidR="00834DBB" w:rsidRPr="00C70B07" w:rsidTr="00A81CF4">
        <w:trPr>
          <w:trHeight w:val="457"/>
        </w:trPr>
        <w:tc>
          <w:tcPr>
            <w:tcW w:w="10188" w:type="dxa"/>
            <w:gridSpan w:val="4"/>
            <w:vAlign w:val="center"/>
          </w:tcPr>
          <w:p w:rsidR="00A81CF4" w:rsidRDefault="00CB7FFD" w:rsidP="00B66C73">
            <w:pPr>
              <w:pStyle w:val="CM27"/>
              <w:spacing w:line="253" w:lineRule="atLeast"/>
              <w:jc w:val="both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>Neupotr</w:t>
            </w:r>
            <w:r w:rsidR="006B18CB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ebljeni l</w:t>
            </w:r>
            <w:r w:rsidR="006B18CB" w:rsidRPr="00C70B07">
              <w:rPr>
                <w:sz w:val="22"/>
                <w:szCs w:val="22"/>
                <w:lang w:val="sr-Latn-ME"/>
              </w:rPr>
              <w:t>ij</w:t>
            </w:r>
            <w:r w:rsidRPr="00C70B07">
              <w:rPr>
                <w:sz w:val="22"/>
                <w:szCs w:val="22"/>
                <w:lang w:val="sr-Latn-ME"/>
              </w:rPr>
              <w:t>ek se uništava u skladu sa važećim propisima.</w:t>
            </w:r>
          </w:p>
          <w:p w:rsidR="00A96389" w:rsidRPr="00C70B07" w:rsidRDefault="00CB7FFD" w:rsidP="00B66C73">
            <w:pPr>
              <w:pStyle w:val="CM27"/>
              <w:spacing w:line="253" w:lineRule="atLeast"/>
              <w:jc w:val="both"/>
              <w:rPr>
                <w:sz w:val="22"/>
                <w:szCs w:val="22"/>
                <w:lang w:val="sr-Latn-ME"/>
              </w:rPr>
            </w:pPr>
            <w:r w:rsidRPr="00C70B07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B66C73" w:rsidRPr="00C70B07" w:rsidTr="00A04BEE">
        <w:tc>
          <w:tcPr>
            <w:tcW w:w="10188" w:type="dxa"/>
            <w:gridSpan w:val="4"/>
            <w:vAlign w:val="center"/>
          </w:tcPr>
          <w:p w:rsidR="00B66C73" w:rsidRPr="00C70B07" w:rsidRDefault="00B66C73" w:rsidP="00B66C73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after="8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 xml:space="preserve">6.7. Režim izdavanja lijeka </w:t>
            </w:r>
          </w:p>
        </w:tc>
      </w:tr>
      <w:tr w:rsidR="00B66C73" w:rsidRPr="00C70B07" w:rsidTr="00A04BEE">
        <w:trPr>
          <w:trHeight w:val="1031"/>
        </w:trPr>
        <w:tc>
          <w:tcPr>
            <w:tcW w:w="10188" w:type="dxa"/>
            <w:gridSpan w:val="4"/>
            <w:vAlign w:val="center"/>
          </w:tcPr>
          <w:p w:rsidR="00B66C73" w:rsidRPr="00C70B07" w:rsidRDefault="00B66C73" w:rsidP="00A04BEE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se može </w:t>
            </w:r>
            <w:r w:rsidR="00B752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izdavati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F34537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samo 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>na</w:t>
            </w:r>
            <w:r w:rsidR="00B752F0"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ljekarski</w:t>
            </w:r>
            <w:r w:rsidRPr="00C70B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recept.</w:t>
            </w:r>
          </w:p>
          <w:p w:rsidR="00B66C73" w:rsidRPr="00C70B07" w:rsidRDefault="00B66C73" w:rsidP="00A04BEE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rPr>
          <w:trHeight w:val="356"/>
        </w:trPr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 xml:space="preserve">7. NOSILAC DOZVOLE </w:t>
            </w:r>
          </w:p>
        </w:tc>
      </w:tr>
      <w:tr w:rsidR="00594B83" w:rsidRPr="00C70B07">
        <w:trPr>
          <w:trHeight w:val="896"/>
        </w:trPr>
        <w:tc>
          <w:tcPr>
            <w:tcW w:w="10188" w:type="dxa"/>
            <w:gridSpan w:val="4"/>
            <w:vAlign w:val="center"/>
          </w:tcPr>
          <w:p w:rsidR="00765C04" w:rsidRDefault="00765C04" w:rsidP="000A1555">
            <w:pPr>
              <w:ind w:right="65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594B83" w:rsidRDefault="00594B83" w:rsidP="000A1555">
            <w:pPr>
              <w:ind w:right="65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DRUŠTVO ZA TRGOVINU NA VELIKO FARMACEUTSKIM PROIZVODIMA "GLOSARIJ" D.O.O. – PODGORICA, </w:t>
            </w:r>
            <w:r w:rsidR="003E1F5B" w:rsidRPr="00C70B0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Vojislavljevića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76, Podgorica, Crna Gora</w:t>
            </w:r>
            <w:r w:rsidRPr="00C70B0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:rsidR="00765C04" w:rsidRPr="00C70B07" w:rsidRDefault="00765C04" w:rsidP="000A1555">
            <w:pPr>
              <w:ind w:right="65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594B83" w:rsidRPr="00C70B07" w:rsidRDefault="00594B83" w:rsidP="000A155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lastRenderedPageBreak/>
              <w:t>8. BROJ PRVE DOZVOLE I OBNOVE DOZVOLE</w:t>
            </w:r>
          </w:p>
        </w:tc>
      </w:tr>
      <w:tr w:rsidR="00834DBB" w:rsidRPr="00C70B07">
        <w:trPr>
          <w:trHeight w:val="869"/>
        </w:trPr>
        <w:tc>
          <w:tcPr>
            <w:tcW w:w="10188" w:type="dxa"/>
            <w:gridSpan w:val="4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  <w:p w:rsidR="00283EC5" w:rsidRPr="00C70B07" w:rsidRDefault="00A450B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A450B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Rebetol®, kapsula, tvrda, 200 mg, blister, 140 kapsula</w:t>
            </w:r>
            <w:r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: </w:t>
            </w:r>
            <w:r w:rsidRPr="00A450B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2030/14/25 - 1555</w:t>
            </w:r>
          </w:p>
          <w:p w:rsidR="00283EC5" w:rsidRPr="00C70B07" w:rsidRDefault="00283EC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9. DATUM PRVE DOZVOLE I DATUM OBNOVE DOZVOLE</w:t>
            </w:r>
          </w:p>
        </w:tc>
      </w:tr>
      <w:tr w:rsidR="00834DBB" w:rsidRPr="00C70B07">
        <w:trPr>
          <w:trHeight w:val="824"/>
        </w:trPr>
        <w:tc>
          <w:tcPr>
            <w:tcW w:w="10188" w:type="dxa"/>
            <w:gridSpan w:val="4"/>
            <w:vAlign w:val="center"/>
          </w:tcPr>
          <w:p w:rsidR="00A450B7" w:rsidRPr="00C70B07" w:rsidRDefault="00A450B7" w:rsidP="00A450B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  <w:r w:rsidRPr="00A450B7"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>Rebetol®, kapsula, tvrda, 200 mg, blister, 140 kapsula</w:t>
            </w:r>
            <w:r>
              <w:rPr>
                <w:rFonts w:ascii="Times New Roman" w:hAnsi="Times New Roman"/>
                <w:sz w:val="22"/>
                <w:szCs w:val="22"/>
                <w:lang w:val="sr-Latn-ME" w:eastAsia="en-US"/>
              </w:rPr>
              <w:t xml:space="preserve">: </w:t>
            </w:r>
            <w:r>
              <w:rPr>
                <w:rFonts w:ascii="TimesNewRoman" w:hAnsi="TimesNewRoman" w:cs="TimesNewRoman"/>
                <w:noProof w:val="0"/>
                <w:sz w:val="22"/>
                <w:szCs w:val="22"/>
                <w:lang w:val="sr-Latn-ME" w:eastAsia="sr-Latn-ME"/>
              </w:rPr>
              <w:t>13.01.2014. godine</w:t>
            </w:r>
          </w:p>
          <w:p w:rsidR="00834DBB" w:rsidRPr="00C70B07" w:rsidRDefault="00834DBB" w:rsidP="00C13BE1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  <w:tr w:rsidR="00834DBB" w:rsidRPr="00C70B07">
        <w:tc>
          <w:tcPr>
            <w:tcW w:w="10188" w:type="dxa"/>
            <w:gridSpan w:val="4"/>
            <w:shd w:val="clear" w:color="auto" w:fill="E0E0E0"/>
            <w:vAlign w:val="center"/>
          </w:tcPr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</w:pPr>
            <w:r w:rsidRPr="00C70B07">
              <w:rPr>
                <w:rFonts w:ascii="Times New Roman" w:hAnsi="Times New Roman"/>
                <w:b/>
                <w:bCs/>
                <w:sz w:val="22"/>
                <w:szCs w:val="22"/>
                <w:lang w:val="sr-Latn-ME" w:eastAsia="en-US"/>
              </w:rPr>
              <w:t>10. DATUM REVIZIJE TEKSTA</w:t>
            </w:r>
          </w:p>
        </w:tc>
      </w:tr>
      <w:tr w:rsidR="00834DBB" w:rsidRPr="00C70B07">
        <w:trPr>
          <w:trHeight w:val="824"/>
        </w:trPr>
        <w:tc>
          <w:tcPr>
            <w:tcW w:w="10188" w:type="dxa"/>
            <w:gridSpan w:val="4"/>
            <w:vAlign w:val="center"/>
          </w:tcPr>
          <w:p w:rsidR="00CB7FFD" w:rsidRPr="00C70B07" w:rsidRDefault="00A450B7" w:rsidP="00CB7FFD">
            <w:pPr>
              <w:pStyle w:val="Default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Januar, 2014.</w:t>
            </w:r>
          </w:p>
          <w:p w:rsidR="00834DBB" w:rsidRPr="00C70B07" w:rsidRDefault="00834DBB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 w:eastAsia="en-US"/>
              </w:rPr>
            </w:pPr>
          </w:p>
        </w:tc>
      </w:tr>
    </w:tbl>
    <w:p w:rsidR="00834DBB" w:rsidRPr="00C70B07" w:rsidRDefault="00834DBB" w:rsidP="009F4449">
      <w:pPr>
        <w:rPr>
          <w:rFonts w:ascii="Times New Roman" w:hAnsi="Times New Roman"/>
          <w:sz w:val="22"/>
          <w:szCs w:val="22"/>
          <w:lang w:val="sr-Latn-ME"/>
        </w:rPr>
      </w:pPr>
    </w:p>
    <w:sectPr w:rsidR="00834DBB" w:rsidRPr="00C70B07" w:rsidSect="00443EB9">
      <w:headerReference w:type="default" r:id="rId10"/>
      <w:footerReference w:type="even" r:id="rId11"/>
      <w:footerReference w:type="default" r:id="rId12"/>
      <w:pgSz w:w="11907" w:h="16840" w:code="9"/>
      <w:pgMar w:top="2155" w:right="1134" w:bottom="1560" w:left="1134" w:header="357" w:footer="2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A7" w:rsidRDefault="00C664A7">
      <w:r>
        <w:separator/>
      </w:r>
    </w:p>
  </w:endnote>
  <w:endnote w:type="continuationSeparator" w:id="0">
    <w:p w:rsidR="00C664A7" w:rsidRDefault="00C6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88" w:rsidRDefault="00F072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7288" w:rsidRDefault="00F072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9638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:rsidR="00F07288" w:rsidRDefault="00F07288" w:rsidP="00443EB9">
            <w:pPr>
              <w:pStyle w:val="Footer"/>
              <w:jc w:val="center"/>
            </w:pPr>
            <w:r>
              <w:rPr>
                <w:lang w:val="sr-Latn-ME" w:eastAsia="sr-Latn-ME"/>
              </w:rPr>
              <w:drawing>
                <wp:inline distT="0" distB="0" distL="0" distR="0" wp14:anchorId="51C952AB" wp14:editId="33755D23">
                  <wp:extent cx="5705475" cy="361950"/>
                  <wp:effectExtent l="0" t="0" r="9525" b="0"/>
                  <wp:docPr id="3" name="Picture 3" descr="calims podaci MN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lims podaci MN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288" w:rsidRPr="00443EB9" w:rsidRDefault="00F07288" w:rsidP="00443EB9">
            <w:pPr>
              <w:pStyle w:val="Foot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instrText xml:space="preserve"> PAGE </w:instrText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1926DD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443EB9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instrText xml:space="preserve"> NUMPAGES  </w:instrText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1926DD">
              <w:rPr>
                <w:rFonts w:ascii="Times New Roman" w:hAnsi="Times New Roman"/>
                <w:bCs/>
                <w:sz w:val="22"/>
                <w:szCs w:val="22"/>
              </w:rPr>
              <w:t>37</w:t>
            </w:r>
            <w:r w:rsidRPr="00443EB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A7" w:rsidRDefault="00C664A7">
      <w:r>
        <w:separator/>
      </w:r>
    </w:p>
  </w:footnote>
  <w:footnote w:type="continuationSeparator" w:id="0">
    <w:p w:rsidR="00C664A7" w:rsidRDefault="00C6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88" w:rsidRDefault="00F07288" w:rsidP="00443EB9">
    <w:pPr>
      <w:pStyle w:val="Header"/>
    </w:pPr>
    <w:r>
      <w:rPr>
        <w:lang w:val="sr-Latn-ME" w:eastAsia="sr-Latn-ME"/>
      </w:rPr>
      <w:drawing>
        <wp:inline distT="0" distB="0" distL="0" distR="0" wp14:anchorId="1ADB392D" wp14:editId="672D464B">
          <wp:extent cx="1438275" cy="1076325"/>
          <wp:effectExtent l="0" t="0" r="9525" b="9525"/>
          <wp:docPr id="2" name="Picture 2" descr="calims logo MN 40x3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ms logo MN 40x3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33"/>
    <w:lvl w:ilvl="0">
      <w:start w:val="1"/>
      <w:numFmt w:val="lowerLetter"/>
      <w:lvlText w:val="%1:"/>
      <w:lvlJc w:val="left"/>
      <w:pPr>
        <w:tabs>
          <w:tab w:val="num" w:pos="360"/>
        </w:tabs>
        <w:ind w:left="360" w:hanging="360"/>
      </w:pPr>
    </w:lvl>
  </w:abstractNum>
  <w:abstractNum w:abstractNumId="1">
    <w:nsid w:val="113979EF"/>
    <w:multiLevelType w:val="hybridMultilevel"/>
    <w:tmpl w:val="5B6248FE"/>
    <w:lvl w:ilvl="0" w:tplc="556699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65418"/>
    <w:multiLevelType w:val="hybridMultilevel"/>
    <w:tmpl w:val="AE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046FE"/>
    <w:multiLevelType w:val="hybridMultilevel"/>
    <w:tmpl w:val="8D58DA4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C4A0C"/>
    <w:multiLevelType w:val="hybridMultilevel"/>
    <w:tmpl w:val="FFEC8D82"/>
    <w:lvl w:ilvl="0" w:tplc="F388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2249CD"/>
    <w:multiLevelType w:val="hybridMultilevel"/>
    <w:tmpl w:val="0A304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91DDE"/>
    <w:multiLevelType w:val="hybridMultilevel"/>
    <w:tmpl w:val="FD78842C"/>
    <w:lvl w:ilvl="0" w:tplc="34B09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65529"/>
    <w:multiLevelType w:val="hybridMultilevel"/>
    <w:tmpl w:val="47D087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302142"/>
    <w:multiLevelType w:val="hybridMultilevel"/>
    <w:tmpl w:val="1374B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1F4C23"/>
    <w:multiLevelType w:val="hybridMultilevel"/>
    <w:tmpl w:val="5C522C9E"/>
    <w:lvl w:ilvl="0" w:tplc="997473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192AC1"/>
    <w:multiLevelType w:val="hybridMultilevel"/>
    <w:tmpl w:val="7864F816"/>
    <w:lvl w:ilvl="0" w:tplc="F388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708AA"/>
    <w:multiLevelType w:val="hybridMultilevel"/>
    <w:tmpl w:val="1C3C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DA"/>
    <w:rsid w:val="00001D57"/>
    <w:rsid w:val="00001F42"/>
    <w:rsid w:val="00003A85"/>
    <w:rsid w:val="00004FDB"/>
    <w:rsid w:val="00006755"/>
    <w:rsid w:val="00007565"/>
    <w:rsid w:val="0001513A"/>
    <w:rsid w:val="00016EBD"/>
    <w:rsid w:val="00016EFC"/>
    <w:rsid w:val="00021698"/>
    <w:rsid w:val="000224DF"/>
    <w:rsid w:val="000235AE"/>
    <w:rsid w:val="00023D77"/>
    <w:rsid w:val="00025127"/>
    <w:rsid w:val="000302DB"/>
    <w:rsid w:val="00031B98"/>
    <w:rsid w:val="00033B1B"/>
    <w:rsid w:val="00034B63"/>
    <w:rsid w:val="00036314"/>
    <w:rsid w:val="00041D05"/>
    <w:rsid w:val="00042E06"/>
    <w:rsid w:val="000443D1"/>
    <w:rsid w:val="0004788D"/>
    <w:rsid w:val="00050C3A"/>
    <w:rsid w:val="00050E55"/>
    <w:rsid w:val="00053545"/>
    <w:rsid w:val="00055AED"/>
    <w:rsid w:val="00057522"/>
    <w:rsid w:val="0006217E"/>
    <w:rsid w:val="00063332"/>
    <w:rsid w:val="00064F71"/>
    <w:rsid w:val="00065DC2"/>
    <w:rsid w:val="0006646D"/>
    <w:rsid w:val="00071CAC"/>
    <w:rsid w:val="00081B51"/>
    <w:rsid w:val="00083BE0"/>
    <w:rsid w:val="00086B9B"/>
    <w:rsid w:val="00090CAB"/>
    <w:rsid w:val="000942B5"/>
    <w:rsid w:val="00095295"/>
    <w:rsid w:val="00096B94"/>
    <w:rsid w:val="000A1555"/>
    <w:rsid w:val="000A31C1"/>
    <w:rsid w:val="000A365E"/>
    <w:rsid w:val="000A3A7D"/>
    <w:rsid w:val="000A6412"/>
    <w:rsid w:val="000A75CF"/>
    <w:rsid w:val="000B41F6"/>
    <w:rsid w:val="000B4746"/>
    <w:rsid w:val="000B4E62"/>
    <w:rsid w:val="000C0A4B"/>
    <w:rsid w:val="000C0DBD"/>
    <w:rsid w:val="000C255F"/>
    <w:rsid w:val="000C6D31"/>
    <w:rsid w:val="000C77D2"/>
    <w:rsid w:val="000D1793"/>
    <w:rsid w:val="000D75FF"/>
    <w:rsid w:val="000E13F4"/>
    <w:rsid w:val="000E1714"/>
    <w:rsid w:val="000E2DB5"/>
    <w:rsid w:val="000E4034"/>
    <w:rsid w:val="000E55A3"/>
    <w:rsid w:val="000F0B6C"/>
    <w:rsid w:val="000F1949"/>
    <w:rsid w:val="000F3808"/>
    <w:rsid w:val="000F4E4A"/>
    <w:rsid w:val="000F6E56"/>
    <w:rsid w:val="00101408"/>
    <w:rsid w:val="00101DD4"/>
    <w:rsid w:val="001047A8"/>
    <w:rsid w:val="00106E8C"/>
    <w:rsid w:val="00107A10"/>
    <w:rsid w:val="00107B08"/>
    <w:rsid w:val="001104DE"/>
    <w:rsid w:val="00114EC5"/>
    <w:rsid w:val="0011548B"/>
    <w:rsid w:val="0011615B"/>
    <w:rsid w:val="00117317"/>
    <w:rsid w:val="00120C31"/>
    <w:rsid w:val="00122A27"/>
    <w:rsid w:val="0012330D"/>
    <w:rsid w:val="0013423C"/>
    <w:rsid w:val="0013483E"/>
    <w:rsid w:val="0013565B"/>
    <w:rsid w:val="00135FA8"/>
    <w:rsid w:val="00140EC0"/>
    <w:rsid w:val="0014204F"/>
    <w:rsid w:val="00143852"/>
    <w:rsid w:val="001442FB"/>
    <w:rsid w:val="0014471B"/>
    <w:rsid w:val="001450E1"/>
    <w:rsid w:val="00147033"/>
    <w:rsid w:val="001476F8"/>
    <w:rsid w:val="00150EFD"/>
    <w:rsid w:val="0015178C"/>
    <w:rsid w:val="00151EF9"/>
    <w:rsid w:val="00155C83"/>
    <w:rsid w:val="00161671"/>
    <w:rsid w:val="00161F2F"/>
    <w:rsid w:val="0016299C"/>
    <w:rsid w:val="00163DF4"/>
    <w:rsid w:val="001641B0"/>
    <w:rsid w:val="001658E1"/>
    <w:rsid w:val="0016603A"/>
    <w:rsid w:val="001677F9"/>
    <w:rsid w:val="00173834"/>
    <w:rsid w:val="00183215"/>
    <w:rsid w:val="00186161"/>
    <w:rsid w:val="001926DD"/>
    <w:rsid w:val="00192F07"/>
    <w:rsid w:val="00192F47"/>
    <w:rsid w:val="001966C2"/>
    <w:rsid w:val="00197FA7"/>
    <w:rsid w:val="001A05D2"/>
    <w:rsid w:val="001A0D3D"/>
    <w:rsid w:val="001A2DC3"/>
    <w:rsid w:val="001A46E7"/>
    <w:rsid w:val="001A76D7"/>
    <w:rsid w:val="001A7E89"/>
    <w:rsid w:val="001B14A3"/>
    <w:rsid w:val="001B17A8"/>
    <w:rsid w:val="001B2DC2"/>
    <w:rsid w:val="001B3325"/>
    <w:rsid w:val="001B37BC"/>
    <w:rsid w:val="001B5143"/>
    <w:rsid w:val="001C0043"/>
    <w:rsid w:val="001C2D02"/>
    <w:rsid w:val="001D418B"/>
    <w:rsid w:val="001D4C13"/>
    <w:rsid w:val="001D74C9"/>
    <w:rsid w:val="001E0FAA"/>
    <w:rsid w:val="001E327A"/>
    <w:rsid w:val="001E39F3"/>
    <w:rsid w:val="001E5C39"/>
    <w:rsid w:val="001E6510"/>
    <w:rsid w:val="001E69D4"/>
    <w:rsid w:val="001F203B"/>
    <w:rsid w:val="001F544E"/>
    <w:rsid w:val="001F6CDC"/>
    <w:rsid w:val="00200A6B"/>
    <w:rsid w:val="00200B1C"/>
    <w:rsid w:val="00203369"/>
    <w:rsid w:val="00204BB6"/>
    <w:rsid w:val="00206DBD"/>
    <w:rsid w:val="002074DB"/>
    <w:rsid w:val="00214E62"/>
    <w:rsid w:val="0021561B"/>
    <w:rsid w:val="00220888"/>
    <w:rsid w:val="00223FC4"/>
    <w:rsid w:val="002269E6"/>
    <w:rsid w:val="00231A77"/>
    <w:rsid w:val="00234B4B"/>
    <w:rsid w:val="00240329"/>
    <w:rsid w:val="00240FAE"/>
    <w:rsid w:val="0024514B"/>
    <w:rsid w:val="002459D2"/>
    <w:rsid w:val="00245A2D"/>
    <w:rsid w:val="002508A7"/>
    <w:rsid w:val="00251872"/>
    <w:rsid w:val="0025460E"/>
    <w:rsid w:val="002561D5"/>
    <w:rsid w:val="00257E1C"/>
    <w:rsid w:val="0026038D"/>
    <w:rsid w:val="00260DE9"/>
    <w:rsid w:val="0026225E"/>
    <w:rsid w:val="00264D77"/>
    <w:rsid w:val="002654BC"/>
    <w:rsid w:val="00267DFB"/>
    <w:rsid w:val="002707B8"/>
    <w:rsid w:val="00273BE0"/>
    <w:rsid w:val="0027451F"/>
    <w:rsid w:val="00274900"/>
    <w:rsid w:val="0028118C"/>
    <w:rsid w:val="00281C33"/>
    <w:rsid w:val="00283EC5"/>
    <w:rsid w:val="002875FC"/>
    <w:rsid w:val="002903C3"/>
    <w:rsid w:val="002912D7"/>
    <w:rsid w:val="002917F2"/>
    <w:rsid w:val="0029498B"/>
    <w:rsid w:val="002949C1"/>
    <w:rsid w:val="002A2AD2"/>
    <w:rsid w:val="002A37EE"/>
    <w:rsid w:val="002A3974"/>
    <w:rsid w:val="002A5A36"/>
    <w:rsid w:val="002A7300"/>
    <w:rsid w:val="002A733A"/>
    <w:rsid w:val="002A75DB"/>
    <w:rsid w:val="002A7EB0"/>
    <w:rsid w:val="002B0B99"/>
    <w:rsid w:val="002B0CFF"/>
    <w:rsid w:val="002B19D6"/>
    <w:rsid w:val="002B5FE5"/>
    <w:rsid w:val="002B6F6A"/>
    <w:rsid w:val="002B7727"/>
    <w:rsid w:val="002C0D57"/>
    <w:rsid w:val="002C11DF"/>
    <w:rsid w:val="002C5ADC"/>
    <w:rsid w:val="002C6F06"/>
    <w:rsid w:val="002C7FE1"/>
    <w:rsid w:val="002D2744"/>
    <w:rsid w:val="002D6DC8"/>
    <w:rsid w:val="002E1AA6"/>
    <w:rsid w:val="002E1B8C"/>
    <w:rsid w:val="002E2CC6"/>
    <w:rsid w:val="002E4412"/>
    <w:rsid w:val="002E4E43"/>
    <w:rsid w:val="002E5F92"/>
    <w:rsid w:val="002E660B"/>
    <w:rsid w:val="002E6DA7"/>
    <w:rsid w:val="002F02D7"/>
    <w:rsid w:val="002F366A"/>
    <w:rsid w:val="002F410E"/>
    <w:rsid w:val="002F4E17"/>
    <w:rsid w:val="002F53DB"/>
    <w:rsid w:val="003009D0"/>
    <w:rsid w:val="0030152D"/>
    <w:rsid w:val="00302545"/>
    <w:rsid w:val="00305DA8"/>
    <w:rsid w:val="00305DD8"/>
    <w:rsid w:val="00306199"/>
    <w:rsid w:val="0030744B"/>
    <w:rsid w:val="0031042E"/>
    <w:rsid w:val="00310A3D"/>
    <w:rsid w:val="00310AA2"/>
    <w:rsid w:val="0031177F"/>
    <w:rsid w:val="00312D18"/>
    <w:rsid w:val="00316A9C"/>
    <w:rsid w:val="00317519"/>
    <w:rsid w:val="003239D4"/>
    <w:rsid w:val="0032455D"/>
    <w:rsid w:val="00326155"/>
    <w:rsid w:val="00334516"/>
    <w:rsid w:val="00334F9D"/>
    <w:rsid w:val="0034035B"/>
    <w:rsid w:val="0034430C"/>
    <w:rsid w:val="003468B8"/>
    <w:rsid w:val="00347125"/>
    <w:rsid w:val="00351004"/>
    <w:rsid w:val="00352320"/>
    <w:rsid w:val="00353E7B"/>
    <w:rsid w:val="00355FD3"/>
    <w:rsid w:val="00357359"/>
    <w:rsid w:val="00360FEC"/>
    <w:rsid w:val="003622F9"/>
    <w:rsid w:val="00362E2E"/>
    <w:rsid w:val="00366356"/>
    <w:rsid w:val="00367F0A"/>
    <w:rsid w:val="003730E5"/>
    <w:rsid w:val="0037482E"/>
    <w:rsid w:val="00377871"/>
    <w:rsid w:val="003819D5"/>
    <w:rsid w:val="00381AA5"/>
    <w:rsid w:val="00381DA9"/>
    <w:rsid w:val="00383113"/>
    <w:rsid w:val="00384245"/>
    <w:rsid w:val="003854AD"/>
    <w:rsid w:val="00385D2F"/>
    <w:rsid w:val="0038644E"/>
    <w:rsid w:val="00391B3B"/>
    <w:rsid w:val="00393CBB"/>
    <w:rsid w:val="00394E5D"/>
    <w:rsid w:val="003953CB"/>
    <w:rsid w:val="00397CC4"/>
    <w:rsid w:val="003A19A2"/>
    <w:rsid w:val="003A2920"/>
    <w:rsid w:val="003A29B2"/>
    <w:rsid w:val="003A62FA"/>
    <w:rsid w:val="003A6326"/>
    <w:rsid w:val="003B2082"/>
    <w:rsid w:val="003B22ED"/>
    <w:rsid w:val="003B70B2"/>
    <w:rsid w:val="003B7E48"/>
    <w:rsid w:val="003C0E14"/>
    <w:rsid w:val="003C0E2E"/>
    <w:rsid w:val="003C14AF"/>
    <w:rsid w:val="003C32DA"/>
    <w:rsid w:val="003C3948"/>
    <w:rsid w:val="003C441D"/>
    <w:rsid w:val="003C4A6E"/>
    <w:rsid w:val="003C57E8"/>
    <w:rsid w:val="003C7CC2"/>
    <w:rsid w:val="003D1B60"/>
    <w:rsid w:val="003D3CE4"/>
    <w:rsid w:val="003D3DFE"/>
    <w:rsid w:val="003D5413"/>
    <w:rsid w:val="003E1E59"/>
    <w:rsid w:val="003E1F5B"/>
    <w:rsid w:val="003E1F6B"/>
    <w:rsid w:val="003E23DD"/>
    <w:rsid w:val="003E3CAD"/>
    <w:rsid w:val="003E4405"/>
    <w:rsid w:val="003E612A"/>
    <w:rsid w:val="003E7FA0"/>
    <w:rsid w:val="003F1334"/>
    <w:rsid w:val="003F1EBF"/>
    <w:rsid w:val="003F4E1E"/>
    <w:rsid w:val="003F684C"/>
    <w:rsid w:val="003F781D"/>
    <w:rsid w:val="00400408"/>
    <w:rsid w:val="0040116F"/>
    <w:rsid w:val="004027FE"/>
    <w:rsid w:val="00406605"/>
    <w:rsid w:val="004071FE"/>
    <w:rsid w:val="00412209"/>
    <w:rsid w:val="00412840"/>
    <w:rsid w:val="00413152"/>
    <w:rsid w:val="00413598"/>
    <w:rsid w:val="004160D5"/>
    <w:rsid w:val="00424575"/>
    <w:rsid w:val="0042564F"/>
    <w:rsid w:val="004260CF"/>
    <w:rsid w:val="00427D41"/>
    <w:rsid w:val="0043138F"/>
    <w:rsid w:val="0043166B"/>
    <w:rsid w:val="00433170"/>
    <w:rsid w:val="0043355F"/>
    <w:rsid w:val="00436EAC"/>
    <w:rsid w:val="00442160"/>
    <w:rsid w:val="00443EB9"/>
    <w:rsid w:val="00444727"/>
    <w:rsid w:val="00446430"/>
    <w:rsid w:val="00452400"/>
    <w:rsid w:val="00453176"/>
    <w:rsid w:val="00454590"/>
    <w:rsid w:val="0045509F"/>
    <w:rsid w:val="0046139A"/>
    <w:rsid w:val="00464C22"/>
    <w:rsid w:val="00465AFE"/>
    <w:rsid w:val="004678D5"/>
    <w:rsid w:val="0047121B"/>
    <w:rsid w:val="00471D97"/>
    <w:rsid w:val="00472BD5"/>
    <w:rsid w:val="004730D1"/>
    <w:rsid w:val="00473398"/>
    <w:rsid w:val="00473A4F"/>
    <w:rsid w:val="00480DBE"/>
    <w:rsid w:val="0048350C"/>
    <w:rsid w:val="00483710"/>
    <w:rsid w:val="004842C3"/>
    <w:rsid w:val="00487273"/>
    <w:rsid w:val="00487AFB"/>
    <w:rsid w:val="004947E8"/>
    <w:rsid w:val="00496321"/>
    <w:rsid w:val="004976F6"/>
    <w:rsid w:val="004A0DAA"/>
    <w:rsid w:val="004A47AE"/>
    <w:rsid w:val="004A5C06"/>
    <w:rsid w:val="004A5EDA"/>
    <w:rsid w:val="004A5F5F"/>
    <w:rsid w:val="004A60B7"/>
    <w:rsid w:val="004A62EA"/>
    <w:rsid w:val="004B0434"/>
    <w:rsid w:val="004B3213"/>
    <w:rsid w:val="004B5B7F"/>
    <w:rsid w:val="004B75CE"/>
    <w:rsid w:val="004C07F0"/>
    <w:rsid w:val="004C0D61"/>
    <w:rsid w:val="004C2111"/>
    <w:rsid w:val="004C4684"/>
    <w:rsid w:val="004C4B10"/>
    <w:rsid w:val="004C5099"/>
    <w:rsid w:val="004C62CA"/>
    <w:rsid w:val="004D184D"/>
    <w:rsid w:val="004D3128"/>
    <w:rsid w:val="004D361F"/>
    <w:rsid w:val="004D4BE7"/>
    <w:rsid w:val="004D4F85"/>
    <w:rsid w:val="004D5AF5"/>
    <w:rsid w:val="004E4205"/>
    <w:rsid w:val="004E49E3"/>
    <w:rsid w:val="004F24D0"/>
    <w:rsid w:val="004F2F3C"/>
    <w:rsid w:val="004F3611"/>
    <w:rsid w:val="004F7B60"/>
    <w:rsid w:val="00500C35"/>
    <w:rsid w:val="00502BD0"/>
    <w:rsid w:val="00505D49"/>
    <w:rsid w:val="005075DB"/>
    <w:rsid w:val="00507649"/>
    <w:rsid w:val="00507D32"/>
    <w:rsid w:val="005114FD"/>
    <w:rsid w:val="00511A62"/>
    <w:rsid w:val="00513DC1"/>
    <w:rsid w:val="0051403C"/>
    <w:rsid w:val="0051769E"/>
    <w:rsid w:val="0052085C"/>
    <w:rsid w:val="00521543"/>
    <w:rsid w:val="005220AA"/>
    <w:rsid w:val="00522B87"/>
    <w:rsid w:val="00524531"/>
    <w:rsid w:val="005248C2"/>
    <w:rsid w:val="005258D2"/>
    <w:rsid w:val="005272EF"/>
    <w:rsid w:val="0053180F"/>
    <w:rsid w:val="005337DE"/>
    <w:rsid w:val="00537BD6"/>
    <w:rsid w:val="00542BB9"/>
    <w:rsid w:val="00542CDD"/>
    <w:rsid w:val="00544143"/>
    <w:rsid w:val="00552784"/>
    <w:rsid w:val="005609F3"/>
    <w:rsid w:val="005632FF"/>
    <w:rsid w:val="00563E91"/>
    <w:rsid w:val="005649CF"/>
    <w:rsid w:val="00567FFD"/>
    <w:rsid w:val="005703AF"/>
    <w:rsid w:val="00570F31"/>
    <w:rsid w:val="005734CF"/>
    <w:rsid w:val="00575ED9"/>
    <w:rsid w:val="00580A60"/>
    <w:rsid w:val="00582D55"/>
    <w:rsid w:val="00583EDF"/>
    <w:rsid w:val="0058412D"/>
    <w:rsid w:val="00585387"/>
    <w:rsid w:val="00586A78"/>
    <w:rsid w:val="00586BB5"/>
    <w:rsid w:val="00586D6B"/>
    <w:rsid w:val="00591BA9"/>
    <w:rsid w:val="00591BDE"/>
    <w:rsid w:val="00593301"/>
    <w:rsid w:val="00593C07"/>
    <w:rsid w:val="00594B83"/>
    <w:rsid w:val="00595AD0"/>
    <w:rsid w:val="005A1EC9"/>
    <w:rsid w:val="005A3520"/>
    <w:rsid w:val="005B112A"/>
    <w:rsid w:val="005B152F"/>
    <w:rsid w:val="005B1AA9"/>
    <w:rsid w:val="005B294F"/>
    <w:rsid w:val="005C139B"/>
    <w:rsid w:val="005C3F73"/>
    <w:rsid w:val="005C4076"/>
    <w:rsid w:val="005C5FBB"/>
    <w:rsid w:val="005C6943"/>
    <w:rsid w:val="005C7318"/>
    <w:rsid w:val="005C7891"/>
    <w:rsid w:val="005C7F38"/>
    <w:rsid w:val="005D65A3"/>
    <w:rsid w:val="005D7214"/>
    <w:rsid w:val="005D7323"/>
    <w:rsid w:val="005D7C80"/>
    <w:rsid w:val="005E3692"/>
    <w:rsid w:val="005E3FE4"/>
    <w:rsid w:val="005E78AA"/>
    <w:rsid w:val="005E7F60"/>
    <w:rsid w:val="005F06B6"/>
    <w:rsid w:val="005F0B76"/>
    <w:rsid w:val="005F41AC"/>
    <w:rsid w:val="005F5483"/>
    <w:rsid w:val="00600285"/>
    <w:rsid w:val="00601F7A"/>
    <w:rsid w:val="006054EE"/>
    <w:rsid w:val="0060569F"/>
    <w:rsid w:val="00611B30"/>
    <w:rsid w:val="00612590"/>
    <w:rsid w:val="00613241"/>
    <w:rsid w:val="00615BF8"/>
    <w:rsid w:val="0061718B"/>
    <w:rsid w:val="006215BA"/>
    <w:rsid w:val="00621A16"/>
    <w:rsid w:val="0062260F"/>
    <w:rsid w:val="006241B8"/>
    <w:rsid w:val="00624915"/>
    <w:rsid w:val="00625F89"/>
    <w:rsid w:val="006320BB"/>
    <w:rsid w:val="00632999"/>
    <w:rsid w:val="00632C64"/>
    <w:rsid w:val="006337A6"/>
    <w:rsid w:val="0063758E"/>
    <w:rsid w:val="00640D6F"/>
    <w:rsid w:val="00644910"/>
    <w:rsid w:val="00646259"/>
    <w:rsid w:val="00646AC5"/>
    <w:rsid w:val="00647EEC"/>
    <w:rsid w:val="00650F01"/>
    <w:rsid w:val="00652573"/>
    <w:rsid w:val="006559AF"/>
    <w:rsid w:val="00655BF9"/>
    <w:rsid w:val="00657A22"/>
    <w:rsid w:val="00662F10"/>
    <w:rsid w:val="00665BA8"/>
    <w:rsid w:val="006716C8"/>
    <w:rsid w:val="0067730E"/>
    <w:rsid w:val="00677EE3"/>
    <w:rsid w:val="006804C4"/>
    <w:rsid w:val="00681026"/>
    <w:rsid w:val="00681A48"/>
    <w:rsid w:val="00684BFD"/>
    <w:rsid w:val="006856FF"/>
    <w:rsid w:val="00692BD7"/>
    <w:rsid w:val="0069402B"/>
    <w:rsid w:val="0069414D"/>
    <w:rsid w:val="00695153"/>
    <w:rsid w:val="00695D39"/>
    <w:rsid w:val="00696973"/>
    <w:rsid w:val="006969D5"/>
    <w:rsid w:val="006A24E4"/>
    <w:rsid w:val="006A5659"/>
    <w:rsid w:val="006B18CB"/>
    <w:rsid w:val="006B1A26"/>
    <w:rsid w:val="006B218F"/>
    <w:rsid w:val="006B2DA9"/>
    <w:rsid w:val="006B4885"/>
    <w:rsid w:val="006B6A04"/>
    <w:rsid w:val="006B7B07"/>
    <w:rsid w:val="006C414E"/>
    <w:rsid w:val="006C48A5"/>
    <w:rsid w:val="006C58A7"/>
    <w:rsid w:val="006C6011"/>
    <w:rsid w:val="006D0516"/>
    <w:rsid w:val="006D23EF"/>
    <w:rsid w:val="006D2B94"/>
    <w:rsid w:val="006D590F"/>
    <w:rsid w:val="006D65DA"/>
    <w:rsid w:val="006E164E"/>
    <w:rsid w:val="006E2FF0"/>
    <w:rsid w:val="006E397A"/>
    <w:rsid w:val="006E6098"/>
    <w:rsid w:val="006E6483"/>
    <w:rsid w:val="006F2613"/>
    <w:rsid w:val="006F29A6"/>
    <w:rsid w:val="006F3F5F"/>
    <w:rsid w:val="006F4FF2"/>
    <w:rsid w:val="006F5ED5"/>
    <w:rsid w:val="00704F44"/>
    <w:rsid w:val="00706702"/>
    <w:rsid w:val="007073B7"/>
    <w:rsid w:val="00714AF1"/>
    <w:rsid w:val="00716B86"/>
    <w:rsid w:val="007172DD"/>
    <w:rsid w:val="00723E5F"/>
    <w:rsid w:val="00724099"/>
    <w:rsid w:val="007241E1"/>
    <w:rsid w:val="00724715"/>
    <w:rsid w:val="00733D43"/>
    <w:rsid w:val="00733D7B"/>
    <w:rsid w:val="00736802"/>
    <w:rsid w:val="00740080"/>
    <w:rsid w:val="0074380A"/>
    <w:rsid w:val="00744949"/>
    <w:rsid w:val="00746678"/>
    <w:rsid w:val="007506CB"/>
    <w:rsid w:val="007509A2"/>
    <w:rsid w:val="00754051"/>
    <w:rsid w:val="00755B90"/>
    <w:rsid w:val="0075603F"/>
    <w:rsid w:val="00763012"/>
    <w:rsid w:val="00763068"/>
    <w:rsid w:val="00763086"/>
    <w:rsid w:val="0076348A"/>
    <w:rsid w:val="007639F0"/>
    <w:rsid w:val="00764026"/>
    <w:rsid w:val="00764183"/>
    <w:rsid w:val="007648A3"/>
    <w:rsid w:val="00765596"/>
    <w:rsid w:val="00765734"/>
    <w:rsid w:val="00765C04"/>
    <w:rsid w:val="007660A5"/>
    <w:rsid w:val="00767378"/>
    <w:rsid w:val="007717FD"/>
    <w:rsid w:val="00771F7D"/>
    <w:rsid w:val="00772EEC"/>
    <w:rsid w:val="00775C01"/>
    <w:rsid w:val="00776640"/>
    <w:rsid w:val="00777193"/>
    <w:rsid w:val="0078144F"/>
    <w:rsid w:val="0078158B"/>
    <w:rsid w:val="007817F9"/>
    <w:rsid w:val="007831E7"/>
    <w:rsid w:val="00783B2D"/>
    <w:rsid w:val="00790087"/>
    <w:rsid w:val="007915D0"/>
    <w:rsid w:val="00791893"/>
    <w:rsid w:val="00792C42"/>
    <w:rsid w:val="00792F0C"/>
    <w:rsid w:val="00794883"/>
    <w:rsid w:val="00794891"/>
    <w:rsid w:val="007949F9"/>
    <w:rsid w:val="007956B5"/>
    <w:rsid w:val="007A0D22"/>
    <w:rsid w:val="007A19D7"/>
    <w:rsid w:val="007A2673"/>
    <w:rsid w:val="007A3840"/>
    <w:rsid w:val="007A3F50"/>
    <w:rsid w:val="007A4097"/>
    <w:rsid w:val="007A455A"/>
    <w:rsid w:val="007A599E"/>
    <w:rsid w:val="007B3194"/>
    <w:rsid w:val="007B3E7F"/>
    <w:rsid w:val="007B70E6"/>
    <w:rsid w:val="007C028C"/>
    <w:rsid w:val="007C1689"/>
    <w:rsid w:val="007C6412"/>
    <w:rsid w:val="007D15DC"/>
    <w:rsid w:val="007D1823"/>
    <w:rsid w:val="007D2D8C"/>
    <w:rsid w:val="007D3319"/>
    <w:rsid w:val="007D3992"/>
    <w:rsid w:val="007E0802"/>
    <w:rsid w:val="007E1456"/>
    <w:rsid w:val="007E2F20"/>
    <w:rsid w:val="007E3049"/>
    <w:rsid w:val="007E3DBF"/>
    <w:rsid w:val="007E3E9C"/>
    <w:rsid w:val="007E778D"/>
    <w:rsid w:val="007E7E81"/>
    <w:rsid w:val="007F0C05"/>
    <w:rsid w:val="007F1495"/>
    <w:rsid w:val="007F4730"/>
    <w:rsid w:val="007F51D8"/>
    <w:rsid w:val="007F5244"/>
    <w:rsid w:val="007F577A"/>
    <w:rsid w:val="007F7666"/>
    <w:rsid w:val="007F76AD"/>
    <w:rsid w:val="007F7DCA"/>
    <w:rsid w:val="008010DE"/>
    <w:rsid w:val="00801F9B"/>
    <w:rsid w:val="00802BAA"/>
    <w:rsid w:val="00803837"/>
    <w:rsid w:val="00803DB3"/>
    <w:rsid w:val="00803EFA"/>
    <w:rsid w:val="0080550D"/>
    <w:rsid w:val="00805748"/>
    <w:rsid w:val="0080578F"/>
    <w:rsid w:val="0080611E"/>
    <w:rsid w:val="00806B0D"/>
    <w:rsid w:val="00812F07"/>
    <w:rsid w:val="0081574C"/>
    <w:rsid w:val="008162A1"/>
    <w:rsid w:val="00820F08"/>
    <w:rsid w:val="00824D92"/>
    <w:rsid w:val="00825BC4"/>
    <w:rsid w:val="00826C04"/>
    <w:rsid w:val="00826EFA"/>
    <w:rsid w:val="00834DBB"/>
    <w:rsid w:val="00834F81"/>
    <w:rsid w:val="00835A21"/>
    <w:rsid w:val="00842FFB"/>
    <w:rsid w:val="0084421D"/>
    <w:rsid w:val="00846C06"/>
    <w:rsid w:val="008509B7"/>
    <w:rsid w:val="008518C0"/>
    <w:rsid w:val="008572F8"/>
    <w:rsid w:val="0085737B"/>
    <w:rsid w:val="00862AA8"/>
    <w:rsid w:val="00864937"/>
    <w:rsid w:val="00865C16"/>
    <w:rsid w:val="00867CAE"/>
    <w:rsid w:val="00871588"/>
    <w:rsid w:val="008729EE"/>
    <w:rsid w:val="00873463"/>
    <w:rsid w:val="00874491"/>
    <w:rsid w:val="00874625"/>
    <w:rsid w:val="00874ABD"/>
    <w:rsid w:val="0087582E"/>
    <w:rsid w:val="00877188"/>
    <w:rsid w:val="00880048"/>
    <w:rsid w:val="00880E96"/>
    <w:rsid w:val="0088415D"/>
    <w:rsid w:val="0089216E"/>
    <w:rsid w:val="00896D97"/>
    <w:rsid w:val="008978A9"/>
    <w:rsid w:val="00897CFA"/>
    <w:rsid w:val="008A057F"/>
    <w:rsid w:val="008A2552"/>
    <w:rsid w:val="008A5B71"/>
    <w:rsid w:val="008A622E"/>
    <w:rsid w:val="008A7E5B"/>
    <w:rsid w:val="008B0C0C"/>
    <w:rsid w:val="008B339B"/>
    <w:rsid w:val="008B5970"/>
    <w:rsid w:val="008B7F4D"/>
    <w:rsid w:val="008C066E"/>
    <w:rsid w:val="008C2AE3"/>
    <w:rsid w:val="008C42E5"/>
    <w:rsid w:val="008C4367"/>
    <w:rsid w:val="008C4E53"/>
    <w:rsid w:val="008C4E93"/>
    <w:rsid w:val="008C7603"/>
    <w:rsid w:val="008D20E8"/>
    <w:rsid w:val="008D3315"/>
    <w:rsid w:val="008D7A08"/>
    <w:rsid w:val="008E62F9"/>
    <w:rsid w:val="008E6910"/>
    <w:rsid w:val="008E736D"/>
    <w:rsid w:val="008F1C87"/>
    <w:rsid w:val="008F318F"/>
    <w:rsid w:val="008F345E"/>
    <w:rsid w:val="008F7113"/>
    <w:rsid w:val="008F7278"/>
    <w:rsid w:val="0090451B"/>
    <w:rsid w:val="009048F4"/>
    <w:rsid w:val="00905EDE"/>
    <w:rsid w:val="0090604C"/>
    <w:rsid w:val="00910584"/>
    <w:rsid w:val="009133E4"/>
    <w:rsid w:val="0091372C"/>
    <w:rsid w:val="0091473E"/>
    <w:rsid w:val="00921374"/>
    <w:rsid w:val="00922F36"/>
    <w:rsid w:val="009232F8"/>
    <w:rsid w:val="00923325"/>
    <w:rsid w:val="009233C7"/>
    <w:rsid w:val="00923CFA"/>
    <w:rsid w:val="00926908"/>
    <w:rsid w:val="00926E48"/>
    <w:rsid w:val="009311C8"/>
    <w:rsid w:val="0093250C"/>
    <w:rsid w:val="009351CF"/>
    <w:rsid w:val="00935C06"/>
    <w:rsid w:val="00935D37"/>
    <w:rsid w:val="0093603E"/>
    <w:rsid w:val="00937210"/>
    <w:rsid w:val="00940699"/>
    <w:rsid w:val="00942CFC"/>
    <w:rsid w:val="00945E01"/>
    <w:rsid w:val="00950FAD"/>
    <w:rsid w:val="009534A4"/>
    <w:rsid w:val="00956204"/>
    <w:rsid w:val="009565E2"/>
    <w:rsid w:val="00956D76"/>
    <w:rsid w:val="00957A23"/>
    <w:rsid w:val="00960123"/>
    <w:rsid w:val="00962324"/>
    <w:rsid w:val="00962638"/>
    <w:rsid w:val="009647B6"/>
    <w:rsid w:val="009703AE"/>
    <w:rsid w:val="00973282"/>
    <w:rsid w:val="00973684"/>
    <w:rsid w:val="00973D72"/>
    <w:rsid w:val="009840CE"/>
    <w:rsid w:val="00984EC3"/>
    <w:rsid w:val="00985540"/>
    <w:rsid w:val="00992141"/>
    <w:rsid w:val="00993098"/>
    <w:rsid w:val="0099466C"/>
    <w:rsid w:val="00994B26"/>
    <w:rsid w:val="00994D03"/>
    <w:rsid w:val="00996872"/>
    <w:rsid w:val="00996A10"/>
    <w:rsid w:val="009972D8"/>
    <w:rsid w:val="009A0CC5"/>
    <w:rsid w:val="009A194C"/>
    <w:rsid w:val="009A2709"/>
    <w:rsid w:val="009A4663"/>
    <w:rsid w:val="009A57CF"/>
    <w:rsid w:val="009A5EAF"/>
    <w:rsid w:val="009A6AA5"/>
    <w:rsid w:val="009A7D51"/>
    <w:rsid w:val="009A7E84"/>
    <w:rsid w:val="009B2FFB"/>
    <w:rsid w:val="009B391A"/>
    <w:rsid w:val="009B445B"/>
    <w:rsid w:val="009B7DD4"/>
    <w:rsid w:val="009C3443"/>
    <w:rsid w:val="009C6440"/>
    <w:rsid w:val="009D32E2"/>
    <w:rsid w:val="009D5819"/>
    <w:rsid w:val="009E0A90"/>
    <w:rsid w:val="009E4F8F"/>
    <w:rsid w:val="009E685D"/>
    <w:rsid w:val="009E73C6"/>
    <w:rsid w:val="009F03FE"/>
    <w:rsid w:val="009F1446"/>
    <w:rsid w:val="009F4449"/>
    <w:rsid w:val="009F48A3"/>
    <w:rsid w:val="009F63E1"/>
    <w:rsid w:val="009F7150"/>
    <w:rsid w:val="00A00C84"/>
    <w:rsid w:val="00A04BEE"/>
    <w:rsid w:val="00A06BD8"/>
    <w:rsid w:val="00A1322F"/>
    <w:rsid w:val="00A2160A"/>
    <w:rsid w:val="00A253C1"/>
    <w:rsid w:val="00A26640"/>
    <w:rsid w:val="00A307DA"/>
    <w:rsid w:val="00A31F82"/>
    <w:rsid w:val="00A32A73"/>
    <w:rsid w:val="00A33AD4"/>
    <w:rsid w:val="00A3592C"/>
    <w:rsid w:val="00A36653"/>
    <w:rsid w:val="00A368D9"/>
    <w:rsid w:val="00A37A1A"/>
    <w:rsid w:val="00A4079E"/>
    <w:rsid w:val="00A450B7"/>
    <w:rsid w:val="00A45587"/>
    <w:rsid w:val="00A45C13"/>
    <w:rsid w:val="00A50EF0"/>
    <w:rsid w:val="00A54D35"/>
    <w:rsid w:val="00A55E51"/>
    <w:rsid w:val="00A5677A"/>
    <w:rsid w:val="00A572FB"/>
    <w:rsid w:val="00A5772B"/>
    <w:rsid w:val="00A6056F"/>
    <w:rsid w:val="00A62668"/>
    <w:rsid w:val="00A629DA"/>
    <w:rsid w:val="00A67053"/>
    <w:rsid w:val="00A67EDB"/>
    <w:rsid w:val="00A703A2"/>
    <w:rsid w:val="00A711AA"/>
    <w:rsid w:val="00A771D8"/>
    <w:rsid w:val="00A77B4E"/>
    <w:rsid w:val="00A8029A"/>
    <w:rsid w:val="00A81CF4"/>
    <w:rsid w:val="00A8236B"/>
    <w:rsid w:val="00A82EC5"/>
    <w:rsid w:val="00A861B9"/>
    <w:rsid w:val="00A86A06"/>
    <w:rsid w:val="00A87085"/>
    <w:rsid w:val="00A9092F"/>
    <w:rsid w:val="00A91F62"/>
    <w:rsid w:val="00A93C09"/>
    <w:rsid w:val="00A957DA"/>
    <w:rsid w:val="00A96365"/>
    <w:rsid w:val="00A96389"/>
    <w:rsid w:val="00A979CF"/>
    <w:rsid w:val="00AA417E"/>
    <w:rsid w:val="00AA5795"/>
    <w:rsid w:val="00AA68FF"/>
    <w:rsid w:val="00AB0AA7"/>
    <w:rsid w:val="00AB0FB6"/>
    <w:rsid w:val="00AB1415"/>
    <w:rsid w:val="00AB2B98"/>
    <w:rsid w:val="00AB2CC3"/>
    <w:rsid w:val="00AB5933"/>
    <w:rsid w:val="00AC131F"/>
    <w:rsid w:val="00AD40F1"/>
    <w:rsid w:val="00AD5B6C"/>
    <w:rsid w:val="00AE12A7"/>
    <w:rsid w:val="00AE13A1"/>
    <w:rsid w:val="00AE2AA0"/>
    <w:rsid w:val="00AE6BB0"/>
    <w:rsid w:val="00AE6C5A"/>
    <w:rsid w:val="00AE7C27"/>
    <w:rsid w:val="00AF7078"/>
    <w:rsid w:val="00B00E7F"/>
    <w:rsid w:val="00B030A4"/>
    <w:rsid w:val="00B034FA"/>
    <w:rsid w:val="00B04A3B"/>
    <w:rsid w:val="00B05473"/>
    <w:rsid w:val="00B06294"/>
    <w:rsid w:val="00B07078"/>
    <w:rsid w:val="00B10E1F"/>
    <w:rsid w:val="00B12B78"/>
    <w:rsid w:val="00B1450C"/>
    <w:rsid w:val="00B16217"/>
    <w:rsid w:val="00B21834"/>
    <w:rsid w:val="00B22712"/>
    <w:rsid w:val="00B238F3"/>
    <w:rsid w:val="00B276E3"/>
    <w:rsid w:val="00B308A6"/>
    <w:rsid w:val="00B333D7"/>
    <w:rsid w:val="00B33F23"/>
    <w:rsid w:val="00B36DBC"/>
    <w:rsid w:val="00B461CF"/>
    <w:rsid w:val="00B50DF1"/>
    <w:rsid w:val="00B50FA1"/>
    <w:rsid w:val="00B52837"/>
    <w:rsid w:val="00B56D03"/>
    <w:rsid w:val="00B61318"/>
    <w:rsid w:val="00B66C73"/>
    <w:rsid w:val="00B67BB9"/>
    <w:rsid w:val="00B70458"/>
    <w:rsid w:val="00B71B5F"/>
    <w:rsid w:val="00B74665"/>
    <w:rsid w:val="00B752F0"/>
    <w:rsid w:val="00B83E59"/>
    <w:rsid w:val="00B9040B"/>
    <w:rsid w:val="00B90D69"/>
    <w:rsid w:val="00B91D75"/>
    <w:rsid w:val="00B91E68"/>
    <w:rsid w:val="00B91F21"/>
    <w:rsid w:val="00B9420B"/>
    <w:rsid w:val="00BA03F9"/>
    <w:rsid w:val="00BA1990"/>
    <w:rsid w:val="00BA3FE8"/>
    <w:rsid w:val="00BA569B"/>
    <w:rsid w:val="00BA619A"/>
    <w:rsid w:val="00BA6266"/>
    <w:rsid w:val="00BB790D"/>
    <w:rsid w:val="00BC1692"/>
    <w:rsid w:val="00BC1D2C"/>
    <w:rsid w:val="00BC28DC"/>
    <w:rsid w:val="00BC2910"/>
    <w:rsid w:val="00BC4881"/>
    <w:rsid w:val="00BC5384"/>
    <w:rsid w:val="00BC66F9"/>
    <w:rsid w:val="00BC6CF1"/>
    <w:rsid w:val="00BD0916"/>
    <w:rsid w:val="00BD4796"/>
    <w:rsid w:val="00BD6546"/>
    <w:rsid w:val="00BD725A"/>
    <w:rsid w:val="00BD7BF4"/>
    <w:rsid w:val="00BE0688"/>
    <w:rsid w:val="00BE0BD1"/>
    <w:rsid w:val="00BE28B6"/>
    <w:rsid w:val="00BE5C75"/>
    <w:rsid w:val="00BE62C4"/>
    <w:rsid w:val="00BF0DF6"/>
    <w:rsid w:val="00BF1818"/>
    <w:rsid w:val="00BF31AC"/>
    <w:rsid w:val="00C04A29"/>
    <w:rsid w:val="00C06482"/>
    <w:rsid w:val="00C078B7"/>
    <w:rsid w:val="00C102EC"/>
    <w:rsid w:val="00C108EC"/>
    <w:rsid w:val="00C114F1"/>
    <w:rsid w:val="00C1187E"/>
    <w:rsid w:val="00C1396C"/>
    <w:rsid w:val="00C13BE1"/>
    <w:rsid w:val="00C2131D"/>
    <w:rsid w:val="00C22D59"/>
    <w:rsid w:val="00C262E2"/>
    <w:rsid w:val="00C27B92"/>
    <w:rsid w:val="00C300A3"/>
    <w:rsid w:val="00C31897"/>
    <w:rsid w:val="00C33142"/>
    <w:rsid w:val="00C35158"/>
    <w:rsid w:val="00C40117"/>
    <w:rsid w:val="00C40445"/>
    <w:rsid w:val="00C407E8"/>
    <w:rsid w:val="00C415C1"/>
    <w:rsid w:val="00C4312E"/>
    <w:rsid w:val="00C43AEC"/>
    <w:rsid w:val="00C44FFF"/>
    <w:rsid w:val="00C46426"/>
    <w:rsid w:val="00C469A6"/>
    <w:rsid w:val="00C55F47"/>
    <w:rsid w:val="00C560AC"/>
    <w:rsid w:val="00C56BF4"/>
    <w:rsid w:val="00C572A8"/>
    <w:rsid w:val="00C575EE"/>
    <w:rsid w:val="00C654E8"/>
    <w:rsid w:val="00C664A7"/>
    <w:rsid w:val="00C67A19"/>
    <w:rsid w:val="00C70B07"/>
    <w:rsid w:val="00C71544"/>
    <w:rsid w:val="00C741A0"/>
    <w:rsid w:val="00C80333"/>
    <w:rsid w:val="00C835F6"/>
    <w:rsid w:val="00C904B0"/>
    <w:rsid w:val="00C90AB2"/>
    <w:rsid w:val="00CA2AE8"/>
    <w:rsid w:val="00CA7D2D"/>
    <w:rsid w:val="00CB32D9"/>
    <w:rsid w:val="00CB5014"/>
    <w:rsid w:val="00CB573B"/>
    <w:rsid w:val="00CB7DD1"/>
    <w:rsid w:val="00CB7FFD"/>
    <w:rsid w:val="00CC15EB"/>
    <w:rsid w:val="00CC2305"/>
    <w:rsid w:val="00CC4C88"/>
    <w:rsid w:val="00CC554A"/>
    <w:rsid w:val="00CD12B4"/>
    <w:rsid w:val="00CD1E29"/>
    <w:rsid w:val="00CD2585"/>
    <w:rsid w:val="00CD2740"/>
    <w:rsid w:val="00CD625E"/>
    <w:rsid w:val="00CD7543"/>
    <w:rsid w:val="00CD7D6D"/>
    <w:rsid w:val="00CE176A"/>
    <w:rsid w:val="00CE54EB"/>
    <w:rsid w:val="00CE57D1"/>
    <w:rsid w:val="00CE76DA"/>
    <w:rsid w:val="00CF0122"/>
    <w:rsid w:val="00D028E1"/>
    <w:rsid w:val="00D05940"/>
    <w:rsid w:val="00D05D46"/>
    <w:rsid w:val="00D0600D"/>
    <w:rsid w:val="00D07049"/>
    <w:rsid w:val="00D16D2E"/>
    <w:rsid w:val="00D20667"/>
    <w:rsid w:val="00D2742E"/>
    <w:rsid w:val="00D30D7F"/>
    <w:rsid w:val="00D3314D"/>
    <w:rsid w:val="00D35C53"/>
    <w:rsid w:val="00D41655"/>
    <w:rsid w:val="00D43D4B"/>
    <w:rsid w:val="00D4602F"/>
    <w:rsid w:val="00D516CE"/>
    <w:rsid w:val="00D51961"/>
    <w:rsid w:val="00D52418"/>
    <w:rsid w:val="00D54B50"/>
    <w:rsid w:val="00D5530E"/>
    <w:rsid w:val="00D569A1"/>
    <w:rsid w:val="00D5796C"/>
    <w:rsid w:val="00D609CB"/>
    <w:rsid w:val="00D63B71"/>
    <w:rsid w:val="00D64D93"/>
    <w:rsid w:val="00D65278"/>
    <w:rsid w:val="00D6597A"/>
    <w:rsid w:val="00D67AF2"/>
    <w:rsid w:val="00D7011F"/>
    <w:rsid w:val="00D720EC"/>
    <w:rsid w:val="00D73390"/>
    <w:rsid w:val="00D80C05"/>
    <w:rsid w:val="00D81586"/>
    <w:rsid w:val="00D82D05"/>
    <w:rsid w:val="00D831F9"/>
    <w:rsid w:val="00D84174"/>
    <w:rsid w:val="00D8449C"/>
    <w:rsid w:val="00D87AAE"/>
    <w:rsid w:val="00D939E9"/>
    <w:rsid w:val="00D96535"/>
    <w:rsid w:val="00D96A97"/>
    <w:rsid w:val="00D976A5"/>
    <w:rsid w:val="00DA030D"/>
    <w:rsid w:val="00DA5032"/>
    <w:rsid w:val="00DA51FA"/>
    <w:rsid w:val="00DA5638"/>
    <w:rsid w:val="00DA580C"/>
    <w:rsid w:val="00DA755F"/>
    <w:rsid w:val="00DB61A2"/>
    <w:rsid w:val="00DC0E8B"/>
    <w:rsid w:val="00DC1F99"/>
    <w:rsid w:val="00DC3E07"/>
    <w:rsid w:val="00DC3FB4"/>
    <w:rsid w:val="00DC4E5D"/>
    <w:rsid w:val="00DC5DE7"/>
    <w:rsid w:val="00DC6EFB"/>
    <w:rsid w:val="00DD1086"/>
    <w:rsid w:val="00DD1414"/>
    <w:rsid w:val="00DD6813"/>
    <w:rsid w:val="00DE05C9"/>
    <w:rsid w:val="00DE0A8A"/>
    <w:rsid w:val="00DE1003"/>
    <w:rsid w:val="00DE3D99"/>
    <w:rsid w:val="00DE3E8D"/>
    <w:rsid w:val="00DE6499"/>
    <w:rsid w:val="00DE7AEF"/>
    <w:rsid w:val="00DF1253"/>
    <w:rsid w:val="00DF2F95"/>
    <w:rsid w:val="00DF4528"/>
    <w:rsid w:val="00DF484E"/>
    <w:rsid w:val="00E075F0"/>
    <w:rsid w:val="00E13DC9"/>
    <w:rsid w:val="00E14A7E"/>
    <w:rsid w:val="00E16353"/>
    <w:rsid w:val="00E25006"/>
    <w:rsid w:val="00E31E05"/>
    <w:rsid w:val="00E36DAF"/>
    <w:rsid w:val="00E4147E"/>
    <w:rsid w:val="00E427B6"/>
    <w:rsid w:val="00E43899"/>
    <w:rsid w:val="00E44C0F"/>
    <w:rsid w:val="00E54BEC"/>
    <w:rsid w:val="00E55236"/>
    <w:rsid w:val="00E56D60"/>
    <w:rsid w:val="00E60818"/>
    <w:rsid w:val="00E62842"/>
    <w:rsid w:val="00E62C4A"/>
    <w:rsid w:val="00E64CEA"/>
    <w:rsid w:val="00E67610"/>
    <w:rsid w:val="00E72D56"/>
    <w:rsid w:val="00E7348C"/>
    <w:rsid w:val="00E75488"/>
    <w:rsid w:val="00E75644"/>
    <w:rsid w:val="00E767D2"/>
    <w:rsid w:val="00E76BA3"/>
    <w:rsid w:val="00E81482"/>
    <w:rsid w:val="00E8247F"/>
    <w:rsid w:val="00E83CD0"/>
    <w:rsid w:val="00E86D26"/>
    <w:rsid w:val="00E919ED"/>
    <w:rsid w:val="00E9423A"/>
    <w:rsid w:val="00E96701"/>
    <w:rsid w:val="00E9792C"/>
    <w:rsid w:val="00E97D74"/>
    <w:rsid w:val="00EA020F"/>
    <w:rsid w:val="00EA1F90"/>
    <w:rsid w:val="00EA3A7B"/>
    <w:rsid w:val="00EA58BE"/>
    <w:rsid w:val="00EA7900"/>
    <w:rsid w:val="00EB20E2"/>
    <w:rsid w:val="00EB6169"/>
    <w:rsid w:val="00EC2D0F"/>
    <w:rsid w:val="00EC39E9"/>
    <w:rsid w:val="00EC44F6"/>
    <w:rsid w:val="00EC4B0A"/>
    <w:rsid w:val="00EC50FD"/>
    <w:rsid w:val="00EC5586"/>
    <w:rsid w:val="00EC5B1A"/>
    <w:rsid w:val="00EC6AF2"/>
    <w:rsid w:val="00EC6B7B"/>
    <w:rsid w:val="00EC6F5D"/>
    <w:rsid w:val="00EC7163"/>
    <w:rsid w:val="00EC7219"/>
    <w:rsid w:val="00EC72B8"/>
    <w:rsid w:val="00EC7329"/>
    <w:rsid w:val="00ED37A9"/>
    <w:rsid w:val="00ED3E74"/>
    <w:rsid w:val="00ED46C9"/>
    <w:rsid w:val="00ED7063"/>
    <w:rsid w:val="00ED7C4A"/>
    <w:rsid w:val="00EE1156"/>
    <w:rsid w:val="00EE12BE"/>
    <w:rsid w:val="00EE3DBD"/>
    <w:rsid w:val="00EE5D04"/>
    <w:rsid w:val="00EE6071"/>
    <w:rsid w:val="00EF055C"/>
    <w:rsid w:val="00EF1283"/>
    <w:rsid w:val="00EF38D5"/>
    <w:rsid w:val="00EF6E08"/>
    <w:rsid w:val="00EF72DB"/>
    <w:rsid w:val="00EF739E"/>
    <w:rsid w:val="00F04984"/>
    <w:rsid w:val="00F057FE"/>
    <w:rsid w:val="00F07288"/>
    <w:rsid w:val="00F07A70"/>
    <w:rsid w:val="00F108BA"/>
    <w:rsid w:val="00F14028"/>
    <w:rsid w:val="00F14DC9"/>
    <w:rsid w:val="00F155FB"/>
    <w:rsid w:val="00F16961"/>
    <w:rsid w:val="00F202A4"/>
    <w:rsid w:val="00F244CF"/>
    <w:rsid w:val="00F25180"/>
    <w:rsid w:val="00F252BE"/>
    <w:rsid w:val="00F25DC7"/>
    <w:rsid w:val="00F27215"/>
    <w:rsid w:val="00F27A11"/>
    <w:rsid w:val="00F34537"/>
    <w:rsid w:val="00F3550F"/>
    <w:rsid w:val="00F35C07"/>
    <w:rsid w:val="00F40E79"/>
    <w:rsid w:val="00F40F1E"/>
    <w:rsid w:val="00F50ACE"/>
    <w:rsid w:val="00F52BE6"/>
    <w:rsid w:val="00F540CE"/>
    <w:rsid w:val="00F5438B"/>
    <w:rsid w:val="00F5539C"/>
    <w:rsid w:val="00F659C7"/>
    <w:rsid w:val="00F6672D"/>
    <w:rsid w:val="00F66E82"/>
    <w:rsid w:val="00F67578"/>
    <w:rsid w:val="00F72703"/>
    <w:rsid w:val="00F7431F"/>
    <w:rsid w:val="00F75D1F"/>
    <w:rsid w:val="00F7653F"/>
    <w:rsid w:val="00F80285"/>
    <w:rsid w:val="00F831D1"/>
    <w:rsid w:val="00F84568"/>
    <w:rsid w:val="00F8481D"/>
    <w:rsid w:val="00F8522B"/>
    <w:rsid w:val="00F866B5"/>
    <w:rsid w:val="00F91075"/>
    <w:rsid w:val="00F945C6"/>
    <w:rsid w:val="00F952FF"/>
    <w:rsid w:val="00F972AE"/>
    <w:rsid w:val="00FA12BA"/>
    <w:rsid w:val="00FA7752"/>
    <w:rsid w:val="00FB0055"/>
    <w:rsid w:val="00FB069C"/>
    <w:rsid w:val="00FB5C93"/>
    <w:rsid w:val="00FC4291"/>
    <w:rsid w:val="00FC5DB3"/>
    <w:rsid w:val="00FD0302"/>
    <w:rsid w:val="00FD0429"/>
    <w:rsid w:val="00FD36C2"/>
    <w:rsid w:val="00FD64FD"/>
    <w:rsid w:val="00FD6C15"/>
    <w:rsid w:val="00FE4EC1"/>
    <w:rsid w:val="00FE5C76"/>
    <w:rsid w:val="00FE6160"/>
    <w:rsid w:val="00FF0588"/>
    <w:rsid w:val="00FF065A"/>
    <w:rsid w:val="00FF3F8C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noProof/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(W1)" w:hAnsi="Arial (W1)" w:cs="Arial"/>
      <w:b/>
      <w:bCs/>
      <w:i/>
      <w:iCs/>
      <w:noProof w:val="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E97D74"/>
    <w:rPr>
      <w:rFonts w:ascii="Arial (W1)" w:hAnsi="Arial (W1)" w:cs="Arial"/>
      <w:b/>
      <w:bCs/>
      <w:i/>
      <w:iCs/>
      <w:sz w:val="32"/>
      <w:szCs w:val="24"/>
      <w:u w:val="single"/>
      <w:lang w:val="sr-Latn-CS" w:eastAsia="en-US" w:bidi="ar-SA"/>
    </w:rPr>
  </w:style>
  <w:style w:type="paragraph" w:styleId="EndnoteText">
    <w:name w:val="endnote text"/>
    <w:basedOn w:val="Normal"/>
    <w:link w:val="EndnoteTextChar"/>
    <w:semiHidden/>
    <w:rsid w:val="00E97D74"/>
    <w:pPr>
      <w:tabs>
        <w:tab w:val="clear" w:pos="284"/>
        <w:tab w:val="left" w:pos="567"/>
      </w:tabs>
      <w:jc w:val="left"/>
    </w:pPr>
    <w:rPr>
      <w:rFonts w:ascii="Courier" w:hAnsi="Courier" w:cs="Courier"/>
      <w:noProof w:val="0"/>
      <w:sz w:val="22"/>
      <w:szCs w:val="22"/>
      <w:lang w:val="en-GB" w:bidi="gu-IN"/>
    </w:rPr>
  </w:style>
  <w:style w:type="character" w:customStyle="1" w:styleId="EndnoteTextChar">
    <w:name w:val="Endnote Text Char"/>
    <w:link w:val="EndnoteText"/>
    <w:semiHidden/>
    <w:locked/>
    <w:rsid w:val="00E97D74"/>
    <w:rPr>
      <w:rFonts w:ascii="Courier" w:hAnsi="Courier" w:cs="Courier"/>
      <w:sz w:val="22"/>
      <w:szCs w:val="22"/>
      <w:lang w:val="en-GB" w:eastAsia="en-US" w:bidi="gu-IN"/>
    </w:rPr>
  </w:style>
  <w:style w:type="paragraph" w:styleId="BodyText2">
    <w:name w:val="Body Text 2"/>
    <w:basedOn w:val="Normal"/>
    <w:link w:val="BodyText2Char"/>
    <w:rsid w:val="00E97D74"/>
    <w:pPr>
      <w:tabs>
        <w:tab w:val="clear" w:pos="284"/>
      </w:tabs>
      <w:spacing w:after="120" w:line="480" w:lineRule="auto"/>
      <w:jc w:val="left"/>
    </w:pPr>
    <w:rPr>
      <w:rFonts w:ascii="Times New Roman" w:hAnsi="Times New Roman" w:cs="Shruti"/>
      <w:noProof w:val="0"/>
      <w:lang w:val="en-GB" w:bidi="gu-IN"/>
    </w:rPr>
  </w:style>
  <w:style w:type="character" w:customStyle="1" w:styleId="BodyText2Char">
    <w:name w:val="Body Text 2 Char"/>
    <w:link w:val="BodyText2"/>
    <w:semiHidden/>
    <w:locked/>
    <w:rsid w:val="00E97D74"/>
    <w:rPr>
      <w:rFonts w:cs="Shruti"/>
      <w:sz w:val="24"/>
      <w:szCs w:val="24"/>
      <w:lang w:val="en-GB" w:eastAsia="en-US" w:bidi="gu-IN"/>
    </w:rPr>
  </w:style>
  <w:style w:type="paragraph" w:customStyle="1" w:styleId="Default">
    <w:name w:val="Default"/>
    <w:rsid w:val="00CB5014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paragraph" w:customStyle="1" w:styleId="CM27">
    <w:name w:val="CM27"/>
    <w:basedOn w:val="Default"/>
    <w:next w:val="Default"/>
    <w:rsid w:val="00A45C13"/>
    <w:pPr>
      <w:widowControl w:val="0"/>
    </w:pPr>
    <w:rPr>
      <w:color w:val="auto"/>
    </w:rPr>
  </w:style>
  <w:style w:type="paragraph" w:customStyle="1" w:styleId="CM29">
    <w:name w:val="CM29"/>
    <w:basedOn w:val="Default"/>
    <w:next w:val="Default"/>
    <w:rsid w:val="00880048"/>
    <w:pPr>
      <w:widowControl w:val="0"/>
    </w:pPr>
    <w:rPr>
      <w:color w:val="auto"/>
    </w:rPr>
  </w:style>
  <w:style w:type="paragraph" w:customStyle="1" w:styleId="CM1">
    <w:name w:val="CM1"/>
    <w:basedOn w:val="Normal"/>
    <w:next w:val="Normal"/>
    <w:rsid w:val="00880048"/>
    <w:pPr>
      <w:widowControl w:val="0"/>
      <w:tabs>
        <w:tab w:val="clear" w:pos="284"/>
      </w:tabs>
      <w:autoSpaceDE w:val="0"/>
      <w:autoSpaceDN w:val="0"/>
      <w:adjustRightInd w:val="0"/>
      <w:spacing w:line="253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28">
    <w:name w:val="CM28"/>
    <w:basedOn w:val="Normal"/>
    <w:next w:val="Normal"/>
    <w:rsid w:val="00147033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30">
    <w:name w:val="CM30"/>
    <w:basedOn w:val="Normal"/>
    <w:next w:val="Normal"/>
    <w:rsid w:val="00ED46C9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33">
    <w:name w:val="CM33"/>
    <w:basedOn w:val="Normal"/>
    <w:next w:val="Normal"/>
    <w:rsid w:val="00C22D59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20">
    <w:name w:val="CM20"/>
    <w:basedOn w:val="Normal"/>
    <w:next w:val="Normal"/>
    <w:rsid w:val="00454590"/>
    <w:pPr>
      <w:widowControl w:val="0"/>
      <w:tabs>
        <w:tab w:val="clear" w:pos="284"/>
      </w:tabs>
      <w:autoSpaceDE w:val="0"/>
      <w:autoSpaceDN w:val="0"/>
      <w:adjustRightInd w:val="0"/>
      <w:spacing w:line="256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12">
    <w:name w:val="CM12"/>
    <w:basedOn w:val="Normal"/>
    <w:next w:val="Normal"/>
    <w:rsid w:val="004B0434"/>
    <w:pPr>
      <w:widowControl w:val="0"/>
      <w:tabs>
        <w:tab w:val="clear" w:pos="284"/>
      </w:tabs>
      <w:autoSpaceDE w:val="0"/>
      <w:autoSpaceDN w:val="0"/>
      <w:adjustRightInd w:val="0"/>
      <w:spacing w:line="231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character" w:customStyle="1" w:styleId="HeaderChar">
    <w:name w:val="Header Char"/>
    <w:aliases w:val=" Char Char"/>
    <w:link w:val="Header"/>
    <w:uiPriority w:val="99"/>
    <w:rsid w:val="00594B83"/>
    <w:rPr>
      <w:rFonts w:ascii="Humanist777" w:hAnsi="Humanist777"/>
      <w:noProof/>
      <w:sz w:val="24"/>
      <w:szCs w:val="24"/>
      <w:lang w:val="sr-Latn-CS"/>
    </w:rPr>
  </w:style>
  <w:style w:type="character" w:customStyle="1" w:styleId="FooterChar">
    <w:name w:val="Footer Char"/>
    <w:link w:val="Footer"/>
    <w:uiPriority w:val="99"/>
    <w:rsid w:val="00871588"/>
    <w:rPr>
      <w:rFonts w:ascii="Humanist777" w:hAnsi="Humanist777"/>
      <w:noProof/>
      <w:sz w:val="24"/>
      <w:szCs w:val="24"/>
      <w:lang w:val="sr-Latn-CS"/>
    </w:rPr>
  </w:style>
  <w:style w:type="paragraph" w:styleId="Revision">
    <w:name w:val="Revision"/>
    <w:hidden/>
    <w:uiPriority w:val="99"/>
    <w:semiHidden/>
    <w:rsid w:val="00CD7D6D"/>
    <w:rPr>
      <w:rFonts w:ascii="Humanist777" w:hAnsi="Humanist777"/>
      <w:noProof/>
      <w:sz w:val="24"/>
      <w:szCs w:val="24"/>
      <w:lang w:val="sr-Latn-CS" w:eastAsia="en-US"/>
    </w:rPr>
  </w:style>
  <w:style w:type="character" w:styleId="Hyperlink">
    <w:name w:val="Hyperlink"/>
    <w:rsid w:val="004550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noProof/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(W1)" w:hAnsi="Arial (W1)" w:cs="Arial"/>
      <w:b/>
      <w:bCs/>
      <w:i/>
      <w:iCs/>
      <w:noProof w:val="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E97D74"/>
    <w:rPr>
      <w:rFonts w:ascii="Arial (W1)" w:hAnsi="Arial (W1)" w:cs="Arial"/>
      <w:b/>
      <w:bCs/>
      <w:i/>
      <w:iCs/>
      <w:sz w:val="32"/>
      <w:szCs w:val="24"/>
      <w:u w:val="single"/>
      <w:lang w:val="sr-Latn-CS" w:eastAsia="en-US" w:bidi="ar-SA"/>
    </w:rPr>
  </w:style>
  <w:style w:type="paragraph" w:styleId="EndnoteText">
    <w:name w:val="endnote text"/>
    <w:basedOn w:val="Normal"/>
    <w:link w:val="EndnoteTextChar"/>
    <w:semiHidden/>
    <w:rsid w:val="00E97D74"/>
    <w:pPr>
      <w:tabs>
        <w:tab w:val="clear" w:pos="284"/>
        <w:tab w:val="left" w:pos="567"/>
      </w:tabs>
      <w:jc w:val="left"/>
    </w:pPr>
    <w:rPr>
      <w:rFonts w:ascii="Courier" w:hAnsi="Courier" w:cs="Courier"/>
      <w:noProof w:val="0"/>
      <w:sz w:val="22"/>
      <w:szCs w:val="22"/>
      <w:lang w:val="en-GB" w:bidi="gu-IN"/>
    </w:rPr>
  </w:style>
  <w:style w:type="character" w:customStyle="1" w:styleId="EndnoteTextChar">
    <w:name w:val="Endnote Text Char"/>
    <w:link w:val="EndnoteText"/>
    <w:semiHidden/>
    <w:locked/>
    <w:rsid w:val="00E97D74"/>
    <w:rPr>
      <w:rFonts w:ascii="Courier" w:hAnsi="Courier" w:cs="Courier"/>
      <w:sz w:val="22"/>
      <w:szCs w:val="22"/>
      <w:lang w:val="en-GB" w:eastAsia="en-US" w:bidi="gu-IN"/>
    </w:rPr>
  </w:style>
  <w:style w:type="paragraph" w:styleId="BodyText2">
    <w:name w:val="Body Text 2"/>
    <w:basedOn w:val="Normal"/>
    <w:link w:val="BodyText2Char"/>
    <w:rsid w:val="00E97D74"/>
    <w:pPr>
      <w:tabs>
        <w:tab w:val="clear" w:pos="284"/>
      </w:tabs>
      <w:spacing w:after="120" w:line="480" w:lineRule="auto"/>
      <w:jc w:val="left"/>
    </w:pPr>
    <w:rPr>
      <w:rFonts w:ascii="Times New Roman" w:hAnsi="Times New Roman" w:cs="Shruti"/>
      <w:noProof w:val="0"/>
      <w:lang w:val="en-GB" w:bidi="gu-IN"/>
    </w:rPr>
  </w:style>
  <w:style w:type="character" w:customStyle="1" w:styleId="BodyText2Char">
    <w:name w:val="Body Text 2 Char"/>
    <w:link w:val="BodyText2"/>
    <w:semiHidden/>
    <w:locked/>
    <w:rsid w:val="00E97D74"/>
    <w:rPr>
      <w:rFonts w:cs="Shruti"/>
      <w:sz w:val="24"/>
      <w:szCs w:val="24"/>
      <w:lang w:val="en-GB" w:eastAsia="en-US" w:bidi="gu-IN"/>
    </w:rPr>
  </w:style>
  <w:style w:type="paragraph" w:customStyle="1" w:styleId="Default">
    <w:name w:val="Default"/>
    <w:rsid w:val="00CB5014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paragraph" w:customStyle="1" w:styleId="CM27">
    <w:name w:val="CM27"/>
    <w:basedOn w:val="Default"/>
    <w:next w:val="Default"/>
    <w:rsid w:val="00A45C13"/>
    <w:pPr>
      <w:widowControl w:val="0"/>
    </w:pPr>
    <w:rPr>
      <w:color w:val="auto"/>
    </w:rPr>
  </w:style>
  <w:style w:type="paragraph" w:customStyle="1" w:styleId="CM29">
    <w:name w:val="CM29"/>
    <w:basedOn w:val="Default"/>
    <w:next w:val="Default"/>
    <w:rsid w:val="00880048"/>
    <w:pPr>
      <w:widowControl w:val="0"/>
    </w:pPr>
    <w:rPr>
      <w:color w:val="auto"/>
    </w:rPr>
  </w:style>
  <w:style w:type="paragraph" w:customStyle="1" w:styleId="CM1">
    <w:name w:val="CM1"/>
    <w:basedOn w:val="Normal"/>
    <w:next w:val="Normal"/>
    <w:rsid w:val="00880048"/>
    <w:pPr>
      <w:widowControl w:val="0"/>
      <w:tabs>
        <w:tab w:val="clear" w:pos="284"/>
      </w:tabs>
      <w:autoSpaceDE w:val="0"/>
      <w:autoSpaceDN w:val="0"/>
      <w:adjustRightInd w:val="0"/>
      <w:spacing w:line="253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28">
    <w:name w:val="CM28"/>
    <w:basedOn w:val="Normal"/>
    <w:next w:val="Normal"/>
    <w:rsid w:val="00147033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30">
    <w:name w:val="CM30"/>
    <w:basedOn w:val="Normal"/>
    <w:next w:val="Normal"/>
    <w:rsid w:val="00ED46C9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33">
    <w:name w:val="CM33"/>
    <w:basedOn w:val="Normal"/>
    <w:next w:val="Normal"/>
    <w:rsid w:val="00C22D59"/>
    <w:pPr>
      <w:widowControl w:val="0"/>
      <w:tabs>
        <w:tab w:val="clear" w:pos="284"/>
      </w:tabs>
      <w:autoSpaceDE w:val="0"/>
      <w:autoSpaceDN w:val="0"/>
      <w:adjustRightInd w:val="0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20">
    <w:name w:val="CM20"/>
    <w:basedOn w:val="Normal"/>
    <w:next w:val="Normal"/>
    <w:rsid w:val="00454590"/>
    <w:pPr>
      <w:widowControl w:val="0"/>
      <w:tabs>
        <w:tab w:val="clear" w:pos="284"/>
      </w:tabs>
      <w:autoSpaceDE w:val="0"/>
      <w:autoSpaceDN w:val="0"/>
      <w:adjustRightInd w:val="0"/>
      <w:spacing w:line="256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paragraph" w:customStyle="1" w:styleId="CM12">
    <w:name w:val="CM12"/>
    <w:basedOn w:val="Normal"/>
    <w:next w:val="Normal"/>
    <w:rsid w:val="004B0434"/>
    <w:pPr>
      <w:widowControl w:val="0"/>
      <w:tabs>
        <w:tab w:val="clear" w:pos="284"/>
      </w:tabs>
      <w:autoSpaceDE w:val="0"/>
      <w:autoSpaceDN w:val="0"/>
      <w:adjustRightInd w:val="0"/>
      <w:spacing w:line="231" w:lineRule="atLeast"/>
      <w:jc w:val="left"/>
    </w:pPr>
    <w:rPr>
      <w:rFonts w:ascii="Times New Roman" w:eastAsia="MS Mincho" w:hAnsi="Times New Roman"/>
      <w:noProof w:val="0"/>
      <w:lang w:val="en-US" w:eastAsia="ja-JP"/>
    </w:rPr>
  </w:style>
  <w:style w:type="character" w:customStyle="1" w:styleId="HeaderChar">
    <w:name w:val="Header Char"/>
    <w:aliases w:val=" Char Char"/>
    <w:link w:val="Header"/>
    <w:uiPriority w:val="99"/>
    <w:rsid w:val="00594B83"/>
    <w:rPr>
      <w:rFonts w:ascii="Humanist777" w:hAnsi="Humanist777"/>
      <w:noProof/>
      <w:sz w:val="24"/>
      <w:szCs w:val="24"/>
      <w:lang w:val="sr-Latn-CS"/>
    </w:rPr>
  </w:style>
  <w:style w:type="character" w:customStyle="1" w:styleId="FooterChar">
    <w:name w:val="Footer Char"/>
    <w:link w:val="Footer"/>
    <w:uiPriority w:val="99"/>
    <w:rsid w:val="00871588"/>
    <w:rPr>
      <w:rFonts w:ascii="Humanist777" w:hAnsi="Humanist777"/>
      <w:noProof/>
      <w:sz w:val="24"/>
      <w:szCs w:val="24"/>
      <w:lang w:val="sr-Latn-CS"/>
    </w:rPr>
  </w:style>
  <w:style w:type="paragraph" w:styleId="Revision">
    <w:name w:val="Revision"/>
    <w:hidden/>
    <w:uiPriority w:val="99"/>
    <w:semiHidden/>
    <w:rsid w:val="00CD7D6D"/>
    <w:rPr>
      <w:rFonts w:ascii="Humanist777" w:hAnsi="Humanist777"/>
      <w:noProof/>
      <w:sz w:val="24"/>
      <w:szCs w:val="24"/>
      <w:lang w:val="sr-Latn-CS" w:eastAsia="en-US"/>
    </w:rPr>
  </w:style>
  <w:style w:type="character" w:styleId="Hyperlink">
    <w:name w:val="Hyperlink"/>
    <w:rsid w:val="00455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zeljenadejstva@calims.m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1F48-58C8-42EB-8BEA-D25E8A04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37</Pages>
  <Words>16348</Words>
  <Characters>93185</Characters>
  <Application>Microsoft Office Word</Application>
  <DocSecurity>0</DocSecurity>
  <Lines>776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Merck</Company>
  <LinksUpToDate>false</LinksUpToDate>
  <CharactersWithSpaces>109315</CharactersWithSpaces>
  <SharedDoc>false</SharedDoc>
  <HLinks>
    <vt:vector size="6" baseType="variant"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Bankovic</cp:lastModifiedBy>
  <cp:revision>7</cp:revision>
  <cp:lastPrinted>2014-01-23T10:43:00Z</cp:lastPrinted>
  <dcterms:created xsi:type="dcterms:W3CDTF">2014-03-03T09:55:00Z</dcterms:created>
  <dcterms:modified xsi:type="dcterms:W3CDTF">2014-03-04T07:42:00Z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-1525251704</vt:i4>
  </property>
  <property fmtid="{D5CDD505-2E9C-101B-9397-08002B2CF9AE}" pid="3" name="_NewReviewCycle">
    <vt:lpwstr/>
  </property>
  <property fmtid="{D5CDD505-2E9C-101B-9397-08002B2CF9AE}" pid="4" name="_EmailSubject">
    <vt:lpwstr>Rebetol - SPC i PIL</vt:lpwstr>
  </property>
  <property fmtid="{D5CDD505-2E9C-101B-9397-08002B2CF9AE}" pid="5" name="_AuthorEmail">
    <vt:lpwstr>nikola.dunjic@merck.com</vt:lpwstr>
  </property>
  <property fmtid="{D5CDD505-2E9C-101B-9397-08002B2CF9AE}" pid="6" name="_AuthorEmailDisplayName">
    <vt:lpwstr>Dunjic, Nikola</vt:lpwstr>
  </property>
  <property fmtid="{D5CDD505-2E9C-101B-9397-08002B2CF9AE}" pid="7" name="_ReviewingToolsShownOnce">
    <vt:lpwstr/>
  </property>
</Properties>
</file>