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7C21C2" w14:textId="77777777" w:rsidR="00DD2A82" w:rsidRPr="008A307B" w:rsidRDefault="00DD2A82" w:rsidP="00923865">
      <w:pPr>
        <w:rPr>
          <w:szCs w:val="22"/>
          <w:lang w:val="sr-Latn-RS"/>
        </w:rPr>
      </w:pPr>
    </w:p>
    <w:p w14:paraId="2F27F8E7" w14:textId="262A0EDB" w:rsidR="00CE09F3" w:rsidRPr="008A307B" w:rsidRDefault="00CE09F3" w:rsidP="00923865">
      <w:pPr>
        <w:jc w:val="center"/>
        <w:rPr>
          <w:b/>
          <w:bCs/>
          <w:iCs/>
          <w:szCs w:val="22"/>
          <w:u w:val="single"/>
          <w:lang w:val="sr-Latn-RS"/>
        </w:rPr>
      </w:pPr>
      <w:r w:rsidRPr="008A307B">
        <w:rPr>
          <w:b/>
          <w:bCs/>
          <w:iCs/>
          <w:szCs w:val="22"/>
          <w:u w:val="single"/>
          <w:lang w:val="sr-Latn-RS"/>
        </w:rPr>
        <w:t>SAŽETAK KARAKTERISTIKA L</w:t>
      </w:r>
      <w:r w:rsidR="009A6AA5" w:rsidRPr="008A307B">
        <w:rPr>
          <w:b/>
          <w:bCs/>
          <w:iCs/>
          <w:szCs w:val="22"/>
          <w:u w:val="single"/>
          <w:lang w:val="sr-Latn-RS"/>
        </w:rPr>
        <w:t>IJ</w:t>
      </w:r>
      <w:r w:rsidRPr="008A307B">
        <w:rPr>
          <w:b/>
          <w:bCs/>
          <w:iCs/>
          <w:szCs w:val="22"/>
          <w:u w:val="single"/>
          <w:lang w:val="sr-Latn-RS"/>
        </w:rPr>
        <w:t>EKA</w:t>
      </w:r>
    </w:p>
    <w:p w14:paraId="2B847F33" w14:textId="77777777" w:rsidR="00383195" w:rsidRPr="008A307B" w:rsidRDefault="003E3EC7" w:rsidP="00923865">
      <w:pPr>
        <w:rPr>
          <w:szCs w:val="22"/>
          <w:lang w:val="sr-Latn-RS"/>
        </w:rPr>
      </w:pPr>
      <w:r w:rsidRPr="008A307B">
        <w:rPr>
          <w:szCs w:val="22"/>
          <w:lang w:val="sr-Latn-RS"/>
        </w:rPr>
        <w:t xml:space="preserve"> </w:t>
      </w:r>
    </w:p>
    <w:p w14:paraId="151093BB" w14:textId="77777777" w:rsidR="00E50CD3" w:rsidRPr="008A307B" w:rsidRDefault="00E50CD3" w:rsidP="00923865">
      <w:pPr>
        <w:rPr>
          <w:b/>
          <w:bCs/>
          <w:szCs w:val="22"/>
          <w:lang w:val="sr-Latn-RS"/>
        </w:rPr>
      </w:pPr>
    </w:p>
    <w:p w14:paraId="38003C5C" w14:textId="77777777" w:rsidR="00CE09F3" w:rsidRPr="008A307B" w:rsidRDefault="00CE09F3" w:rsidP="00923865">
      <w:pPr>
        <w:rPr>
          <w:b/>
          <w:bCs/>
          <w:szCs w:val="22"/>
          <w:lang w:val="sr-Latn-RS"/>
        </w:rPr>
      </w:pPr>
    </w:p>
    <w:p w14:paraId="7C185D93" w14:textId="48B60242" w:rsidR="00CE09F3" w:rsidRPr="008A307B" w:rsidRDefault="00CE09F3" w:rsidP="00923865">
      <w:pPr>
        <w:pStyle w:val="NASLOV123"/>
        <w:rPr>
          <w:lang w:val="sr-Latn-RS"/>
        </w:rPr>
      </w:pPr>
      <w:r w:rsidRPr="008A307B">
        <w:rPr>
          <w:lang w:val="sr-Latn-RS"/>
        </w:rPr>
        <w:t xml:space="preserve">1. </w:t>
      </w:r>
      <w:r w:rsidR="00737064" w:rsidRPr="008A307B">
        <w:rPr>
          <w:lang w:val="sr-Latn-RS"/>
        </w:rPr>
        <w:t>NAZIV</w:t>
      </w:r>
      <w:r w:rsidRPr="008A307B">
        <w:rPr>
          <w:lang w:val="sr-Latn-RS"/>
        </w:rPr>
        <w:t xml:space="preserve"> L</w:t>
      </w:r>
      <w:r w:rsidR="009A6AA5" w:rsidRPr="008A307B">
        <w:rPr>
          <w:lang w:val="sr-Latn-RS"/>
        </w:rPr>
        <w:t>IJ</w:t>
      </w:r>
      <w:r w:rsidRPr="008A307B">
        <w:rPr>
          <w:lang w:val="sr-Latn-RS"/>
        </w:rPr>
        <w:t>EKA</w:t>
      </w:r>
    </w:p>
    <w:p w14:paraId="4DCACD88" w14:textId="1294129C" w:rsidR="00CC15F1" w:rsidRPr="008A307B" w:rsidRDefault="00CC15F1" w:rsidP="00CC15F1">
      <w:pPr>
        <w:rPr>
          <w:szCs w:val="22"/>
          <w:lang w:val="sr-Latn-RS"/>
        </w:rPr>
      </w:pPr>
      <w:r w:rsidRPr="008A307B">
        <w:rPr>
          <w:szCs w:val="22"/>
          <w:lang w:val="sr-Latn-RS"/>
        </w:rPr>
        <w:t xml:space="preserve">Febricet, 500 mg, </w:t>
      </w:r>
      <w:r w:rsidR="003F532D" w:rsidRPr="008A307B">
        <w:rPr>
          <w:szCs w:val="22"/>
          <w:lang w:val="sr-Latn-RS"/>
        </w:rPr>
        <w:t>tablet</w:t>
      </w:r>
      <w:r w:rsidR="00712AE8" w:rsidRPr="008A307B">
        <w:rPr>
          <w:szCs w:val="22"/>
          <w:lang w:val="sr-Latn-RS"/>
        </w:rPr>
        <w:t>a</w:t>
      </w:r>
    </w:p>
    <w:p w14:paraId="783BC16E" w14:textId="77777777" w:rsidR="00CE09F3" w:rsidRPr="008A307B" w:rsidRDefault="00CE09F3" w:rsidP="00923865">
      <w:pPr>
        <w:rPr>
          <w:szCs w:val="22"/>
          <w:lang w:val="sr-Latn-RS"/>
        </w:rPr>
      </w:pPr>
      <w:r w:rsidRPr="008A307B">
        <w:rPr>
          <w:szCs w:val="22"/>
          <w:lang w:val="sr-Latn-RS"/>
        </w:rPr>
        <w:t>INN:</w:t>
      </w:r>
      <w:r w:rsidR="00CC15F1" w:rsidRPr="008A307B">
        <w:rPr>
          <w:szCs w:val="22"/>
          <w:lang w:val="sr-Latn-RS"/>
        </w:rPr>
        <w:t xml:space="preserve"> paracetamol</w:t>
      </w:r>
    </w:p>
    <w:p w14:paraId="27788FCD" w14:textId="77777777" w:rsidR="00CE09F3" w:rsidRPr="008A307B" w:rsidRDefault="00CE09F3" w:rsidP="00923865">
      <w:pPr>
        <w:rPr>
          <w:b/>
          <w:bCs/>
          <w:szCs w:val="22"/>
          <w:lang w:val="sr-Latn-RS"/>
        </w:rPr>
      </w:pPr>
    </w:p>
    <w:p w14:paraId="5731623F" w14:textId="77777777" w:rsidR="001B4E89" w:rsidRPr="008A307B" w:rsidRDefault="00CE09F3" w:rsidP="00CC15F1">
      <w:pPr>
        <w:pStyle w:val="NASLOV123"/>
        <w:rPr>
          <w:lang w:val="sr-Latn-RS"/>
        </w:rPr>
      </w:pPr>
      <w:r w:rsidRPr="008A307B">
        <w:rPr>
          <w:lang w:val="sr-Latn-RS"/>
        </w:rPr>
        <w:t>2. KVALITATIVNI I KVANTITATIVNI SASTAV</w:t>
      </w:r>
    </w:p>
    <w:p w14:paraId="4918B3DB" w14:textId="5F34A93C" w:rsidR="00CC15F1" w:rsidRPr="008A307B" w:rsidRDefault="00CC15F1" w:rsidP="00CC15F1">
      <w:pPr>
        <w:rPr>
          <w:szCs w:val="22"/>
          <w:lang w:val="sr-Latn-RS"/>
        </w:rPr>
      </w:pPr>
      <w:r w:rsidRPr="008A307B">
        <w:rPr>
          <w:szCs w:val="22"/>
          <w:lang w:val="sr-Latn-RS"/>
        </w:rPr>
        <w:t>1 tableta sadrži</w:t>
      </w:r>
      <w:r w:rsidR="00854A40" w:rsidRPr="008A307B">
        <w:rPr>
          <w:szCs w:val="22"/>
          <w:lang w:val="sr-Latn-RS"/>
        </w:rPr>
        <w:t xml:space="preserve"> 500 mg </w:t>
      </w:r>
      <w:r w:rsidRPr="008A307B">
        <w:rPr>
          <w:szCs w:val="22"/>
          <w:lang w:val="sr-Latn-RS"/>
        </w:rPr>
        <w:t>paracetamol</w:t>
      </w:r>
      <w:r w:rsidR="00854A40" w:rsidRPr="008A307B">
        <w:rPr>
          <w:szCs w:val="22"/>
          <w:lang w:val="sr-Latn-RS"/>
        </w:rPr>
        <w:t>a.</w:t>
      </w:r>
    </w:p>
    <w:p w14:paraId="53B8B744" w14:textId="77777777" w:rsidR="00CC15F1" w:rsidRPr="008A307B" w:rsidRDefault="00CC15F1" w:rsidP="00CC15F1">
      <w:pPr>
        <w:rPr>
          <w:szCs w:val="22"/>
          <w:lang w:val="sr-Latn-RS"/>
        </w:rPr>
      </w:pPr>
    </w:p>
    <w:p w14:paraId="243756BF" w14:textId="6FEDD57E" w:rsidR="00AD4C34" w:rsidRPr="008A307B" w:rsidRDefault="00AD4C34" w:rsidP="001B4E89">
      <w:pPr>
        <w:rPr>
          <w:szCs w:val="22"/>
          <w:lang w:val="sr-Latn-RS"/>
        </w:rPr>
      </w:pPr>
      <w:r w:rsidRPr="008A307B">
        <w:rPr>
          <w:szCs w:val="22"/>
          <w:lang w:val="sr-Latn-RS"/>
        </w:rPr>
        <w:t>Pomoćna supstanca sa potvrđenim dejstvom: ulje ricinusa.</w:t>
      </w:r>
    </w:p>
    <w:p w14:paraId="12243EDC" w14:textId="77777777" w:rsidR="00AD4C34" w:rsidRPr="008A307B" w:rsidRDefault="00AD4C34" w:rsidP="001B4E89">
      <w:pPr>
        <w:rPr>
          <w:szCs w:val="22"/>
          <w:lang w:val="sr-Latn-RS"/>
        </w:rPr>
      </w:pPr>
    </w:p>
    <w:p w14:paraId="328E7EA6" w14:textId="77777777" w:rsidR="00377FBD" w:rsidRPr="008A307B" w:rsidRDefault="00377FBD" w:rsidP="00377FBD">
      <w:pPr>
        <w:rPr>
          <w:szCs w:val="22"/>
          <w:lang w:val="sr-Latn-RS"/>
        </w:rPr>
      </w:pPr>
      <w:r w:rsidRPr="008A307B">
        <w:rPr>
          <w:szCs w:val="22"/>
          <w:lang w:val="sr-Latn-RS"/>
        </w:rPr>
        <w:t>Za spisak svih ekscipijenasa, pogledati dio 6.1.</w:t>
      </w:r>
    </w:p>
    <w:p w14:paraId="0588CFDB" w14:textId="77777777" w:rsidR="00222F82" w:rsidRPr="008A307B" w:rsidRDefault="00222F82" w:rsidP="00923865">
      <w:pPr>
        <w:rPr>
          <w:szCs w:val="22"/>
          <w:lang w:val="sr-Latn-RS"/>
        </w:rPr>
      </w:pPr>
    </w:p>
    <w:p w14:paraId="6C9AC4EB" w14:textId="77777777" w:rsidR="00CE09F3" w:rsidRPr="008A307B" w:rsidRDefault="00CE09F3" w:rsidP="00923865">
      <w:pPr>
        <w:pStyle w:val="NASLOV123"/>
        <w:rPr>
          <w:lang w:val="sr-Latn-RS"/>
        </w:rPr>
      </w:pPr>
      <w:r w:rsidRPr="008A307B">
        <w:rPr>
          <w:lang w:val="sr-Latn-RS"/>
        </w:rPr>
        <w:t>3. FARMACEUTSKI OBLIK</w:t>
      </w:r>
    </w:p>
    <w:p w14:paraId="1A9DBD3E" w14:textId="1CCB9F58" w:rsidR="00CB39B6" w:rsidRPr="008A307B" w:rsidRDefault="00CB39B6" w:rsidP="00CC15F1">
      <w:pPr>
        <w:rPr>
          <w:szCs w:val="22"/>
          <w:lang w:val="sr-Latn-RS"/>
        </w:rPr>
      </w:pPr>
      <w:r w:rsidRPr="008A307B">
        <w:rPr>
          <w:szCs w:val="22"/>
          <w:lang w:val="sr-Latn-RS"/>
        </w:rPr>
        <w:t>Tableta.</w:t>
      </w:r>
    </w:p>
    <w:p w14:paraId="08816CB3" w14:textId="6F4DE6D7" w:rsidR="00CC15F1" w:rsidRPr="008A307B" w:rsidRDefault="00CC15F1" w:rsidP="00CC15F1">
      <w:pPr>
        <w:rPr>
          <w:szCs w:val="22"/>
          <w:lang w:val="sr-Latn-RS"/>
        </w:rPr>
      </w:pPr>
      <w:r w:rsidRPr="008A307B">
        <w:rPr>
          <w:szCs w:val="22"/>
          <w:lang w:val="sr-Latn-RS"/>
        </w:rPr>
        <w:t>B</w:t>
      </w:r>
      <w:r w:rsidR="007D1357" w:rsidRPr="008A307B">
        <w:rPr>
          <w:szCs w:val="22"/>
          <w:lang w:val="sr-Latn-RS"/>
        </w:rPr>
        <w:t>ij</w:t>
      </w:r>
      <w:r w:rsidRPr="008A307B">
        <w:rPr>
          <w:szCs w:val="22"/>
          <w:lang w:val="sr-Latn-RS"/>
        </w:rPr>
        <w:t>ele, okrugle tablete.</w:t>
      </w:r>
    </w:p>
    <w:p w14:paraId="57E6AE2C" w14:textId="77777777" w:rsidR="00854A40" w:rsidRPr="008A307B" w:rsidRDefault="00854A40" w:rsidP="00CC15F1">
      <w:pPr>
        <w:rPr>
          <w:szCs w:val="22"/>
          <w:lang w:val="sr-Latn-RS"/>
        </w:rPr>
      </w:pPr>
    </w:p>
    <w:p w14:paraId="6833D648" w14:textId="77777777" w:rsidR="00CE09F3" w:rsidRPr="008A307B" w:rsidRDefault="00CE09F3" w:rsidP="00582E5D">
      <w:pPr>
        <w:pStyle w:val="NASLOV123"/>
        <w:jc w:val="both"/>
        <w:rPr>
          <w:lang w:val="sr-Latn-RS"/>
        </w:rPr>
      </w:pPr>
      <w:r w:rsidRPr="008A307B">
        <w:rPr>
          <w:lang w:val="sr-Latn-RS"/>
        </w:rPr>
        <w:t>4. KLINIČKI PODACI</w:t>
      </w:r>
    </w:p>
    <w:p w14:paraId="27B07E65" w14:textId="77777777" w:rsidR="00CE09F3" w:rsidRPr="008A307B" w:rsidRDefault="00CE09F3" w:rsidP="007E05CC">
      <w:pPr>
        <w:rPr>
          <w:b/>
          <w:bCs/>
          <w:szCs w:val="22"/>
          <w:lang w:val="sr-Latn-RS"/>
        </w:rPr>
      </w:pPr>
      <w:r w:rsidRPr="008A307B">
        <w:rPr>
          <w:b/>
          <w:bCs/>
          <w:szCs w:val="22"/>
          <w:lang w:val="sr-Latn-RS"/>
        </w:rPr>
        <w:t>4.1. Terapijske indikacije</w:t>
      </w:r>
    </w:p>
    <w:p w14:paraId="38EDB44B" w14:textId="77777777" w:rsidR="00CE09F3" w:rsidRPr="008A307B" w:rsidRDefault="00CE09F3" w:rsidP="007E05CC">
      <w:pPr>
        <w:rPr>
          <w:szCs w:val="22"/>
          <w:lang w:val="sr-Latn-RS"/>
        </w:rPr>
      </w:pPr>
    </w:p>
    <w:p w14:paraId="122A85A7" w14:textId="024D5045" w:rsidR="00376542" w:rsidRPr="008A307B" w:rsidRDefault="0023552A" w:rsidP="007E05CC">
      <w:pPr>
        <w:rPr>
          <w:szCs w:val="22"/>
          <w:lang w:val="sr-Latn-RS"/>
        </w:rPr>
      </w:pPr>
      <w:r w:rsidRPr="008A307B">
        <w:rPr>
          <w:szCs w:val="22"/>
          <w:lang w:val="sr-Latn-RS"/>
        </w:rPr>
        <w:t>Lijek</w:t>
      </w:r>
      <w:r w:rsidR="00376542" w:rsidRPr="008A307B">
        <w:rPr>
          <w:szCs w:val="22"/>
          <w:lang w:val="sr-Latn-RS"/>
        </w:rPr>
        <w:t xml:space="preserve"> Febricet se koristi u terapiji blagog do um</w:t>
      </w:r>
      <w:r w:rsidR="00B547E7" w:rsidRPr="008A307B">
        <w:rPr>
          <w:szCs w:val="22"/>
          <w:lang w:val="sr-Latn-RS"/>
        </w:rPr>
        <w:t>j</w:t>
      </w:r>
      <w:r w:rsidR="00376542" w:rsidRPr="008A307B">
        <w:rPr>
          <w:szCs w:val="22"/>
          <w:lang w:val="sr-Latn-RS"/>
        </w:rPr>
        <w:t xml:space="preserve">erenog bola poput glavobolje, migrene, neuralgije, zubobolje, </w:t>
      </w:r>
      <w:r w:rsidR="007E05CC" w:rsidRPr="008A307B">
        <w:rPr>
          <w:szCs w:val="22"/>
          <w:lang w:val="sr-Latn-RS"/>
        </w:rPr>
        <w:t>upale</w:t>
      </w:r>
      <w:r w:rsidR="00376542" w:rsidRPr="008A307B">
        <w:rPr>
          <w:szCs w:val="22"/>
          <w:lang w:val="sr-Latn-RS"/>
        </w:rPr>
        <w:t xml:space="preserve"> grla, kod menstrualnih bolova, za simptomatsko olakšanje kod istegnuća, uganuća i reumatskog bola i kod gripa, groznice i prehlade praćene povišenom</w:t>
      </w:r>
      <w:r w:rsidR="00C3312F" w:rsidRPr="008A307B">
        <w:rPr>
          <w:szCs w:val="22"/>
          <w:lang w:val="sr-Latn-RS"/>
        </w:rPr>
        <w:t xml:space="preserve"> t</w:t>
      </w:r>
      <w:r w:rsidR="00B547E7" w:rsidRPr="008A307B">
        <w:rPr>
          <w:szCs w:val="22"/>
          <w:lang w:val="sr-Latn-RS"/>
        </w:rPr>
        <w:t>je</w:t>
      </w:r>
      <w:r w:rsidR="00C3312F" w:rsidRPr="008A307B">
        <w:rPr>
          <w:szCs w:val="22"/>
          <w:lang w:val="sr-Latn-RS"/>
        </w:rPr>
        <w:t>lesnom</w:t>
      </w:r>
      <w:r w:rsidR="00376542" w:rsidRPr="008A307B">
        <w:rPr>
          <w:szCs w:val="22"/>
          <w:lang w:val="sr-Latn-RS"/>
        </w:rPr>
        <w:t xml:space="preserve"> temperaturom.</w:t>
      </w:r>
    </w:p>
    <w:p w14:paraId="04561A6F" w14:textId="77777777" w:rsidR="00E10E64" w:rsidRPr="008A307B" w:rsidRDefault="00E10E64" w:rsidP="00507B1A">
      <w:pPr>
        <w:rPr>
          <w:szCs w:val="22"/>
          <w:lang w:val="sr-Latn-RS"/>
        </w:rPr>
      </w:pPr>
    </w:p>
    <w:p w14:paraId="7640C1BA" w14:textId="433B0F17" w:rsidR="00CE09F3" w:rsidRPr="008A307B" w:rsidRDefault="00CE09F3" w:rsidP="00507B1A">
      <w:pPr>
        <w:rPr>
          <w:b/>
          <w:bCs/>
          <w:szCs w:val="22"/>
          <w:lang w:val="sr-Latn-RS"/>
        </w:rPr>
      </w:pPr>
      <w:r w:rsidRPr="008A307B">
        <w:rPr>
          <w:b/>
          <w:bCs/>
          <w:szCs w:val="22"/>
          <w:lang w:val="sr-Latn-RS"/>
        </w:rPr>
        <w:t>4.2. Doziranje i način prim</w:t>
      </w:r>
      <w:r w:rsidR="00377FBD" w:rsidRPr="008A307B">
        <w:rPr>
          <w:b/>
          <w:bCs/>
          <w:szCs w:val="22"/>
          <w:lang w:val="sr-Latn-RS"/>
        </w:rPr>
        <w:t>j</w:t>
      </w:r>
      <w:r w:rsidRPr="008A307B">
        <w:rPr>
          <w:b/>
          <w:bCs/>
          <w:szCs w:val="22"/>
          <w:lang w:val="sr-Latn-RS"/>
        </w:rPr>
        <w:t>ene</w:t>
      </w:r>
    </w:p>
    <w:p w14:paraId="2D54FF9F" w14:textId="77777777" w:rsidR="00CE09F3" w:rsidRPr="008A307B" w:rsidRDefault="00CE09F3">
      <w:pPr>
        <w:rPr>
          <w:szCs w:val="22"/>
          <w:lang w:val="sr-Latn-RS"/>
        </w:rPr>
      </w:pPr>
    </w:p>
    <w:p w14:paraId="70B8B6E3" w14:textId="55A50830" w:rsidR="007E05CC" w:rsidRPr="008A307B" w:rsidRDefault="007E05CC">
      <w:pPr>
        <w:autoSpaceDE w:val="0"/>
        <w:autoSpaceDN w:val="0"/>
        <w:adjustRightInd w:val="0"/>
        <w:rPr>
          <w:szCs w:val="22"/>
          <w:u w:val="single"/>
          <w:lang w:val="sr-Latn-RS"/>
        </w:rPr>
      </w:pPr>
      <w:r w:rsidRPr="008A307B">
        <w:rPr>
          <w:szCs w:val="22"/>
          <w:u w:val="single"/>
          <w:lang w:val="sr-Latn-RS"/>
        </w:rPr>
        <w:t>Doziranje</w:t>
      </w:r>
    </w:p>
    <w:p w14:paraId="3737F7B3" w14:textId="77777777" w:rsidR="007E05CC" w:rsidRPr="008A307B" w:rsidRDefault="007E05CC">
      <w:pPr>
        <w:autoSpaceDE w:val="0"/>
        <w:autoSpaceDN w:val="0"/>
        <w:adjustRightInd w:val="0"/>
        <w:rPr>
          <w:szCs w:val="22"/>
          <w:u w:val="single"/>
          <w:lang w:val="sr-Latn-RS"/>
        </w:rPr>
      </w:pPr>
    </w:p>
    <w:p w14:paraId="291D2D11" w14:textId="1F52AF26" w:rsidR="00343F64" w:rsidRPr="008A307B" w:rsidRDefault="00143E14" w:rsidP="00D128FC">
      <w:pPr>
        <w:autoSpaceDE w:val="0"/>
        <w:autoSpaceDN w:val="0"/>
        <w:adjustRightInd w:val="0"/>
        <w:rPr>
          <w:b/>
          <w:i/>
          <w:szCs w:val="22"/>
          <w:lang w:val="sr-Latn-RS"/>
        </w:rPr>
      </w:pPr>
      <w:r w:rsidRPr="008A307B">
        <w:rPr>
          <w:b/>
          <w:i/>
          <w:szCs w:val="22"/>
          <w:lang w:val="sr-Latn-RS"/>
        </w:rPr>
        <w:t xml:space="preserve">Odrasli (uključujući i starije) </w:t>
      </w:r>
      <w:r w:rsidR="00D613A1" w:rsidRPr="008A307B">
        <w:rPr>
          <w:b/>
          <w:i/>
          <w:szCs w:val="22"/>
          <w:lang w:val="sr-Latn-RS"/>
        </w:rPr>
        <w:t xml:space="preserve">i </w:t>
      </w:r>
      <w:r w:rsidR="00B547E7" w:rsidRPr="008A307B">
        <w:rPr>
          <w:b/>
          <w:i/>
          <w:szCs w:val="22"/>
          <w:lang w:val="sr-Latn-RS"/>
        </w:rPr>
        <w:t>djeca</w:t>
      </w:r>
      <w:r w:rsidRPr="008A307B">
        <w:rPr>
          <w:b/>
          <w:i/>
          <w:szCs w:val="22"/>
          <w:lang w:val="sr-Latn-RS"/>
        </w:rPr>
        <w:t xml:space="preserve"> uzrasta </w:t>
      </w:r>
      <w:r w:rsidR="00F5395A" w:rsidRPr="008A307B">
        <w:rPr>
          <w:b/>
          <w:i/>
          <w:szCs w:val="22"/>
          <w:lang w:val="sr-Latn-RS"/>
        </w:rPr>
        <w:t>16</w:t>
      </w:r>
      <w:r w:rsidRPr="008A307B">
        <w:rPr>
          <w:b/>
          <w:i/>
          <w:szCs w:val="22"/>
          <w:lang w:val="sr-Latn-RS"/>
        </w:rPr>
        <w:t xml:space="preserve"> </w:t>
      </w:r>
      <w:r w:rsidR="007E05CC" w:rsidRPr="008A307B">
        <w:rPr>
          <w:b/>
          <w:i/>
          <w:szCs w:val="22"/>
          <w:lang w:val="sr-Latn-RS"/>
        </w:rPr>
        <w:t>i</w:t>
      </w:r>
      <w:r w:rsidR="00507B1A" w:rsidRPr="008A307B">
        <w:rPr>
          <w:b/>
          <w:i/>
          <w:szCs w:val="22"/>
          <w:lang w:val="sr-Latn-RS"/>
        </w:rPr>
        <w:t>li</w:t>
      </w:r>
      <w:r w:rsidR="007E05CC" w:rsidRPr="008A307B">
        <w:rPr>
          <w:b/>
          <w:i/>
          <w:szCs w:val="22"/>
          <w:lang w:val="sr-Latn-RS"/>
        </w:rPr>
        <w:t xml:space="preserve"> više</w:t>
      </w:r>
      <w:r w:rsidR="00507B1A" w:rsidRPr="008A307B">
        <w:rPr>
          <w:b/>
          <w:i/>
          <w:szCs w:val="22"/>
          <w:lang w:val="sr-Latn-RS"/>
        </w:rPr>
        <w:t xml:space="preserve"> godina</w:t>
      </w:r>
    </w:p>
    <w:p w14:paraId="5F569E92" w14:textId="23D2CE48" w:rsidR="00143E14" w:rsidRPr="008A307B" w:rsidRDefault="00C3477F" w:rsidP="00D128FC">
      <w:pPr>
        <w:autoSpaceDE w:val="0"/>
        <w:autoSpaceDN w:val="0"/>
        <w:adjustRightInd w:val="0"/>
        <w:rPr>
          <w:szCs w:val="22"/>
          <w:lang w:val="sr-Latn-RS"/>
        </w:rPr>
      </w:pPr>
      <w:r w:rsidRPr="008A307B">
        <w:rPr>
          <w:szCs w:val="22"/>
          <w:lang w:val="sr-Latn-RS"/>
        </w:rPr>
        <w:t>1</w:t>
      </w:r>
      <w:r w:rsidR="00872401" w:rsidRPr="008A307B">
        <w:rPr>
          <w:szCs w:val="22"/>
          <w:lang w:val="sr-Latn-RS"/>
        </w:rPr>
        <w:t xml:space="preserve"> do </w:t>
      </w:r>
      <w:r w:rsidR="00143E14" w:rsidRPr="008A307B">
        <w:rPr>
          <w:szCs w:val="22"/>
          <w:lang w:val="sr-Latn-RS"/>
        </w:rPr>
        <w:t>2 tablete na svakih 4-</w:t>
      </w:r>
      <w:r w:rsidR="00872401" w:rsidRPr="008A307B">
        <w:rPr>
          <w:szCs w:val="22"/>
          <w:lang w:val="sr-Latn-RS"/>
        </w:rPr>
        <w:t>6</w:t>
      </w:r>
      <w:r w:rsidR="00143E14" w:rsidRPr="008A307B">
        <w:rPr>
          <w:szCs w:val="22"/>
          <w:lang w:val="sr-Latn-RS"/>
        </w:rPr>
        <w:t xml:space="preserve"> sati, do maksimalno 8 tableta dnevno.</w:t>
      </w:r>
    </w:p>
    <w:p w14:paraId="190E3483" w14:textId="77777777" w:rsidR="00F5395A" w:rsidRPr="008A307B" w:rsidRDefault="00F5395A" w:rsidP="00D128FC">
      <w:pPr>
        <w:autoSpaceDE w:val="0"/>
        <w:autoSpaceDN w:val="0"/>
        <w:adjustRightInd w:val="0"/>
        <w:rPr>
          <w:szCs w:val="22"/>
          <w:lang w:val="sr-Latn-RS"/>
        </w:rPr>
      </w:pPr>
    </w:p>
    <w:p w14:paraId="51014787" w14:textId="7EB4D48D" w:rsidR="00F5395A" w:rsidRPr="008A307B" w:rsidRDefault="00D613A1" w:rsidP="007E05CC">
      <w:pPr>
        <w:autoSpaceDE w:val="0"/>
        <w:autoSpaceDN w:val="0"/>
        <w:adjustRightInd w:val="0"/>
        <w:rPr>
          <w:b/>
          <w:i/>
          <w:szCs w:val="22"/>
          <w:lang w:val="sr-Latn-RS"/>
        </w:rPr>
      </w:pPr>
      <w:r w:rsidRPr="008A307B">
        <w:rPr>
          <w:b/>
          <w:i/>
          <w:szCs w:val="22"/>
          <w:lang w:val="sr-Latn-RS"/>
        </w:rPr>
        <w:t>D</w:t>
      </w:r>
      <w:r w:rsidR="009772DB" w:rsidRPr="008A307B">
        <w:rPr>
          <w:b/>
          <w:i/>
          <w:szCs w:val="22"/>
          <w:lang w:val="sr-Latn-RS"/>
        </w:rPr>
        <w:t>j</w:t>
      </w:r>
      <w:r w:rsidRPr="008A307B">
        <w:rPr>
          <w:b/>
          <w:i/>
          <w:szCs w:val="22"/>
          <w:lang w:val="sr-Latn-RS"/>
        </w:rPr>
        <w:t>eca</w:t>
      </w:r>
      <w:r w:rsidR="00E42156" w:rsidRPr="008A307B">
        <w:rPr>
          <w:b/>
          <w:i/>
          <w:szCs w:val="22"/>
          <w:lang w:val="sr-Latn-RS"/>
        </w:rPr>
        <w:t xml:space="preserve"> </w:t>
      </w:r>
      <w:r w:rsidR="00EB6281" w:rsidRPr="008A307B">
        <w:rPr>
          <w:b/>
          <w:i/>
          <w:szCs w:val="22"/>
          <w:lang w:val="sr-Latn-RS"/>
        </w:rPr>
        <w:t>od 10 do 15</w:t>
      </w:r>
      <w:r w:rsidR="00F5395A" w:rsidRPr="008A307B">
        <w:rPr>
          <w:b/>
          <w:i/>
          <w:szCs w:val="22"/>
          <w:lang w:val="sr-Latn-RS"/>
        </w:rPr>
        <w:t xml:space="preserve"> godina</w:t>
      </w:r>
    </w:p>
    <w:p w14:paraId="3921D9E3" w14:textId="200AED5E" w:rsidR="00F5395A" w:rsidRPr="008A307B" w:rsidRDefault="00F5395A" w:rsidP="00D128FC">
      <w:pPr>
        <w:autoSpaceDE w:val="0"/>
        <w:autoSpaceDN w:val="0"/>
        <w:adjustRightInd w:val="0"/>
        <w:rPr>
          <w:szCs w:val="22"/>
          <w:lang w:val="sr-Latn-RS"/>
        </w:rPr>
      </w:pPr>
      <w:r w:rsidRPr="008A307B">
        <w:rPr>
          <w:szCs w:val="22"/>
          <w:lang w:val="sr-Latn-RS"/>
        </w:rPr>
        <w:t xml:space="preserve">1 tableta </w:t>
      </w:r>
      <w:r w:rsidR="00BE5329" w:rsidRPr="008A307B">
        <w:rPr>
          <w:szCs w:val="22"/>
          <w:lang w:val="sr-Latn-RS"/>
        </w:rPr>
        <w:t xml:space="preserve">na </w:t>
      </w:r>
      <w:r w:rsidR="00872401" w:rsidRPr="008A307B">
        <w:rPr>
          <w:szCs w:val="22"/>
          <w:lang w:val="sr-Latn-RS"/>
        </w:rPr>
        <w:t>svakih</w:t>
      </w:r>
      <w:r w:rsidRPr="008A307B">
        <w:rPr>
          <w:szCs w:val="22"/>
          <w:lang w:val="sr-Latn-RS"/>
        </w:rPr>
        <w:t xml:space="preserve"> 4</w:t>
      </w:r>
      <w:r w:rsidR="00872401" w:rsidRPr="008A307B">
        <w:rPr>
          <w:szCs w:val="22"/>
          <w:lang w:val="sr-Latn-RS"/>
        </w:rPr>
        <w:t>-6 sati</w:t>
      </w:r>
      <w:r w:rsidR="005E3A07" w:rsidRPr="008A307B">
        <w:rPr>
          <w:szCs w:val="22"/>
          <w:lang w:val="sr-Latn-RS"/>
        </w:rPr>
        <w:t>,</w:t>
      </w:r>
      <w:r w:rsidRPr="008A307B">
        <w:rPr>
          <w:szCs w:val="22"/>
          <w:lang w:val="sr-Latn-RS"/>
        </w:rPr>
        <w:t xml:space="preserve"> do</w:t>
      </w:r>
      <w:r w:rsidRPr="008A307B">
        <w:rPr>
          <w:b/>
          <w:szCs w:val="22"/>
          <w:lang w:val="sr-Latn-RS"/>
        </w:rPr>
        <w:t xml:space="preserve"> </w:t>
      </w:r>
      <w:r w:rsidRPr="008A307B">
        <w:rPr>
          <w:szCs w:val="22"/>
          <w:lang w:val="sr-Latn-RS"/>
        </w:rPr>
        <w:t>maksimalno 4 tablete dnevno.</w:t>
      </w:r>
    </w:p>
    <w:p w14:paraId="5E40E791" w14:textId="27851272" w:rsidR="004913BE" w:rsidRPr="008A307B" w:rsidRDefault="004913BE" w:rsidP="00D128FC">
      <w:pPr>
        <w:autoSpaceDE w:val="0"/>
        <w:autoSpaceDN w:val="0"/>
        <w:adjustRightInd w:val="0"/>
        <w:rPr>
          <w:szCs w:val="22"/>
          <w:lang w:val="sr-Latn-RS"/>
        </w:rPr>
      </w:pPr>
    </w:p>
    <w:p w14:paraId="37216E9D" w14:textId="65FA332E" w:rsidR="004913BE" w:rsidRPr="008A307B" w:rsidRDefault="004913BE" w:rsidP="00D128FC">
      <w:pPr>
        <w:autoSpaceDE w:val="0"/>
        <w:autoSpaceDN w:val="0"/>
        <w:adjustRightInd w:val="0"/>
        <w:rPr>
          <w:szCs w:val="22"/>
          <w:lang w:val="sr-Latn-RS"/>
        </w:rPr>
      </w:pPr>
      <w:r w:rsidRPr="008A307B">
        <w:rPr>
          <w:szCs w:val="22"/>
          <w:lang w:val="sr-Latn-RS"/>
        </w:rPr>
        <w:t xml:space="preserve">Lijek nije namijenjen za primjenu kod djece mlađe od 10 godina. </w:t>
      </w:r>
    </w:p>
    <w:p w14:paraId="366F2858" w14:textId="1D849E5C" w:rsidR="007E05CC" w:rsidRPr="008A307B" w:rsidRDefault="007E05CC" w:rsidP="00D128FC">
      <w:pPr>
        <w:autoSpaceDE w:val="0"/>
        <w:autoSpaceDN w:val="0"/>
        <w:adjustRightInd w:val="0"/>
        <w:rPr>
          <w:szCs w:val="22"/>
          <w:lang w:val="sr-Latn-RS"/>
        </w:rPr>
      </w:pPr>
    </w:p>
    <w:p w14:paraId="7216DF95" w14:textId="36FF42BB" w:rsidR="007E05CC" w:rsidRPr="008A307B" w:rsidRDefault="007E05CC" w:rsidP="007E05CC">
      <w:pPr>
        <w:tabs>
          <w:tab w:val="left" w:pos="1080"/>
        </w:tabs>
        <w:rPr>
          <w:szCs w:val="22"/>
          <w:u w:val="single"/>
          <w:lang w:val="sr-Latn-RS"/>
        </w:rPr>
      </w:pPr>
      <w:r w:rsidRPr="008A307B">
        <w:rPr>
          <w:szCs w:val="22"/>
          <w:u w:val="single"/>
          <w:lang w:val="sr-Latn-RS"/>
        </w:rPr>
        <w:t>Način primjene</w:t>
      </w:r>
    </w:p>
    <w:p w14:paraId="4A88D502" w14:textId="44906246" w:rsidR="007E05CC" w:rsidRPr="008A307B" w:rsidRDefault="007E05CC" w:rsidP="007E05CC">
      <w:pPr>
        <w:tabs>
          <w:tab w:val="left" w:pos="1080"/>
        </w:tabs>
        <w:rPr>
          <w:szCs w:val="22"/>
          <w:lang w:val="sr-Latn-RS"/>
        </w:rPr>
      </w:pPr>
      <w:r w:rsidRPr="008A307B">
        <w:rPr>
          <w:szCs w:val="22"/>
          <w:lang w:val="sr-Latn-RS"/>
        </w:rPr>
        <w:t>Lijek je namijenjen za oralnu primjenu.</w:t>
      </w:r>
    </w:p>
    <w:p w14:paraId="62B0BD1E" w14:textId="77777777" w:rsidR="00F5395A" w:rsidRPr="008A307B" w:rsidRDefault="00F5395A" w:rsidP="00507B1A">
      <w:pPr>
        <w:autoSpaceDE w:val="0"/>
        <w:autoSpaceDN w:val="0"/>
        <w:adjustRightInd w:val="0"/>
        <w:rPr>
          <w:szCs w:val="22"/>
          <w:lang w:val="sr-Latn-RS"/>
        </w:rPr>
      </w:pPr>
    </w:p>
    <w:p w14:paraId="31541811" w14:textId="77777777" w:rsidR="00CE09F3" w:rsidRPr="008A307B" w:rsidRDefault="00CE09F3" w:rsidP="00507B1A">
      <w:pPr>
        <w:rPr>
          <w:b/>
          <w:bCs/>
          <w:szCs w:val="22"/>
          <w:lang w:val="sr-Latn-RS"/>
        </w:rPr>
      </w:pPr>
      <w:r w:rsidRPr="008A307B">
        <w:rPr>
          <w:b/>
          <w:bCs/>
          <w:szCs w:val="22"/>
          <w:lang w:val="sr-Latn-RS"/>
        </w:rPr>
        <w:t>4.3. Kontraindikacije</w:t>
      </w:r>
    </w:p>
    <w:p w14:paraId="710CB6AF" w14:textId="77777777" w:rsidR="00C3312F" w:rsidRPr="008A307B" w:rsidRDefault="00C3312F">
      <w:pPr>
        <w:rPr>
          <w:szCs w:val="22"/>
          <w:lang w:val="sr-Latn-RS"/>
        </w:rPr>
      </w:pPr>
    </w:p>
    <w:p w14:paraId="0FC948B9" w14:textId="66677681" w:rsidR="00143E14" w:rsidRPr="008A307B" w:rsidRDefault="00C3312F">
      <w:pPr>
        <w:autoSpaceDE w:val="0"/>
        <w:autoSpaceDN w:val="0"/>
        <w:adjustRightInd w:val="0"/>
        <w:rPr>
          <w:szCs w:val="22"/>
          <w:lang w:val="sr-Latn-RS"/>
        </w:rPr>
      </w:pPr>
      <w:r w:rsidRPr="008A307B">
        <w:rPr>
          <w:szCs w:val="22"/>
          <w:lang w:val="sr-Latn-RS"/>
        </w:rPr>
        <w:t>P</w:t>
      </w:r>
      <w:r w:rsidR="00143E14" w:rsidRPr="008A307B">
        <w:rPr>
          <w:szCs w:val="22"/>
          <w:lang w:val="sr-Latn-RS"/>
        </w:rPr>
        <w:t>reos</w:t>
      </w:r>
      <w:r w:rsidR="00BE65B1" w:rsidRPr="008A307B">
        <w:rPr>
          <w:szCs w:val="22"/>
          <w:lang w:val="sr-Latn-RS"/>
        </w:rPr>
        <w:t>j</w:t>
      </w:r>
      <w:r w:rsidR="00143E14" w:rsidRPr="008A307B">
        <w:rPr>
          <w:szCs w:val="22"/>
          <w:lang w:val="sr-Latn-RS"/>
        </w:rPr>
        <w:t>etljivo</w:t>
      </w:r>
      <w:r w:rsidRPr="008A307B">
        <w:rPr>
          <w:szCs w:val="22"/>
          <w:lang w:val="sr-Latn-RS"/>
        </w:rPr>
        <w:t>st</w:t>
      </w:r>
      <w:r w:rsidR="00143E14" w:rsidRPr="008A307B">
        <w:rPr>
          <w:szCs w:val="22"/>
          <w:lang w:val="sr-Latn-RS"/>
        </w:rPr>
        <w:t xml:space="preserve"> na paracetamol ili na</w:t>
      </w:r>
      <w:r w:rsidRPr="008A307B">
        <w:rPr>
          <w:szCs w:val="22"/>
          <w:lang w:val="sr-Latn-RS"/>
        </w:rPr>
        <w:t xml:space="preserve"> bilo koju od</w:t>
      </w:r>
      <w:r w:rsidR="00143E14" w:rsidRPr="008A307B">
        <w:rPr>
          <w:szCs w:val="22"/>
          <w:lang w:val="sr-Latn-RS"/>
        </w:rPr>
        <w:t xml:space="preserve"> pomoć</w:t>
      </w:r>
      <w:r w:rsidRPr="008A307B">
        <w:rPr>
          <w:szCs w:val="22"/>
          <w:lang w:val="sr-Latn-RS"/>
        </w:rPr>
        <w:t>nih</w:t>
      </w:r>
      <w:r w:rsidR="00143E14" w:rsidRPr="008A307B">
        <w:rPr>
          <w:szCs w:val="22"/>
          <w:lang w:val="sr-Latn-RS"/>
        </w:rPr>
        <w:t xml:space="preserve"> supstanc</w:t>
      </w:r>
      <w:r w:rsidRPr="008A307B">
        <w:rPr>
          <w:szCs w:val="22"/>
          <w:lang w:val="sr-Latn-RS"/>
        </w:rPr>
        <w:t xml:space="preserve">i navedenih u </w:t>
      </w:r>
      <w:r w:rsidR="00BE65B1" w:rsidRPr="008A307B">
        <w:rPr>
          <w:szCs w:val="22"/>
          <w:lang w:val="sr-Latn-RS"/>
        </w:rPr>
        <w:t xml:space="preserve">dijelu </w:t>
      </w:r>
      <w:r w:rsidRPr="008A307B">
        <w:rPr>
          <w:szCs w:val="22"/>
          <w:lang w:val="sr-Latn-RS"/>
        </w:rPr>
        <w:t>6.1</w:t>
      </w:r>
    </w:p>
    <w:p w14:paraId="37F7900A" w14:textId="77777777" w:rsidR="00CE09F3" w:rsidRPr="008A307B" w:rsidRDefault="00CE09F3">
      <w:pPr>
        <w:rPr>
          <w:szCs w:val="22"/>
          <w:lang w:val="sr-Latn-RS"/>
        </w:rPr>
      </w:pPr>
    </w:p>
    <w:p w14:paraId="5EC2E732" w14:textId="77777777" w:rsidR="002F53A4" w:rsidRPr="008A307B" w:rsidRDefault="002F53A4">
      <w:pPr>
        <w:rPr>
          <w:b/>
          <w:bCs/>
          <w:szCs w:val="22"/>
          <w:lang w:val="sr-Latn-RS"/>
        </w:rPr>
      </w:pPr>
    </w:p>
    <w:p w14:paraId="64B0E0BF" w14:textId="77777777" w:rsidR="002F53A4" w:rsidRPr="008A307B" w:rsidRDefault="002F53A4">
      <w:pPr>
        <w:rPr>
          <w:b/>
          <w:bCs/>
          <w:szCs w:val="22"/>
          <w:lang w:val="sr-Latn-RS"/>
        </w:rPr>
      </w:pPr>
    </w:p>
    <w:p w14:paraId="3D41663C" w14:textId="77777777" w:rsidR="002F53A4" w:rsidRPr="008A307B" w:rsidRDefault="002F53A4">
      <w:pPr>
        <w:rPr>
          <w:b/>
          <w:bCs/>
          <w:szCs w:val="22"/>
          <w:lang w:val="sr-Latn-RS"/>
        </w:rPr>
      </w:pPr>
    </w:p>
    <w:p w14:paraId="2F5D9744" w14:textId="3D7143C3" w:rsidR="00CE09F3" w:rsidRPr="008A307B" w:rsidRDefault="00CE09F3">
      <w:pPr>
        <w:rPr>
          <w:b/>
          <w:bCs/>
          <w:szCs w:val="22"/>
          <w:lang w:val="sr-Latn-RS"/>
        </w:rPr>
      </w:pPr>
      <w:r w:rsidRPr="008A307B">
        <w:rPr>
          <w:b/>
          <w:bCs/>
          <w:szCs w:val="22"/>
          <w:lang w:val="sr-Latn-RS"/>
        </w:rPr>
        <w:lastRenderedPageBreak/>
        <w:t>4.4. Posebna upozorenja i m</w:t>
      </w:r>
      <w:r w:rsidR="00F01F45" w:rsidRPr="008A307B">
        <w:rPr>
          <w:b/>
          <w:bCs/>
          <w:szCs w:val="22"/>
          <w:lang w:val="sr-Latn-RS"/>
        </w:rPr>
        <w:t>j</w:t>
      </w:r>
      <w:r w:rsidRPr="008A307B">
        <w:rPr>
          <w:b/>
          <w:bCs/>
          <w:szCs w:val="22"/>
          <w:lang w:val="sr-Latn-RS"/>
        </w:rPr>
        <w:t>ere opreza pri upotrebi l</w:t>
      </w:r>
      <w:r w:rsidR="00F01F45" w:rsidRPr="008A307B">
        <w:rPr>
          <w:b/>
          <w:bCs/>
          <w:szCs w:val="22"/>
          <w:lang w:val="sr-Latn-RS"/>
        </w:rPr>
        <w:t>ij</w:t>
      </w:r>
      <w:r w:rsidRPr="008A307B">
        <w:rPr>
          <w:b/>
          <w:bCs/>
          <w:szCs w:val="22"/>
          <w:lang w:val="sr-Latn-RS"/>
        </w:rPr>
        <w:t>eka</w:t>
      </w:r>
    </w:p>
    <w:p w14:paraId="3480D80E" w14:textId="77777777" w:rsidR="00CE09F3" w:rsidRPr="008A307B" w:rsidRDefault="00CE09F3">
      <w:pPr>
        <w:rPr>
          <w:szCs w:val="22"/>
          <w:lang w:val="sr-Latn-RS"/>
        </w:rPr>
      </w:pPr>
    </w:p>
    <w:p w14:paraId="4DED6E72" w14:textId="1E6C53EE" w:rsidR="00143E14" w:rsidRPr="008A307B" w:rsidRDefault="00143E14">
      <w:pPr>
        <w:rPr>
          <w:szCs w:val="22"/>
          <w:lang w:val="sr-Latn-RS"/>
        </w:rPr>
      </w:pPr>
      <w:r w:rsidRPr="008A307B">
        <w:rPr>
          <w:szCs w:val="22"/>
          <w:lang w:val="sr-Latn-RS"/>
        </w:rPr>
        <w:t>Sav</w:t>
      </w:r>
      <w:r w:rsidR="0073038D" w:rsidRPr="008A307B">
        <w:rPr>
          <w:szCs w:val="22"/>
          <w:lang w:val="sr-Latn-RS"/>
        </w:rPr>
        <w:t>j</w:t>
      </w:r>
      <w:r w:rsidRPr="008A307B">
        <w:rPr>
          <w:szCs w:val="22"/>
          <w:lang w:val="sr-Latn-RS"/>
        </w:rPr>
        <w:t>etuje se oprez pri prim</w:t>
      </w:r>
      <w:r w:rsidR="0073038D" w:rsidRPr="008A307B">
        <w:rPr>
          <w:szCs w:val="22"/>
          <w:lang w:val="sr-Latn-RS"/>
        </w:rPr>
        <w:t>j</w:t>
      </w:r>
      <w:r w:rsidRPr="008A307B">
        <w:rPr>
          <w:szCs w:val="22"/>
          <w:lang w:val="sr-Latn-RS"/>
        </w:rPr>
        <w:t xml:space="preserve">eni paracetamola kod pacijenata sa </w:t>
      </w:r>
      <w:r w:rsidR="00C3312F" w:rsidRPr="008A307B">
        <w:rPr>
          <w:szCs w:val="22"/>
          <w:lang w:val="sr-Latn-RS"/>
        </w:rPr>
        <w:t>teškim oštećenjem funkcije bubrega ili jetre</w:t>
      </w:r>
      <w:r w:rsidRPr="008A307B">
        <w:rPr>
          <w:szCs w:val="22"/>
          <w:lang w:val="sr-Latn-RS"/>
        </w:rPr>
        <w:t>. Opasnost od predoziranja je veća kod pacijenata sa oboljenjem jetre bez ciroze usl</w:t>
      </w:r>
      <w:r w:rsidR="0073038D" w:rsidRPr="008A307B">
        <w:rPr>
          <w:szCs w:val="22"/>
          <w:lang w:val="sr-Latn-RS"/>
        </w:rPr>
        <w:t>je</w:t>
      </w:r>
      <w:r w:rsidRPr="008A307B">
        <w:rPr>
          <w:szCs w:val="22"/>
          <w:lang w:val="sr-Latn-RS"/>
        </w:rPr>
        <w:t>d prim</w:t>
      </w:r>
      <w:r w:rsidR="0073038D" w:rsidRPr="008A307B">
        <w:rPr>
          <w:szCs w:val="22"/>
          <w:lang w:val="sr-Latn-RS"/>
        </w:rPr>
        <w:t>j</w:t>
      </w:r>
      <w:r w:rsidRPr="008A307B">
        <w:rPr>
          <w:szCs w:val="22"/>
          <w:lang w:val="sr-Latn-RS"/>
        </w:rPr>
        <w:t>ene alkohola.</w:t>
      </w:r>
    </w:p>
    <w:p w14:paraId="28B2F1B1" w14:textId="77777777" w:rsidR="00166E23" w:rsidRPr="008A307B" w:rsidRDefault="00166E23">
      <w:pPr>
        <w:rPr>
          <w:szCs w:val="22"/>
          <w:lang w:val="sr-Latn-RS"/>
        </w:rPr>
      </w:pPr>
    </w:p>
    <w:p w14:paraId="73EEEAD0" w14:textId="73D911DD" w:rsidR="00166E23" w:rsidRPr="008A307B" w:rsidRDefault="00166E23">
      <w:pPr>
        <w:rPr>
          <w:szCs w:val="22"/>
          <w:lang w:val="sr-Latn-RS"/>
        </w:rPr>
      </w:pPr>
      <w:r w:rsidRPr="008A307B">
        <w:rPr>
          <w:szCs w:val="22"/>
          <w:lang w:val="sr-Latn-RS"/>
        </w:rPr>
        <w:t>Ne sm</w:t>
      </w:r>
      <w:r w:rsidR="0073038D" w:rsidRPr="008A307B">
        <w:rPr>
          <w:szCs w:val="22"/>
          <w:lang w:val="sr-Latn-RS"/>
        </w:rPr>
        <w:t>ij</w:t>
      </w:r>
      <w:r w:rsidRPr="008A307B">
        <w:rPr>
          <w:szCs w:val="22"/>
          <w:lang w:val="sr-Latn-RS"/>
        </w:rPr>
        <w:t>e se prekoračiti preporučena doza.</w:t>
      </w:r>
    </w:p>
    <w:p w14:paraId="39162570" w14:textId="698F4604" w:rsidR="00461587" w:rsidRPr="008A307B" w:rsidRDefault="00EB0ACB">
      <w:pPr>
        <w:rPr>
          <w:szCs w:val="22"/>
          <w:lang w:val="sr-Latn-RS"/>
        </w:rPr>
      </w:pPr>
      <w:r w:rsidRPr="008A307B">
        <w:rPr>
          <w:szCs w:val="22"/>
          <w:lang w:val="sr-Latn-RS"/>
        </w:rPr>
        <w:t>Ukoliko se pacijent ne os</w:t>
      </w:r>
      <w:r w:rsidR="0073038D" w:rsidRPr="008A307B">
        <w:rPr>
          <w:szCs w:val="22"/>
          <w:lang w:val="sr-Latn-RS"/>
        </w:rPr>
        <w:t>j</w:t>
      </w:r>
      <w:r w:rsidRPr="008A307B">
        <w:rPr>
          <w:szCs w:val="22"/>
          <w:lang w:val="sr-Latn-RS"/>
        </w:rPr>
        <w:t>eća bolje, odnosno u</w:t>
      </w:r>
      <w:r w:rsidR="00461587" w:rsidRPr="008A307B">
        <w:rPr>
          <w:szCs w:val="22"/>
          <w:lang w:val="sr-Latn-RS"/>
        </w:rPr>
        <w:t xml:space="preserve">koliko simptomi perzistiraju duže od 3 dana, potrebno je </w:t>
      </w:r>
      <w:r w:rsidR="007A1291" w:rsidRPr="008A307B">
        <w:rPr>
          <w:szCs w:val="22"/>
          <w:lang w:val="sr-Latn-RS"/>
        </w:rPr>
        <w:t>obratiti se</w:t>
      </w:r>
      <w:r w:rsidR="00461587" w:rsidRPr="008A307B">
        <w:rPr>
          <w:szCs w:val="22"/>
          <w:lang w:val="sr-Latn-RS"/>
        </w:rPr>
        <w:t xml:space="preserve"> </w:t>
      </w:r>
      <w:r w:rsidR="0023552A" w:rsidRPr="008A307B">
        <w:rPr>
          <w:szCs w:val="22"/>
          <w:lang w:val="sr-Latn-RS"/>
        </w:rPr>
        <w:t>ljekar</w:t>
      </w:r>
      <w:r w:rsidR="007A1291" w:rsidRPr="008A307B">
        <w:rPr>
          <w:szCs w:val="22"/>
          <w:lang w:val="sr-Latn-RS"/>
        </w:rPr>
        <w:t>u</w:t>
      </w:r>
      <w:r w:rsidR="00461587" w:rsidRPr="008A307B">
        <w:rPr>
          <w:szCs w:val="22"/>
          <w:lang w:val="sr-Latn-RS"/>
        </w:rPr>
        <w:t>.</w:t>
      </w:r>
    </w:p>
    <w:p w14:paraId="21A70ED8" w14:textId="77777777" w:rsidR="00143E14" w:rsidRPr="008A307B" w:rsidRDefault="00143E14">
      <w:pPr>
        <w:rPr>
          <w:szCs w:val="22"/>
          <w:lang w:val="sr-Latn-RS"/>
        </w:rPr>
      </w:pPr>
    </w:p>
    <w:p w14:paraId="20F14BD6" w14:textId="77777777" w:rsidR="004D7137" w:rsidRPr="008A307B" w:rsidRDefault="004D7137">
      <w:pPr>
        <w:rPr>
          <w:szCs w:val="22"/>
          <w:lang w:val="sr-Latn-RS"/>
        </w:rPr>
      </w:pPr>
      <w:r w:rsidRPr="008A307B">
        <w:rPr>
          <w:szCs w:val="22"/>
          <w:lang w:val="sr-Latn-RS"/>
        </w:rPr>
        <w:t>Sadrži paracetamol.</w:t>
      </w:r>
    </w:p>
    <w:p w14:paraId="63F722A3" w14:textId="5346A8BE" w:rsidR="00166E23" w:rsidRPr="008A307B" w:rsidRDefault="00166E23">
      <w:pPr>
        <w:tabs>
          <w:tab w:val="clear" w:pos="284"/>
        </w:tabs>
        <w:autoSpaceDE w:val="0"/>
        <w:autoSpaceDN w:val="0"/>
        <w:adjustRightInd w:val="0"/>
        <w:rPr>
          <w:color w:val="000000" w:themeColor="text1"/>
          <w:szCs w:val="22"/>
          <w:lang w:val="sr-Latn-RS"/>
        </w:rPr>
      </w:pPr>
      <w:r w:rsidRPr="008A307B">
        <w:rPr>
          <w:color w:val="000000" w:themeColor="text1"/>
          <w:szCs w:val="22"/>
          <w:lang w:val="sr-Latn-RS"/>
        </w:rPr>
        <w:t>Pacijentima se</w:t>
      </w:r>
      <w:r w:rsidR="00E96427" w:rsidRPr="008A307B">
        <w:rPr>
          <w:color w:val="000000" w:themeColor="text1"/>
          <w:szCs w:val="22"/>
          <w:lang w:val="sr-Latn-RS"/>
        </w:rPr>
        <w:t xml:space="preserve"> ne</w:t>
      </w:r>
      <w:r w:rsidRPr="008A307B">
        <w:rPr>
          <w:color w:val="000000" w:themeColor="text1"/>
          <w:szCs w:val="22"/>
          <w:lang w:val="sr-Latn-RS"/>
        </w:rPr>
        <w:t xml:space="preserve"> sav</w:t>
      </w:r>
      <w:r w:rsidR="0073038D" w:rsidRPr="008A307B">
        <w:rPr>
          <w:color w:val="000000" w:themeColor="text1"/>
          <w:szCs w:val="22"/>
          <w:lang w:val="sr-Latn-RS"/>
        </w:rPr>
        <w:t>j</w:t>
      </w:r>
      <w:r w:rsidRPr="008A307B">
        <w:rPr>
          <w:color w:val="000000" w:themeColor="text1"/>
          <w:szCs w:val="22"/>
          <w:lang w:val="sr-Latn-RS"/>
        </w:rPr>
        <w:t xml:space="preserve">etuje da istovremeno uzimaju druge </w:t>
      </w:r>
      <w:r w:rsidR="0023552A" w:rsidRPr="008A307B">
        <w:rPr>
          <w:color w:val="000000" w:themeColor="text1"/>
          <w:szCs w:val="22"/>
          <w:lang w:val="sr-Latn-RS"/>
        </w:rPr>
        <w:t>ljek</w:t>
      </w:r>
      <w:r w:rsidRPr="008A307B">
        <w:rPr>
          <w:color w:val="000000" w:themeColor="text1"/>
          <w:szCs w:val="22"/>
          <w:lang w:val="sr-Latn-RS"/>
        </w:rPr>
        <w:t>ove koji sadrže paracetamol.</w:t>
      </w:r>
    </w:p>
    <w:p w14:paraId="52582473" w14:textId="6AA8CC84" w:rsidR="00143E14" w:rsidRPr="008A307B" w:rsidRDefault="00143E14">
      <w:pPr>
        <w:rPr>
          <w:color w:val="000000" w:themeColor="text1"/>
          <w:szCs w:val="22"/>
          <w:lang w:val="sr-Latn-RS"/>
        </w:rPr>
      </w:pPr>
      <w:r w:rsidRPr="008A307B">
        <w:rPr>
          <w:color w:val="000000" w:themeColor="text1"/>
          <w:szCs w:val="22"/>
          <w:lang w:val="sr-Latn-RS"/>
        </w:rPr>
        <w:t>U slučaju predoziranja, potreban je hitan medicinski nadzor, čak i ukoliko se pacijent os</w:t>
      </w:r>
      <w:r w:rsidR="00585CB0" w:rsidRPr="008A307B">
        <w:rPr>
          <w:color w:val="000000" w:themeColor="text1"/>
          <w:szCs w:val="22"/>
          <w:lang w:val="sr-Latn-RS"/>
        </w:rPr>
        <w:t>j</w:t>
      </w:r>
      <w:r w:rsidRPr="008A307B">
        <w:rPr>
          <w:color w:val="000000" w:themeColor="text1"/>
          <w:szCs w:val="22"/>
          <w:lang w:val="sr-Latn-RS"/>
        </w:rPr>
        <w:t>eća dobro</w:t>
      </w:r>
      <w:r w:rsidR="00821B45" w:rsidRPr="008A307B">
        <w:rPr>
          <w:color w:val="000000" w:themeColor="text1"/>
          <w:szCs w:val="22"/>
          <w:lang w:val="sr-Latn-RS"/>
        </w:rPr>
        <w:t>,</w:t>
      </w:r>
      <w:r w:rsidR="0044580C" w:rsidRPr="008A307B">
        <w:rPr>
          <w:color w:val="000000" w:themeColor="text1"/>
          <w:szCs w:val="22"/>
          <w:lang w:val="sr-Latn-RS"/>
        </w:rPr>
        <w:t xml:space="preserve"> </w:t>
      </w:r>
      <w:r w:rsidR="00821B45" w:rsidRPr="008A307B">
        <w:rPr>
          <w:color w:val="000000" w:themeColor="text1"/>
          <w:szCs w:val="22"/>
          <w:lang w:val="sr-Latn-RS"/>
        </w:rPr>
        <w:t>jer p</w:t>
      </w:r>
      <w:r w:rsidR="0044580C" w:rsidRPr="008A307B">
        <w:rPr>
          <w:color w:val="000000" w:themeColor="text1"/>
          <w:szCs w:val="22"/>
          <w:lang w:val="sr-Latn-RS"/>
        </w:rPr>
        <w:t>rekom</w:t>
      </w:r>
      <w:r w:rsidR="00585CB0" w:rsidRPr="008A307B">
        <w:rPr>
          <w:color w:val="000000" w:themeColor="text1"/>
          <w:szCs w:val="22"/>
          <w:lang w:val="sr-Latn-RS"/>
        </w:rPr>
        <w:t>j</w:t>
      </w:r>
      <w:r w:rsidR="0044580C" w:rsidRPr="008A307B">
        <w:rPr>
          <w:color w:val="000000" w:themeColor="text1"/>
          <w:szCs w:val="22"/>
          <w:lang w:val="sr-Latn-RS"/>
        </w:rPr>
        <w:t>erna doza paracetamola može dovesti do odloženog, teškog oštećenja jetre.</w:t>
      </w:r>
    </w:p>
    <w:p w14:paraId="68A04442" w14:textId="1377AFD9" w:rsidR="004E0C6F" w:rsidRPr="008A307B" w:rsidRDefault="004E0C6F">
      <w:pPr>
        <w:rPr>
          <w:color w:val="000000" w:themeColor="text1"/>
          <w:szCs w:val="22"/>
          <w:lang w:val="sr-Latn-RS"/>
        </w:rPr>
      </w:pPr>
      <w:r w:rsidRPr="008A307B">
        <w:rPr>
          <w:color w:val="000000" w:themeColor="text1"/>
          <w:szCs w:val="22"/>
          <w:lang w:val="sr-Latn-RS"/>
        </w:rPr>
        <w:t>Sav</w:t>
      </w:r>
      <w:r w:rsidR="00585CB0" w:rsidRPr="008A307B">
        <w:rPr>
          <w:color w:val="000000" w:themeColor="text1"/>
          <w:szCs w:val="22"/>
          <w:lang w:val="sr-Latn-RS"/>
        </w:rPr>
        <w:t>j</w:t>
      </w:r>
      <w:r w:rsidRPr="008A307B">
        <w:rPr>
          <w:color w:val="000000" w:themeColor="text1"/>
          <w:szCs w:val="22"/>
          <w:lang w:val="sr-Latn-RS"/>
        </w:rPr>
        <w:t>etuje se oprez ako se paracetamol prim</w:t>
      </w:r>
      <w:r w:rsidR="00585CB0" w:rsidRPr="008A307B">
        <w:rPr>
          <w:color w:val="000000" w:themeColor="text1"/>
          <w:szCs w:val="22"/>
          <w:lang w:val="sr-Latn-RS"/>
        </w:rPr>
        <w:t>j</w:t>
      </w:r>
      <w:r w:rsidRPr="008A307B">
        <w:rPr>
          <w:color w:val="000000" w:themeColor="text1"/>
          <w:szCs w:val="22"/>
          <w:lang w:val="sr-Latn-RS"/>
        </w:rPr>
        <w:t>enjuje istovremeno sa flukloksacilinom zbog povećanog rizika od metaboličke acidoze sa visok</w:t>
      </w:r>
      <w:r w:rsidR="00AB2583" w:rsidRPr="008A307B">
        <w:rPr>
          <w:color w:val="000000" w:themeColor="text1"/>
          <w:szCs w:val="22"/>
          <w:lang w:val="sr-Latn-RS"/>
        </w:rPr>
        <w:t>i</w:t>
      </w:r>
      <w:r w:rsidRPr="008A307B">
        <w:rPr>
          <w:color w:val="000000" w:themeColor="text1"/>
          <w:szCs w:val="22"/>
          <w:lang w:val="sr-Latn-RS"/>
        </w:rPr>
        <w:t xml:space="preserve">m anjonskom </w:t>
      </w:r>
      <w:r w:rsidR="00AB2583" w:rsidRPr="008A307B">
        <w:rPr>
          <w:color w:val="000000" w:themeColor="text1"/>
          <w:szCs w:val="22"/>
          <w:lang w:val="sr-Latn-RS"/>
        </w:rPr>
        <w:t>procjepom</w:t>
      </w:r>
      <w:r w:rsidRPr="008A307B">
        <w:rPr>
          <w:color w:val="000000" w:themeColor="text1"/>
          <w:szCs w:val="22"/>
          <w:lang w:val="sr-Latn-RS"/>
        </w:rPr>
        <w:t xml:space="preserve"> (HAGMA), posebno kod pacijenata sa teškim oštećenjem bubrega, sepsom, neuhranjenošću i drugim stanjima gd</w:t>
      </w:r>
      <w:r w:rsidR="00585CB0" w:rsidRPr="008A307B">
        <w:rPr>
          <w:color w:val="000000" w:themeColor="text1"/>
          <w:szCs w:val="22"/>
          <w:lang w:val="sr-Latn-RS"/>
        </w:rPr>
        <w:t>j</w:t>
      </w:r>
      <w:r w:rsidRPr="008A307B">
        <w:rPr>
          <w:color w:val="000000" w:themeColor="text1"/>
          <w:szCs w:val="22"/>
          <w:lang w:val="sr-Latn-RS"/>
        </w:rPr>
        <w:t>e je prisutan nedostatak glutationa (npr. hronični alkoholizam), kao i kod onih pacijenata koji koriste maksimalne dnevne doze paracetamola. Preporučuje se pažljivo praćenje, uključujući m</w:t>
      </w:r>
      <w:r w:rsidR="00C45F87" w:rsidRPr="008A307B">
        <w:rPr>
          <w:color w:val="000000" w:themeColor="text1"/>
          <w:szCs w:val="22"/>
          <w:lang w:val="sr-Latn-RS"/>
        </w:rPr>
        <w:t>j</w:t>
      </w:r>
      <w:r w:rsidRPr="008A307B">
        <w:rPr>
          <w:color w:val="000000" w:themeColor="text1"/>
          <w:szCs w:val="22"/>
          <w:lang w:val="sr-Latn-RS"/>
        </w:rPr>
        <w:t xml:space="preserve">erenje 5-oksoprolina u urinu. </w:t>
      </w:r>
    </w:p>
    <w:p w14:paraId="1A7B4305" w14:textId="77777777" w:rsidR="00461587" w:rsidRPr="008A307B" w:rsidRDefault="00461587">
      <w:pPr>
        <w:rPr>
          <w:szCs w:val="22"/>
          <w:lang w:val="sr-Latn-RS"/>
        </w:rPr>
      </w:pPr>
    </w:p>
    <w:p w14:paraId="05C6D83C" w14:textId="0F7FA2EB" w:rsidR="00143E14" w:rsidRPr="008A307B" w:rsidRDefault="00166E23">
      <w:pPr>
        <w:rPr>
          <w:szCs w:val="22"/>
          <w:lang w:val="sr-Latn-RS"/>
        </w:rPr>
      </w:pPr>
      <w:r w:rsidRPr="008A307B">
        <w:rPr>
          <w:szCs w:val="22"/>
          <w:lang w:val="sr-Latn-RS"/>
        </w:rPr>
        <w:t>Pacijente treba upozoriti da p</w:t>
      </w:r>
      <w:r w:rsidR="0044580C" w:rsidRPr="008A307B">
        <w:rPr>
          <w:szCs w:val="22"/>
          <w:lang w:val="sr-Latn-RS"/>
        </w:rPr>
        <w:t>rim</w:t>
      </w:r>
      <w:r w:rsidR="003E6A32" w:rsidRPr="008A307B">
        <w:rPr>
          <w:szCs w:val="22"/>
          <w:lang w:val="sr-Latn-RS"/>
        </w:rPr>
        <w:t>j</w:t>
      </w:r>
      <w:r w:rsidR="0044580C" w:rsidRPr="008A307B">
        <w:rPr>
          <w:szCs w:val="22"/>
          <w:lang w:val="sr-Latn-RS"/>
        </w:rPr>
        <w:t xml:space="preserve">ena paracetamola može dovesti do pojave teških neželjenih reakcija na koži. U slučaju pojave </w:t>
      </w:r>
      <w:r w:rsidR="00DF5240" w:rsidRPr="008A307B">
        <w:rPr>
          <w:szCs w:val="22"/>
          <w:lang w:val="sr-Latn-RS"/>
        </w:rPr>
        <w:t>reakcija</w:t>
      </w:r>
      <w:r w:rsidR="00F10C86" w:rsidRPr="008A307B">
        <w:rPr>
          <w:szCs w:val="22"/>
          <w:lang w:val="sr-Latn-RS"/>
        </w:rPr>
        <w:t xml:space="preserve"> na koži u vidu crvenila, </w:t>
      </w:r>
      <w:r w:rsidR="00AB2583" w:rsidRPr="008A307B">
        <w:rPr>
          <w:szCs w:val="22"/>
          <w:lang w:val="sr-Latn-RS"/>
        </w:rPr>
        <w:t>plikova</w:t>
      </w:r>
      <w:r w:rsidR="00F10C86" w:rsidRPr="008A307B">
        <w:rPr>
          <w:szCs w:val="22"/>
          <w:lang w:val="sr-Latn-RS"/>
        </w:rPr>
        <w:t xml:space="preserve"> ili </w:t>
      </w:r>
      <w:r w:rsidR="0044580C" w:rsidRPr="008A307B">
        <w:rPr>
          <w:szCs w:val="22"/>
          <w:lang w:val="sr-Latn-RS"/>
        </w:rPr>
        <w:t>osipa</w:t>
      </w:r>
      <w:r w:rsidR="00F10C86" w:rsidRPr="008A307B">
        <w:rPr>
          <w:szCs w:val="22"/>
          <w:lang w:val="sr-Latn-RS"/>
        </w:rPr>
        <w:t>, neophodno je odmah prekinuti sa daljom prim</w:t>
      </w:r>
      <w:r w:rsidR="003E6A32" w:rsidRPr="008A307B">
        <w:rPr>
          <w:szCs w:val="22"/>
          <w:lang w:val="sr-Latn-RS"/>
        </w:rPr>
        <w:t>j</w:t>
      </w:r>
      <w:r w:rsidR="00F10C86" w:rsidRPr="008A307B">
        <w:rPr>
          <w:szCs w:val="22"/>
          <w:lang w:val="sr-Latn-RS"/>
        </w:rPr>
        <w:t xml:space="preserve">enom </w:t>
      </w:r>
      <w:r w:rsidR="0023552A" w:rsidRPr="008A307B">
        <w:rPr>
          <w:szCs w:val="22"/>
          <w:lang w:val="sr-Latn-RS"/>
        </w:rPr>
        <w:t>lijek</w:t>
      </w:r>
      <w:r w:rsidR="00F10C86" w:rsidRPr="008A307B">
        <w:rPr>
          <w:szCs w:val="22"/>
          <w:lang w:val="sr-Latn-RS"/>
        </w:rPr>
        <w:t>a i potražiti medicinsku pomoć.</w:t>
      </w:r>
    </w:p>
    <w:p w14:paraId="386218DD" w14:textId="77777777" w:rsidR="00F10C86" w:rsidRPr="008A307B" w:rsidRDefault="00F10C86">
      <w:pPr>
        <w:rPr>
          <w:szCs w:val="22"/>
          <w:lang w:val="sr-Latn-RS"/>
        </w:rPr>
      </w:pPr>
    </w:p>
    <w:p w14:paraId="2660B06D" w14:textId="32959A65" w:rsidR="00B31595" w:rsidRPr="008A307B" w:rsidRDefault="0023552A">
      <w:pPr>
        <w:rPr>
          <w:szCs w:val="22"/>
          <w:lang w:val="sr-Latn-RS"/>
        </w:rPr>
      </w:pPr>
      <w:r w:rsidRPr="008A307B">
        <w:rPr>
          <w:szCs w:val="22"/>
          <w:lang w:val="sr-Latn-RS"/>
        </w:rPr>
        <w:t>Lijek</w:t>
      </w:r>
      <w:r w:rsidR="00143E14" w:rsidRPr="008A307B">
        <w:rPr>
          <w:szCs w:val="22"/>
          <w:lang w:val="sr-Latn-RS"/>
        </w:rPr>
        <w:t xml:space="preserve"> Febricet tablete sadrži ulje ricinusa, </w:t>
      </w:r>
      <w:r w:rsidR="00D4338F" w:rsidRPr="008A307B">
        <w:rPr>
          <w:szCs w:val="22"/>
          <w:lang w:val="sr-Latn-RS"/>
        </w:rPr>
        <w:t>koje može izazvati</w:t>
      </w:r>
      <w:r w:rsidR="00143E14" w:rsidRPr="008A307B">
        <w:rPr>
          <w:szCs w:val="22"/>
          <w:lang w:val="sr-Latn-RS"/>
        </w:rPr>
        <w:t xml:space="preserve"> stomačne tegobe i </w:t>
      </w:r>
      <w:r w:rsidR="00C7152D" w:rsidRPr="008A307B">
        <w:rPr>
          <w:szCs w:val="22"/>
          <w:lang w:val="sr-Latn-RS"/>
        </w:rPr>
        <w:t>dijareju</w:t>
      </w:r>
      <w:r w:rsidR="00143E14" w:rsidRPr="008A307B">
        <w:rPr>
          <w:szCs w:val="22"/>
          <w:lang w:val="sr-Latn-RS"/>
        </w:rPr>
        <w:t>.</w:t>
      </w:r>
    </w:p>
    <w:p w14:paraId="3050F054" w14:textId="77777777" w:rsidR="00152F6C" w:rsidRPr="008A307B" w:rsidRDefault="00152F6C">
      <w:pPr>
        <w:rPr>
          <w:szCs w:val="22"/>
          <w:lang w:val="sr-Latn-RS"/>
        </w:rPr>
      </w:pPr>
    </w:p>
    <w:p w14:paraId="4FA30814" w14:textId="7C89191E" w:rsidR="00152F6C" w:rsidRPr="008A307B" w:rsidRDefault="00152F6C">
      <w:pPr>
        <w:rPr>
          <w:szCs w:val="22"/>
          <w:lang w:val="sr-Latn-RS"/>
        </w:rPr>
      </w:pPr>
      <w:r w:rsidRPr="008A307B">
        <w:rPr>
          <w:szCs w:val="22"/>
          <w:lang w:val="sr-Latn-RS"/>
        </w:rPr>
        <w:t>Lijek Febricet tablete sadrži manje od 1 mmol (23 mg) natrijuma po dozi, tj. suštinski je bez natrijuma.</w:t>
      </w:r>
    </w:p>
    <w:p w14:paraId="665D0CC7" w14:textId="77777777" w:rsidR="00CE09F3" w:rsidRPr="008A307B" w:rsidRDefault="00CE09F3">
      <w:pPr>
        <w:rPr>
          <w:szCs w:val="22"/>
          <w:lang w:val="sr-Latn-RS"/>
        </w:rPr>
      </w:pPr>
    </w:p>
    <w:p w14:paraId="1AC01D90" w14:textId="0C266DD4" w:rsidR="00CE09F3" w:rsidRPr="008A307B" w:rsidRDefault="00CE09F3">
      <w:pPr>
        <w:rPr>
          <w:b/>
          <w:bCs/>
          <w:szCs w:val="22"/>
          <w:lang w:val="sr-Latn-RS"/>
        </w:rPr>
      </w:pPr>
      <w:r w:rsidRPr="008A307B">
        <w:rPr>
          <w:b/>
          <w:bCs/>
          <w:szCs w:val="22"/>
          <w:lang w:val="sr-Latn-RS"/>
        </w:rPr>
        <w:t>4.5. Interakcije sa drugim l</w:t>
      </w:r>
      <w:r w:rsidR="00F01F45" w:rsidRPr="008A307B">
        <w:rPr>
          <w:b/>
          <w:bCs/>
          <w:szCs w:val="22"/>
          <w:lang w:val="sr-Latn-RS"/>
        </w:rPr>
        <w:t>j</w:t>
      </w:r>
      <w:r w:rsidRPr="008A307B">
        <w:rPr>
          <w:b/>
          <w:bCs/>
          <w:szCs w:val="22"/>
          <w:lang w:val="sr-Latn-RS"/>
        </w:rPr>
        <w:t>ekovima i druge vrste interakcija</w:t>
      </w:r>
    </w:p>
    <w:p w14:paraId="573AED09" w14:textId="77777777" w:rsidR="00CE09F3" w:rsidRPr="008A307B" w:rsidRDefault="00CE09F3">
      <w:pPr>
        <w:rPr>
          <w:szCs w:val="22"/>
          <w:lang w:val="sr-Latn-RS"/>
        </w:rPr>
      </w:pPr>
    </w:p>
    <w:p w14:paraId="0AA4564D" w14:textId="6C90CBFC" w:rsidR="00143E14" w:rsidRPr="008A307B" w:rsidRDefault="00143E14">
      <w:pPr>
        <w:rPr>
          <w:szCs w:val="22"/>
          <w:lang w:val="sr-Latn-RS"/>
        </w:rPr>
      </w:pPr>
      <w:r w:rsidRPr="008A307B">
        <w:rPr>
          <w:szCs w:val="22"/>
          <w:lang w:val="sr-Latn-RS"/>
        </w:rPr>
        <w:t>Holestiramin: istovremena prim</w:t>
      </w:r>
      <w:r w:rsidR="003E6A32" w:rsidRPr="008A307B">
        <w:rPr>
          <w:szCs w:val="22"/>
          <w:lang w:val="sr-Latn-RS"/>
        </w:rPr>
        <w:t>j</w:t>
      </w:r>
      <w:r w:rsidRPr="008A307B">
        <w:rPr>
          <w:szCs w:val="22"/>
          <w:lang w:val="sr-Latn-RS"/>
        </w:rPr>
        <w:t>ena sa holestiraminom usporava resorpciju paracetamola. Zbog toga, holestiramin ne treba prim</w:t>
      </w:r>
      <w:r w:rsidR="00175E07" w:rsidRPr="008A307B">
        <w:rPr>
          <w:szCs w:val="22"/>
          <w:lang w:val="sr-Latn-RS"/>
        </w:rPr>
        <w:t>j</w:t>
      </w:r>
      <w:r w:rsidRPr="008A307B">
        <w:rPr>
          <w:szCs w:val="22"/>
          <w:lang w:val="sr-Latn-RS"/>
        </w:rPr>
        <w:t>enjivati bar jedan sat nakon postizanja analgezije.</w:t>
      </w:r>
    </w:p>
    <w:p w14:paraId="09EE66F4" w14:textId="77777777" w:rsidR="00AB2583" w:rsidRPr="008A307B" w:rsidRDefault="00AB2583">
      <w:pPr>
        <w:rPr>
          <w:szCs w:val="22"/>
          <w:lang w:val="sr-Latn-RS"/>
        </w:rPr>
      </w:pPr>
    </w:p>
    <w:p w14:paraId="5D8F8E41" w14:textId="2E99C539" w:rsidR="00143E14" w:rsidRPr="008A307B" w:rsidRDefault="00143E14">
      <w:pPr>
        <w:autoSpaceDE w:val="0"/>
        <w:autoSpaceDN w:val="0"/>
        <w:adjustRightInd w:val="0"/>
        <w:rPr>
          <w:szCs w:val="22"/>
          <w:lang w:val="sr-Latn-RS"/>
        </w:rPr>
      </w:pPr>
      <w:r w:rsidRPr="008A307B">
        <w:rPr>
          <w:szCs w:val="22"/>
          <w:lang w:val="sr-Latn-RS"/>
        </w:rPr>
        <w:t xml:space="preserve">Metoklopramid i </w:t>
      </w:r>
      <w:r w:rsidR="00AB2583" w:rsidRPr="008A307B">
        <w:rPr>
          <w:szCs w:val="22"/>
          <w:lang w:val="sr-Latn-RS"/>
        </w:rPr>
        <w:t>d</w:t>
      </w:r>
      <w:r w:rsidRPr="008A307B">
        <w:rPr>
          <w:szCs w:val="22"/>
          <w:lang w:val="sr-Latn-RS"/>
        </w:rPr>
        <w:t>omperidon: mogu povećati brzinu resorpcije paracetamola. Međutim, istovremena prim</w:t>
      </w:r>
      <w:r w:rsidR="00175E07" w:rsidRPr="008A307B">
        <w:rPr>
          <w:szCs w:val="22"/>
          <w:lang w:val="sr-Latn-RS"/>
        </w:rPr>
        <w:t>j</w:t>
      </w:r>
      <w:r w:rsidRPr="008A307B">
        <w:rPr>
          <w:szCs w:val="22"/>
          <w:lang w:val="sr-Latn-RS"/>
        </w:rPr>
        <w:t>ena se ne mora izb</w:t>
      </w:r>
      <w:r w:rsidR="00175E07" w:rsidRPr="008A307B">
        <w:rPr>
          <w:szCs w:val="22"/>
          <w:lang w:val="sr-Latn-RS"/>
        </w:rPr>
        <w:t>je</w:t>
      </w:r>
      <w:r w:rsidRPr="008A307B">
        <w:rPr>
          <w:szCs w:val="22"/>
          <w:lang w:val="sr-Latn-RS"/>
        </w:rPr>
        <w:t>gavati.</w:t>
      </w:r>
    </w:p>
    <w:p w14:paraId="118911F7" w14:textId="77777777" w:rsidR="00AB2583" w:rsidRPr="008A307B" w:rsidRDefault="00AB2583">
      <w:pPr>
        <w:autoSpaceDE w:val="0"/>
        <w:autoSpaceDN w:val="0"/>
        <w:adjustRightInd w:val="0"/>
        <w:rPr>
          <w:szCs w:val="22"/>
          <w:lang w:val="sr-Latn-RS"/>
        </w:rPr>
      </w:pPr>
    </w:p>
    <w:p w14:paraId="67513BFC" w14:textId="5A5646F3" w:rsidR="00143E14" w:rsidRPr="008A307B" w:rsidRDefault="00143E14">
      <w:pPr>
        <w:autoSpaceDE w:val="0"/>
        <w:autoSpaceDN w:val="0"/>
        <w:adjustRightInd w:val="0"/>
        <w:rPr>
          <w:szCs w:val="22"/>
          <w:lang w:val="sr-Latn-RS"/>
        </w:rPr>
      </w:pPr>
      <w:r w:rsidRPr="008A307B">
        <w:rPr>
          <w:szCs w:val="22"/>
          <w:lang w:val="sr-Latn-RS"/>
        </w:rPr>
        <w:t>Varfarin: antikoagulantn</w:t>
      </w:r>
      <w:r w:rsidR="00C7152D" w:rsidRPr="008A307B">
        <w:rPr>
          <w:szCs w:val="22"/>
          <w:lang w:val="sr-Latn-RS"/>
        </w:rPr>
        <w:t>o dejstvo</w:t>
      </w:r>
      <w:r w:rsidRPr="008A307B">
        <w:rPr>
          <w:szCs w:val="22"/>
          <w:lang w:val="sr-Latn-RS"/>
        </w:rPr>
        <w:t xml:space="preserve"> varfarina i drugih kumarinskih preparata može biti pojačan dugotrajnom svakodnevnom upotrebom paracetamola sa povećanim rizikom od krvarenja; povremena upotreba nema značajnog </w:t>
      </w:r>
      <w:r w:rsidR="00C7152D" w:rsidRPr="008A307B">
        <w:rPr>
          <w:szCs w:val="22"/>
          <w:lang w:val="sr-Latn-RS"/>
        </w:rPr>
        <w:t>dejstva</w:t>
      </w:r>
      <w:r w:rsidRPr="008A307B">
        <w:rPr>
          <w:szCs w:val="22"/>
          <w:lang w:val="sr-Latn-RS"/>
        </w:rPr>
        <w:t>.</w:t>
      </w:r>
    </w:p>
    <w:p w14:paraId="3AECB052" w14:textId="77777777" w:rsidR="00AB2583" w:rsidRPr="008A307B" w:rsidRDefault="00AB2583">
      <w:pPr>
        <w:autoSpaceDE w:val="0"/>
        <w:autoSpaceDN w:val="0"/>
        <w:adjustRightInd w:val="0"/>
        <w:rPr>
          <w:szCs w:val="22"/>
          <w:lang w:val="sr-Latn-RS"/>
        </w:rPr>
      </w:pPr>
    </w:p>
    <w:p w14:paraId="327733B9" w14:textId="024B9620" w:rsidR="00B31595" w:rsidRPr="008A307B" w:rsidRDefault="00143E14">
      <w:pPr>
        <w:autoSpaceDE w:val="0"/>
        <w:autoSpaceDN w:val="0"/>
        <w:adjustRightInd w:val="0"/>
        <w:rPr>
          <w:szCs w:val="22"/>
          <w:lang w:val="sr-Latn-RS"/>
        </w:rPr>
      </w:pPr>
      <w:r w:rsidRPr="008A307B">
        <w:rPr>
          <w:szCs w:val="22"/>
          <w:lang w:val="sr-Latn-RS"/>
        </w:rPr>
        <w:t xml:space="preserve">Hloramfenikol: paracetamol može povećati plazma koncentraciju hloramfenikola. </w:t>
      </w:r>
    </w:p>
    <w:p w14:paraId="28CAF89B" w14:textId="77777777" w:rsidR="00AB2583" w:rsidRPr="008A307B" w:rsidRDefault="00AB2583">
      <w:pPr>
        <w:autoSpaceDE w:val="0"/>
        <w:autoSpaceDN w:val="0"/>
        <w:adjustRightInd w:val="0"/>
        <w:rPr>
          <w:szCs w:val="22"/>
          <w:lang w:val="sr-Latn-RS"/>
        </w:rPr>
      </w:pPr>
    </w:p>
    <w:p w14:paraId="771BEE22" w14:textId="40EC5236" w:rsidR="00517CA9" w:rsidRPr="008A307B" w:rsidRDefault="00517CA9">
      <w:pPr>
        <w:rPr>
          <w:szCs w:val="22"/>
          <w:lang w:val="sr-Latn-RS"/>
        </w:rPr>
      </w:pPr>
      <w:r w:rsidRPr="008A307B">
        <w:rPr>
          <w:szCs w:val="22"/>
          <w:lang w:val="sr-Latn-RS"/>
        </w:rPr>
        <w:t>Treba biti oprezan kada se paracetamol koristi istovremeno sa flukloksacilinom, jer je istovremena prim</w:t>
      </w:r>
      <w:r w:rsidR="00175E07" w:rsidRPr="008A307B">
        <w:rPr>
          <w:szCs w:val="22"/>
          <w:lang w:val="sr-Latn-RS"/>
        </w:rPr>
        <w:t>j</w:t>
      </w:r>
      <w:r w:rsidRPr="008A307B">
        <w:rPr>
          <w:szCs w:val="22"/>
          <w:lang w:val="sr-Latn-RS"/>
        </w:rPr>
        <w:t>ena povezana sa metaboličkom acidozom sa visok</w:t>
      </w:r>
      <w:r w:rsidR="00AB2583" w:rsidRPr="008A307B">
        <w:rPr>
          <w:szCs w:val="22"/>
          <w:lang w:val="sr-Latn-RS"/>
        </w:rPr>
        <w:t>i</w:t>
      </w:r>
      <w:r w:rsidRPr="008A307B">
        <w:rPr>
          <w:szCs w:val="22"/>
          <w:lang w:val="sr-Latn-RS"/>
        </w:rPr>
        <w:t>m anjonsk</w:t>
      </w:r>
      <w:r w:rsidR="00AB2583" w:rsidRPr="008A307B">
        <w:rPr>
          <w:szCs w:val="22"/>
          <w:lang w:val="sr-Latn-RS"/>
        </w:rPr>
        <w:t>i</w:t>
      </w:r>
      <w:r w:rsidRPr="008A307B">
        <w:rPr>
          <w:szCs w:val="22"/>
          <w:lang w:val="sr-Latn-RS"/>
        </w:rPr>
        <w:t xml:space="preserve">m </w:t>
      </w:r>
      <w:r w:rsidR="00AB2583" w:rsidRPr="008A307B">
        <w:rPr>
          <w:szCs w:val="22"/>
          <w:lang w:val="sr-Latn-RS"/>
        </w:rPr>
        <w:t>procjepom</w:t>
      </w:r>
      <w:r w:rsidRPr="008A307B">
        <w:rPr>
          <w:szCs w:val="22"/>
          <w:lang w:val="sr-Latn-RS"/>
        </w:rPr>
        <w:t>, posebno kod pacijenata sa faktorima rizika (</w:t>
      </w:r>
      <w:r w:rsidR="00175E07" w:rsidRPr="008A307B">
        <w:rPr>
          <w:szCs w:val="22"/>
          <w:lang w:val="sr-Latn-RS"/>
        </w:rPr>
        <w:t>pogledati</w:t>
      </w:r>
      <w:r w:rsidRPr="008A307B">
        <w:rPr>
          <w:szCs w:val="22"/>
          <w:lang w:val="sr-Latn-RS"/>
        </w:rPr>
        <w:t xml:space="preserve"> </w:t>
      </w:r>
      <w:r w:rsidR="00BE65B1" w:rsidRPr="008A307B">
        <w:rPr>
          <w:szCs w:val="22"/>
          <w:lang w:val="sr-Latn-RS"/>
        </w:rPr>
        <w:t>dio</w:t>
      </w:r>
      <w:r w:rsidRPr="008A307B">
        <w:rPr>
          <w:szCs w:val="22"/>
          <w:lang w:val="sr-Latn-RS"/>
        </w:rPr>
        <w:t xml:space="preserve"> 4.4).</w:t>
      </w:r>
    </w:p>
    <w:p w14:paraId="22081FBE" w14:textId="77777777" w:rsidR="00B31595" w:rsidRPr="008A307B" w:rsidRDefault="00B31595">
      <w:pPr>
        <w:rPr>
          <w:szCs w:val="22"/>
          <w:lang w:val="sr-Latn-RS"/>
        </w:rPr>
      </w:pPr>
    </w:p>
    <w:p w14:paraId="2CB68634" w14:textId="77777777" w:rsidR="000B5C1F" w:rsidRPr="008A307B" w:rsidRDefault="00CE09F3">
      <w:pPr>
        <w:rPr>
          <w:b/>
          <w:bCs/>
          <w:szCs w:val="22"/>
          <w:lang w:val="sr-Latn-RS"/>
        </w:rPr>
      </w:pPr>
      <w:r w:rsidRPr="008A307B">
        <w:rPr>
          <w:b/>
          <w:bCs/>
          <w:szCs w:val="22"/>
          <w:lang w:val="sr-Latn-RS"/>
        </w:rPr>
        <w:t>4.6. Plodnost, trudnoća i dojenje</w:t>
      </w:r>
    </w:p>
    <w:p w14:paraId="71474BFC" w14:textId="77777777" w:rsidR="00343F64" w:rsidRPr="008A307B" w:rsidRDefault="00343F64">
      <w:pPr>
        <w:rPr>
          <w:szCs w:val="22"/>
          <w:lang w:val="sr-Latn-RS"/>
        </w:rPr>
      </w:pPr>
    </w:p>
    <w:p w14:paraId="573AED3E" w14:textId="282319E4" w:rsidR="00CE09F3" w:rsidRPr="008A307B" w:rsidRDefault="008D1246">
      <w:pPr>
        <w:rPr>
          <w:szCs w:val="22"/>
          <w:lang w:val="sr-Latn-RS"/>
        </w:rPr>
      </w:pPr>
      <w:r w:rsidRPr="008A307B">
        <w:rPr>
          <w:szCs w:val="22"/>
          <w:lang w:val="sr-Latn-RS"/>
        </w:rPr>
        <w:t>Velik</w:t>
      </w:r>
      <w:r w:rsidR="00AB2583" w:rsidRPr="008A307B">
        <w:rPr>
          <w:szCs w:val="22"/>
          <w:lang w:val="sr-Latn-RS"/>
        </w:rPr>
        <w:t>i broj</w:t>
      </w:r>
      <w:r w:rsidRPr="008A307B">
        <w:rPr>
          <w:szCs w:val="22"/>
          <w:lang w:val="sr-Latn-RS"/>
        </w:rPr>
        <w:t xml:space="preserve"> podataka </w:t>
      </w:r>
      <w:r w:rsidR="00C7152D" w:rsidRPr="008A307B">
        <w:rPr>
          <w:szCs w:val="22"/>
          <w:lang w:val="sr-Latn-RS"/>
        </w:rPr>
        <w:t xml:space="preserve">kod </w:t>
      </w:r>
      <w:r w:rsidRPr="008A307B">
        <w:rPr>
          <w:szCs w:val="22"/>
          <w:lang w:val="sr-Latn-RS"/>
        </w:rPr>
        <w:t xml:space="preserve">trudnica </w:t>
      </w:r>
      <w:r w:rsidR="00AB2583" w:rsidRPr="008A307B">
        <w:rPr>
          <w:szCs w:val="22"/>
          <w:lang w:val="sr-Latn-RS"/>
        </w:rPr>
        <w:t xml:space="preserve">ne ukazuju na </w:t>
      </w:r>
      <w:r w:rsidRPr="008A307B">
        <w:rPr>
          <w:szCs w:val="22"/>
          <w:lang w:val="sr-Latn-RS"/>
        </w:rPr>
        <w:t xml:space="preserve">malformativnu </w:t>
      </w:r>
      <w:r w:rsidR="00C7152D" w:rsidRPr="008A307B">
        <w:rPr>
          <w:szCs w:val="22"/>
          <w:lang w:val="sr-Latn-RS"/>
        </w:rPr>
        <w:t>ili</w:t>
      </w:r>
      <w:r w:rsidRPr="008A307B">
        <w:rPr>
          <w:szCs w:val="22"/>
          <w:lang w:val="sr-Latn-RS"/>
        </w:rPr>
        <w:t xml:space="preserve"> fet</w:t>
      </w:r>
      <w:r w:rsidR="00C7152D" w:rsidRPr="008A307B">
        <w:rPr>
          <w:szCs w:val="22"/>
          <w:lang w:val="sr-Latn-RS"/>
        </w:rPr>
        <w:t>o</w:t>
      </w:r>
      <w:r w:rsidRPr="008A307B">
        <w:rPr>
          <w:szCs w:val="22"/>
          <w:lang w:val="sr-Latn-RS"/>
        </w:rPr>
        <w:t>/neonatalnu toksičnost</w:t>
      </w:r>
      <w:r w:rsidR="00AB2583" w:rsidRPr="008A307B">
        <w:rPr>
          <w:szCs w:val="22"/>
          <w:lang w:val="sr-Latn-RS"/>
        </w:rPr>
        <w:t xml:space="preserve"> paracetamola</w:t>
      </w:r>
      <w:r w:rsidRPr="008A307B">
        <w:rPr>
          <w:szCs w:val="22"/>
          <w:lang w:val="sr-Latn-RS"/>
        </w:rPr>
        <w:t>. Epidemiološke studije o neurorazvoju kod d</w:t>
      </w:r>
      <w:r w:rsidR="00DB5A1A" w:rsidRPr="008A307B">
        <w:rPr>
          <w:szCs w:val="22"/>
          <w:lang w:val="sr-Latn-RS"/>
        </w:rPr>
        <w:t>j</w:t>
      </w:r>
      <w:r w:rsidRPr="008A307B">
        <w:rPr>
          <w:szCs w:val="22"/>
          <w:lang w:val="sr-Latn-RS"/>
        </w:rPr>
        <w:t xml:space="preserve">ece izložene paracetamolu </w:t>
      </w:r>
      <w:r w:rsidRPr="008A307B">
        <w:rPr>
          <w:i/>
          <w:szCs w:val="22"/>
          <w:lang w:val="sr-Latn-RS"/>
        </w:rPr>
        <w:t>in utero</w:t>
      </w:r>
      <w:r w:rsidRPr="008A307B">
        <w:rPr>
          <w:szCs w:val="22"/>
          <w:lang w:val="sr-Latn-RS"/>
        </w:rPr>
        <w:t xml:space="preserve"> pokazuju rezultate na osnovu kojih se ne može don</w:t>
      </w:r>
      <w:r w:rsidR="00DB5A1A" w:rsidRPr="008A307B">
        <w:rPr>
          <w:szCs w:val="22"/>
          <w:lang w:val="sr-Latn-RS"/>
        </w:rPr>
        <w:t>ij</w:t>
      </w:r>
      <w:r w:rsidRPr="008A307B">
        <w:rPr>
          <w:szCs w:val="22"/>
          <w:lang w:val="sr-Latn-RS"/>
        </w:rPr>
        <w:t>eti zaključak. Ako je klinički potreban, paracetamol se može koristiti tokom trudnoće, ali treba ga koristiti u najnižoj ef</w:t>
      </w:r>
      <w:r w:rsidR="00C7152D" w:rsidRPr="008A307B">
        <w:rPr>
          <w:szCs w:val="22"/>
          <w:lang w:val="sr-Latn-RS"/>
        </w:rPr>
        <w:t>ektivnoj</w:t>
      </w:r>
      <w:r w:rsidRPr="008A307B">
        <w:rPr>
          <w:szCs w:val="22"/>
          <w:lang w:val="sr-Latn-RS"/>
        </w:rPr>
        <w:t xml:space="preserve"> dozi tokom najkraćeg mogućeg vremena i u najmanjoj mogućoj m</w:t>
      </w:r>
      <w:r w:rsidR="00DB5A1A" w:rsidRPr="008A307B">
        <w:rPr>
          <w:szCs w:val="22"/>
          <w:lang w:val="sr-Latn-RS"/>
        </w:rPr>
        <w:t>j</w:t>
      </w:r>
      <w:r w:rsidRPr="008A307B">
        <w:rPr>
          <w:szCs w:val="22"/>
          <w:lang w:val="sr-Latn-RS"/>
        </w:rPr>
        <w:t>eri.</w:t>
      </w:r>
    </w:p>
    <w:p w14:paraId="0AAC568B" w14:textId="77777777" w:rsidR="008D1246" w:rsidRPr="008A307B" w:rsidRDefault="008D1246">
      <w:pPr>
        <w:rPr>
          <w:szCs w:val="22"/>
          <w:lang w:val="sr-Latn-RS"/>
        </w:rPr>
      </w:pPr>
    </w:p>
    <w:p w14:paraId="1080BF02" w14:textId="041E76B6" w:rsidR="008D1246" w:rsidRPr="008A307B" w:rsidRDefault="008D1246">
      <w:pPr>
        <w:rPr>
          <w:szCs w:val="22"/>
          <w:lang w:val="sr-Latn-RS"/>
        </w:rPr>
      </w:pPr>
      <w:r w:rsidRPr="008A307B">
        <w:rPr>
          <w:szCs w:val="22"/>
          <w:lang w:val="sr-Latn-RS"/>
        </w:rPr>
        <w:t>Paracetamol se izlučuje u majčino m</w:t>
      </w:r>
      <w:r w:rsidR="0023552A" w:rsidRPr="008A307B">
        <w:rPr>
          <w:szCs w:val="22"/>
          <w:lang w:val="sr-Latn-RS"/>
        </w:rPr>
        <w:t>lijek</w:t>
      </w:r>
      <w:r w:rsidRPr="008A307B">
        <w:rPr>
          <w:szCs w:val="22"/>
          <w:lang w:val="sr-Latn-RS"/>
        </w:rPr>
        <w:t xml:space="preserve">o, ali ne u klinički značajnoj količini. Dostupni objavljeni podaci </w:t>
      </w:r>
      <w:r w:rsidR="004C7D06" w:rsidRPr="008A307B">
        <w:rPr>
          <w:szCs w:val="22"/>
          <w:lang w:val="sr-Latn-RS"/>
        </w:rPr>
        <w:t>ukazuju da ne postoje kontraindikacije za</w:t>
      </w:r>
      <w:r w:rsidRPr="008A307B">
        <w:rPr>
          <w:szCs w:val="22"/>
          <w:lang w:val="sr-Latn-RS"/>
        </w:rPr>
        <w:t xml:space="preserve"> dojenje.</w:t>
      </w:r>
    </w:p>
    <w:p w14:paraId="362C5F28" w14:textId="77777777" w:rsidR="008D1246" w:rsidRPr="008A307B" w:rsidRDefault="008D1246">
      <w:pPr>
        <w:rPr>
          <w:szCs w:val="22"/>
          <w:lang w:val="sr-Latn-RS"/>
        </w:rPr>
      </w:pPr>
    </w:p>
    <w:p w14:paraId="5F4B5A8B" w14:textId="22AA4911" w:rsidR="00CE09F3" w:rsidRPr="008A307B" w:rsidRDefault="00CE09F3">
      <w:pPr>
        <w:rPr>
          <w:b/>
          <w:bCs/>
          <w:spacing w:val="-8"/>
          <w:szCs w:val="22"/>
          <w:lang w:val="sr-Latn-RS"/>
        </w:rPr>
      </w:pPr>
      <w:r w:rsidRPr="008A307B">
        <w:rPr>
          <w:b/>
          <w:bCs/>
          <w:spacing w:val="-8"/>
          <w:szCs w:val="22"/>
          <w:lang w:val="sr-Latn-RS"/>
        </w:rPr>
        <w:lastRenderedPageBreak/>
        <w:t xml:space="preserve">4.7. Uticaj </w:t>
      </w:r>
      <w:r w:rsidR="0023552A" w:rsidRPr="008A307B">
        <w:rPr>
          <w:b/>
          <w:bCs/>
          <w:spacing w:val="-8"/>
          <w:szCs w:val="22"/>
          <w:lang w:val="sr-Latn-RS"/>
        </w:rPr>
        <w:t>lijek</w:t>
      </w:r>
      <w:r w:rsidRPr="008A307B">
        <w:rPr>
          <w:b/>
          <w:bCs/>
          <w:spacing w:val="-8"/>
          <w:szCs w:val="22"/>
          <w:lang w:val="sr-Latn-RS"/>
        </w:rPr>
        <w:t>a na sposobnost upravljanja vozilima i rukovanj</w:t>
      </w:r>
      <w:r w:rsidR="00B9350D" w:rsidRPr="008A307B">
        <w:rPr>
          <w:b/>
          <w:bCs/>
          <w:spacing w:val="-8"/>
          <w:szCs w:val="22"/>
          <w:lang w:val="sr-Latn-RS"/>
        </w:rPr>
        <w:t>e</w:t>
      </w:r>
      <w:r w:rsidRPr="008A307B">
        <w:rPr>
          <w:b/>
          <w:bCs/>
          <w:spacing w:val="-8"/>
          <w:szCs w:val="22"/>
          <w:lang w:val="sr-Latn-RS"/>
        </w:rPr>
        <w:t xml:space="preserve"> mašinama</w:t>
      </w:r>
    </w:p>
    <w:p w14:paraId="68DD7E9B" w14:textId="77777777" w:rsidR="00CE09F3" w:rsidRPr="008A307B" w:rsidRDefault="00CE09F3">
      <w:pPr>
        <w:rPr>
          <w:szCs w:val="22"/>
          <w:lang w:val="sr-Latn-RS"/>
        </w:rPr>
      </w:pPr>
    </w:p>
    <w:p w14:paraId="144EE0AB" w14:textId="380900E8" w:rsidR="00143E14" w:rsidRPr="008A307B" w:rsidRDefault="00143E14">
      <w:pPr>
        <w:rPr>
          <w:szCs w:val="22"/>
          <w:lang w:val="sr-Latn-RS"/>
        </w:rPr>
      </w:pPr>
      <w:r w:rsidRPr="008A307B">
        <w:rPr>
          <w:szCs w:val="22"/>
          <w:lang w:val="sr-Latn-RS"/>
        </w:rPr>
        <w:t xml:space="preserve">Ne postoje podaci o uticaju </w:t>
      </w:r>
      <w:r w:rsidR="0023552A" w:rsidRPr="008A307B">
        <w:rPr>
          <w:szCs w:val="22"/>
          <w:lang w:val="sr-Latn-RS"/>
        </w:rPr>
        <w:t>lijek</w:t>
      </w:r>
      <w:r w:rsidRPr="008A307B">
        <w:rPr>
          <w:szCs w:val="22"/>
          <w:lang w:val="sr-Latn-RS"/>
        </w:rPr>
        <w:t xml:space="preserve">a na </w:t>
      </w:r>
      <w:r w:rsidR="004C7D06" w:rsidRPr="008A307B">
        <w:rPr>
          <w:szCs w:val="22"/>
          <w:lang w:val="sr-Latn-RS"/>
        </w:rPr>
        <w:t>sposobnost</w:t>
      </w:r>
      <w:r w:rsidRPr="008A307B">
        <w:rPr>
          <w:szCs w:val="22"/>
          <w:lang w:val="sr-Latn-RS"/>
        </w:rPr>
        <w:t xml:space="preserve"> upravljanja vozil</w:t>
      </w:r>
      <w:r w:rsidR="004C7D06" w:rsidRPr="008A307B">
        <w:rPr>
          <w:szCs w:val="22"/>
          <w:lang w:val="sr-Latn-RS"/>
        </w:rPr>
        <w:t>i</w:t>
      </w:r>
      <w:r w:rsidRPr="008A307B">
        <w:rPr>
          <w:szCs w:val="22"/>
          <w:lang w:val="sr-Latn-RS"/>
        </w:rPr>
        <w:t>m</w:t>
      </w:r>
      <w:r w:rsidR="004C7D06" w:rsidRPr="008A307B">
        <w:rPr>
          <w:szCs w:val="22"/>
          <w:lang w:val="sr-Latn-RS"/>
        </w:rPr>
        <w:t>a</w:t>
      </w:r>
      <w:r w:rsidRPr="008A307B">
        <w:rPr>
          <w:szCs w:val="22"/>
          <w:lang w:val="sr-Latn-RS"/>
        </w:rPr>
        <w:t xml:space="preserve"> i rukovanja mašinama. </w:t>
      </w:r>
    </w:p>
    <w:p w14:paraId="310DCA3A" w14:textId="77777777" w:rsidR="00B31595" w:rsidRPr="008A307B" w:rsidRDefault="00B31595">
      <w:pPr>
        <w:rPr>
          <w:szCs w:val="22"/>
          <w:lang w:val="sr-Latn-RS"/>
        </w:rPr>
      </w:pPr>
    </w:p>
    <w:p w14:paraId="7913DF32" w14:textId="77777777" w:rsidR="00CE09F3" w:rsidRPr="008A307B" w:rsidRDefault="00CE09F3">
      <w:pPr>
        <w:rPr>
          <w:b/>
          <w:bCs/>
          <w:szCs w:val="22"/>
          <w:lang w:val="sr-Latn-RS"/>
        </w:rPr>
      </w:pPr>
      <w:r w:rsidRPr="008A307B">
        <w:rPr>
          <w:b/>
          <w:bCs/>
          <w:szCs w:val="22"/>
          <w:lang w:val="sr-Latn-RS"/>
        </w:rPr>
        <w:t>4.8. Neželjena dejstva</w:t>
      </w:r>
    </w:p>
    <w:p w14:paraId="0A666FFD" w14:textId="77777777" w:rsidR="00CE09F3" w:rsidRPr="008A307B" w:rsidRDefault="00CE09F3">
      <w:pPr>
        <w:rPr>
          <w:noProof/>
          <w:szCs w:val="22"/>
          <w:u w:val="single"/>
          <w:lang w:val="sr-Latn-RS"/>
        </w:rPr>
      </w:pPr>
    </w:p>
    <w:p w14:paraId="16E2E2E7" w14:textId="1A8873C3" w:rsidR="00B31595" w:rsidRPr="008A307B" w:rsidRDefault="001E4345">
      <w:pPr>
        <w:rPr>
          <w:noProof/>
          <w:szCs w:val="22"/>
          <w:lang w:val="sr-Latn-RS"/>
        </w:rPr>
      </w:pPr>
      <w:r w:rsidRPr="008A307B">
        <w:rPr>
          <w:noProof/>
          <w:szCs w:val="22"/>
          <w:lang w:val="sr-Latn-RS"/>
        </w:rPr>
        <w:t xml:space="preserve">Neželjene reakcije su klasifikovane prema </w:t>
      </w:r>
      <w:r w:rsidR="00B31595" w:rsidRPr="008A307B">
        <w:rPr>
          <w:noProof/>
          <w:szCs w:val="22"/>
          <w:lang w:val="sr-Latn-RS"/>
        </w:rPr>
        <w:t>učestalosti, počevši od najčešćih, korišćenjem sl</w:t>
      </w:r>
      <w:r w:rsidR="00B9350D" w:rsidRPr="008A307B">
        <w:rPr>
          <w:noProof/>
          <w:szCs w:val="22"/>
          <w:lang w:val="sr-Latn-RS"/>
        </w:rPr>
        <w:t>je</w:t>
      </w:r>
      <w:r w:rsidR="00B31595" w:rsidRPr="008A307B">
        <w:rPr>
          <w:noProof/>
          <w:szCs w:val="22"/>
          <w:lang w:val="sr-Latn-RS"/>
        </w:rPr>
        <w:t>deće konvencije: veoma čest</w:t>
      </w:r>
      <w:r w:rsidR="003B656B" w:rsidRPr="008A307B">
        <w:rPr>
          <w:noProof/>
          <w:szCs w:val="22"/>
          <w:lang w:val="sr-Latn-RS"/>
        </w:rPr>
        <w:t>o</w:t>
      </w:r>
      <w:r w:rsidR="00B31595" w:rsidRPr="008A307B">
        <w:rPr>
          <w:noProof/>
          <w:szCs w:val="22"/>
          <w:lang w:val="sr-Latn-RS"/>
        </w:rPr>
        <w:t xml:space="preserve"> (&gt;1/10); čest</w:t>
      </w:r>
      <w:r w:rsidR="003B656B" w:rsidRPr="008A307B">
        <w:rPr>
          <w:noProof/>
          <w:szCs w:val="22"/>
          <w:lang w:val="sr-Latn-RS"/>
        </w:rPr>
        <w:t>o</w:t>
      </w:r>
      <w:r w:rsidR="00B31595" w:rsidRPr="008A307B">
        <w:rPr>
          <w:noProof/>
          <w:szCs w:val="22"/>
          <w:lang w:val="sr-Latn-RS"/>
        </w:rPr>
        <w:t xml:space="preserve"> (≥1/100</w:t>
      </w:r>
      <w:r w:rsidR="003B656B" w:rsidRPr="008A307B">
        <w:rPr>
          <w:noProof/>
          <w:szCs w:val="22"/>
          <w:lang w:val="sr-Latn-RS"/>
        </w:rPr>
        <w:t xml:space="preserve"> do</w:t>
      </w:r>
      <w:r w:rsidR="00B31595" w:rsidRPr="008A307B">
        <w:rPr>
          <w:noProof/>
          <w:szCs w:val="22"/>
          <w:lang w:val="sr-Latn-RS"/>
        </w:rPr>
        <w:t xml:space="preserve"> &lt;1/10); povremen</w:t>
      </w:r>
      <w:r w:rsidR="003B656B" w:rsidRPr="008A307B">
        <w:rPr>
          <w:noProof/>
          <w:szCs w:val="22"/>
          <w:lang w:val="sr-Latn-RS"/>
        </w:rPr>
        <w:t>o</w:t>
      </w:r>
      <w:r w:rsidR="00B31595" w:rsidRPr="008A307B">
        <w:rPr>
          <w:noProof/>
          <w:szCs w:val="22"/>
          <w:lang w:val="sr-Latn-RS"/>
        </w:rPr>
        <w:t xml:space="preserve"> (≥1/1000</w:t>
      </w:r>
      <w:r w:rsidR="003B656B" w:rsidRPr="008A307B">
        <w:rPr>
          <w:noProof/>
          <w:szCs w:val="22"/>
          <w:lang w:val="sr-Latn-RS"/>
        </w:rPr>
        <w:t xml:space="preserve"> do</w:t>
      </w:r>
      <w:r w:rsidR="00B31595" w:rsidRPr="008A307B">
        <w:rPr>
          <w:noProof/>
          <w:szCs w:val="22"/>
          <w:lang w:val="sr-Latn-RS"/>
        </w:rPr>
        <w:t xml:space="preserve"> &lt;1/100), r</w:t>
      </w:r>
      <w:r w:rsidR="00D5504F" w:rsidRPr="008A307B">
        <w:rPr>
          <w:noProof/>
          <w:szCs w:val="22"/>
          <w:lang w:val="sr-Latn-RS"/>
        </w:rPr>
        <w:t>ije</w:t>
      </w:r>
      <w:r w:rsidR="00B31595" w:rsidRPr="008A307B">
        <w:rPr>
          <w:noProof/>
          <w:szCs w:val="22"/>
          <w:lang w:val="sr-Latn-RS"/>
        </w:rPr>
        <w:t>tk</w:t>
      </w:r>
      <w:r w:rsidR="003B656B" w:rsidRPr="008A307B">
        <w:rPr>
          <w:noProof/>
          <w:szCs w:val="22"/>
          <w:lang w:val="sr-Latn-RS"/>
        </w:rPr>
        <w:t>o</w:t>
      </w:r>
      <w:r w:rsidR="00B31595" w:rsidRPr="008A307B">
        <w:rPr>
          <w:noProof/>
          <w:szCs w:val="22"/>
          <w:lang w:val="sr-Latn-RS"/>
        </w:rPr>
        <w:t xml:space="preserve"> (≥1/10000</w:t>
      </w:r>
      <w:r w:rsidR="003B656B" w:rsidRPr="008A307B">
        <w:rPr>
          <w:noProof/>
          <w:szCs w:val="22"/>
          <w:lang w:val="sr-Latn-RS"/>
        </w:rPr>
        <w:t xml:space="preserve"> do</w:t>
      </w:r>
      <w:r w:rsidR="00B31595" w:rsidRPr="008A307B">
        <w:rPr>
          <w:noProof/>
          <w:szCs w:val="22"/>
          <w:lang w:val="sr-Latn-RS"/>
        </w:rPr>
        <w:t xml:space="preserve"> &lt;1/1000); veoma r</w:t>
      </w:r>
      <w:r w:rsidR="00D5504F" w:rsidRPr="008A307B">
        <w:rPr>
          <w:noProof/>
          <w:szCs w:val="22"/>
          <w:lang w:val="sr-Latn-RS"/>
        </w:rPr>
        <w:t>ijet</w:t>
      </w:r>
      <w:r w:rsidR="00B31595" w:rsidRPr="008A307B">
        <w:rPr>
          <w:noProof/>
          <w:szCs w:val="22"/>
          <w:lang w:val="sr-Latn-RS"/>
        </w:rPr>
        <w:t>k</w:t>
      </w:r>
      <w:r w:rsidR="003B656B" w:rsidRPr="008A307B">
        <w:rPr>
          <w:noProof/>
          <w:szCs w:val="22"/>
          <w:lang w:val="sr-Latn-RS"/>
        </w:rPr>
        <w:t>o</w:t>
      </w:r>
      <w:r w:rsidR="00B31595" w:rsidRPr="008A307B">
        <w:rPr>
          <w:noProof/>
          <w:szCs w:val="22"/>
          <w:lang w:val="sr-Latn-RS"/>
        </w:rPr>
        <w:t xml:space="preserve"> (&lt;1/10000); nepoznate učestalosti (ne može se proc</w:t>
      </w:r>
      <w:r w:rsidR="00D5504F" w:rsidRPr="008A307B">
        <w:rPr>
          <w:noProof/>
          <w:szCs w:val="22"/>
          <w:lang w:val="sr-Latn-RS"/>
        </w:rPr>
        <w:t>ije</w:t>
      </w:r>
      <w:r w:rsidR="00B31595" w:rsidRPr="008A307B">
        <w:rPr>
          <w:noProof/>
          <w:szCs w:val="22"/>
          <w:lang w:val="sr-Latn-RS"/>
        </w:rPr>
        <w:t>niti na osnovu dostupnih podataka).</w:t>
      </w:r>
    </w:p>
    <w:p w14:paraId="19276EEB" w14:textId="77777777" w:rsidR="000B5C1F" w:rsidRPr="008A307B" w:rsidRDefault="000B5C1F">
      <w:pPr>
        <w:rPr>
          <w:noProof/>
          <w:szCs w:val="22"/>
          <w:lang w:val="sr-Latn-RS"/>
        </w:rPr>
      </w:pPr>
    </w:p>
    <w:p w14:paraId="18D6ED4A" w14:textId="12846F2B" w:rsidR="000B5C1F" w:rsidRPr="008A307B" w:rsidRDefault="00910E72">
      <w:pPr>
        <w:rPr>
          <w:noProof/>
          <w:szCs w:val="22"/>
          <w:lang w:val="sr-Latn-RS"/>
        </w:rPr>
      </w:pPr>
      <w:r w:rsidRPr="008A307B">
        <w:rPr>
          <w:noProof/>
          <w:szCs w:val="22"/>
          <w:lang w:val="sr-Latn-RS"/>
        </w:rPr>
        <w:t>Neželjena dejstva paracetamola su r</w:t>
      </w:r>
      <w:r w:rsidR="00D5504F" w:rsidRPr="008A307B">
        <w:rPr>
          <w:noProof/>
          <w:szCs w:val="22"/>
          <w:lang w:val="sr-Latn-RS"/>
        </w:rPr>
        <w:t>ij</w:t>
      </w:r>
      <w:r w:rsidRPr="008A307B">
        <w:rPr>
          <w:noProof/>
          <w:szCs w:val="22"/>
          <w:lang w:val="sr-Latn-RS"/>
        </w:rPr>
        <w:t>etka.</w:t>
      </w:r>
    </w:p>
    <w:p w14:paraId="0859E10A" w14:textId="59B82AA6" w:rsidR="00ED6A3F" w:rsidRPr="008A307B" w:rsidRDefault="000B5C1F">
      <w:pPr>
        <w:rPr>
          <w:szCs w:val="22"/>
          <w:lang w:val="sr-Latn-RS"/>
        </w:rPr>
      </w:pPr>
      <w:r w:rsidRPr="008A307B">
        <w:rPr>
          <w:noProof/>
          <w:szCs w:val="22"/>
          <w:lang w:val="sr-Latn-RS"/>
        </w:rPr>
        <w:t>Prijavljeni su veoma r</w:t>
      </w:r>
      <w:r w:rsidR="00D5504F" w:rsidRPr="008A307B">
        <w:rPr>
          <w:noProof/>
          <w:szCs w:val="22"/>
          <w:lang w:val="sr-Latn-RS"/>
        </w:rPr>
        <w:t>ij</w:t>
      </w:r>
      <w:r w:rsidRPr="008A307B">
        <w:rPr>
          <w:noProof/>
          <w:szCs w:val="22"/>
          <w:lang w:val="sr-Latn-RS"/>
        </w:rPr>
        <w:t>etki slučajevi teških neželje</w:t>
      </w:r>
      <w:r w:rsidR="00ED6A3F" w:rsidRPr="008A307B">
        <w:rPr>
          <w:noProof/>
          <w:szCs w:val="22"/>
          <w:lang w:val="sr-Latn-RS"/>
        </w:rPr>
        <w:t>nih reakcija na koži. Takođe, prijavljeni</w:t>
      </w:r>
      <w:r w:rsidRPr="008A307B">
        <w:rPr>
          <w:noProof/>
          <w:szCs w:val="22"/>
          <w:lang w:val="sr-Latn-RS"/>
        </w:rPr>
        <w:t xml:space="preserve"> su slučajevi krvnih diskrazija, uključujući trombocitopenijsku purpuru, methemoglo</w:t>
      </w:r>
      <w:r w:rsidR="003F532D" w:rsidRPr="008A307B">
        <w:rPr>
          <w:noProof/>
          <w:szCs w:val="22"/>
          <w:lang w:val="sr-Latn-RS"/>
        </w:rPr>
        <w:t>binemiju i agranulocitozu</w:t>
      </w:r>
      <w:r w:rsidR="00ED6A3F" w:rsidRPr="008A307B">
        <w:rPr>
          <w:noProof/>
          <w:szCs w:val="22"/>
          <w:lang w:val="sr-Latn-RS"/>
        </w:rPr>
        <w:t xml:space="preserve">, </w:t>
      </w:r>
      <w:r w:rsidR="00ED6A3F" w:rsidRPr="008A307B">
        <w:rPr>
          <w:szCs w:val="22"/>
          <w:lang w:val="sr-Latn-RS"/>
        </w:rPr>
        <w:t>ali ni</w:t>
      </w:r>
      <w:r w:rsidR="00AB2583" w:rsidRPr="008A307B">
        <w:rPr>
          <w:szCs w:val="22"/>
          <w:lang w:val="sr-Latn-RS"/>
        </w:rPr>
        <w:t>je</w:t>
      </w:r>
      <w:r w:rsidR="00ED6A3F" w:rsidRPr="008A307B">
        <w:rPr>
          <w:szCs w:val="22"/>
          <w:lang w:val="sr-Latn-RS"/>
        </w:rPr>
        <w:t>su sa sigurnoš</w:t>
      </w:r>
      <w:r w:rsidR="00ED6A3F" w:rsidRPr="008A307B">
        <w:rPr>
          <w:rFonts w:eastAsia="TimesNewRoman"/>
          <w:szCs w:val="22"/>
          <w:lang w:val="sr-Latn-RS"/>
        </w:rPr>
        <w:t>ć</w:t>
      </w:r>
      <w:r w:rsidR="00ED6A3F" w:rsidRPr="008A307B">
        <w:rPr>
          <w:szCs w:val="22"/>
          <w:lang w:val="sr-Latn-RS"/>
        </w:rPr>
        <w:t>u uzro</w:t>
      </w:r>
      <w:r w:rsidR="00ED6A3F" w:rsidRPr="008A307B">
        <w:rPr>
          <w:rFonts w:eastAsia="TimesNewRoman"/>
          <w:szCs w:val="22"/>
          <w:lang w:val="sr-Latn-RS"/>
        </w:rPr>
        <w:t>č</w:t>
      </w:r>
      <w:r w:rsidR="00ED6A3F" w:rsidRPr="008A307B">
        <w:rPr>
          <w:szCs w:val="22"/>
          <w:lang w:val="sr-Latn-RS"/>
        </w:rPr>
        <w:t>no-posl</w:t>
      </w:r>
      <w:r w:rsidR="00AB2583" w:rsidRPr="008A307B">
        <w:rPr>
          <w:szCs w:val="22"/>
          <w:lang w:val="sr-Latn-RS"/>
        </w:rPr>
        <w:t>j</w:t>
      </w:r>
      <w:r w:rsidR="00ED6A3F" w:rsidRPr="008A307B">
        <w:rPr>
          <w:szCs w:val="22"/>
          <w:lang w:val="sr-Latn-RS"/>
        </w:rPr>
        <w:t>edi</w:t>
      </w:r>
      <w:r w:rsidR="00ED6A3F" w:rsidRPr="008A307B">
        <w:rPr>
          <w:rFonts w:eastAsia="TimesNewRoman"/>
          <w:szCs w:val="22"/>
          <w:lang w:val="sr-Latn-RS"/>
        </w:rPr>
        <w:t>č</w:t>
      </w:r>
      <w:r w:rsidR="00ED6A3F" w:rsidRPr="008A307B">
        <w:rPr>
          <w:szCs w:val="22"/>
          <w:lang w:val="sr-Latn-RS"/>
        </w:rPr>
        <w:t xml:space="preserve">no </w:t>
      </w:r>
      <w:r w:rsidR="00821B45" w:rsidRPr="008A307B">
        <w:rPr>
          <w:szCs w:val="22"/>
          <w:lang w:val="sr-Latn-RS"/>
        </w:rPr>
        <w:t xml:space="preserve">mogli biti </w:t>
      </w:r>
      <w:r w:rsidR="00ED6A3F" w:rsidRPr="008A307B">
        <w:rPr>
          <w:szCs w:val="22"/>
          <w:lang w:val="sr-Latn-RS"/>
        </w:rPr>
        <w:t>povezani sa prim</w:t>
      </w:r>
      <w:r w:rsidR="00D5504F" w:rsidRPr="008A307B">
        <w:rPr>
          <w:szCs w:val="22"/>
          <w:lang w:val="sr-Latn-RS"/>
        </w:rPr>
        <w:t>j</w:t>
      </w:r>
      <w:r w:rsidR="00ED6A3F" w:rsidRPr="008A307B">
        <w:rPr>
          <w:szCs w:val="22"/>
          <w:lang w:val="sr-Latn-RS"/>
        </w:rPr>
        <w:t>enom paracetamola.</w:t>
      </w:r>
    </w:p>
    <w:p w14:paraId="7B1AF619" w14:textId="067B0D77" w:rsidR="00DE2FAC" w:rsidRPr="008A307B" w:rsidRDefault="00DE2FAC">
      <w:pPr>
        <w:rPr>
          <w:szCs w:val="22"/>
          <w:lang w:val="sr-Latn-RS"/>
        </w:rPr>
      </w:pPr>
      <w:r w:rsidRPr="008A307B">
        <w:rPr>
          <w:szCs w:val="22"/>
          <w:lang w:val="sr-Latn-RS"/>
        </w:rPr>
        <w:t>Moguća je i pojava reakcija preos</w:t>
      </w:r>
      <w:r w:rsidR="00D5504F" w:rsidRPr="008A307B">
        <w:rPr>
          <w:szCs w:val="22"/>
          <w:lang w:val="sr-Latn-RS"/>
        </w:rPr>
        <w:t>j</w:t>
      </w:r>
      <w:r w:rsidRPr="008A307B">
        <w:rPr>
          <w:szCs w:val="22"/>
          <w:lang w:val="sr-Latn-RS"/>
        </w:rPr>
        <w:t>etljivosti počev od blag</w:t>
      </w:r>
      <w:r w:rsidR="00AB2583" w:rsidRPr="008A307B">
        <w:rPr>
          <w:szCs w:val="22"/>
          <w:lang w:val="sr-Latn-RS"/>
        </w:rPr>
        <w:t>og</w:t>
      </w:r>
      <w:r w:rsidRPr="008A307B">
        <w:rPr>
          <w:szCs w:val="22"/>
          <w:lang w:val="sr-Latn-RS"/>
        </w:rPr>
        <w:t xml:space="preserve"> os</w:t>
      </w:r>
      <w:r w:rsidR="00AB2583" w:rsidRPr="008A307B">
        <w:rPr>
          <w:szCs w:val="22"/>
          <w:lang w:val="sr-Latn-RS"/>
        </w:rPr>
        <w:t>ipa</w:t>
      </w:r>
      <w:r w:rsidRPr="008A307B">
        <w:rPr>
          <w:szCs w:val="22"/>
          <w:lang w:val="sr-Latn-RS"/>
        </w:rPr>
        <w:t xml:space="preserve"> na koži do teških reakcija koje zaht</w:t>
      </w:r>
      <w:r w:rsidR="00D5504F" w:rsidRPr="008A307B">
        <w:rPr>
          <w:szCs w:val="22"/>
          <w:lang w:val="sr-Latn-RS"/>
        </w:rPr>
        <w:t>ije</w:t>
      </w:r>
      <w:r w:rsidRPr="008A307B">
        <w:rPr>
          <w:szCs w:val="22"/>
          <w:lang w:val="sr-Latn-RS"/>
        </w:rPr>
        <w:t>vaju prekid terapije.</w:t>
      </w:r>
    </w:p>
    <w:p w14:paraId="0824D644" w14:textId="77777777" w:rsidR="00A12582" w:rsidRPr="008A307B" w:rsidRDefault="00A12582">
      <w:pPr>
        <w:rPr>
          <w:noProof/>
          <w:szCs w:val="22"/>
          <w:u w:val="single"/>
          <w:lang w:val="sr-Latn-RS"/>
        </w:rPr>
      </w:pPr>
    </w:p>
    <w:p w14:paraId="77DB0606" w14:textId="77777777" w:rsidR="0078547B" w:rsidRPr="008A307B" w:rsidRDefault="0078547B">
      <w:pPr>
        <w:spacing w:after="200" w:line="276" w:lineRule="auto"/>
        <w:rPr>
          <w:rFonts w:eastAsia="Calibri"/>
          <w:szCs w:val="22"/>
          <w:u w:val="single"/>
          <w:lang w:val="sr-Latn-RS"/>
        </w:rPr>
      </w:pPr>
      <w:r w:rsidRPr="008A307B">
        <w:rPr>
          <w:rFonts w:eastAsia="Calibri"/>
          <w:szCs w:val="22"/>
          <w:u w:val="single"/>
          <w:lang w:val="sr-Latn-RS"/>
        </w:rPr>
        <w:t>Prijavljivanje sumnji na neželjena dejstva</w:t>
      </w:r>
    </w:p>
    <w:p w14:paraId="28831D26" w14:textId="77777777" w:rsidR="0078547B" w:rsidRPr="008A307B" w:rsidRDefault="0078547B">
      <w:pPr>
        <w:spacing w:after="200"/>
        <w:rPr>
          <w:rFonts w:eastAsia="Calibri"/>
          <w:szCs w:val="22"/>
          <w:lang w:val="sr-Latn-RS"/>
        </w:rPr>
      </w:pPr>
      <w:r w:rsidRPr="008A307B">
        <w:rPr>
          <w:rFonts w:eastAsia="Calibri"/>
          <w:szCs w:val="22"/>
          <w:lang w:val="sr-Latn-RS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(CInMED):</w:t>
      </w:r>
    </w:p>
    <w:p w14:paraId="49021624" w14:textId="77777777" w:rsidR="0078547B" w:rsidRPr="008A307B" w:rsidRDefault="0078547B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8A307B">
        <w:rPr>
          <w:rFonts w:eastAsia="Calibri"/>
          <w:sz w:val="22"/>
          <w:szCs w:val="22"/>
          <w:lang w:val="sr-Latn-RS"/>
        </w:rPr>
        <w:t xml:space="preserve">Institut za ljekove i medicinska sredstva </w:t>
      </w:r>
    </w:p>
    <w:p w14:paraId="70184D06" w14:textId="77777777" w:rsidR="0078547B" w:rsidRPr="008A307B" w:rsidRDefault="0078547B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8A307B">
        <w:rPr>
          <w:rFonts w:eastAsia="Calibri"/>
          <w:sz w:val="22"/>
          <w:szCs w:val="22"/>
          <w:lang w:val="sr-Latn-RS"/>
        </w:rPr>
        <w:t>Odjeljenje za farmakovigilancu</w:t>
      </w:r>
    </w:p>
    <w:p w14:paraId="6F4FD93C" w14:textId="77777777" w:rsidR="0078547B" w:rsidRPr="008A307B" w:rsidRDefault="0078547B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8A307B">
        <w:rPr>
          <w:rFonts w:eastAsia="Calibri"/>
          <w:sz w:val="22"/>
          <w:szCs w:val="22"/>
          <w:lang w:val="sr-Latn-RS"/>
        </w:rPr>
        <w:t>Bulevar Ivana Crnojevića 64a, 81000 Podgorica</w:t>
      </w:r>
    </w:p>
    <w:p w14:paraId="654DCEF3" w14:textId="77777777" w:rsidR="0078547B" w:rsidRPr="008A307B" w:rsidRDefault="0078547B" w:rsidP="00582E5D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75093FBA" w14:textId="77777777" w:rsidR="0078547B" w:rsidRPr="008A307B" w:rsidRDefault="0078547B" w:rsidP="007E05CC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8A307B">
        <w:rPr>
          <w:rFonts w:eastAsia="Calibri"/>
          <w:sz w:val="22"/>
          <w:szCs w:val="22"/>
          <w:lang w:val="sr-Latn-RS"/>
        </w:rPr>
        <w:t>tel: +382 (0) 20 310 280</w:t>
      </w:r>
    </w:p>
    <w:p w14:paraId="7EDEC1A5" w14:textId="77777777" w:rsidR="0078547B" w:rsidRPr="008A307B" w:rsidRDefault="0078547B" w:rsidP="007E05CC">
      <w:pPr>
        <w:pStyle w:val="NoSpacing"/>
        <w:tabs>
          <w:tab w:val="left" w:pos="6720"/>
        </w:tabs>
        <w:jc w:val="both"/>
        <w:rPr>
          <w:rFonts w:eastAsia="Calibri"/>
          <w:sz w:val="22"/>
          <w:szCs w:val="22"/>
          <w:lang w:val="sr-Latn-RS"/>
        </w:rPr>
      </w:pPr>
      <w:r w:rsidRPr="008A307B">
        <w:rPr>
          <w:rFonts w:eastAsia="Calibri"/>
          <w:sz w:val="22"/>
          <w:szCs w:val="22"/>
          <w:lang w:val="sr-Latn-RS"/>
        </w:rPr>
        <w:t>fax: +382 (0) 20 310 581</w:t>
      </w:r>
      <w:r w:rsidRPr="008A307B">
        <w:rPr>
          <w:rFonts w:eastAsia="Calibri"/>
          <w:sz w:val="22"/>
          <w:szCs w:val="22"/>
          <w:lang w:val="sr-Latn-RS"/>
        </w:rPr>
        <w:tab/>
      </w:r>
    </w:p>
    <w:p w14:paraId="42B7D98B" w14:textId="77777777" w:rsidR="0078547B" w:rsidRPr="008A307B" w:rsidRDefault="006F7667" w:rsidP="007E05CC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hyperlink r:id="rId10" w:history="1">
        <w:r w:rsidR="0078547B" w:rsidRPr="008A307B">
          <w:rPr>
            <w:rStyle w:val="Hyperlink"/>
            <w:rFonts w:eastAsia="Calibri"/>
            <w:sz w:val="22"/>
            <w:szCs w:val="22"/>
            <w:lang w:val="sr-Latn-RS"/>
          </w:rPr>
          <w:t>www.cinmed.me</w:t>
        </w:r>
      </w:hyperlink>
    </w:p>
    <w:p w14:paraId="2221740D" w14:textId="77777777" w:rsidR="0078547B" w:rsidRPr="008A307B" w:rsidRDefault="006F7667" w:rsidP="007E05CC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RS"/>
        </w:rPr>
      </w:pPr>
      <w:hyperlink r:id="rId11" w:history="1">
        <w:r w:rsidR="0078547B" w:rsidRPr="008A307B">
          <w:rPr>
            <w:rStyle w:val="Hyperlink"/>
            <w:rFonts w:eastAsia="Calibri"/>
            <w:sz w:val="22"/>
            <w:szCs w:val="22"/>
            <w:lang w:val="sr-Latn-RS"/>
          </w:rPr>
          <w:t>nezeljenadejstva@cinmed.me</w:t>
        </w:r>
      </w:hyperlink>
    </w:p>
    <w:p w14:paraId="786DE64B" w14:textId="77777777" w:rsidR="0078547B" w:rsidRPr="008A307B" w:rsidRDefault="0078547B" w:rsidP="007E05CC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8A307B">
        <w:rPr>
          <w:rFonts w:eastAsia="Calibri"/>
          <w:sz w:val="22"/>
          <w:szCs w:val="22"/>
          <w:lang w:val="sr-Latn-RS"/>
        </w:rPr>
        <w:t>putem IS zdravstvene zaštite</w:t>
      </w:r>
    </w:p>
    <w:p w14:paraId="2B28C7B4" w14:textId="77777777" w:rsidR="0078547B" w:rsidRPr="008A307B" w:rsidRDefault="0078547B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8A307B">
        <w:rPr>
          <w:rFonts w:eastAsia="Calibri"/>
          <w:sz w:val="22"/>
          <w:szCs w:val="22"/>
          <w:lang w:val="sr-Latn-RS"/>
        </w:rPr>
        <w:t>QR kod za online prijavu sumnje na neželjeno dejstvo lijeka:</w:t>
      </w:r>
    </w:p>
    <w:p w14:paraId="568212FD" w14:textId="77777777" w:rsidR="0078547B" w:rsidRPr="008A307B" w:rsidRDefault="0078547B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571F6281" w14:textId="77777777" w:rsidR="0078547B" w:rsidRPr="008A307B" w:rsidRDefault="0078547B" w:rsidP="00582E5D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8A307B">
        <w:rPr>
          <w:noProof/>
          <w:sz w:val="22"/>
          <w:szCs w:val="22"/>
          <w:lang w:val="sr-Latn-RS"/>
        </w:rPr>
        <w:drawing>
          <wp:inline distT="0" distB="0" distL="0" distR="0" wp14:anchorId="6A12CC99" wp14:editId="6E3FEC56">
            <wp:extent cx="971550" cy="971550"/>
            <wp:effectExtent l="0" t="0" r="0" b="0"/>
            <wp:docPr id="2" name="Picture 2" descr="https://cinmed.me/wp-content/uploads/2022/11/Online-prijava-NDL-QR-code-300x300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2A714" w14:textId="77777777" w:rsidR="00CE09F3" w:rsidRPr="008A307B" w:rsidRDefault="00CE09F3" w:rsidP="007E05CC">
      <w:pPr>
        <w:rPr>
          <w:szCs w:val="22"/>
          <w:lang w:val="sr-Latn-RS"/>
        </w:rPr>
      </w:pPr>
    </w:p>
    <w:p w14:paraId="2D20A73F" w14:textId="77777777" w:rsidR="00CE09F3" w:rsidRPr="008A307B" w:rsidRDefault="00CE09F3" w:rsidP="007E05CC">
      <w:pPr>
        <w:rPr>
          <w:b/>
          <w:bCs/>
          <w:szCs w:val="22"/>
          <w:lang w:val="sr-Latn-RS"/>
        </w:rPr>
      </w:pPr>
      <w:r w:rsidRPr="008A307B">
        <w:rPr>
          <w:b/>
          <w:bCs/>
          <w:szCs w:val="22"/>
          <w:lang w:val="sr-Latn-RS"/>
        </w:rPr>
        <w:t>4.9. Predoziranje</w:t>
      </w:r>
    </w:p>
    <w:p w14:paraId="58BCF4D3" w14:textId="77777777" w:rsidR="00CE09F3" w:rsidRPr="008A307B" w:rsidRDefault="00CE09F3" w:rsidP="007E05CC">
      <w:pPr>
        <w:rPr>
          <w:szCs w:val="22"/>
          <w:lang w:val="sr-Latn-RS"/>
        </w:rPr>
      </w:pPr>
    </w:p>
    <w:p w14:paraId="640933CB" w14:textId="7F0AB2C9" w:rsidR="00143E14" w:rsidRPr="008A307B" w:rsidRDefault="00143E14">
      <w:pPr>
        <w:autoSpaceDE w:val="0"/>
        <w:autoSpaceDN w:val="0"/>
        <w:adjustRightInd w:val="0"/>
        <w:rPr>
          <w:szCs w:val="22"/>
          <w:lang w:val="sr-Latn-RS"/>
        </w:rPr>
      </w:pPr>
      <w:r w:rsidRPr="008A307B">
        <w:rPr>
          <w:szCs w:val="22"/>
          <w:lang w:val="sr-Latn-RS"/>
        </w:rPr>
        <w:t>Oštećenje jetre je moguće kod odraslih osoba ukoliko upotr</w:t>
      </w:r>
      <w:r w:rsidR="00A21A5A" w:rsidRPr="008A307B">
        <w:rPr>
          <w:szCs w:val="22"/>
          <w:lang w:val="sr-Latn-RS"/>
        </w:rPr>
        <w:t>ije</w:t>
      </w:r>
      <w:r w:rsidRPr="008A307B">
        <w:rPr>
          <w:szCs w:val="22"/>
          <w:lang w:val="sr-Latn-RS"/>
        </w:rPr>
        <w:t xml:space="preserve">be 10 g ili više paracetamola. </w:t>
      </w:r>
    </w:p>
    <w:p w14:paraId="5014D739" w14:textId="53F57858" w:rsidR="00143E14" w:rsidRPr="008A307B" w:rsidRDefault="00143E14">
      <w:pPr>
        <w:autoSpaceDE w:val="0"/>
        <w:autoSpaceDN w:val="0"/>
        <w:adjustRightInd w:val="0"/>
        <w:rPr>
          <w:szCs w:val="22"/>
          <w:lang w:val="sr-Latn-RS"/>
        </w:rPr>
      </w:pPr>
      <w:r w:rsidRPr="008A307B">
        <w:rPr>
          <w:szCs w:val="22"/>
          <w:lang w:val="sr-Latn-RS"/>
        </w:rPr>
        <w:t>Prim</w:t>
      </w:r>
      <w:r w:rsidR="00A21A5A" w:rsidRPr="008A307B">
        <w:rPr>
          <w:szCs w:val="22"/>
          <w:lang w:val="sr-Latn-RS"/>
        </w:rPr>
        <w:t>j</w:t>
      </w:r>
      <w:r w:rsidRPr="008A307B">
        <w:rPr>
          <w:szCs w:val="22"/>
          <w:lang w:val="sr-Latn-RS"/>
        </w:rPr>
        <w:t xml:space="preserve">ena 5 g ili više paracetamola može dovesti do oštećenja </w:t>
      </w:r>
      <w:r w:rsidR="003B656B" w:rsidRPr="008A307B">
        <w:rPr>
          <w:szCs w:val="22"/>
          <w:lang w:val="sr-Latn-RS"/>
        </w:rPr>
        <w:t xml:space="preserve">funkcije </w:t>
      </w:r>
      <w:r w:rsidRPr="008A307B">
        <w:rPr>
          <w:szCs w:val="22"/>
          <w:lang w:val="sr-Latn-RS"/>
        </w:rPr>
        <w:t>jetre ukoliko pacijent ima neki od faktora rizika (vid</w:t>
      </w:r>
      <w:r w:rsidR="00A21A5A" w:rsidRPr="008A307B">
        <w:rPr>
          <w:szCs w:val="22"/>
          <w:lang w:val="sr-Latn-RS"/>
        </w:rPr>
        <w:t>j</w:t>
      </w:r>
      <w:r w:rsidRPr="008A307B">
        <w:rPr>
          <w:szCs w:val="22"/>
          <w:lang w:val="sr-Latn-RS"/>
        </w:rPr>
        <w:t xml:space="preserve">eti </w:t>
      </w:r>
      <w:r w:rsidR="003B656B" w:rsidRPr="008A307B">
        <w:rPr>
          <w:szCs w:val="22"/>
          <w:lang w:val="sr-Latn-RS"/>
        </w:rPr>
        <w:t>u nastavku</w:t>
      </w:r>
      <w:r w:rsidRPr="008A307B">
        <w:rPr>
          <w:szCs w:val="22"/>
          <w:lang w:val="sr-Latn-RS"/>
        </w:rPr>
        <w:t>).</w:t>
      </w:r>
    </w:p>
    <w:p w14:paraId="4A9195CD" w14:textId="77777777" w:rsidR="00143E14" w:rsidRPr="008A307B" w:rsidRDefault="00143E14">
      <w:pPr>
        <w:autoSpaceDE w:val="0"/>
        <w:autoSpaceDN w:val="0"/>
        <w:adjustRightInd w:val="0"/>
        <w:rPr>
          <w:szCs w:val="22"/>
          <w:lang w:val="sr-Latn-RS"/>
        </w:rPr>
      </w:pPr>
    </w:p>
    <w:p w14:paraId="4E2CA91F" w14:textId="77777777" w:rsidR="00143E14" w:rsidRPr="008A307B" w:rsidRDefault="00143E14">
      <w:pPr>
        <w:autoSpaceDE w:val="0"/>
        <w:autoSpaceDN w:val="0"/>
        <w:adjustRightInd w:val="0"/>
        <w:rPr>
          <w:b/>
          <w:szCs w:val="22"/>
          <w:lang w:val="sr-Latn-RS"/>
        </w:rPr>
      </w:pPr>
      <w:r w:rsidRPr="008A307B">
        <w:rPr>
          <w:b/>
          <w:szCs w:val="22"/>
          <w:lang w:val="sr-Latn-RS"/>
        </w:rPr>
        <w:t>Faktori rizika</w:t>
      </w:r>
    </w:p>
    <w:p w14:paraId="2260E753" w14:textId="587E711F" w:rsidR="00143E14" w:rsidRPr="008A307B" w:rsidRDefault="00143E14">
      <w:pPr>
        <w:numPr>
          <w:ilvl w:val="0"/>
          <w:numId w:val="6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8A307B">
        <w:rPr>
          <w:szCs w:val="22"/>
          <w:lang w:val="sr-Latn-RS"/>
        </w:rPr>
        <w:t xml:space="preserve">Ako je pacijent na dugotrajnoj terapiji karbamazepinom, fenobarbitonom, fenitoinom, primidonom, rifampicinom, kantarionom ili nekim drugim </w:t>
      </w:r>
      <w:r w:rsidR="0023552A" w:rsidRPr="008A307B">
        <w:rPr>
          <w:szCs w:val="22"/>
          <w:lang w:val="sr-Latn-RS"/>
        </w:rPr>
        <w:t>ljekovi</w:t>
      </w:r>
      <w:r w:rsidRPr="008A307B">
        <w:rPr>
          <w:szCs w:val="22"/>
          <w:lang w:val="sr-Latn-RS"/>
        </w:rPr>
        <w:t>ma koji indukuju enzime jetre.</w:t>
      </w:r>
    </w:p>
    <w:p w14:paraId="7A97258E" w14:textId="77777777" w:rsidR="00143E14" w:rsidRPr="008A307B" w:rsidRDefault="00143E14">
      <w:pPr>
        <w:numPr>
          <w:ilvl w:val="0"/>
          <w:numId w:val="6"/>
        </w:numPr>
        <w:tabs>
          <w:tab w:val="clear" w:pos="284"/>
        </w:tabs>
        <w:autoSpaceDE w:val="0"/>
        <w:autoSpaceDN w:val="0"/>
        <w:adjustRightInd w:val="0"/>
        <w:rPr>
          <w:i/>
          <w:szCs w:val="22"/>
          <w:lang w:val="sr-Latn-RS"/>
        </w:rPr>
      </w:pPr>
      <w:r w:rsidRPr="008A307B">
        <w:rPr>
          <w:szCs w:val="22"/>
          <w:lang w:val="sr-Latn-RS"/>
        </w:rPr>
        <w:t>Ako pacijent redovno uzima etanol u količinama većim od dozvoljenih.</w:t>
      </w:r>
    </w:p>
    <w:p w14:paraId="1388A097" w14:textId="397B343B" w:rsidR="00143E14" w:rsidRPr="008A307B" w:rsidRDefault="00143E14">
      <w:pPr>
        <w:numPr>
          <w:ilvl w:val="0"/>
          <w:numId w:val="6"/>
        </w:numPr>
        <w:tabs>
          <w:tab w:val="clear" w:pos="284"/>
        </w:tabs>
        <w:autoSpaceDE w:val="0"/>
        <w:autoSpaceDN w:val="0"/>
        <w:adjustRightInd w:val="0"/>
        <w:rPr>
          <w:i/>
          <w:szCs w:val="22"/>
          <w:lang w:val="sr-Latn-RS"/>
        </w:rPr>
      </w:pPr>
      <w:r w:rsidRPr="008A307B">
        <w:rPr>
          <w:szCs w:val="22"/>
          <w:lang w:val="sr-Latn-RS"/>
        </w:rPr>
        <w:t>Ako postoji v</w:t>
      </w:r>
      <w:r w:rsidR="00A21A5A" w:rsidRPr="008A307B">
        <w:rPr>
          <w:szCs w:val="22"/>
          <w:lang w:val="sr-Latn-RS"/>
        </w:rPr>
        <w:t>jer</w:t>
      </w:r>
      <w:r w:rsidRPr="008A307B">
        <w:rPr>
          <w:szCs w:val="22"/>
          <w:lang w:val="sr-Latn-RS"/>
        </w:rPr>
        <w:t>ovatnoća da pacijent ima manjak glutationa, na prim</w:t>
      </w:r>
      <w:r w:rsidR="00A21A5A" w:rsidRPr="008A307B">
        <w:rPr>
          <w:szCs w:val="22"/>
          <w:lang w:val="sr-Latn-RS"/>
        </w:rPr>
        <w:t>j</w:t>
      </w:r>
      <w:r w:rsidRPr="008A307B">
        <w:rPr>
          <w:szCs w:val="22"/>
          <w:lang w:val="sr-Latn-RS"/>
        </w:rPr>
        <w:t>er zbog poremećaja ishrane, cistične fibroze, HIV infekcije, izgladnjivanja, kaheksije.</w:t>
      </w:r>
    </w:p>
    <w:p w14:paraId="7B8578D3" w14:textId="77777777" w:rsidR="00143E14" w:rsidRPr="008A307B" w:rsidRDefault="00143E14">
      <w:pPr>
        <w:autoSpaceDE w:val="0"/>
        <w:autoSpaceDN w:val="0"/>
        <w:adjustRightInd w:val="0"/>
        <w:rPr>
          <w:szCs w:val="22"/>
          <w:lang w:val="sr-Latn-RS"/>
        </w:rPr>
      </w:pPr>
    </w:p>
    <w:p w14:paraId="4B3A75B6" w14:textId="77777777" w:rsidR="002F53A4" w:rsidRPr="008A307B" w:rsidRDefault="002F53A4">
      <w:pPr>
        <w:autoSpaceDE w:val="0"/>
        <w:autoSpaceDN w:val="0"/>
        <w:adjustRightInd w:val="0"/>
        <w:rPr>
          <w:b/>
          <w:szCs w:val="22"/>
          <w:lang w:val="sr-Latn-RS"/>
        </w:rPr>
      </w:pPr>
    </w:p>
    <w:p w14:paraId="4A792ACA" w14:textId="65F03552" w:rsidR="00143E14" w:rsidRPr="008A307B" w:rsidRDefault="00143E14">
      <w:pPr>
        <w:autoSpaceDE w:val="0"/>
        <w:autoSpaceDN w:val="0"/>
        <w:adjustRightInd w:val="0"/>
        <w:rPr>
          <w:b/>
          <w:szCs w:val="22"/>
          <w:lang w:val="sr-Latn-RS"/>
        </w:rPr>
      </w:pPr>
      <w:r w:rsidRPr="008A307B">
        <w:rPr>
          <w:b/>
          <w:szCs w:val="22"/>
          <w:lang w:val="sr-Latn-RS"/>
        </w:rPr>
        <w:lastRenderedPageBreak/>
        <w:t>Simptomi</w:t>
      </w:r>
    </w:p>
    <w:p w14:paraId="256B7634" w14:textId="62DA9306" w:rsidR="00143E14" w:rsidRPr="008A307B" w:rsidRDefault="00143E14">
      <w:pPr>
        <w:autoSpaceDE w:val="0"/>
        <w:autoSpaceDN w:val="0"/>
        <w:adjustRightInd w:val="0"/>
        <w:rPr>
          <w:szCs w:val="22"/>
          <w:lang w:val="sr-Latn-RS"/>
        </w:rPr>
      </w:pPr>
      <w:r w:rsidRPr="008A307B">
        <w:rPr>
          <w:szCs w:val="22"/>
          <w:lang w:val="sr-Latn-RS"/>
        </w:rPr>
        <w:t>Simptomi predoziranja paracetamolom u prva 24 časa su bl</w:t>
      </w:r>
      <w:r w:rsidR="00126919" w:rsidRPr="008A307B">
        <w:rPr>
          <w:szCs w:val="22"/>
          <w:lang w:val="sr-Latn-RS"/>
        </w:rPr>
        <w:t>j</w:t>
      </w:r>
      <w:r w:rsidRPr="008A307B">
        <w:rPr>
          <w:szCs w:val="22"/>
          <w:lang w:val="sr-Latn-RS"/>
        </w:rPr>
        <w:t xml:space="preserve">edilo, mučnina, povraćanje, anoreksija i bol u abdomenu. Oštećenje </w:t>
      </w:r>
      <w:r w:rsidR="003B656B" w:rsidRPr="008A307B">
        <w:rPr>
          <w:szCs w:val="22"/>
          <w:lang w:val="sr-Latn-RS"/>
        </w:rPr>
        <w:t xml:space="preserve">funkcije </w:t>
      </w:r>
      <w:r w:rsidRPr="008A307B">
        <w:rPr>
          <w:szCs w:val="22"/>
          <w:lang w:val="sr-Latn-RS"/>
        </w:rPr>
        <w:t>jetre može postati prim</w:t>
      </w:r>
      <w:r w:rsidR="00126919" w:rsidRPr="008A307B">
        <w:rPr>
          <w:szCs w:val="22"/>
          <w:lang w:val="sr-Latn-RS"/>
        </w:rPr>
        <w:t>je</w:t>
      </w:r>
      <w:r w:rsidRPr="008A307B">
        <w:rPr>
          <w:szCs w:val="22"/>
          <w:lang w:val="sr-Latn-RS"/>
        </w:rPr>
        <w:t xml:space="preserve">tno 12 do 48 časova nakon upotrebe </w:t>
      </w:r>
      <w:r w:rsidR="0023552A" w:rsidRPr="008A307B">
        <w:rPr>
          <w:szCs w:val="22"/>
          <w:lang w:val="sr-Latn-RS"/>
        </w:rPr>
        <w:t>lijek</w:t>
      </w:r>
      <w:r w:rsidRPr="008A307B">
        <w:rPr>
          <w:szCs w:val="22"/>
          <w:lang w:val="sr-Latn-RS"/>
        </w:rPr>
        <w:t xml:space="preserve">a. Može doći do poremećaja metabolizma glukoze i metaboličke acidoze. Kod teških trovanja, insuficijencija jetre može se razviti do encefalopatije, krvarenja, hipoglikemije, cerebralnog edema i smrti. Akutna bubrežna slabost sa akutnom tubularnom nekrozom, na koju ukazuje snažan bol u </w:t>
      </w:r>
      <w:r w:rsidR="00AB2583" w:rsidRPr="008A307B">
        <w:rPr>
          <w:szCs w:val="22"/>
          <w:lang w:val="sr-Latn-RS"/>
        </w:rPr>
        <w:t>leđima</w:t>
      </w:r>
      <w:r w:rsidRPr="008A307B">
        <w:rPr>
          <w:szCs w:val="22"/>
          <w:lang w:val="sr-Latn-RS"/>
        </w:rPr>
        <w:t xml:space="preserve">, hematurija i proteinurija, može se razviti čak i kada ne dođe do </w:t>
      </w:r>
      <w:r w:rsidR="003B656B" w:rsidRPr="008A307B">
        <w:rPr>
          <w:szCs w:val="22"/>
          <w:lang w:val="sr-Latn-RS"/>
        </w:rPr>
        <w:t>teškog</w:t>
      </w:r>
      <w:r w:rsidRPr="008A307B">
        <w:rPr>
          <w:szCs w:val="22"/>
          <w:lang w:val="sr-Latn-RS"/>
        </w:rPr>
        <w:t xml:space="preserve"> oštećenja</w:t>
      </w:r>
      <w:r w:rsidR="00747094" w:rsidRPr="008A307B">
        <w:rPr>
          <w:szCs w:val="22"/>
          <w:lang w:val="sr-Latn-RS"/>
        </w:rPr>
        <w:t xml:space="preserve"> funkcije</w:t>
      </w:r>
      <w:r w:rsidRPr="008A307B">
        <w:rPr>
          <w:szCs w:val="22"/>
          <w:lang w:val="sr-Latn-RS"/>
        </w:rPr>
        <w:t xml:space="preserve"> jetre. Prijavljivani su i slučajevi srčanih aritmija i pankreatitisa.</w:t>
      </w:r>
    </w:p>
    <w:p w14:paraId="26A2752B" w14:textId="77777777" w:rsidR="00143E14" w:rsidRPr="008A307B" w:rsidRDefault="00143E14">
      <w:pPr>
        <w:autoSpaceDE w:val="0"/>
        <w:autoSpaceDN w:val="0"/>
        <w:adjustRightInd w:val="0"/>
        <w:rPr>
          <w:szCs w:val="22"/>
          <w:lang w:val="sr-Latn-RS"/>
        </w:rPr>
      </w:pPr>
    </w:p>
    <w:p w14:paraId="4175C903" w14:textId="30DF0211" w:rsidR="00143E14" w:rsidRPr="008A307B" w:rsidRDefault="00143E14">
      <w:pPr>
        <w:autoSpaceDE w:val="0"/>
        <w:autoSpaceDN w:val="0"/>
        <w:adjustRightInd w:val="0"/>
        <w:rPr>
          <w:b/>
          <w:szCs w:val="22"/>
          <w:lang w:val="sr-Latn-RS"/>
        </w:rPr>
      </w:pPr>
      <w:r w:rsidRPr="008A307B">
        <w:rPr>
          <w:b/>
          <w:szCs w:val="22"/>
          <w:lang w:val="sr-Latn-RS"/>
        </w:rPr>
        <w:t>L</w:t>
      </w:r>
      <w:r w:rsidR="00A668AB" w:rsidRPr="008A307B">
        <w:rPr>
          <w:b/>
          <w:szCs w:val="22"/>
          <w:lang w:val="sr-Latn-RS"/>
        </w:rPr>
        <w:t>ij</w:t>
      </w:r>
      <w:r w:rsidRPr="008A307B">
        <w:rPr>
          <w:b/>
          <w:szCs w:val="22"/>
          <w:lang w:val="sr-Latn-RS"/>
        </w:rPr>
        <w:t>ečenje</w:t>
      </w:r>
    </w:p>
    <w:p w14:paraId="5EAD627D" w14:textId="32BE1B8F" w:rsidR="00143E14" w:rsidRPr="008A307B" w:rsidRDefault="00143E14">
      <w:pPr>
        <w:autoSpaceDE w:val="0"/>
        <w:autoSpaceDN w:val="0"/>
        <w:adjustRightInd w:val="0"/>
        <w:rPr>
          <w:szCs w:val="22"/>
          <w:lang w:val="sr-Latn-RS"/>
        </w:rPr>
      </w:pPr>
      <w:r w:rsidRPr="008A307B">
        <w:rPr>
          <w:szCs w:val="22"/>
          <w:lang w:val="sr-Latn-RS"/>
        </w:rPr>
        <w:t>Trenutna prim</w:t>
      </w:r>
      <w:r w:rsidR="007404FF" w:rsidRPr="008A307B">
        <w:rPr>
          <w:szCs w:val="22"/>
          <w:lang w:val="sr-Latn-RS"/>
        </w:rPr>
        <w:t>j</w:t>
      </w:r>
      <w:r w:rsidRPr="008A307B">
        <w:rPr>
          <w:szCs w:val="22"/>
          <w:lang w:val="sr-Latn-RS"/>
        </w:rPr>
        <w:t>ena terapije je nužna u l</w:t>
      </w:r>
      <w:r w:rsidR="007404FF" w:rsidRPr="008A307B">
        <w:rPr>
          <w:szCs w:val="22"/>
          <w:lang w:val="sr-Latn-RS"/>
        </w:rPr>
        <w:t>ije</w:t>
      </w:r>
      <w:r w:rsidRPr="008A307B">
        <w:rPr>
          <w:szCs w:val="22"/>
          <w:lang w:val="sr-Latn-RS"/>
        </w:rPr>
        <w:t>čenju predoziranja paracetamolom. Uprkos tome što nema značajnih ranih simptoma, pacijente treba hitno odvesti u bolnicu radi trenutnog l</w:t>
      </w:r>
      <w:r w:rsidR="007404FF" w:rsidRPr="008A307B">
        <w:rPr>
          <w:szCs w:val="22"/>
          <w:lang w:val="sr-Latn-RS"/>
        </w:rPr>
        <w:t>iječ</w:t>
      </w:r>
      <w:r w:rsidRPr="008A307B">
        <w:rPr>
          <w:szCs w:val="22"/>
          <w:lang w:val="sr-Latn-RS"/>
        </w:rPr>
        <w:t xml:space="preserve">enja. Simptomi mogu biti ograničeni na mučninu ili povraćanje i tako ne ukazivati na ozbiljnost predoziranja ili na rizik od oštećenja </w:t>
      </w:r>
      <w:r w:rsidR="00AF5278" w:rsidRPr="008A307B">
        <w:rPr>
          <w:szCs w:val="22"/>
          <w:lang w:val="sr-Latn-RS"/>
        </w:rPr>
        <w:t xml:space="preserve">funkcije </w:t>
      </w:r>
      <w:r w:rsidRPr="008A307B">
        <w:rPr>
          <w:szCs w:val="22"/>
          <w:lang w:val="sr-Latn-RS"/>
        </w:rPr>
        <w:t>organa. L</w:t>
      </w:r>
      <w:r w:rsidR="006B7AA6" w:rsidRPr="008A307B">
        <w:rPr>
          <w:szCs w:val="22"/>
          <w:lang w:val="sr-Latn-RS"/>
        </w:rPr>
        <w:t>ij</w:t>
      </w:r>
      <w:r w:rsidRPr="008A307B">
        <w:rPr>
          <w:szCs w:val="22"/>
          <w:lang w:val="sr-Latn-RS"/>
        </w:rPr>
        <w:t>ečenje treba da je u skladu sa utvrđenim uputstvom za l</w:t>
      </w:r>
      <w:r w:rsidR="006B7AA6" w:rsidRPr="008A307B">
        <w:rPr>
          <w:szCs w:val="22"/>
          <w:lang w:val="sr-Latn-RS"/>
        </w:rPr>
        <w:t>ije</w:t>
      </w:r>
      <w:r w:rsidRPr="008A307B">
        <w:rPr>
          <w:szCs w:val="22"/>
          <w:lang w:val="sr-Latn-RS"/>
        </w:rPr>
        <w:t>čenje.</w:t>
      </w:r>
    </w:p>
    <w:p w14:paraId="3CA82C8D" w14:textId="0583225D" w:rsidR="00143E14" w:rsidRPr="008A307B" w:rsidRDefault="00143E14">
      <w:pPr>
        <w:autoSpaceDE w:val="0"/>
        <w:autoSpaceDN w:val="0"/>
        <w:adjustRightInd w:val="0"/>
        <w:rPr>
          <w:szCs w:val="22"/>
          <w:lang w:val="sr-Latn-RS"/>
        </w:rPr>
      </w:pPr>
      <w:r w:rsidRPr="008A307B">
        <w:rPr>
          <w:szCs w:val="22"/>
          <w:lang w:val="sr-Latn-RS"/>
        </w:rPr>
        <w:t xml:space="preserve">Eventualno treba </w:t>
      </w:r>
      <w:r w:rsidR="00747094" w:rsidRPr="008A307B">
        <w:rPr>
          <w:szCs w:val="22"/>
          <w:lang w:val="sr-Latn-RS"/>
        </w:rPr>
        <w:t>razmatrati</w:t>
      </w:r>
      <w:r w:rsidRPr="008A307B">
        <w:rPr>
          <w:szCs w:val="22"/>
          <w:lang w:val="sr-Latn-RS"/>
        </w:rPr>
        <w:t xml:space="preserve"> i terapiju aktivnim ugljem</w:t>
      </w:r>
      <w:r w:rsidR="00747094" w:rsidRPr="008A307B">
        <w:rPr>
          <w:szCs w:val="22"/>
          <w:lang w:val="sr-Latn-RS"/>
        </w:rPr>
        <w:t>,</w:t>
      </w:r>
      <w:r w:rsidRPr="008A307B">
        <w:rPr>
          <w:szCs w:val="22"/>
          <w:lang w:val="sr-Latn-RS"/>
        </w:rPr>
        <w:t xml:space="preserve"> ukoliko je od predoziranja prošlo najviše jedan sat. Koncentraciju paracetamola u plazmi treba izm</w:t>
      </w:r>
      <w:r w:rsidR="006B7AA6" w:rsidRPr="008A307B">
        <w:rPr>
          <w:szCs w:val="22"/>
          <w:lang w:val="sr-Latn-RS"/>
        </w:rPr>
        <w:t>j</w:t>
      </w:r>
      <w:r w:rsidRPr="008A307B">
        <w:rPr>
          <w:szCs w:val="22"/>
          <w:lang w:val="sr-Latn-RS"/>
        </w:rPr>
        <w:t xml:space="preserve">eriti 4 ili više sati nakon upotrebe </w:t>
      </w:r>
      <w:r w:rsidR="0023552A" w:rsidRPr="008A307B">
        <w:rPr>
          <w:szCs w:val="22"/>
          <w:lang w:val="sr-Latn-RS"/>
        </w:rPr>
        <w:t>lijek</w:t>
      </w:r>
      <w:r w:rsidRPr="008A307B">
        <w:rPr>
          <w:szCs w:val="22"/>
          <w:lang w:val="sr-Latn-RS"/>
        </w:rPr>
        <w:t>a (koncentracije izm</w:t>
      </w:r>
      <w:r w:rsidR="006B7AA6" w:rsidRPr="008A307B">
        <w:rPr>
          <w:szCs w:val="22"/>
          <w:lang w:val="sr-Latn-RS"/>
        </w:rPr>
        <w:t>j</w:t>
      </w:r>
      <w:r w:rsidRPr="008A307B">
        <w:rPr>
          <w:szCs w:val="22"/>
          <w:lang w:val="sr-Latn-RS"/>
        </w:rPr>
        <w:t>erene ranije su nepouzdane).</w:t>
      </w:r>
      <w:r w:rsidR="00747094" w:rsidRPr="008A307B">
        <w:rPr>
          <w:szCs w:val="22"/>
          <w:lang w:val="sr-Latn-RS"/>
        </w:rPr>
        <w:t xml:space="preserve"> </w:t>
      </w:r>
      <w:r w:rsidRPr="008A307B">
        <w:rPr>
          <w:szCs w:val="22"/>
          <w:lang w:val="sr-Latn-RS"/>
        </w:rPr>
        <w:t>Terapija N-acetilcisteinom može se koristiti do 24 časa nakon upotrebe paracetamola, ali se maksimaln</w:t>
      </w:r>
      <w:r w:rsidR="00747094" w:rsidRPr="008A307B">
        <w:rPr>
          <w:szCs w:val="22"/>
          <w:lang w:val="sr-Latn-RS"/>
        </w:rPr>
        <w:t>o</w:t>
      </w:r>
      <w:r w:rsidRPr="008A307B">
        <w:rPr>
          <w:szCs w:val="22"/>
          <w:lang w:val="sr-Latn-RS"/>
        </w:rPr>
        <w:t xml:space="preserve"> zaštitn</w:t>
      </w:r>
      <w:r w:rsidR="00747094" w:rsidRPr="008A307B">
        <w:rPr>
          <w:szCs w:val="22"/>
          <w:lang w:val="sr-Latn-RS"/>
        </w:rPr>
        <w:t>o dejstvo</w:t>
      </w:r>
      <w:r w:rsidRPr="008A307B">
        <w:rPr>
          <w:szCs w:val="22"/>
          <w:lang w:val="sr-Latn-RS"/>
        </w:rPr>
        <w:t xml:space="preserve"> postiže do 8 časova nakon upotrebe </w:t>
      </w:r>
      <w:r w:rsidR="0023552A" w:rsidRPr="008A307B">
        <w:rPr>
          <w:szCs w:val="22"/>
          <w:lang w:val="sr-Latn-RS"/>
        </w:rPr>
        <w:t>lijek</w:t>
      </w:r>
      <w:r w:rsidRPr="008A307B">
        <w:rPr>
          <w:szCs w:val="22"/>
          <w:lang w:val="sr-Latn-RS"/>
        </w:rPr>
        <w:t>a.</w:t>
      </w:r>
      <w:r w:rsidR="007E756C" w:rsidRPr="008A307B">
        <w:rPr>
          <w:szCs w:val="22"/>
          <w:lang w:val="sr-Latn-RS"/>
        </w:rPr>
        <w:t xml:space="preserve"> </w:t>
      </w:r>
      <w:r w:rsidRPr="008A307B">
        <w:rPr>
          <w:szCs w:val="22"/>
          <w:lang w:val="sr-Latn-RS"/>
        </w:rPr>
        <w:t>Ukoliko je potrebno, pacijentu treba prim</w:t>
      </w:r>
      <w:r w:rsidR="006B7AA6" w:rsidRPr="008A307B">
        <w:rPr>
          <w:szCs w:val="22"/>
          <w:lang w:val="sr-Latn-RS"/>
        </w:rPr>
        <w:t>ij</w:t>
      </w:r>
      <w:r w:rsidRPr="008A307B">
        <w:rPr>
          <w:szCs w:val="22"/>
          <w:lang w:val="sr-Latn-RS"/>
        </w:rPr>
        <w:t>eniti N-acetilcistein intravenski, u skladu sa utvrđenim rasporedom doza. Ukoliko pacijent ne povraća, za m</w:t>
      </w:r>
      <w:r w:rsidR="006B7AA6" w:rsidRPr="008A307B">
        <w:rPr>
          <w:szCs w:val="22"/>
          <w:lang w:val="sr-Latn-RS"/>
        </w:rPr>
        <w:t>j</w:t>
      </w:r>
      <w:r w:rsidRPr="008A307B">
        <w:rPr>
          <w:szCs w:val="22"/>
          <w:lang w:val="sr-Latn-RS"/>
        </w:rPr>
        <w:t>esta udaljena od bolnica, odgovarajuća zam</w:t>
      </w:r>
      <w:r w:rsidR="004514EE" w:rsidRPr="008A307B">
        <w:rPr>
          <w:szCs w:val="22"/>
          <w:lang w:val="sr-Latn-RS"/>
        </w:rPr>
        <w:t>je</w:t>
      </w:r>
      <w:r w:rsidRPr="008A307B">
        <w:rPr>
          <w:szCs w:val="22"/>
          <w:lang w:val="sr-Latn-RS"/>
        </w:rPr>
        <w:t>na može biti oralna prim</w:t>
      </w:r>
      <w:r w:rsidR="004514EE" w:rsidRPr="008A307B">
        <w:rPr>
          <w:szCs w:val="22"/>
          <w:lang w:val="sr-Latn-RS"/>
        </w:rPr>
        <w:t>j</w:t>
      </w:r>
      <w:r w:rsidRPr="008A307B">
        <w:rPr>
          <w:szCs w:val="22"/>
          <w:lang w:val="sr-Latn-RS"/>
        </w:rPr>
        <w:t xml:space="preserve">ena metionina. </w:t>
      </w:r>
      <w:r w:rsidR="006B7AA6" w:rsidRPr="008A307B">
        <w:rPr>
          <w:szCs w:val="22"/>
          <w:lang w:val="sr-Latn-RS"/>
        </w:rPr>
        <w:t>Liječenje</w:t>
      </w:r>
      <w:r w:rsidRPr="008A307B">
        <w:rPr>
          <w:szCs w:val="22"/>
          <w:lang w:val="sr-Latn-RS"/>
        </w:rPr>
        <w:t xml:space="preserve"> pacijenata sa ozbiljnom disfunkcijom jetre, kod kojih je prošlo više od 24 časa nakon upotrebe paracetamola, treba sprovesti u Nacionalnom centru za kontrolu trovanja ili od</w:t>
      </w:r>
      <w:r w:rsidR="004514EE" w:rsidRPr="008A307B">
        <w:rPr>
          <w:szCs w:val="22"/>
          <w:lang w:val="sr-Latn-RS"/>
        </w:rPr>
        <w:t>j</w:t>
      </w:r>
      <w:r w:rsidRPr="008A307B">
        <w:rPr>
          <w:szCs w:val="22"/>
          <w:lang w:val="sr-Latn-RS"/>
        </w:rPr>
        <w:t>eljenju za hepatologiju.</w:t>
      </w:r>
    </w:p>
    <w:p w14:paraId="1AC20095" w14:textId="77777777" w:rsidR="00343F64" w:rsidRPr="008A307B" w:rsidRDefault="00343F64">
      <w:pPr>
        <w:rPr>
          <w:szCs w:val="22"/>
          <w:lang w:val="sr-Latn-RS"/>
        </w:rPr>
      </w:pPr>
    </w:p>
    <w:p w14:paraId="1F9D0210" w14:textId="77777777" w:rsidR="00CE09F3" w:rsidRPr="008A307B" w:rsidRDefault="00CE09F3" w:rsidP="00582E5D">
      <w:pPr>
        <w:pStyle w:val="NASLOV123"/>
        <w:jc w:val="both"/>
        <w:rPr>
          <w:lang w:val="sr-Latn-RS"/>
        </w:rPr>
      </w:pPr>
      <w:r w:rsidRPr="008A307B">
        <w:rPr>
          <w:lang w:val="sr-Latn-RS"/>
        </w:rPr>
        <w:t>5. FARMAKOLOŠKI PODACI</w:t>
      </w:r>
    </w:p>
    <w:p w14:paraId="6564E08C" w14:textId="77777777" w:rsidR="00CE09F3" w:rsidRPr="008A307B" w:rsidRDefault="00CE09F3" w:rsidP="007E05CC">
      <w:pPr>
        <w:rPr>
          <w:b/>
          <w:bCs/>
          <w:szCs w:val="22"/>
          <w:lang w:val="sr-Latn-RS"/>
        </w:rPr>
      </w:pPr>
      <w:r w:rsidRPr="008A307B">
        <w:rPr>
          <w:b/>
          <w:bCs/>
          <w:szCs w:val="22"/>
          <w:lang w:val="sr-Latn-RS"/>
        </w:rPr>
        <w:t>5.1. Farmakodinamski podaci</w:t>
      </w:r>
    </w:p>
    <w:p w14:paraId="6A0758A9" w14:textId="77777777" w:rsidR="004F3B70" w:rsidRPr="008A307B" w:rsidRDefault="004F3B70" w:rsidP="007E05CC">
      <w:pPr>
        <w:rPr>
          <w:b/>
          <w:bCs/>
          <w:szCs w:val="22"/>
          <w:lang w:val="sr-Latn-RS"/>
        </w:rPr>
      </w:pPr>
    </w:p>
    <w:p w14:paraId="36E14AA0" w14:textId="365360FC" w:rsidR="00CE09F3" w:rsidRPr="008A307B" w:rsidRDefault="00CE09F3" w:rsidP="00582E5D">
      <w:pPr>
        <w:rPr>
          <w:szCs w:val="22"/>
          <w:lang w:val="sr-Latn-RS"/>
        </w:rPr>
      </w:pPr>
      <w:r w:rsidRPr="008A307B">
        <w:rPr>
          <w:b/>
          <w:bCs/>
          <w:szCs w:val="22"/>
          <w:lang w:val="sr-Latn-RS"/>
        </w:rPr>
        <w:t>Farmakoterapijska grupa:</w:t>
      </w:r>
      <w:r w:rsidR="00937A00" w:rsidRPr="008A307B">
        <w:rPr>
          <w:szCs w:val="22"/>
          <w:lang w:val="sr-Latn-RS"/>
        </w:rPr>
        <w:t xml:space="preserve"> analgetici; </w:t>
      </w:r>
      <w:r w:rsidR="006508E6" w:rsidRPr="008A307B">
        <w:rPr>
          <w:szCs w:val="22"/>
          <w:lang w:val="sr-Latn-RS"/>
        </w:rPr>
        <w:t>o</w:t>
      </w:r>
      <w:r w:rsidR="00143E14" w:rsidRPr="008A307B">
        <w:rPr>
          <w:szCs w:val="22"/>
          <w:lang w:val="sr-Latn-RS"/>
        </w:rPr>
        <w:t>stali analgetici i antipiretici</w:t>
      </w:r>
      <w:r w:rsidR="00747094" w:rsidRPr="008A307B">
        <w:rPr>
          <w:szCs w:val="22"/>
          <w:lang w:val="sr-Latn-RS"/>
        </w:rPr>
        <w:t>, a</w:t>
      </w:r>
      <w:r w:rsidR="00143E14" w:rsidRPr="008A307B">
        <w:rPr>
          <w:szCs w:val="22"/>
          <w:lang w:val="sr-Latn-RS"/>
        </w:rPr>
        <w:t>nilidi</w:t>
      </w:r>
    </w:p>
    <w:p w14:paraId="7BF89FEF" w14:textId="77777777" w:rsidR="00143E14" w:rsidRPr="008A307B" w:rsidRDefault="00CE09F3" w:rsidP="007E05CC">
      <w:pPr>
        <w:rPr>
          <w:szCs w:val="22"/>
          <w:lang w:val="sr-Latn-RS"/>
        </w:rPr>
      </w:pPr>
      <w:r w:rsidRPr="008A307B">
        <w:rPr>
          <w:b/>
          <w:bCs/>
          <w:szCs w:val="22"/>
          <w:lang w:val="sr-Latn-RS"/>
        </w:rPr>
        <w:t>ATC šifra:</w:t>
      </w:r>
      <w:r w:rsidR="008E1A42" w:rsidRPr="008A307B">
        <w:rPr>
          <w:b/>
          <w:bCs/>
          <w:szCs w:val="22"/>
          <w:lang w:val="sr-Latn-RS"/>
        </w:rPr>
        <w:t xml:space="preserve"> </w:t>
      </w:r>
      <w:r w:rsidR="00143E14" w:rsidRPr="008A307B">
        <w:rPr>
          <w:szCs w:val="22"/>
          <w:lang w:val="sr-Latn-RS"/>
        </w:rPr>
        <w:t>N02BE01</w:t>
      </w:r>
    </w:p>
    <w:p w14:paraId="0C1C7C6D" w14:textId="77777777" w:rsidR="00143E14" w:rsidRPr="008A307B" w:rsidRDefault="00143E14" w:rsidP="007E05CC">
      <w:pPr>
        <w:rPr>
          <w:szCs w:val="22"/>
          <w:lang w:val="sr-Latn-RS"/>
        </w:rPr>
      </w:pPr>
    </w:p>
    <w:p w14:paraId="3BDE2AF4" w14:textId="2902BF52" w:rsidR="00143E14" w:rsidRPr="008A307B" w:rsidRDefault="00143E14" w:rsidP="007E05CC">
      <w:pPr>
        <w:rPr>
          <w:szCs w:val="22"/>
          <w:lang w:val="sr-Latn-RS"/>
        </w:rPr>
      </w:pPr>
      <w:r w:rsidRPr="008A307B">
        <w:rPr>
          <w:szCs w:val="22"/>
          <w:lang w:val="sr-Latn-RS"/>
        </w:rPr>
        <w:t>Mehanizam analgetičkog dejstva nije u potpunosti određen. Paracetamol pretežno d</w:t>
      </w:r>
      <w:r w:rsidR="006A33EB" w:rsidRPr="008A307B">
        <w:rPr>
          <w:szCs w:val="22"/>
          <w:lang w:val="sr-Latn-RS"/>
        </w:rPr>
        <w:t>je</w:t>
      </w:r>
      <w:r w:rsidRPr="008A307B">
        <w:rPr>
          <w:szCs w:val="22"/>
          <w:lang w:val="sr-Latn-RS"/>
        </w:rPr>
        <w:t>luje inhibišući sintezu prostaglandina u centralnom nervnom sistemu, a u manjoj m</w:t>
      </w:r>
      <w:r w:rsidR="006A33EB" w:rsidRPr="008A307B">
        <w:rPr>
          <w:szCs w:val="22"/>
          <w:lang w:val="sr-Latn-RS"/>
        </w:rPr>
        <w:t>j</w:t>
      </w:r>
      <w:r w:rsidRPr="008A307B">
        <w:rPr>
          <w:szCs w:val="22"/>
          <w:lang w:val="sr-Latn-RS"/>
        </w:rPr>
        <w:t xml:space="preserve">eri inhibišući generisanje impulsa bola na periferiji. </w:t>
      </w:r>
    </w:p>
    <w:p w14:paraId="5522A5CF" w14:textId="77777777" w:rsidR="00143E14" w:rsidRPr="008A307B" w:rsidRDefault="00143E14">
      <w:pPr>
        <w:rPr>
          <w:szCs w:val="22"/>
          <w:lang w:val="sr-Latn-RS"/>
        </w:rPr>
      </w:pPr>
    </w:p>
    <w:p w14:paraId="2D3FE7DE" w14:textId="0323AA19" w:rsidR="00143E14" w:rsidRPr="008A307B" w:rsidRDefault="00143E14">
      <w:pPr>
        <w:rPr>
          <w:szCs w:val="22"/>
          <w:lang w:val="sr-Latn-RS"/>
        </w:rPr>
      </w:pPr>
      <w:r w:rsidRPr="008A307B">
        <w:rPr>
          <w:szCs w:val="22"/>
          <w:lang w:val="sr-Latn-RS"/>
        </w:rPr>
        <w:t xml:space="preserve">Periferno dejstvo takođe može nastati </w:t>
      </w:r>
      <w:r w:rsidR="0073038D" w:rsidRPr="008A307B">
        <w:rPr>
          <w:szCs w:val="22"/>
          <w:lang w:val="sr-Latn-RS"/>
        </w:rPr>
        <w:t>usljed</w:t>
      </w:r>
      <w:r w:rsidRPr="008A307B">
        <w:rPr>
          <w:szCs w:val="22"/>
          <w:lang w:val="sr-Latn-RS"/>
        </w:rPr>
        <w:t xml:space="preserve"> inhibicije sinteze prostaglandina ili inhibicije sinteze ili dejstva drugih supstanci koje senzibilišu receptore za bol na mehaničku ili hemijsku stimulaciju.</w:t>
      </w:r>
    </w:p>
    <w:p w14:paraId="07AEF82F" w14:textId="77777777" w:rsidR="00910E72" w:rsidRPr="008A307B" w:rsidRDefault="00910E72">
      <w:pPr>
        <w:rPr>
          <w:szCs w:val="22"/>
          <w:lang w:val="sr-Latn-RS"/>
        </w:rPr>
      </w:pPr>
    </w:p>
    <w:p w14:paraId="5E73CFF4" w14:textId="1EAF6FD1" w:rsidR="00CE09F3" w:rsidRPr="008A307B" w:rsidRDefault="00143E14">
      <w:pPr>
        <w:rPr>
          <w:szCs w:val="22"/>
          <w:lang w:val="sr-Latn-RS"/>
        </w:rPr>
      </w:pPr>
      <w:r w:rsidRPr="008A307B">
        <w:rPr>
          <w:szCs w:val="22"/>
          <w:lang w:val="sr-Latn-RS"/>
        </w:rPr>
        <w:t>Antipiretičko dejstvo paracetamola se v</w:t>
      </w:r>
      <w:r w:rsidR="006A33EB" w:rsidRPr="008A307B">
        <w:rPr>
          <w:szCs w:val="22"/>
          <w:lang w:val="sr-Latn-RS"/>
        </w:rPr>
        <w:t>je</w:t>
      </w:r>
      <w:r w:rsidRPr="008A307B">
        <w:rPr>
          <w:szCs w:val="22"/>
          <w:lang w:val="sr-Latn-RS"/>
        </w:rPr>
        <w:t>rovatno ostvaruje d</w:t>
      </w:r>
      <w:r w:rsidR="006A33EB" w:rsidRPr="008A307B">
        <w:rPr>
          <w:szCs w:val="22"/>
          <w:lang w:val="sr-Latn-RS"/>
        </w:rPr>
        <w:t>j</w:t>
      </w:r>
      <w:r w:rsidRPr="008A307B">
        <w:rPr>
          <w:szCs w:val="22"/>
          <w:lang w:val="sr-Latn-RS"/>
        </w:rPr>
        <w:t>elovanjem na centar za termoregulaciju u hipotalamusu koji izaziva perifernu vazodilataciju što dovodi do povećanog protoka krvi kroz kožu, znojenja i gubitka toplote. Centralno d</w:t>
      </w:r>
      <w:r w:rsidR="006A33EB" w:rsidRPr="008A307B">
        <w:rPr>
          <w:szCs w:val="22"/>
          <w:lang w:val="sr-Latn-RS"/>
        </w:rPr>
        <w:t>j</w:t>
      </w:r>
      <w:r w:rsidRPr="008A307B">
        <w:rPr>
          <w:szCs w:val="22"/>
          <w:lang w:val="sr-Latn-RS"/>
        </w:rPr>
        <w:t>elovanje v</w:t>
      </w:r>
      <w:r w:rsidR="006A33EB" w:rsidRPr="008A307B">
        <w:rPr>
          <w:szCs w:val="22"/>
          <w:lang w:val="sr-Latn-RS"/>
        </w:rPr>
        <w:t>je</w:t>
      </w:r>
      <w:r w:rsidRPr="008A307B">
        <w:rPr>
          <w:szCs w:val="22"/>
          <w:lang w:val="sr-Latn-RS"/>
        </w:rPr>
        <w:t>rovatno obuhvata i inhibiciju sinteze prostaglandina u hipotalamusu.</w:t>
      </w:r>
    </w:p>
    <w:p w14:paraId="1BFDBC47" w14:textId="77777777" w:rsidR="004F3B70" w:rsidRPr="008A307B" w:rsidRDefault="004F3B70">
      <w:pPr>
        <w:rPr>
          <w:b/>
          <w:bCs/>
          <w:szCs w:val="22"/>
          <w:lang w:val="sr-Latn-RS"/>
        </w:rPr>
      </w:pPr>
    </w:p>
    <w:p w14:paraId="702CB433" w14:textId="77777777" w:rsidR="00CE09F3" w:rsidRPr="008A307B" w:rsidRDefault="00CE09F3">
      <w:pPr>
        <w:rPr>
          <w:b/>
          <w:bCs/>
          <w:szCs w:val="22"/>
          <w:lang w:val="sr-Latn-RS"/>
        </w:rPr>
      </w:pPr>
      <w:r w:rsidRPr="008A307B">
        <w:rPr>
          <w:b/>
          <w:bCs/>
          <w:szCs w:val="22"/>
          <w:lang w:val="sr-Latn-RS"/>
        </w:rPr>
        <w:t>5.2. Farmakokinetički podaci</w:t>
      </w:r>
    </w:p>
    <w:p w14:paraId="7E0A0282" w14:textId="77777777" w:rsidR="00143E14" w:rsidRPr="008A307B" w:rsidRDefault="00143E14">
      <w:pPr>
        <w:rPr>
          <w:b/>
          <w:bCs/>
          <w:szCs w:val="22"/>
          <w:lang w:val="sr-Latn-RS"/>
        </w:rPr>
      </w:pPr>
    </w:p>
    <w:p w14:paraId="610F2A56" w14:textId="448B2F29" w:rsidR="00143E14" w:rsidRPr="008A307B" w:rsidRDefault="00143E14">
      <w:pPr>
        <w:rPr>
          <w:szCs w:val="22"/>
          <w:lang w:val="sr-Latn-RS"/>
        </w:rPr>
      </w:pPr>
      <w:r w:rsidRPr="008A307B">
        <w:rPr>
          <w:szCs w:val="22"/>
          <w:lang w:val="sr-Latn-RS"/>
        </w:rPr>
        <w:t>Paracetamol se brzo i skoro u potpunosti resorbuje iz gastrointestinalnog trakta sa maksimalnim koncentracijama u plazmi koje se postižu za 30 minuta do 2 sata nakon prim</w:t>
      </w:r>
      <w:r w:rsidR="0065307C" w:rsidRPr="008A307B">
        <w:rPr>
          <w:szCs w:val="22"/>
          <w:lang w:val="sr-Latn-RS"/>
        </w:rPr>
        <w:t>j</w:t>
      </w:r>
      <w:r w:rsidRPr="008A307B">
        <w:rPr>
          <w:szCs w:val="22"/>
          <w:lang w:val="sr-Latn-RS"/>
        </w:rPr>
        <w:t>ene. Metaboliše se u jetri i izlučuje mokraćom pretežno u vidu glukuronida i sulfat konjugata. Manje od 5% paracetamola se izlučuje u neprom</w:t>
      </w:r>
      <w:r w:rsidR="00654260" w:rsidRPr="008A307B">
        <w:rPr>
          <w:szCs w:val="22"/>
          <w:lang w:val="sr-Latn-RS"/>
        </w:rPr>
        <w:t>ij</w:t>
      </w:r>
      <w:r w:rsidRPr="008A307B">
        <w:rPr>
          <w:szCs w:val="22"/>
          <w:lang w:val="sr-Latn-RS"/>
        </w:rPr>
        <w:t>enjenom obliku. Poluvr</w:t>
      </w:r>
      <w:r w:rsidR="00654260" w:rsidRPr="008A307B">
        <w:rPr>
          <w:szCs w:val="22"/>
          <w:lang w:val="sr-Latn-RS"/>
        </w:rPr>
        <w:t>ij</w:t>
      </w:r>
      <w:r w:rsidRPr="008A307B">
        <w:rPr>
          <w:szCs w:val="22"/>
          <w:lang w:val="sr-Latn-RS"/>
        </w:rPr>
        <w:t>eme eliminacije se kreće od 1 do 4 sata. Vezivanje za proteine plazme je zanemarljivo pri uobičajenim terapijskim dozama ali se povećava sa povećanjem doze.</w:t>
      </w:r>
    </w:p>
    <w:p w14:paraId="1DD821DA" w14:textId="77777777" w:rsidR="00143E14" w:rsidRPr="008A307B" w:rsidRDefault="00143E14">
      <w:pPr>
        <w:rPr>
          <w:szCs w:val="22"/>
          <w:lang w:val="sr-Latn-RS"/>
        </w:rPr>
      </w:pPr>
    </w:p>
    <w:p w14:paraId="07975E4C" w14:textId="3BE36A28" w:rsidR="00143E14" w:rsidRPr="008A307B" w:rsidRDefault="0073038D">
      <w:pPr>
        <w:rPr>
          <w:szCs w:val="22"/>
          <w:lang w:val="sr-Latn-RS"/>
        </w:rPr>
      </w:pPr>
      <w:r w:rsidRPr="008A307B">
        <w:rPr>
          <w:szCs w:val="22"/>
          <w:lang w:val="sr-Latn-RS"/>
        </w:rPr>
        <w:t>Usljed</w:t>
      </w:r>
      <w:r w:rsidR="00143E14" w:rsidRPr="008A307B">
        <w:rPr>
          <w:szCs w:val="22"/>
          <w:lang w:val="sr-Latn-RS"/>
        </w:rPr>
        <w:t xml:space="preserve"> predoziranja paracetamolom može doći do </w:t>
      </w:r>
      <w:r w:rsidR="00CF04F0" w:rsidRPr="008A307B">
        <w:rPr>
          <w:szCs w:val="22"/>
          <w:lang w:val="sr-Latn-RS"/>
        </w:rPr>
        <w:t xml:space="preserve">oštećenja jetre </w:t>
      </w:r>
      <w:r w:rsidRPr="008A307B">
        <w:rPr>
          <w:szCs w:val="22"/>
          <w:lang w:val="sr-Latn-RS"/>
        </w:rPr>
        <w:t>usljed</w:t>
      </w:r>
      <w:r w:rsidR="00CF04F0" w:rsidRPr="008A307B">
        <w:rPr>
          <w:szCs w:val="22"/>
          <w:lang w:val="sr-Latn-RS"/>
        </w:rPr>
        <w:t xml:space="preserve"> </w:t>
      </w:r>
      <w:r w:rsidR="00143E14" w:rsidRPr="008A307B">
        <w:rPr>
          <w:szCs w:val="22"/>
          <w:lang w:val="sr-Latn-RS"/>
        </w:rPr>
        <w:t>akumulacije hidroksi metabolita</w:t>
      </w:r>
      <w:r w:rsidR="00910E72" w:rsidRPr="008A307B">
        <w:rPr>
          <w:szCs w:val="22"/>
          <w:lang w:val="sr-Latn-RS"/>
        </w:rPr>
        <w:t xml:space="preserve">, </w:t>
      </w:r>
      <w:r w:rsidR="00143E14" w:rsidRPr="008A307B">
        <w:rPr>
          <w:szCs w:val="22"/>
          <w:lang w:val="sr-Latn-RS"/>
        </w:rPr>
        <w:t xml:space="preserve"> koji</w:t>
      </w:r>
      <w:r w:rsidR="00910E72" w:rsidRPr="008A307B">
        <w:rPr>
          <w:szCs w:val="22"/>
          <w:lang w:val="sr-Latn-RS"/>
        </w:rPr>
        <w:t xml:space="preserve"> inače nastaje </w:t>
      </w:r>
      <w:r w:rsidR="00143E14" w:rsidRPr="008A307B">
        <w:rPr>
          <w:szCs w:val="22"/>
          <w:lang w:val="sr-Latn-RS"/>
        </w:rPr>
        <w:t>u veoma malim koncentracijama kombinovanim dejstvom oksidaza u jetri i koji se obično detoksikuje glutationom, procesom konjugacije u jetri</w:t>
      </w:r>
      <w:r w:rsidR="00CF04F0" w:rsidRPr="008A307B">
        <w:rPr>
          <w:szCs w:val="22"/>
          <w:lang w:val="sr-Latn-RS"/>
        </w:rPr>
        <w:t>.</w:t>
      </w:r>
    </w:p>
    <w:p w14:paraId="550942A1" w14:textId="77777777" w:rsidR="00DB3677" w:rsidRPr="008A307B" w:rsidRDefault="00DB3677">
      <w:pPr>
        <w:rPr>
          <w:szCs w:val="22"/>
          <w:lang w:val="sr-Latn-RS"/>
        </w:rPr>
      </w:pPr>
    </w:p>
    <w:p w14:paraId="6235D3E3" w14:textId="77777777" w:rsidR="002F53A4" w:rsidRPr="008A307B" w:rsidRDefault="002F53A4">
      <w:pPr>
        <w:rPr>
          <w:b/>
          <w:bCs/>
          <w:szCs w:val="22"/>
          <w:lang w:val="sr-Latn-RS"/>
        </w:rPr>
      </w:pPr>
    </w:p>
    <w:p w14:paraId="1C2E786B" w14:textId="77777777" w:rsidR="002F53A4" w:rsidRPr="008A307B" w:rsidRDefault="002F53A4">
      <w:pPr>
        <w:rPr>
          <w:b/>
          <w:bCs/>
          <w:szCs w:val="22"/>
          <w:lang w:val="sr-Latn-RS"/>
        </w:rPr>
      </w:pPr>
    </w:p>
    <w:p w14:paraId="5F4DFD18" w14:textId="03FD017B" w:rsidR="00CE09F3" w:rsidRPr="008A307B" w:rsidRDefault="00CE09F3">
      <w:pPr>
        <w:rPr>
          <w:b/>
          <w:bCs/>
          <w:szCs w:val="22"/>
          <w:lang w:val="sr-Latn-RS"/>
        </w:rPr>
      </w:pPr>
      <w:r w:rsidRPr="008A307B">
        <w:rPr>
          <w:b/>
          <w:bCs/>
          <w:szCs w:val="22"/>
          <w:lang w:val="sr-Latn-RS"/>
        </w:rPr>
        <w:lastRenderedPageBreak/>
        <w:t>5.3. Pretklinički podaci o bezb</w:t>
      </w:r>
      <w:r w:rsidR="000B2075" w:rsidRPr="008A307B">
        <w:rPr>
          <w:b/>
          <w:bCs/>
          <w:szCs w:val="22"/>
          <w:lang w:val="sr-Latn-RS"/>
        </w:rPr>
        <w:t>j</w:t>
      </w:r>
      <w:r w:rsidRPr="008A307B">
        <w:rPr>
          <w:b/>
          <w:bCs/>
          <w:szCs w:val="22"/>
          <w:lang w:val="sr-Latn-RS"/>
        </w:rPr>
        <w:t>ednosti</w:t>
      </w:r>
    </w:p>
    <w:p w14:paraId="4DF35D0E" w14:textId="77777777" w:rsidR="00143E14" w:rsidRPr="008A307B" w:rsidRDefault="00143E14">
      <w:pPr>
        <w:rPr>
          <w:szCs w:val="22"/>
          <w:lang w:val="sr-Latn-RS"/>
        </w:rPr>
      </w:pPr>
    </w:p>
    <w:p w14:paraId="0C45CC0A" w14:textId="105895FB" w:rsidR="00DB2DE5" w:rsidRPr="008A307B" w:rsidRDefault="00DB2DE5">
      <w:pPr>
        <w:rPr>
          <w:szCs w:val="22"/>
          <w:lang w:val="sr-Latn-RS"/>
        </w:rPr>
      </w:pPr>
      <w:r w:rsidRPr="008A307B">
        <w:rPr>
          <w:szCs w:val="22"/>
          <w:lang w:val="sr-Latn-RS"/>
        </w:rPr>
        <w:t>Konvencionalne studije koje su rađene prema trenutno važećim standardima za proc</w:t>
      </w:r>
      <w:r w:rsidR="00654260" w:rsidRPr="008A307B">
        <w:rPr>
          <w:szCs w:val="22"/>
          <w:lang w:val="sr-Latn-RS"/>
        </w:rPr>
        <w:t>je</w:t>
      </w:r>
      <w:r w:rsidRPr="008A307B">
        <w:rPr>
          <w:szCs w:val="22"/>
          <w:lang w:val="sr-Latn-RS"/>
        </w:rPr>
        <w:t>nu toksičnosti na reprodukciju i razvoj ni</w:t>
      </w:r>
      <w:r w:rsidR="00D128FC" w:rsidRPr="008A307B">
        <w:rPr>
          <w:szCs w:val="22"/>
          <w:lang w:val="sr-Latn-RS"/>
        </w:rPr>
        <w:t>je</w:t>
      </w:r>
      <w:r w:rsidRPr="008A307B">
        <w:rPr>
          <w:szCs w:val="22"/>
          <w:lang w:val="sr-Latn-RS"/>
        </w:rPr>
        <w:t>su dostupne.</w:t>
      </w:r>
    </w:p>
    <w:p w14:paraId="454D23CF" w14:textId="77777777" w:rsidR="00854A40" w:rsidRPr="008A307B" w:rsidRDefault="00854A40">
      <w:pPr>
        <w:rPr>
          <w:szCs w:val="22"/>
          <w:lang w:val="sr-Latn-RS"/>
        </w:rPr>
      </w:pPr>
    </w:p>
    <w:p w14:paraId="6CB148F6" w14:textId="77777777" w:rsidR="00CE09F3" w:rsidRPr="008A307B" w:rsidRDefault="00CE09F3" w:rsidP="00923865">
      <w:pPr>
        <w:pStyle w:val="NASLOV123"/>
        <w:rPr>
          <w:lang w:val="sr-Latn-RS"/>
        </w:rPr>
      </w:pPr>
      <w:r w:rsidRPr="008A307B">
        <w:rPr>
          <w:lang w:val="sr-Latn-RS"/>
        </w:rPr>
        <w:t>6. FARMACEUTSKI PODACI</w:t>
      </w:r>
    </w:p>
    <w:p w14:paraId="68490172" w14:textId="6C115F0A" w:rsidR="00CE09F3" w:rsidRPr="008A307B" w:rsidRDefault="00CE09F3" w:rsidP="00923865">
      <w:pPr>
        <w:rPr>
          <w:b/>
          <w:bCs/>
          <w:szCs w:val="22"/>
          <w:lang w:val="sr-Latn-RS"/>
        </w:rPr>
      </w:pPr>
      <w:r w:rsidRPr="008A307B">
        <w:rPr>
          <w:b/>
          <w:bCs/>
          <w:szCs w:val="22"/>
          <w:lang w:val="sr-Latn-RS"/>
        </w:rPr>
        <w:t>6.1. Lista pomoćnih supstanci</w:t>
      </w:r>
      <w:r w:rsidR="004F6263" w:rsidRPr="008A307B">
        <w:rPr>
          <w:b/>
          <w:bCs/>
          <w:szCs w:val="22"/>
          <w:lang w:val="sr-Latn-RS"/>
        </w:rPr>
        <w:t xml:space="preserve"> (ekscipijenasa)</w:t>
      </w:r>
    </w:p>
    <w:p w14:paraId="53C96AD3" w14:textId="77777777" w:rsidR="00CE09F3" w:rsidRPr="008A307B" w:rsidRDefault="00CE09F3" w:rsidP="00923865">
      <w:pPr>
        <w:rPr>
          <w:szCs w:val="22"/>
          <w:lang w:val="sr-Latn-RS"/>
        </w:rPr>
      </w:pPr>
    </w:p>
    <w:p w14:paraId="7113F684" w14:textId="76472E22" w:rsidR="00143E14" w:rsidRPr="008A307B" w:rsidRDefault="00854A40" w:rsidP="00143E14">
      <w:pPr>
        <w:numPr>
          <w:ilvl w:val="0"/>
          <w:numId w:val="7"/>
        </w:numPr>
        <w:tabs>
          <w:tab w:val="clear" w:pos="284"/>
        </w:tabs>
        <w:rPr>
          <w:szCs w:val="22"/>
          <w:lang w:val="sr-Latn-RS"/>
        </w:rPr>
      </w:pPr>
      <w:r w:rsidRPr="008A307B">
        <w:rPr>
          <w:szCs w:val="22"/>
          <w:lang w:val="sr-Latn-RS"/>
        </w:rPr>
        <w:t>želatin</w:t>
      </w:r>
      <w:r w:rsidR="001C5C44" w:rsidRPr="008A307B">
        <w:rPr>
          <w:szCs w:val="22"/>
          <w:lang w:val="sr-Latn-RS"/>
        </w:rPr>
        <w:t>;</w:t>
      </w:r>
    </w:p>
    <w:p w14:paraId="25E52C4D" w14:textId="23C1D034" w:rsidR="00143E14" w:rsidRPr="008A307B" w:rsidRDefault="00854A40" w:rsidP="00143E14">
      <w:pPr>
        <w:numPr>
          <w:ilvl w:val="0"/>
          <w:numId w:val="7"/>
        </w:numPr>
        <w:tabs>
          <w:tab w:val="clear" w:pos="284"/>
        </w:tabs>
        <w:rPr>
          <w:szCs w:val="22"/>
          <w:lang w:val="sr-Latn-RS"/>
        </w:rPr>
      </w:pPr>
      <w:r w:rsidRPr="008A307B">
        <w:rPr>
          <w:szCs w:val="22"/>
          <w:lang w:val="sr-Latn-RS"/>
        </w:rPr>
        <w:t xml:space="preserve">makrogol </w:t>
      </w:r>
      <w:r w:rsidR="00143E14" w:rsidRPr="008A307B">
        <w:rPr>
          <w:szCs w:val="22"/>
          <w:lang w:val="sr-Latn-RS"/>
        </w:rPr>
        <w:t>6000</w:t>
      </w:r>
      <w:r w:rsidR="001C5C44" w:rsidRPr="008A307B">
        <w:rPr>
          <w:szCs w:val="22"/>
          <w:lang w:val="sr-Latn-RS"/>
        </w:rPr>
        <w:t>;</w:t>
      </w:r>
    </w:p>
    <w:p w14:paraId="63E153AC" w14:textId="5D5D2C7C" w:rsidR="00143E14" w:rsidRPr="008A307B" w:rsidRDefault="00854A40" w:rsidP="00143E14">
      <w:pPr>
        <w:numPr>
          <w:ilvl w:val="0"/>
          <w:numId w:val="7"/>
        </w:numPr>
        <w:tabs>
          <w:tab w:val="clear" w:pos="284"/>
        </w:tabs>
        <w:rPr>
          <w:szCs w:val="22"/>
          <w:lang w:val="sr-Latn-RS"/>
        </w:rPr>
      </w:pPr>
      <w:r w:rsidRPr="008A307B">
        <w:rPr>
          <w:szCs w:val="22"/>
          <w:lang w:val="sr-Latn-RS"/>
        </w:rPr>
        <w:t>t</w:t>
      </w:r>
      <w:r w:rsidR="00143E14" w:rsidRPr="008A307B">
        <w:rPr>
          <w:szCs w:val="22"/>
          <w:lang w:val="sr-Latn-RS"/>
        </w:rPr>
        <w:t>alk</w:t>
      </w:r>
      <w:r w:rsidR="001C5C44" w:rsidRPr="008A307B">
        <w:rPr>
          <w:szCs w:val="22"/>
          <w:lang w:val="sr-Latn-RS"/>
        </w:rPr>
        <w:t>;</w:t>
      </w:r>
    </w:p>
    <w:p w14:paraId="5653D52F" w14:textId="51939991" w:rsidR="00143E14" w:rsidRPr="008A307B" w:rsidRDefault="00854A40" w:rsidP="00143E14">
      <w:pPr>
        <w:numPr>
          <w:ilvl w:val="0"/>
          <w:numId w:val="7"/>
        </w:numPr>
        <w:tabs>
          <w:tab w:val="clear" w:pos="284"/>
        </w:tabs>
        <w:rPr>
          <w:szCs w:val="22"/>
          <w:lang w:val="sr-Latn-RS"/>
        </w:rPr>
      </w:pPr>
      <w:r w:rsidRPr="008A307B">
        <w:rPr>
          <w:szCs w:val="22"/>
          <w:lang w:val="sr-Latn-RS"/>
        </w:rPr>
        <w:t>k</w:t>
      </w:r>
      <w:r w:rsidR="00143E14" w:rsidRPr="008A307B">
        <w:rPr>
          <w:szCs w:val="22"/>
          <w:lang w:val="sr-Latn-RS"/>
        </w:rPr>
        <w:t>roskarmeloza</w:t>
      </w:r>
      <w:r w:rsidR="00410A99" w:rsidRPr="008A307B">
        <w:rPr>
          <w:szCs w:val="22"/>
          <w:lang w:val="sr-Latn-RS"/>
        </w:rPr>
        <w:t xml:space="preserve"> </w:t>
      </w:r>
      <w:r w:rsidR="00143E14" w:rsidRPr="008A307B">
        <w:rPr>
          <w:szCs w:val="22"/>
          <w:lang w:val="sr-Latn-RS"/>
        </w:rPr>
        <w:t>natrijum</w:t>
      </w:r>
      <w:r w:rsidR="001C5C44" w:rsidRPr="008A307B">
        <w:rPr>
          <w:szCs w:val="22"/>
          <w:lang w:val="sr-Latn-RS"/>
        </w:rPr>
        <w:t>;</w:t>
      </w:r>
    </w:p>
    <w:p w14:paraId="692654E6" w14:textId="103482BA" w:rsidR="00143E14" w:rsidRPr="008A307B" w:rsidRDefault="00854A40" w:rsidP="00143E14">
      <w:pPr>
        <w:numPr>
          <w:ilvl w:val="0"/>
          <w:numId w:val="7"/>
        </w:numPr>
        <w:tabs>
          <w:tab w:val="clear" w:pos="284"/>
        </w:tabs>
        <w:rPr>
          <w:szCs w:val="22"/>
          <w:lang w:val="sr-Latn-RS"/>
        </w:rPr>
      </w:pPr>
      <w:r w:rsidRPr="008A307B">
        <w:rPr>
          <w:szCs w:val="22"/>
          <w:lang w:val="sr-Latn-RS"/>
        </w:rPr>
        <w:t>u</w:t>
      </w:r>
      <w:r w:rsidR="00143E14" w:rsidRPr="008A307B">
        <w:rPr>
          <w:szCs w:val="22"/>
          <w:lang w:val="sr-Latn-RS"/>
        </w:rPr>
        <w:t>lje ricinusa, hidrogenovano</w:t>
      </w:r>
      <w:r w:rsidR="001C5C44" w:rsidRPr="008A307B">
        <w:rPr>
          <w:szCs w:val="22"/>
          <w:lang w:val="sr-Latn-RS"/>
        </w:rPr>
        <w:t>;</w:t>
      </w:r>
    </w:p>
    <w:p w14:paraId="7E93D9D0" w14:textId="4987E4F3" w:rsidR="00143E14" w:rsidRPr="008A307B" w:rsidRDefault="00854A40" w:rsidP="00143E14">
      <w:pPr>
        <w:numPr>
          <w:ilvl w:val="0"/>
          <w:numId w:val="7"/>
        </w:numPr>
        <w:tabs>
          <w:tab w:val="clear" w:pos="284"/>
        </w:tabs>
        <w:rPr>
          <w:szCs w:val="22"/>
          <w:lang w:val="sr-Latn-RS"/>
        </w:rPr>
      </w:pPr>
      <w:r w:rsidRPr="008A307B">
        <w:rPr>
          <w:szCs w:val="22"/>
          <w:lang w:val="sr-Latn-RS"/>
        </w:rPr>
        <w:t>c</w:t>
      </w:r>
      <w:r w:rsidR="00143E14" w:rsidRPr="008A307B">
        <w:rPr>
          <w:szCs w:val="22"/>
          <w:lang w:val="sr-Latn-RS"/>
        </w:rPr>
        <w:t>eluloza, mikrokristalna</w:t>
      </w:r>
      <w:r w:rsidR="001C5C44" w:rsidRPr="008A307B">
        <w:rPr>
          <w:szCs w:val="22"/>
          <w:lang w:val="sr-Latn-RS"/>
        </w:rPr>
        <w:t>;</w:t>
      </w:r>
    </w:p>
    <w:p w14:paraId="0917EDBD" w14:textId="26771F54" w:rsidR="00143E14" w:rsidRPr="008A307B" w:rsidRDefault="00854A40" w:rsidP="00143E14">
      <w:pPr>
        <w:numPr>
          <w:ilvl w:val="0"/>
          <w:numId w:val="7"/>
        </w:numPr>
        <w:tabs>
          <w:tab w:val="clear" w:pos="284"/>
        </w:tabs>
        <w:rPr>
          <w:szCs w:val="22"/>
          <w:lang w:val="sr-Latn-RS"/>
        </w:rPr>
      </w:pPr>
      <w:r w:rsidRPr="008A307B">
        <w:rPr>
          <w:szCs w:val="22"/>
          <w:lang w:val="sr-Latn-RS"/>
        </w:rPr>
        <w:t>m</w:t>
      </w:r>
      <w:r w:rsidR="00143E14" w:rsidRPr="008A307B">
        <w:rPr>
          <w:szCs w:val="22"/>
          <w:lang w:val="sr-Latn-RS"/>
        </w:rPr>
        <w:t>agnezijum</w:t>
      </w:r>
      <w:r w:rsidR="00410A99" w:rsidRPr="008A307B">
        <w:rPr>
          <w:szCs w:val="22"/>
          <w:lang w:val="sr-Latn-RS"/>
        </w:rPr>
        <w:t xml:space="preserve"> </w:t>
      </w:r>
      <w:r w:rsidR="00143E14" w:rsidRPr="008A307B">
        <w:rPr>
          <w:szCs w:val="22"/>
          <w:lang w:val="sr-Latn-RS"/>
        </w:rPr>
        <w:t>stearat</w:t>
      </w:r>
      <w:r w:rsidR="001C5C44" w:rsidRPr="008A307B">
        <w:rPr>
          <w:szCs w:val="22"/>
          <w:lang w:val="sr-Latn-RS"/>
        </w:rPr>
        <w:t>.</w:t>
      </w:r>
    </w:p>
    <w:p w14:paraId="760811CC" w14:textId="77777777" w:rsidR="008B2A2C" w:rsidRPr="008A307B" w:rsidRDefault="008B2A2C" w:rsidP="00923865">
      <w:pPr>
        <w:rPr>
          <w:szCs w:val="22"/>
          <w:lang w:val="sr-Latn-RS"/>
        </w:rPr>
      </w:pPr>
    </w:p>
    <w:p w14:paraId="2E9FAA68" w14:textId="0CEDF47D" w:rsidR="00CE09F3" w:rsidRPr="008A307B" w:rsidRDefault="00CE09F3" w:rsidP="00923865">
      <w:pPr>
        <w:rPr>
          <w:b/>
          <w:bCs/>
          <w:szCs w:val="22"/>
          <w:lang w:val="sr-Latn-RS"/>
        </w:rPr>
      </w:pPr>
      <w:r w:rsidRPr="008A307B">
        <w:rPr>
          <w:b/>
          <w:bCs/>
          <w:szCs w:val="22"/>
          <w:lang w:val="sr-Latn-RS"/>
        </w:rPr>
        <w:t>6.2. Inkompatibilnost</w:t>
      </w:r>
      <w:r w:rsidR="000B2075" w:rsidRPr="008A307B">
        <w:rPr>
          <w:b/>
          <w:bCs/>
          <w:szCs w:val="22"/>
          <w:lang w:val="sr-Latn-RS"/>
        </w:rPr>
        <w:t>i</w:t>
      </w:r>
    </w:p>
    <w:p w14:paraId="3E5935D1" w14:textId="77777777" w:rsidR="00CE09F3" w:rsidRPr="008A307B" w:rsidRDefault="00CE09F3" w:rsidP="00923865">
      <w:pPr>
        <w:rPr>
          <w:szCs w:val="22"/>
          <w:lang w:val="sr-Latn-RS"/>
        </w:rPr>
      </w:pPr>
    </w:p>
    <w:p w14:paraId="316E5C25" w14:textId="77777777" w:rsidR="00D25C9A" w:rsidRPr="008A307B" w:rsidRDefault="00D25C9A" w:rsidP="00923865">
      <w:pPr>
        <w:rPr>
          <w:szCs w:val="22"/>
          <w:lang w:val="sr-Latn-RS"/>
        </w:rPr>
      </w:pPr>
      <w:r w:rsidRPr="008A307B">
        <w:rPr>
          <w:szCs w:val="22"/>
          <w:lang w:val="sr-Latn-RS"/>
        </w:rPr>
        <w:t>Nije primjenjivo</w:t>
      </w:r>
    </w:p>
    <w:p w14:paraId="63870F97" w14:textId="77777777" w:rsidR="00CE09F3" w:rsidRPr="008A307B" w:rsidRDefault="00CE09F3" w:rsidP="00923865">
      <w:pPr>
        <w:rPr>
          <w:szCs w:val="22"/>
          <w:lang w:val="sr-Latn-RS"/>
        </w:rPr>
      </w:pPr>
    </w:p>
    <w:p w14:paraId="4F6DF723" w14:textId="77777777" w:rsidR="00CE09F3" w:rsidRPr="008A307B" w:rsidRDefault="00CE09F3" w:rsidP="00923865">
      <w:pPr>
        <w:rPr>
          <w:b/>
          <w:bCs/>
          <w:szCs w:val="22"/>
          <w:lang w:val="sr-Latn-RS"/>
        </w:rPr>
      </w:pPr>
      <w:r w:rsidRPr="008A307B">
        <w:rPr>
          <w:b/>
          <w:bCs/>
          <w:szCs w:val="22"/>
          <w:lang w:val="sr-Latn-RS"/>
        </w:rPr>
        <w:t>6.3. Rok upotrebe</w:t>
      </w:r>
    </w:p>
    <w:p w14:paraId="48AEC70A" w14:textId="77777777" w:rsidR="00143E14" w:rsidRPr="008A307B" w:rsidRDefault="00143E14" w:rsidP="00923865">
      <w:pPr>
        <w:rPr>
          <w:b/>
          <w:bCs/>
          <w:szCs w:val="22"/>
          <w:lang w:val="sr-Latn-RS"/>
        </w:rPr>
      </w:pPr>
    </w:p>
    <w:p w14:paraId="3F84060C" w14:textId="77777777" w:rsidR="00854A40" w:rsidRPr="008A307B" w:rsidRDefault="00143E14" w:rsidP="00001C00">
      <w:pPr>
        <w:shd w:val="clear" w:color="auto" w:fill="FFFFFF"/>
        <w:tabs>
          <w:tab w:val="left" w:pos="2410"/>
        </w:tabs>
        <w:ind w:right="139"/>
        <w:rPr>
          <w:szCs w:val="22"/>
          <w:lang w:val="sr-Latn-RS"/>
        </w:rPr>
      </w:pPr>
      <w:r w:rsidRPr="008A307B">
        <w:rPr>
          <w:szCs w:val="22"/>
          <w:lang w:val="sr-Latn-RS"/>
        </w:rPr>
        <w:t xml:space="preserve">3 godine. </w:t>
      </w:r>
    </w:p>
    <w:p w14:paraId="07F8E742" w14:textId="77777777" w:rsidR="00854A40" w:rsidRPr="008A307B" w:rsidRDefault="00854A40" w:rsidP="00001C00">
      <w:pPr>
        <w:shd w:val="clear" w:color="auto" w:fill="FFFFFF"/>
        <w:tabs>
          <w:tab w:val="left" w:pos="2410"/>
        </w:tabs>
        <w:ind w:right="139"/>
        <w:rPr>
          <w:szCs w:val="22"/>
          <w:lang w:val="sr-Latn-RS"/>
        </w:rPr>
      </w:pPr>
    </w:p>
    <w:p w14:paraId="7416B5DA" w14:textId="568358F7" w:rsidR="00143E14" w:rsidRPr="008A307B" w:rsidRDefault="00001C00" w:rsidP="00001C00">
      <w:pPr>
        <w:shd w:val="clear" w:color="auto" w:fill="FFFFFF"/>
        <w:tabs>
          <w:tab w:val="left" w:pos="2410"/>
        </w:tabs>
        <w:ind w:right="139"/>
        <w:rPr>
          <w:szCs w:val="22"/>
          <w:lang w:val="sr-Latn-RS"/>
        </w:rPr>
      </w:pPr>
      <w:r w:rsidRPr="008A307B">
        <w:rPr>
          <w:szCs w:val="22"/>
          <w:lang w:val="sr-Latn-RS"/>
        </w:rPr>
        <w:t>Lijek ne treba koristiti po isteku roka upotrebe označenog na pakovanju.</w:t>
      </w:r>
    </w:p>
    <w:p w14:paraId="264B69A1" w14:textId="77777777" w:rsidR="008B2A2C" w:rsidRPr="008A307B" w:rsidRDefault="008B2A2C" w:rsidP="00923865">
      <w:pPr>
        <w:rPr>
          <w:szCs w:val="22"/>
          <w:lang w:val="sr-Latn-RS"/>
        </w:rPr>
      </w:pPr>
    </w:p>
    <w:p w14:paraId="361FFBAA" w14:textId="3AC52FD9" w:rsidR="00CE09F3" w:rsidRPr="008A307B" w:rsidRDefault="00CE09F3" w:rsidP="00B86556">
      <w:pPr>
        <w:tabs>
          <w:tab w:val="left" w:pos="540"/>
          <w:tab w:val="left" w:pos="569"/>
        </w:tabs>
        <w:rPr>
          <w:b/>
          <w:bCs/>
          <w:szCs w:val="22"/>
          <w:lang w:val="sr-Latn-RS"/>
        </w:rPr>
      </w:pPr>
      <w:r w:rsidRPr="008A307B">
        <w:rPr>
          <w:b/>
          <w:bCs/>
          <w:szCs w:val="22"/>
          <w:lang w:val="sr-Latn-RS"/>
        </w:rPr>
        <w:t xml:space="preserve">6.4. Posebne </w:t>
      </w:r>
      <w:r w:rsidR="00B86556" w:rsidRPr="008A307B">
        <w:rPr>
          <w:b/>
          <w:bCs/>
          <w:szCs w:val="22"/>
          <w:lang w:val="sr-Latn-RS"/>
        </w:rPr>
        <w:t>mjere upozorenja pri čuvanju lijeka</w:t>
      </w:r>
    </w:p>
    <w:p w14:paraId="040668C0" w14:textId="77777777" w:rsidR="00CE09F3" w:rsidRPr="008A307B" w:rsidRDefault="00CE09F3" w:rsidP="00923865">
      <w:pPr>
        <w:rPr>
          <w:szCs w:val="22"/>
          <w:lang w:val="sr-Latn-RS"/>
        </w:rPr>
      </w:pPr>
    </w:p>
    <w:p w14:paraId="04ED45E0" w14:textId="61196144" w:rsidR="008B2A2C" w:rsidRPr="008A307B" w:rsidRDefault="008B2A2C" w:rsidP="00211A6B">
      <w:pPr>
        <w:shd w:val="clear" w:color="auto" w:fill="FFFFFF"/>
        <w:tabs>
          <w:tab w:val="left" w:pos="2410"/>
        </w:tabs>
        <w:ind w:right="139"/>
        <w:rPr>
          <w:szCs w:val="22"/>
          <w:lang w:val="sr-Latn-RS"/>
        </w:rPr>
      </w:pPr>
      <w:r w:rsidRPr="008A307B">
        <w:rPr>
          <w:szCs w:val="22"/>
          <w:lang w:val="sr-Latn-RS"/>
        </w:rPr>
        <w:t>Čuvati na temperaturi do</w:t>
      </w:r>
      <w:r w:rsidR="004F3B70" w:rsidRPr="008A307B">
        <w:rPr>
          <w:szCs w:val="22"/>
          <w:lang w:val="sr-Latn-RS"/>
        </w:rPr>
        <w:t xml:space="preserve"> </w:t>
      </w:r>
      <w:r w:rsidR="00143E14" w:rsidRPr="008A307B">
        <w:rPr>
          <w:szCs w:val="22"/>
          <w:lang w:val="sr-Latn-RS"/>
        </w:rPr>
        <w:t>25</w:t>
      </w:r>
      <w:r w:rsidR="00CD32A2" w:rsidRPr="008A307B">
        <w:rPr>
          <w:szCs w:val="22"/>
          <w:lang w:val="sr-Latn-RS"/>
        </w:rPr>
        <w:t xml:space="preserve">°C, u originalnom pakovanju radi zaštite od </w:t>
      </w:r>
      <w:r w:rsidRPr="008A307B">
        <w:rPr>
          <w:szCs w:val="22"/>
          <w:lang w:val="sr-Latn-RS"/>
        </w:rPr>
        <w:t>sv</w:t>
      </w:r>
      <w:r w:rsidR="00EB197D" w:rsidRPr="008A307B">
        <w:rPr>
          <w:szCs w:val="22"/>
          <w:lang w:val="sr-Latn-RS"/>
        </w:rPr>
        <w:t>j</w:t>
      </w:r>
      <w:r w:rsidRPr="008A307B">
        <w:rPr>
          <w:szCs w:val="22"/>
          <w:lang w:val="sr-Latn-RS"/>
        </w:rPr>
        <w:t>etlosti i vlage.</w:t>
      </w:r>
      <w:r w:rsidR="00211A6B" w:rsidRPr="008A307B">
        <w:rPr>
          <w:szCs w:val="22"/>
          <w:lang w:val="sr-Latn-RS"/>
        </w:rPr>
        <w:t xml:space="preserve"> Čuvati van domašaja djece.</w:t>
      </w:r>
    </w:p>
    <w:p w14:paraId="5E983AA2" w14:textId="77777777" w:rsidR="00CE09F3" w:rsidRPr="008A307B" w:rsidRDefault="00CE09F3" w:rsidP="00923865">
      <w:pPr>
        <w:rPr>
          <w:szCs w:val="22"/>
          <w:lang w:val="sr-Latn-RS"/>
        </w:rPr>
      </w:pPr>
    </w:p>
    <w:p w14:paraId="110E3E4F" w14:textId="19D1AC8C" w:rsidR="00CE09F3" w:rsidRPr="008A307B" w:rsidRDefault="0022223A" w:rsidP="00923865">
      <w:pPr>
        <w:rPr>
          <w:b/>
          <w:bCs/>
          <w:szCs w:val="22"/>
          <w:lang w:val="sr-Latn-RS"/>
        </w:rPr>
      </w:pPr>
      <w:r w:rsidRPr="008A307B">
        <w:rPr>
          <w:b/>
          <w:bCs/>
          <w:szCs w:val="22"/>
          <w:lang w:val="sr-Latn-RS"/>
        </w:rPr>
        <w:t xml:space="preserve">6.5. </w:t>
      </w:r>
      <w:r w:rsidR="003924BD" w:rsidRPr="008A307B">
        <w:rPr>
          <w:b/>
          <w:bCs/>
          <w:szCs w:val="22"/>
          <w:lang w:val="sr-Latn-RS"/>
        </w:rPr>
        <w:t>Vrsta i sadržaj pakovanja</w:t>
      </w:r>
    </w:p>
    <w:p w14:paraId="6A790DED" w14:textId="77777777" w:rsidR="00143E14" w:rsidRPr="008A307B" w:rsidRDefault="00143E14" w:rsidP="00923865">
      <w:pPr>
        <w:rPr>
          <w:b/>
          <w:bCs/>
          <w:szCs w:val="22"/>
          <w:lang w:val="sr-Latn-RS"/>
        </w:rPr>
      </w:pPr>
    </w:p>
    <w:p w14:paraId="79D53F51" w14:textId="77777777" w:rsidR="00427D10" w:rsidRPr="008A307B" w:rsidRDefault="00427D10" w:rsidP="00427D10">
      <w:pPr>
        <w:rPr>
          <w:szCs w:val="22"/>
          <w:lang w:val="sr-Latn-RS"/>
        </w:rPr>
      </w:pPr>
      <w:r w:rsidRPr="008A307B">
        <w:rPr>
          <w:szCs w:val="22"/>
          <w:lang w:val="sr-Latn-RS"/>
        </w:rPr>
        <w:t>Unutrašnje pakovanje je strip (AL/PE) sa 6 tableta.</w:t>
      </w:r>
    </w:p>
    <w:p w14:paraId="04EAF4E0" w14:textId="77777777" w:rsidR="00427D10" w:rsidRPr="008A307B" w:rsidRDefault="00427D10" w:rsidP="00427D10">
      <w:pPr>
        <w:rPr>
          <w:szCs w:val="22"/>
          <w:lang w:val="sr-Latn-RS"/>
        </w:rPr>
      </w:pPr>
    </w:p>
    <w:p w14:paraId="44C0DEF6" w14:textId="77777777" w:rsidR="00427D10" w:rsidRPr="008A307B" w:rsidRDefault="00427D10" w:rsidP="00427D10">
      <w:pPr>
        <w:rPr>
          <w:szCs w:val="22"/>
          <w:lang w:val="sr-Latn-RS"/>
        </w:rPr>
      </w:pPr>
      <w:r w:rsidRPr="008A307B">
        <w:rPr>
          <w:szCs w:val="22"/>
          <w:lang w:val="sr-Latn-RS"/>
        </w:rPr>
        <w:t>Spoljašnje pakovanje je složiva kartonska kutija koja sadrži dva stripa sa po 6 tableta (ukupno 12 tableta) i</w:t>
      </w:r>
    </w:p>
    <w:p w14:paraId="363655F0" w14:textId="77777777" w:rsidR="00427D10" w:rsidRPr="008A307B" w:rsidRDefault="00427D10" w:rsidP="00427D10">
      <w:pPr>
        <w:rPr>
          <w:szCs w:val="22"/>
          <w:lang w:val="sr-Latn-RS"/>
        </w:rPr>
      </w:pPr>
      <w:r w:rsidRPr="008A307B">
        <w:rPr>
          <w:szCs w:val="22"/>
          <w:lang w:val="sr-Latn-RS"/>
        </w:rPr>
        <w:t>Uputstvo za lijek.</w:t>
      </w:r>
    </w:p>
    <w:p w14:paraId="0D534E66" w14:textId="77777777" w:rsidR="008B2A2C" w:rsidRPr="008A307B" w:rsidRDefault="008B2A2C" w:rsidP="00923865">
      <w:pPr>
        <w:rPr>
          <w:szCs w:val="22"/>
          <w:lang w:val="sr-Latn-RS"/>
        </w:rPr>
      </w:pPr>
    </w:p>
    <w:p w14:paraId="46EB2379" w14:textId="0EC6E1D6" w:rsidR="00CE09F3" w:rsidRPr="008A307B" w:rsidRDefault="00CE09F3" w:rsidP="00923865">
      <w:pPr>
        <w:rPr>
          <w:b/>
          <w:bCs/>
          <w:szCs w:val="22"/>
          <w:lang w:val="sr-Latn-RS"/>
        </w:rPr>
      </w:pPr>
      <w:r w:rsidRPr="008A307B">
        <w:rPr>
          <w:b/>
          <w:bCs/>
          <w:szCs w:val="22"/>
          <w:lang w:val="sr-Latn-RS"/>
        </w:rPr>
        <w:t xml:space="preserve">6.6. </w:t>
      </w:r>
      <w:r w:rsidR="00977449" w:rsidRPr="008A307B">
        <w:rPr>
          <w:b/>
          <w:bCs/>
          <w:color w:val="000000"/>
          <w:szCs w:val="22"/>
          <w:lang w:val="sr-Latn-RS"/>
        </w:rPr>
        <w:t>Posebne mjere opreza pri odlaganju materijala koji treba odbaciti nakon primjene lijeka</w:t>
      </w:r>
      <w:r w:rsidR="00977449" w:rsidRPr="008A307B">
        <w:rPr>
          <w:b/>
          <w:bCs/>
          <w:szCs w:val="22"/>
          <w:lang w:val="sr-Latn-RS"/>
        </w:rPr>
        <w:t xml:space="preserve"> (i druga uputstva za rukovanje lijekom)</w:t>
      </w:r>
    </w:p>
    <w:p w14:paraId="1A33C1CE" w14:textId="77777777" w:rsidR="00977449" w:rsidRPr="008A307B" w:rsidRDefault="00977449" w:rsidP="00923865">
      <w:pPr>
        <w:rPr>
          <w:szCs w:val="22"/>
          <w:lang w:val="sr-Latn-RS"/>
        </w:rPr>
      </w:pPr>
    </w:p>
    <w:p w14:paraId="45BCA802" w14:textId="1DB4960B" w:rsidR="00CE09F3" w:rsidRPr="008A307B" w:rsidRDefault="0079711E" w:rsidP="00923865">
      <w:pPr>
        <w:rPr>
          <w:szCs w:val="22"/>
          <w:lang w:val="sr-Latn-RS"/>
        </w:rPr>
      </w:pPr>
      <w:r w:rsidRPr="008A307B">
        <w:rPr>
          <w:szCs w:val="22"/>
          <w:lang w:val="sr-Latn-RS"/>
        </w:rPr>
        <w:t xml:space="preserve">Svu neiskorišćenu količinu </w:t>
      </w:r>
      <w:r w:rsidR="0023552A" w:rsidRPr="008A307B">
        <w:rPr>
          <w:szCs w:val="22"/>
          <w:lang w:val="sr-Latn-RS"/>
        </w:rPr>
        <w:t>lijek</w:t>
      </w:r>
      <w:r w:rsidRPr="008A307B">
        <w:rPr>
          <w:szCs w:val="22"/>
          <w:lang w:val="sr-Latn-RS"/>
        </w:rPr>
        <w:t>a ili otpadnog materijala nakon njegove upotrebe treba ukloniti, u skladu sa</w:t>
      </w:r>
      <w:r w:rsidR="00D00838" w:rsidRPr="008A307B">
        <w:rPr>
          <w:szCs w:val="22"/>
          <w:lang w:val="sr-Latn-RS"/>
        </w:rPr>
        <w:t xml:space="preserve"> važećim propisima.</w:t>
      </w:r>
    </w:p>
    <w:p w14:paraId="33ECF286" w14:textId="77777777" w:rsidR="00854A40" w:rsidRPr="008A307B" w:rsidRDefault="00854A40" w:rsidP="00923865">
      <w:pPr>
        <w:rPr>
          <w:szCs w:val="22"/>
          <w:lang w:val="sr-Latn-RS"/>
        </w:rPr>
      </w:pPr>
    </w:p>
    <w:p w14:paraId="71862067" w14:textId="77777777" w:rsidR="00D00838" w:rsidRPr="008A307B" w:rsidRDefault="00CE09F3" w:rsidP="00143E14">
      <w:pPr>
        <w:pStyle w:val="NASLOV123"/>
        <w:rPr>
          <w:lang w:val="sr-Latn-RS"/>
        </w:rPr>
      </w:pPr>
      <w:r w:rsidRPr="008A307B">
        <w:rPr>
          <w:lang w:val="sr-Latn-RS"/>
        </w:rPr>
        <w:t xml:space="preserve">7. NOSILAC DOZVOLE </w:t>
      </w:r>
    </w:p>
    <w:p w14:paraId="04DA92DA" w14:textId="77777777" w:rsidR="00D25C9A" w:rsidRPr="008A307B" w:rsidRDefault="00D25C9A" w:rsidP="0093502F">
      <w:pPr>
        <w:pStyle w:val="BodyText"/>
        <w:spacing w:after="0"/>
        <w:ind w:left="232"/>
        <w:rPr>
          <w:szCs w:val="22"/>
          <w:lang w:val="sr-Latn-RS"/>
        </w:rPr>
      </w:pPr>
      <w:r w:rsidRPr="008A307B">
        <w:rPr>
          <w:szCs w:val="22"/>
          <w:lang w:val="sr-Latn-RS"/>
        </w:rPr>
        <w:t>HEMOFARM A.D. VRŠAC P.J. PODGORICA</w:t>
      </w:r>
    </w:p>
    <w:p w14:paraId="0829965D" w14:textId="56DE04F4" w:rsidR="0087394A" w:rsidRPr="008A307B" w:rsidRDefault="00D25C9A">
      <w:pPr>
        <w:rPr>
          <w:szCs w:val="22"/>
          <w:lang w:val="sr-Latn-RS"/>
        </w:rPr>
      </w:pPr>
      <w:r w:rsidRPr="008A307B">
        <w:rPr>
          <w:szCs w:val="22"/>
          <w:lang w:val="sr-Latn-RS"/>
        </w:rPr>
        <w:t xml:space="preserve">    </w:t>
      </w:r>
      <w:r w:rsidR="00582E5D" w:rsidRPr="008A307B">
        <w:rPr>
          <w:szCs w:val="22"/>
          <w:lang w:val="sr-Latn-RS"/>
        </w:rPr>
        <w:t>8 marta 55A,</w:t>
      </w:r>
      <w:r w:rsidR="00016E22" w:rsidRPr="008A307B">
        <w:rPr>
          <w:szCs w:val="22"/>
          <w:lang w:val="sr-Latn-RS"/>
        </w:rPr>
        <w:t xml:space="preserve"> </w:t>
      </w:r>
      <w:r w:rsidR="0087394A" w:rsidRPr="008A307B">
        <w:rPr>
          <w:szCs w:val="22"/>
          <w:lang w:val="sr-Latn-RS"/>
        </w:rPr>
        <w:t>Podgorica, Crna Gora</w:t>
      </w:r>
    </w:p>
    <w:p w14:paraId="25C4A010" w14:textId="793AFD65" w:rsidR="00D25C9A" w:rsidRPr="008A307B" w:rsidRDefault="00D25C9A">
      <w:pPr>
        <w:rPr>
          <w:szCs w:val="22"/>
          <w:lang w:val="sr-Latn-RS"/>
        </w:rPr>
      </w:pPr>
    </w:p>
    <w:p w14:paraId="67180EAA" w14:textId="6647A915" w:rsidR="004B01CF" w:rsidRPr="008A307B" w:rsidRDefault="004B01CF">
      <w:pPr>
        <w:rPr>
          <w:szCs w:val="22"/>
          <w:lang w:val="sr-Latn-RS"/>
        </w:rPr>
      </w:pPr>
    </w:p>
    <w:p w14:paraId="662E6810" w14:textId="3CF65F82" w:rsidR="004B01CF" w:rsidRPr="008A307B" w:rsidRDefault="004B01CF">
      <w:pPr>
        <w:rPr>
          <w:szCs w:val="22"/>
          <w:lang w:val="sr-Latn-RS"/>
        </w:rPr>
      </w:pPr>
    </w:p>
    <w:p w14:paraId="52BAE254" w14:textId="77777777" w:rsidR="004B01CF" w:rsidRPr="008A307B" w:rsidRDefault="004B01CF">
      <w:pPr>
        <w:rPr>
          <w:szCs w:val="22"/>
          <w:lang w:val="sr-Latn-RS"/>
        </w:rPr>
      </w:pPr>
    </w:p>
    <w:p w14:paraId="07C4133B" w14:textId="1EA56E14" w:rsidR="00CE09F3" w:rsidRPr="008A307B" w:rsidRDefault="00CE09F3" w:rsidP="00923865">
      <w:pPr>
        <w:pStyle w:val="NASLOV123"/>
        <w:rPr>
          <w:lang w:val="sr-Latn-RS"/>
        </w:rPr>
      </w:pPr>
      <w:r w:rsidRPr="008A307B">
        <w:rPr>
          <w:lang w:val="sr-Latn-RS"/>
        </w:rPr>
        <w:lastRenderedPageBreak/>
        <w:t>8. BROJ DOZVOLE ZA STAVLJANJE L</w:t>
      </w:r>
      <w:r w:rsidR="00977449" w:rsidRPr="008A307B">
        <w:rPr>
          <w:lang w:val="sr-Latn-RS"/>
        </w:rPr>
        <w:t>IJ</w:t>
      </w:r>
      <w:r w:rsidRPr="008A307B">
        <w:rPr>
          <w:lang w:val="sr-Latn-RS"/>
        </w:rPr>
        <w:t>EKA U PROMET</w:t>
      </w:r>
    </w:p>
    <w:p w14:paraId="4B7CBF85" w14:textId="24962F4D" w:rsidR="004B01CF" w:rsidRPr="008A307B" w:rsidRDefault="008A307B" w:rsidP="00923865">
      <w:pPr>
        <w:pStyle w:val="NASLOV123"/>
        <w:rPr>
          <w:b w:val="0"/>
          <w:lang w:val="sr-Latn-RS"/>
        </w:rPr>
      </w:pPr>
      <w:r w:rsidRPr="008A307B">
        <w:rPr>
          <w:b w:val="0"/>
          <w:lang w:val="sr-Latn-RS"/>
        </w:rPr>
        <w:t>2030/24/1793 - 7134</w:t>
      </w:r>
    </w:p>
    <w:p w14:paraId="1A2B3244" w14:textId="77777777" w:rsidR="00854A40" w:rsidRPr="008A307B" w:rsidRDefault="00854A40" w:rsidP="00582E5D">
      <w:pPr>
        <w:pStyle w:val="NASLOV123"/>
        <w:spacing w:after="0"/>
        <w:jc w:val="both"/>
        <w:rPr>
          <w:lang w:val="sr-Latn-RS"/>
        </w:rPr>
      </w:pPr>
    </w:p>
    <w:p w14:paraId="0C57E1F9" w14:textId="3348EAB7" w:rsidR="008A307B" w:rsidRPr="008A307B" w:rsidRDefault="00CE09F3" w:rsidP="00582E5D">
      <w:pPr>
        <w:pStyle w:val="NASLOV123"/>
        <w:spacing w:before="0"/>
        <w:jc w:val="both"/>
        <w:rPr>
          <w:lang w:val="sr-Latn-RS"/>
        </w:rPr>
      </w:pPr>
      <w:r w:rsidRPr="008A307B">
        <w:rPr>
          <w:lang w:val="sr-Latn-RS"/>
        </w:rPr>
        <w:t>9. DATUM PRVE DOZVOLE I DATUM OBNOVE DOZVOLE ZA STAVLJANJE L</w:t>
      </w:r>
      <w:r w:rsidR="00977449" w:rsidRPr="008A307B">
        <w:rPr>
          <w:lang w:val="sr-Latn-RS"/>
        </w:rPr>
        <w:t>IJ</w:t>
      </w:r>
      <w:r w:rsidRPr="008A307B">
        <w:rPr>
          <w:lang w:val="sr-Latn-RS"/>
        </w:rPr>
        <w:t>EKA U PROMET</w:t>
      </w:r>
    </w:p>
    <w:p w14:paraId="103C9836" w14:textId="313A2E52" w:rsidR="008A307B" w:rsidRPr="008A307B" w:rsidRDefault="008A307B" w:rsidP="008A307B">
      <w:pPr>
        <w:tabs>
          <w:tab w:val="left" w:pos="540"/>
          <w:tab w:val="left" w:pos="569"/>
        </w:tabs>
        <w:rPr>
          <w:bCs/>
          <w:szCs w:val="22"/>
          <w:lang w:val="sr-Latn-RS"/>
        </w:rPr>
      </w:pPr>
      <w:r w:rsidRPr="008A307B">
        <w:rPr>
          <w:szCs w:val="22"/>
          <w:lang w:val="sr-Latn-RS"/>
        </w:rPr>
        <w:t>Datum prve dozvole: 01.09.2010</w:t>
      </w:r>
      <w:r w:rsidRPr="008A307B">
        <w:rPr>
          <w:bCs/>
          <w:szCs w:val="22"/>
          <w:lang w:val="sr-Latn-RS" w:eastAsia="sr-Latn-ME"/>
        </w:rPr>
        <w:t>.</w:t>
      </w:r>
      <w:r w:rsidRPr="008A307B">
        <w:rPr>
          <w:bCs/>
          <w:szCs w:val="22"/>
          <w:lang w:val="sr-Latn-RS" w:eastAsia="sr-Latn-ME"/>
        </w:rPr>
        <w:t xml:space="preserve"> </w:t>
      </w:r>
      <w:r w:rsidRPr="008A307B">
        <w:rPr>
          <w:bCs/>
          <w:szCs w:val="22"/>
          <w:lang w:val="sr-Latn-RS" w:eastAsia="sr-Latn-ME"/>
        </w:rPr>
        <w:t>godine</w:t>
      </w:r>
    </w:p>
    <w:p w14:paraId="7FA809FC" w14:textId="609F9108" w:rsidR="008A307B" w:rsidRPr="008A307B" w:rsidRDefault="008A307B" w:rsidP="008A307B">
      <w:pPr>
        <w:tabs>
          <w:tab w:val="left" w:pos="540"/>
          <w:tab w:val="left" w:pos="569"/>
        </w:tabs>
        <w:rPr>
          <w:szCs w:val="22"/>
          <w:lang w:val="sr-Latn-RS"/>
        </w:rPr>
      </w:pPr>
      <w:r w:rsidRPr="008A307B">
        <w:rPr>
          <w:szCs w:val="22"/>
          <w:lang w:val="sr-Latn-RS"/>
        </w:rPr>
        <w:t>Datum poslednje obnove dozvole: 01.04.2024. godine</w:t>
      </w:r>
    </w:p>
    <w:p w14:paraId="7EB9E2CA" w14:textId="77777777" w:rsidR="004B01CF" w:rsidRPr="008A307B" w:rsidRDefault="004B01CF" w:rsidP="00582E5D">
      <w:pPr>
        <w:pStyle w:val="NASLOV123"/>
        <w:spacing w:before="0"/>
        <w:jc w:val="both"/>
        <w:rPr>
          <w:lang w:val="sr-Latn-RS"/>
        </w:rPr>
      </w:pPr>
    </w:p>
    <w:p w14:paraId="3F6F16D1" w14:textId="26E46AD3" w:rsidR="00CE09F3" w:rsidRPr="008A307B" w:rsidRDefault="00CE09F3" w:rsidP="00923865">
      <w:pPr>
        <w:pStyle w:val="NASLOV123"/>
        <w:rPr>
          <w:lang w:val="sr-Latn-RS"/>
        </w:rPr>
      </w:pPr>
      <w:r w:rsidRPr="008A307B">
        <w:rPr>
          <w:lang w:val="sr-Latn-RS"/>
        </w:rPr>
        <w:t>10. DATUM REVIZIJE TEKSTA</w:t>
      </w:r>
    </w:p>
    <w:p w14:paraId="23CB2EB6" w14:textId="759C82E8" w:rsidR="00923865" w:rsidRPr="008A307B" w:rsidRDefault="008A307B" w:rsidP="00923865">
      <w:pPr>
        <w:rPr>
          <w:bCs/>
          <w:szCs w:val="22"/>
          <w:lang w:val="sr-Latn-RS"/>
        </w:rPr>
      </w:pPr>
      <w:r>
        <w:rPr>
          <w:bCs/>
          <w:szCs w:val="22"/>
          <w:lang w:val="sr-Latn-RS"/>
        </w:rPr>
        <w:t>April, 2024. godine</w:t>
      </w:r>
      <w:bookmarkStart w:id="0" w:name="_GoBack"/>
      <w:bookmarkEnd w:id="0"/>
    </w:p>
    <w:sectPr w:rsidR="00923865" w:rsidRPr="008A307B" w:rsidSect="0093502F">
      <w:footerReference w:type="even" r:id="rId14"/>
      <w:footerReference w:type="default" r:id="rId15"/>
      <w:pgSz w:w="11907" w:h="16840" w:code="9"/>
      <w:pgMar w:top="905" w:right="1134" w:bottom="1701" w:left="1134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645B0E" w14:textId="77777777" w:rsidR="006F7667" w:rsidRDefault="006F7667">
      <w:r>
        <w:separator/>
      </w:r>
    </w:p>
  </w:endnote>
  <w:endnote w:type="continuationSeparator" w:id="0">
    <w:p w14:paraId="0FC76955" w14:textId="77777777" w:rsidR="006F7667" w:rsidRDefault="006F7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ist777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64C077" w14:textId="77777777" w:rsidR="002E5796" w:rsidRDefault="002E5796" w:rsidP="009B79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F532D">
      <w:rPr>
        <w:rStyle w:val="PageNumber"/>
        <w:noProof/>
      </w:rPr>
      <w:t>5</w:t>
    </w:r>
    <w:r>
      <w:rPr>
        <w:rStyle w:val="PageNumber"/>
      </w:rPr>
      <w:fldChar w:fldCharType="end"/>
    </w:r>
  </w:p>
  <w:p w14:paraId="3F383AD8" w14:textId="77777777" w:rsidR="002E5796" w:rsidRDefault="002E579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DBBE38" w14:textId="01FBCD2F" w:rsidR="002E5796" w:rsidRDefault="006F7667" w:rsidP="00CE09F3">
    <w:pPr>
      <w:pStyle w:val="Footer"/>
      <w:tabs>
        <w:tab w:val="left" w:pos="5448"/>
      </w:tabs>
      <w:spacing w:before="360"/>
      <w:jc w:val="center"/>
    </w:pPr>
    <w:sdt>
      <w:sdtPr>
        <w:id w:val="25862803"/>
        <w:docPartObj>
          <w:docPartGallery w:val="Page Numbers (Bottom of Page)"/>
          <w:docPartUnique/>
        </w:docPartObj>
      </w:sdtPr>
      <w:sdtEndPr/>
      <w:sdtContent>
        <w:sdt>
          <w:sdtPr>
            <w:id w:val="565050477"/>
            <w:docPartObj>
              <w:docPartGallery w:val="Page Numbers (Top of Page)"/>
              <w:docPartUnique/>
            </w:docPartObj>
          </w:sdtPr>
          <w:sdtEndPr/>
          <w:sdtContent>
            <w:r w:rsidR="002E5796" w:rsidRPr="005A4234">
              <w:rPr>
                <w:sz w:val="18"/>
                <w:szCs w:val="18"/>
              </w:rPr>
              <w:fldChar w:fldCharType="begin"/>
            </w:r>
            <w:r w:rsidR="002E5796" w:rsidRPr="005A4234">
              <w:rPr>
                <w:sz w:val="18"/>
                <w:szCs w:val="18"/>
              </w:rPr>
              <w:instrText xml:space="preserve"> PAGE </w:instrText>
            </w:r>
            <w:r w:rsidR="002E5796" w:rsidRPr="005A4234">
              <w:rPr>
                <w:sz w:val="18"/>
                <w:szCs w:val="18"/>
              </w:rPr>
              <w:fldChar w:fldCharType="separate"/>
            </w:r>
            <w:r w:rsidR="008A307B">
              <w:rPr>
                <w:noProof/>
                <w:sz w:val="18"/>
                <w:szCs w:val="18"/>
              </w:rPr>
              <w:t>6</w:t>
            </w:r>
            <w:r w:rsidR="002E5796" w:rsidRPr="005A4234">
              <w:rPr>
                <w:sz w:val="18"/>
                <w:szCs w:val="18"/>
              </w:rPr>
              <w:fldChar w:fldCharType="end"/>
            </w:r>
            <w:r w:rsidR="002E5796" w:rsidRPr="005A4234">
              <w:rPr>
                <w:sz w:val="18"/>
                <w:szCs w:val="18"/>
              </w:rPr>
              <w:t xml:space="preserve"> </w:t>
            </w:r>
            <w:r w:rsidR="007E05CC">
              <w:rPr>
                <w:sz w:val="18"/>
                <w:szCs w:val="18"/>
              </w:rPr>
              <w:t>/</w:t>
            </w:r>
            <w:r w:rsidR="002E5796" w:rsidRPr="005A4234">
              <w:rPr>
                <w:sz w:val="18"/>
                <w:szCs w:val="18"/>
              </w:rPr>
              <w:t xml:space="preserve"> </w:t>
            </w:r>
            <w:r w:rsidR="002E5796" w:rsidRPr="005A4234">
              <w:rPr>
                <w:sz w:val="18"/>
                <w:szCs w:val="18"/>
              </w:rPr>
              <w:fldChar w:fldCharType="begin"/>
            </w:r>
            <w:r w:rsidR="002E5796" w:rsidRPr="005A4234">
              <w:rPr>
                <w:sz w:val="18"/>
                <w:szCs w:val="18"/>
              </w:rPr>
              <w:instrText xml:space="preserve"> NUMPAGES  </w:instrText>
            </w:r>
            <w:r w:rsidR="002E5796" w:rsidRPr="005A4234">
              <w:rPr>
                <w:sz w:val="18"/>
                <w:szCs w:val="18"/>
              </w:rPr>
              <w:fldChar w:fldCharType="separate"/>
            </w:r>
            <w:r w:rsidR="008A307B">
              <w:rPr>
                <w:noProof/>
                <w:sz w:val="18"/>
                <w:szCs w:val="18"/>
              </w:rPr>
              <w:t>6</w:t>
            </w:r>
            <w:r w:rsidR="002E5796" w:rsidRPr="005A4234">
              <w:rPr>
                <w:sz w:val="18"/>
                <w:szCs w:val="18"/>
              </w:rPr>
              <w:fldChar w:fldCharType="end"/>
            </w:r>
          </w:sdtContent>
        </w:sdt>
      </w:sdtContent>
    </w:sdt>
  </w:p>
  <w:p w14:paraId="121D19A0" w14:textId="77777777" w:rsidR="002E5796" w:rsidRPr="00C536C2" w:rsidRDefault="002E5796" w:rsidP="00C53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6E4690" w14:textId="77777777" w:rsidR="006F7667" w:rsidRDefault="006F7667">
      <w:r>
        <w:separator/>
      </w:r>
    </w:p>
  </w:footnote>
  <w:footnote w:type="continuationSeparator" w:id="0">
    <w:p w14:paraId="081AADA4" w14:textId="77777777" w:rsidR="006F7667" w:rsidRDefault="006F76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AF93"/>
    <w:multiLevelType w:val="singleLevel"/>
    <w:tmpl w:val="5AD292E4"/>
    <w:lvl w:ilvl="0">
      <w:start w:val="7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i w:val="0"/>
        <w:color w:val="auto"/>
        <w:sz w:val="22"/>
        <w:szCs w:val="22"/>
      </w:rPr>
    </w:lvl>
  </w:abstractNum>
  <w:abstractNum w:abstractNumId="1" w15:restartNumberingAfterBreak="0">
    <w:nsid w:val="109C655B"/>
    <w:multiLevelType w:val="hybridMultilevel"/>
    <w:tmpl w:val="4BC8C746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1CC0183C"/>
    <w:multiLevelType w:val="multilevel"/>
    <w:tmpl w:val="BD06391A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25A85566"/>
    <w:multiLevelType w:val="hybridMultilevel"/>
    <w:tmpl w:val="26144678"/>
    <w:lvl w:ilvl="0" w:tplc="040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9A289E"/>
    <w:multiLevelType w:val="hybridMultilevel"/>
    <w:tmpl w:val="DFA436F8"/>
    <w:lvl w:ilvl="0" w:tplc="201ADA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4D3B91"/>
    <w:multiLevelType w:val="hybridMultilevel"/>
    <w:tmpl w:val="AFF6E9EC"/>
    <w:lvl w:ilvl="0" w:tplc="7CE04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FE32F3"/>
    <w:multiLevelType w:val="multilevel"/>
    <w:tmpl w:val="BDE0B4C6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782160C4"/>
    <w:multiLevelType w:val="hybridMultilevel"/>
    <w:tmpl w:val="0436EF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7"/>
    </w:lvlOverride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6DA"/>
    <w:rsid w:val="00001C00"/>
    <w:rsid w:val="00013B2B"/>
    <w:rsid w:val="00014508"/>
    <w:rsid w:val="00016E22"/>
    <w:rsid w:val="00017801"/>
    <w:rsid w:val="00033A66"/>
    <w:rsid w:val="00046D34"/>
    <w:rsid w:val="0005798D"/>
    <w:rsid w:val="00061738"/>
    <w:rsid w:val="00064273"/>
    <w:rsid w:val="0007275B"/>
    <w:rsid w:val="0007458F"/>
    <w:rsid w:val="0007604E"/>
    <w:rsid w:val="00083BE0"/>
    <w:rsid w:val="00095FB6"/>
    <w:rsid w:val="0009758B"/>
    <w:rsid w:val="000A0F4A"/>
    <w:rsid w:val="000A41B7"/>
    <w:rsid w:val="000A5566"/>
    <w:rsid w:val="000A7547"/>
    <w:rsid w:val="000B2075"/>
    <w:rsid w:val="000B5C1F"/>
    <w:rsid w:val="000D4A22"/>
    <w:rsid w:val="000D5631"/>
    <w:rsid w:val="000E2395"/>
    <w:rsid w:val="000E75C0"/>
    <w:rsid w:val="000F6BBF"/>
    <w:rsid w:val="001067CF"/>
    <w:rsid w:val="00107506"/>
    <w:rsid w:val="00124DFE"/>
    <w:rsid w:val="00126919"/>
    <w:rsid w:val="00132D42"/>
    <w:rsid w:val="0013711E"/>
    <w:rsid w:val="0013785A"/>
    <w:rsid w:val="0014113B"/>
    <w:rsid w:val="001413E9"/>
    <w:rsid w:val="00141639"/>
    <w:rsid w:val="0014180A"/>
    <w:rsid w:val="00143E14"/>
    <w:rsid w:val="00152185"/>
    <w:rsid w:val="00152F6C"/>
    <w:rsid w:val="001542D4"/>
    <w:rsid w:val="00162699"/>
    <w:rsid w:val="00166E23"/>
    <w:rsid w:val="00173D18"/>
    <w:rsid w:val="00175772"/>
    <w:rsid w:val="00175A7E"/>
    <w:rsid w:val="00175E07"/>
    <w:rsid w:val="0018082D"/>
    <w:rsid w:val="0018601D"/>
    <w:rsid w:val="00190215"/>
    <w:rsid w:val="00191A9D"/>
    <w:rsid w:val="001A39A9"/>
    <w:rsid w:val="001B169F"/>
    <w:rsid w:val="001B469D"/>
    <w:rsid w:val="001B46D1"/>
    <w:rsid w:val="001B4B90"/>
    <w:rsid w:val="001B4E89"/>
    <w:rsid w:val="001B706A"/>
    <w:rsid w:val="001C30A4"/>
    <w:rsid w:val="001C5C44"/>
    <w:rsid w:val="001D10C9"/>
    <w:rsid w:val="001D17FA"/>
    <w:rsid w:val="001D4D88"/>
    <w:rsid w:val="001E0A07"/>
    <w:rsid w:val="001E1487"/>
    <w:rsid w:val="001E42C8"/>
    <w:rsid w:val="001E4345"/>
    <w:rsid w:val="001E6145"/>
    <w:rsid w:val="001F2D4E"/>
    <w:rsid w:val="001F39B6"/>
    <w:rsid w:val="00203565"/>
    <w:rsid w:val="00211A6B"/>
    <w:rsid w:val="002124CE"/>
    <w:rsid w:val="00217E47"/>
    <w:rsid w:val="0022218E"/>
    <w:rsid w:val="0022223A"/>
    <w:rsid w:val="00222F82"/>
    <w:rsid w:val="002302F3"/>
    <w:rsid w:val="00230956"/>
    <w:rsid w:val="00234D99"/>
    <w:rsid w:val="0023552A"/>
    <w:rsid w:val="00235A3D"/>
    <w:rsid w:val="00236E5F"/>
    <w:rsid w:val="0024126B"/>
    <w:rsid w:val="0024132F"/>
    <w:rsid w:val="00242DCD"/>
    <w:rsid w:val="002444A1"/>
    <w:rsid w:val="00247C5C"/>
    <w:rsid w:val="00273BE0"/>
    <w:rsid w:val="00276116"/>
    <w:rsid w:val="00290325"/>
    <w:rsid w:val="002B6F6A"/>
    <w:rsid w:val="002C0FBF"/>
    <w:rsid w:val="002C63BC"/>
    <w:rsid w:val="002E3502"/>
    <w:rsid w:val="002E5796"/>
    <w:rsid w:val="002E5DA9"/>
    <w:rsid w:val="002F04B7"/>
    <w:rsid w:val="002F3B21"/>
    <w:rsid w:val="002F53A4"/>
    <w:rsid w:val="002F5E2F"/>
    <w:rsid w:val="00305DD5"/>
    <w:rsid w:val="00316FC0"/>
    <w:rsid w:val="003361C1"/>
    <w:rsid w:val="00343F64"/>
    <w:rsid w:val="003452C0"/>
    <w:rsid w:val="00351582"/>
    <w:rsid w:val="00370F24"/>
    <w:rsid w:val="00376542"/>
    <w:rsid w:val="00376C63"/>
    <w:rsid w:val="003779CC"/>
    <w:rsid w:val="00377FBD"/>
    <w:rsid w:val="00380284"/>
    <w:rsid w:val="003818C1"/>
    <w:rsid w:val="00383195"/>
    <w:rsid w:val="003834DC"/>
    <w:rsid w:val="003924BD"/>
    <w:rsid w:val="003932E4"/>
    <w:rsid w:val="00397C8A"/>
    <w:rsid w:val="003A2DF8"/>
    <w:rsid w:val="003A547D"/>
    <w:rsid w:val="003B1710"/>
    <w:rsid w:val="003B2082"/>
    <w:rsid w:val="003B656B"/>
    <w:rsid w:val="003B7242"/>
    <w:rsid w:val="003C18A4"/>
    <w:rsid w:val="003C4115"/>
    <w:rsid w:val="003C6F41"/>
    <w:rsid w:val="003D1914"/>
    <w:rsid w:val="003D48B8"/>
    <w:rsid w:val="003E3AC8"/>
    <w:rsid w:val="003E3EC7"/>
    <w:rsid w:val="003E6A32"/>
    <w:rsid w:val="003F2738"/>
    <w:rsid w:val="003F532D"/>
    <w:rsid w:val="00410A99"/>
    <w:rsid w:val="00411C06"/>
    <w:rsid w:val="004123CD"/>
    <w:rsid w:val="004234ED"/>
    <w:rsid w:val="00426B38"/>
    <w:rsid w:val="00427D10"/>
    <w:rsid w:val="00427D41"/>
    <w:rsid w:val="00430C67"/>
    <w:rsid w:val="00437621"/>
    <w:rsid w:val="00441573"/>
    <w:rsid w:val="0044375D"/>
    <w:rsid w:val="0044580C"/>
    <w:rsid w:val="00446885"/>
    <w:rsid w:val="004514EE"/>
    <w:rsid w:val="00461587"/>
    <w:rsid w:val="00462C33"/>
    <w:rsid w:val="00463BF2"/>
    <w:rsid w:val="00471D1F"/>
    <w:rsid w:val="00474EF1"/>
    <w:rsid w:val="00491229"/>
    <w:rsid w:val="004913BE"/>
    <w:rsid w:val="00492248"/>
    <w:rsid w:val="00497648"/>
    <w:rsid w:val="004A5696"/>
    <w:rsid w:val="004B01CF"/>
    <w:rsid w:val="004B5A11"/>
    <w:rsid w:val="004B7A50"/>
    <w:rsid w:val="004C7D06"/>
    <w:rsid w:val="004D230F"/>
    <w:rsid w:val="004D7137"/>
    <w:rsid w:val="004E0C6F"/>
    <w:rsid w:val="004E23EC"/>
    <w:rsid w:val="004F3B70"/>
    <w:rsid w:val="004F6263"/>
    <w:rsid w:val="004F6DBE"/>
    <w:rsid w:val="00503974"/>
    <w:rsid w:val="00507B1A"/>
    <w:rsid w:val="00517CA9"/>
    <w:rsid w:val="0052230B"/>
    <w:rsid w:val="00524777"/>
    <w:rsid w:val="00525A8A"/>
    <w:rsid w:val="00527683"/>
    <w:rsid w:val="005276E5"/>
    <w:rsid w:val="005276F0"/>
    <w:rsid w:val="00530909"/>
    <w:rsid w:val="00530E7E"/>
    <w:rsid w:val="0053107C"/>
    <w:rsid w:val="00536ACE"/>
    <w:rsid w:val="00537E03"/>
    <w:rsid w:val="005471EE"/>
    <w:rsid w:val="005556B2"/>
    <w:rsid w:val="00566E69"/>
    <w:rsid w:val="00570E0F"/>
    <w:rsid w:val="00576115"/>
    <w:rsid w:val="00582E5D"/>
    <w:rsid w:val="00585CB0"/>
    <w:rsid w:val="005878FB"/>
    <w:rsid w:val="00591F65"/>
    <w:rsid w:val="005A7ACE"/>
    <w:rsid w:val="005B107E"/>
    <w:rsid w:val="005B3388"/>
    <w:rsid w:val="005B428A"/>
    <w:rsid w:val="005C3F73"/>
    <w:rsid w:val="005C7891"/>
    <w:rsid w:val="005D41FD"/>
    <w:rsid w:val="005D5AF9"/>
    <w:rsid w:val="005E0880"/>
    <w:rsid w:val="005E3A07"/>
    <w:rsid w:val="005F2B06"/>
    <w:rsid w:val="005F6A42"/>
    <w:rsid w:val="00603302"/>
    <w:rsid w:val="00604E4F"/>
    <w:rsid w:val="006054DB"/>
    <w:rsid w:val="006054EE"/>
    <w:rsid w:val="006108FB"/>
    <w:rsid w:val="006118B6"/>
    <w:rsid w:val="00612B5F"/>
    <w:rsid w:val="006270C0"/>
    <w:rsid w:val="00630195"/>
    <w:rsid w:val="00630D0F"/>
    <w:rsid w:val="006508E6"/>
    <w:rsid w:val="0065307C"/>
    <w:rsid w:val="00654260"/>
    <w:rsid w:val="006559AF"/>
    <w:rsid w:val="00660ED5"/>
    <w:rsid w:val="00682A7C"/>
    <w:rsid w:val="00682CB3"/>
    <w:rsid w:val="00685C7A"/>
    <w:rsid w:val="006875C2"/>
    <w:rsid w:val="00693874"/>
    <w:rsid w:val="00693F46"/>
    <w:rsid w:val="006A2259"/>
    <w:rsid w:val="006A28E9"/>
    <w:rsid w:val="006A33EB"/>
    <w:rsid w:val="006A5A4B"/>
    <w:rsid w:val="006B68A2"/>
    <w:rsid w:val="006B7218"/>
    <w:rsid w:val="006B7AA6"/>
    <w:rsid w:val="006C04A7"/>
    <w:rsid w:val="006C04DB"/>
    <w:rsid w:val="006C4658"/>
    <w:rsid w:val="006C4AC6"/>
    <w:rsid w:val="006C503D"/>
    <w:rsid w:val="006E2C96"/>
    <w:rsid w:val="006E42F7"/>
    <w:rsid w:val="006E4883"/>
    <w:rsid w:val="006E6015"/>
    <w:rsid w:val="006E69CE"/>
    <w:rsid w:val="006F158F"/>
    <w:rsid w:val="006F1C99"/>
    <w:rsid w:val="006F7667"/>
    <w:rsid w:val="00710EE9"/>
    <w:rsid w:val="00712AE8"/>
    <w:rsid w:val="0073038D"/>
    <w:rsid w:val="007361AA"/>
    <w:rsid w:val="00737064"/>
    <w:rsid w:val="00737684"/>
    <w:rsid w:val="007404FF"/>
    <w:rsid w:val="00746E70"/>
    <w:rsid w:val="00747094"/>
    <w:rsid w:val="00751177"/>
    <w:rsid w:val="00755368"/>
    <w:rsid w:val="00756951"/>
    <w:rsid w:val="00756E10"/>
    <w:rsid w:val="007633CC"/>
    <w:rsid w:val="00764648"/>
    <w:rsid w:val="007672F3"/>
    <w:rsid w:val="0077301A"/>
    <w:rsid w:val="0078547B"/>
    <w:rsid w:val="0079711E"/>
    <w:rsid w:val="007A1291"/>
    <w:rsid w:val="007A2318"/>
    <w:rsid w:val="007A2B05"/>
    <w:rsid w:val="007B16C4"/>
    <w:rsid w:val="007C2D7E"/>
    <w:rsid w:val="007D1357"/>
    <w:rsid w:val="007D17FD"/>
    <w:rsid w:val="007D48C5"/>
    <w:rsid w:val="007D7D81"/>
    <w:rsid w:val="007E05CC"/>
    <w:rsid w:val="007E06F0"/>
    <w:rsid w:val="007E756C"/>
    <w:rsid w:val="007F476C"/>
    <w:rsid w:val="007F7138"/>
    <w:rsid w:val="00802DFC"/>
    <w:rsid w:val="00804D43"/>
    <w:rsid w:val="008064D8"/>
    <w:rsid w:val="00814781"/>
    <w:rsid w:val="00821B45"/>
    <w:rsid w:val="00831701"/>
    <w:rsid w:val="00834DBB"/>
    <w:rsid w:val="00842FFB"/>
    <w:rsid w:val="008451B3"/>
    <w:rsid w:val="0084768E"/>
    <w:rsid w:val="008504C9"/>
    <w:rsid w:val="00854A40"/>
    <w:rsid w:val="0086351A"/>
    <w:rsid w:val="0086535E"/>
    <w:rsid w:val="00867E21"/>
    <w:rsid w:val="00872401"/>
    <w:rsid w:val="0087394A"/>
    <w:rsid w:val="00874B61"/>
    <w:rsid w:val="00885F9C"/>
    <w:rsid w:val="00896DB9"/>
    <w:rsid w:val="0089780F"/>
    <w:rsid w:val="008A170D"/>
    <w:rsid w:val="008A307B"/>
    <w:rsid w:val="008A48B7"/>
    <w:rsid w:val="008B2A2C"/>
    <w:rsid w:val="008B3EB5"/>
    <w:rsid w:val="008C1091"/>
    <w:rsid w:val="008C5809"/>
    <w:rsid w:val="008D1246"/>
    <w:rsid w:val="008D78C9"/>
    <w:rsid w:val="008E0FC9"/>
    <w:rsid w:val="008E1A42"/>
    <w:rsid w:val="00901B88"/>
    <w:rsid w:val="00903AD4"/>
    <w:rsid w:val="009057B3"/>
    <w:rsid w:val="00905D09"/>
    <w:rsid w:val="00910E72"/>
    <w:rsid w:val="0091268D"/>
    <w:rsid w:val="00913684"/>
    <w:rsid w:val="00913B24"/>
    <w:rsid w:val="00915BEA"/>
    <w:rsid w:val="00920584"/>
    <w:rsid w:val="00923865"/>
    <w:rsid w:val="009238D1"/>
    <w:rsid w:val="0092442F"/>
    <w:rsid w:val="00926F72"/>
    <w:rsid w:val="0093016E"/>
    <w:rsid w:val="0093319E"/>
    <w:rsid w:val="00933F28"/>
    <w:rsid w:val="00934B4D"/>
    <w:rsid w:val="0093502F"/>
    <w:rsid w:val="00935A09"/>
    <w:rsid w:val="00937A00"/>
    <w:rsid w:val="00940FBE"/>
    <w:rsid w:val="00941D69"/>
    <w:rsid w:val="00942400"/>
    <w:rsid w:val="00944382"/>
    <w:rsid w:val="00947570"/>
    <w:rsid w:val="00955C75"/>
    <w:rsid w:val="009677DF"/>
    <w:rsid w:val="009772DB"/>
    <w:rsid w:val="00977449"/>
    <w:rsid w:val="009946F8"/>
    <w:rsid w:val="00995854"/>
    <w:rsid w:val="00996548"/>
    <w:rsid w:val="00996E6B"/>
    <w:rsid w:val="009A1D64"/>
    <w:rsid w:val="009A3EB4"/>
    <w:rsid w:val="009A5ACA"/>
    <w:rsid w:val="009A6AA5"/>
    <w:rsid w:val="009B0B45"/>
    <w:rsid w:val="009B1292"/>
    <w:rsid w:val="009B2430"/>
    <w:rsid w:val="009B338B"/>
    <w:rsid w:val="009B58AD"/>
    <w:rsid w:val="009B7935"/>
    <w:rsid w:val="009C7BA2"/>
    <w:rsid w:val="009D1161"/>
    <w:rsid w:val="009D1DE6"/>
    <w:rsid w:val="009D667B"/>
    <w:rsid w:val="009F1688"/>
    <w:rsid w:val="009F2C55"/>
    <w:rsid w:val="009F4449"/>
    <w:rsid w:val="00A02252"/>
    <w:rsid w:val="00A0317B"/>
    <w:rsid w:val="00A12582"/>
    <w:rsid w:val="00A127F1"/>
    <w:rsid w:val="00A170C6"/>
    <w:rsid w:val="00A21A5A"/>
    <w:rsid w:val="00A27130"/>
    <w:rsid w:val="00A3395F"/>
    <w:rsid w:val="00A45226"/>
    <w:rsid w:val="00A64A8A"/>
    <w:rsid w:val="00A668AB"/>
    <w:rsid w:val="00A672EB"/>
    <w:rsid w:val="00A7147C"/>
    <w:rsid w:val="00A72267"/>
    <w:rsid w:val="00A75604"/>
    <w:rsid w:val="00A7660B"/>
    <w:rsid w:val="00A76A80"/>
    <w:rsid w:val="00A842CF"/>
    <w:rsid w:val="00A86897"/>
    <w:rsid w:val="00A872B0"/>
    <w:rsid w:val="00A90064"/>
    <w:rsid w:val="00A91001"/>
    <w:rsid w:val="00A95733"/>
    <w:rsid w:val="00AA135E"/>
    <w:rsid w:val="00AA5185"/>
    <w:rsid w:val="00AB1F3C"/>
    <w:rsid w:val="00AB2583"/>
    <w:rsid w:val="00AB33CE"/>
    <w:rsid w:val="00AB3676"/>
    <w:rsid w:val="00AB5465"/>
    <w:rsid w:val="00AC44DE"/>
    <w:rsid w:val="00AD238D"/>
    <w:rsid w:val="00AD4249"/>
    <w:rsid w:val="00AD4C34"/>
    <w:rsid w:val="00AE0DF3"/>
    <w:rsid w:val="00AE3064"/>
    <w:rsid w:val="00AF5278"/>
    <w:rsid w:val="00AF599F"/>
    <w:rsid w:val="00AF5AAE"/>
    <w:rsid w:val="00B0029A"/>
    <w:rsid w:val="00B17D5F"/>
    <w:rsid w:val="00B242E1"/>
    <w:rsid w:val="00B26FAC"/>
    <w:rsid w:val="00B31595"/>
    <w:rsid w:val="00B31AA2"/>
    <w:rsid w:val="00B4539C"/>
    <w:rsid w:val="00B547E7"/>
    <w:rsid w:val="00B74C0B"/>
    <w:rsid w:val="00B767EE"/>
    <w:rsid w:val="00B8400D"/>
    <w:rsid w:val="00B86556"/>
    <w:rsid w:val="00B9350D"/>
    <w:rsid w:val="00B93A37"/>
    <w:rsid w:val="00B95B52"/>
    <w:rsid w:val="00BA1819"/>
    <w:rsid w:val="00BA4AE1"/>
    <w:rsid w:val="00BA5368"/>
    <w:rsid w:val="00BA5A22"/>
    <w:rsid w:val="00BA7278"/>
    <w:rsid w:val="00BB55E5"/>
    <w:rsid w:val="00BC52B1"/>
    <w:rsid w:val="00BD725A"/>
    <w:rsid w:val="00BE2B48"/>
    <w:rsid w:val="00BE5329"/>
    <w:rsid w:val="00BE5C79"/>
    <w:rsid w:val="00BE65B1"/>
    <w:rsid w:val="00BF3750"/>
    <w:rsid w:val="00C06244"/>
    <w:rsid w:val="00C0675D"/>
    <w:rsid w:val="00C1617D"/>
    <w:rsid w:val="00C31B3E"/>
    <w:rsid w:val="00C3312F"/>
    <w:rsid w:val="00C3477F"/>
    <w:rsid w:val="00C37656"/>
    <w:rsid w:val="00C45F87"/>
    <w:rsid w:val="00C47A0D"/>
    <w:rsid w:val="00C536C2"/>
    <w:rsid w:val="00C55F47"/>
    <w:rsid w:val="00C56E2E"/>
    <w:rsid w:val="00C622BD"/>
    <w:rsid w:val="00C64A31"/>
    <w:rsid w:val="00C66B74"/>
    <w:rsid w:val="00C7152D"/>
    <w:rsid w:val="00C71C27"/>
    <w:rsid w:val="00C72410"/>
    <w:rsid w:val="00C778AA"/>
    <w:rsid w:val="00C80A7F"/>
    <w:rsid w:val="00C82E8B"/>
    <w:rsid w:val="00CA5280"/>
    <w:rsid w:val="00CB39B6"/>
    <w:rsid w:val="00CC15F1"/>
    <w:rsid w:val="00CC4C88"/>
    <w:rsid w:val="00CC7E46"/>
    <w:rsid w:val="00CD0B1F"/>
    <w:rsid w:val="00CD27CF"/>
    <w:rsid w:val="00CD32A2"/>
    <w:rsid w:val="00CD3F96"/>
    <w:rsid w:val="00CD6139"/>
    <w:rsid w:val="00CE09F3"/>
    <w:rsid w:val="00CE76DA"/>
    <w:rsid w:val="00CF04F0"/>
    <w:rsid w:val="00CF6C81"/>
    <w:rsid w:val="00D00745"/>
    <w:rsid w:val="00D00838"/>
    <w:rsid w:val="00D04534"/>
    <w:rsid w:val="00D1183B"/>
    <w:rsid w:val="00D11E94"/>
    <w:rsid w:val="00D128FC"/>
    <w:rsid w:val="00D1438B"/>
    <w:rsid w:val="00D25102"/>
    <w:rsid w:val="00D25C9A"/>
    <w:rsid w:val="00D30389"/>
    <w:rsid w:val="00D33794"/>
    <w:rsid w:val="00D337F6"/>
    <w:rsid w:val="00D40AEC"/>
    <w:rsid w:val="00D4338F"/>
    <w:rsid w:val="00D44F57"/>
    <w:rsid w:val="00D52CDB"/>
    <w:rsid w:val="00D5504F"/>
    <w:rsid w:val="00D613A1"/>
    <w:rsid w:val="00D6155F"/>
    <w:rsid w:val="00D61710"/>
    <w:rsid w:val="00D66089"/>
    <w:rsid w:val="00D6611E"/>
    <w:rsid w:val="00D7098B"/>
    <w:rsid w:val="00D72078"/>
    <w:rsid w:val="00D72C78"/>
    <w:rsid w:val="00D8005E"/>
    <w:rsid w:val="00D80581"/>
    <w:rsid w:val="00D85F37"/>
    <w:rsid w:val="00D9440B"/>
    <w:rsid w:val="00DB2DE5"/>
    <w:rsid w:val="00DB3677"/>
    <w:rsid w:val="00DB4534"/>
    <w:rsid w:val="00DB5A1A"/>
    <w:rsid w:val="00DC332E"/>
    <w:rsid w:val="00DD2A82"/>
    <w:rsid w:val="00DE2FAC"/>
    <w:rsid w:val="00DE4119"/>
    <w:rsid w:val="00DE467A"/>
    <w:rsid w:val="00DF1690"/>
    <w:rsid w:val="00DF46E4"/>
    <w:rsid w:val="00DF5240"/>
    <w:rsid w:val="00E03A5F"/>
    <w:rsid w:val="00E04856"/>
    <w:rsid w:val="00E10E64"/>
    <w:rsid w:val="00E11B89"/>
    <w:rsid w:val="00E1508F"/>
    <w:rsid w:val="00E267CE"/>
    <w:rsid w:val="00E3138C"/>
    <w:rsid w:val="00E42156"/>
    <w:rsid w:val="00E43BBF"/>
    <w:rsid w:val="00E44579"/>
    <w:rsid w:val="00E464C8"/>
    <w:rsid w:val="00E50CD3"/>
    <w:rsid w:val="00E56089"/>
    <w:rsid w:val="00E56835"/>
    <w:rsid w:val="00E56C32"/>
    <w:rsid w:val="00E72D01"/>
    <w:rsid w:val="00E76CE2"/>
    <w:rsid w:val="00E80066"/>
    <w:rsid w:val="00E81C7B"/>
    <w:rsid w:val="00E823C3"/>
    <w:rsid w:val="00E8418A"/>
    <w:rsid w:val="00E87BE1"/>
    <w:rsid w:val="00E91B90"/>
    <w:rsid w:val="00E96427"/>
    <w:rsid w:val="00EA020F"/>
    <w:rsid w:val="00EA1B05"/>
    <w:rsid w:val="00EA1F85"/>
    <w:rsid w:val="00EA49AD"/>
    <w:rsid w:val="00EB0ACB"/>
    <w:rsid w:val="00EB197D"/>
    <w:rsid w:val="00EB6281"/>
    <w:rsid w:val="00EC29D4"/>
    <w:rsid w:val="00EC66C3"/>
    <w:rsid w:val="00EC7F23"/>
    <w:rsid w:val="00ED4585"/>
    <w:rsid w:val="00ED6A3F"/>
    <w:rsid w:val="00ED735F"/>
    <w:rsid w:val="00EE0505"/>
    <w:rsid w:val="00EF73E0"/>
    <w:rsid w:val="00F01F45"/>
    <w:rsid w:val="00F03313"/>
    <w:rsid w:val="00F07739"/>
    <w:rsid w:val="00F10C86"/>
    <w:rsid w:val="00F11705"/>
    <w:rsid w:val="00F16BCB"/>
    <w:rsid w:val="00F1740E"/>
    <w:rsid w:val="00F1760F"/>
    <w:rsid w:val="00F217D1"/>
    <w:rsid w:val="00F218AD"/>
    <w:rsid w:val="00F37ACC"/>
    <w:rsid w:val="00F42610"/>
    <w:rsid w:val="00F5395A"/>
    <w:rsid w:val="00F5775F"/>
    <w:rsid w:val="00F63F24"/>
    <w:rsid w:val="00F824C4"/>
    <w:rsid w:val="00F8489C"/>
    <w:rsid w:val="00FA2236"/>
    <w:rsid w:val="00FC3D98"/>
    <w:rsid w:val="00FD6560"/>
    <w:rsid w:val="00FD7C14"/>
    <w:rsid w:val="00FF08C9"/>
    <w:rsid w:val="00FF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2A13F3"/>
  <w15:docId w15:val="{847AD401-23C9-42F9-8144-A4C9E67FD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865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175A7E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175A7E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175A7E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175A7E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5A7E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175A7E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75A7E"/>
  </w:style>
  <w:style w:type="character" w:styleId="CommentReference">
    <w:name w:val="annotation reference"/>
    <w:rsid w:val="003B2082"/>
    <w:rPr>
      <w:sz w:val="16"/>
      <w:szCs w:val="16"/>
    </w:rPr>
  </w:style>
  <w:style w:type="paragraph" w:styleId="CommentText">
    <w:name w:val="annotation text"/>
    <w:basedOn w:val="Normal"/>
    <w:semiHidden/>
    <w:rsid w:val="003B20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B2082"/>
    <w:rPr>
      <w:b/>
      <w:bCs/>
    </w:rPr>
  </w:style>
  <w:style w:type="paragraph" w:styleId="BalloonText">
    <w:name w:val="Balloon Text"/>
    <w:basedOn w:val="Normal"/>
    <w:semiHidden/>
    <w:rsid w:val="003B2082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536C2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923865"/>
    <w:pPr>
      <w:spacing w:before="200" w:after="200"/>
      <w:jc w:val="left"/>
    </w:pPr>
    <w:rPr>
      <w:b/>
      <w:szCs w:val="22"/>
    </w:rPr>
  </w:style>
  <w:style w:type="paragraph" w:styleId="ListParagraph">
    <w:name w:val="List Paragraph"/>
    <w:basedOn w:val="Normal"/>
    <w:uiPriority w:val="34"/>
    <w:qFormat/>
    <w:rsid w:val="009A3EB4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143E14"/>
    <w:pPr>
      <w:tabs>
        <w:tab w:val="clear" w:pos="284"/>
      </w:tabs>
      <w:ind w:left="1440"/>
      <w:jc w:val="left"/>
    </w:pPr>
    <w:rPr>
      <w:i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143E14"/>
    <w:rPr>
      <w:i/>
      <w:sz w:val="24"/>
      <w:szCs w:val="24"/>
    </w:rPr>
  </w:style>
  <w:style w:type="paragraph" w:styleId="NormalWeb">
    <w:name w:val="Normal (Web)"/>
    <w:basedOn w:val="Normal"/>
    <w:uiPriority w:val="99"/>
    <w:unhideWhenUsed/>
    <w:rsid w:val="00F5395A"/>
    <w:pPr>
      <w:tabs>
        <w:tab w:val="clear" w:pos="284"/>
      </w:tabs>
      <w:jc w:val="left"/>
    </w:pPr>
    <w:rPr>
      <w:sz w:val="24"/>
    </w:rPr>
  </w:style>
  <w:style w:type="paragraph" w:styleId="Revision">
    <w:name w:val="Revision"/>
    <w:hidden/>
    <w:uiPriority w:val="99"/>
    <w:semiHidden/>
    <w:rsid w:val="00E96427"/>
    <w:rPr>
      <w:sz w:val="22"/>
      <w:szCs w:val="24"/>
    </w:rPr>
  </w:style>
  <w:style w:type="paragraph" w:styleId="NoSpacing">
    <w:name w:val="No Spacing"/>
    <w:uiPriority w:val="1"/>
    <w:qFormat/>
    <w:rsid w:val="0078547B"/>
    <w:rPr>
      <w:sz w:val="24"/>
      <w:szCs w:val="24"/>
    </w:rPr>
  </w:style>
  <w:style w:type="character" w:styleId="Hyperlink">
    <w:name w:val="Hyperlink"/>
    <w:basedOn w:val="DefaultParagraphFont"/>
    <w:rsid w:val="0078547B"/>
    <w:rPr>
      <w:color w:val="0000FF" w:themeColor="hyperlink"/>
      <w:u w:val="single"/>
    </w:rPr>
  </w:style>
  <w:style w:type="paragraph" w:customStyle="1" w:styleId="Default">
    <w:name w:val="Default"/>
    <w:rsid w:val="004E23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D25C9A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D25C9A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0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7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1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96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895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572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959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144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871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rimaryreporting.who-umc.org/M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ezeljenadejstva@cinmed.me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cinmed.m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CEC0C4CFFCC54BA0CD6CC845158AA8" ma:contentTypeVersion="15" ma:contentTypeDescription="Create a new document." ma:contentTypeScope="" ma:versionID="52bd2975191717671e8a33edccf7e5ec">
  <xsd:schema xmlns:xsd="http://www.w3.org/2001/XMLSchema" xmlns:xs="http://www.w3.org/2001/XMLSchema" xmlns:p="http://schemas.microsoft.com/office/2006/metadata/properties" xmlns:ns2="bc35de12-aa36-4f53-a057-c3d4e2db79c2" xmlns:ns3="f634c6f7-ec6a-408b-8835-1e576ff06ed3" targetNamespace="http://schemas.microsoft.com/office/2006/metadata/properties" ma:root="true" ma:fieldsID="bd14baf8c41f4fba114db4c62845b9af" ns2:_="" ns3:_="">
    <xsd:import namespace="bc35de12-aa36-4f53-a057-c3d4e2db79c2"/>
    <xsd:import namespace="f634c6f7-ec6a-408b-8835-1e576ff06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5de12-aa36-4f53-a057-c3d4e2db7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0ac5e2e-54aa-4e42-8e84-f3fb8a185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4c6f7-ec6a-408b-8835-1e576ff06e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cbe4cc-82e5-4083-be2e-0e794fc659c5}" ma:internalName="TaxCatchAll" ma:showField="CatchAllData" ma:web="f634c6f7-ec6a-408b-8835-1e576ff06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D2D5B-CBA1-4735-95B5-29B4119610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5de12-aa36-4f53-a057-c3d4e2db79c2"/>
    <ds:schemaRef ds:uri="f634c6f7-ec6a-408b-8835-1e576ff06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D96A34-65EB-473B-A184-614D0EF58F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64BD4D-716E-4F83-9EA9-50BF83FF9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1788</Words>
  <Characters>10194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AD</Company>
  <LinksUpToDate>false</LinksUpToDate>
  <CharactersWithSpaces>11959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Olja Borozan</cp:lastModifiedBy>
  <cp:revision>17</cp:revision>
  <cp:lastPrinted>2020-01-23T13:34:00Z</cp:lastPrinted>
  <dcterms:created xsi:type="dcterms:W3CDTF">2024-03-19T12:00:00Z</dcterms:created>
  <dcterms:modified xsi:type="dcterms:W3CDTF">2024-04-01T07:39:00Z</dcterms:modified>
</cp:coreProperties>
</file>