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F97F" w14:textId="77777777" w:rsidR="00F91C7B" w:rsidRPr="00ED2C45" w:rsidRDefault="00F91C7B" w:rsidP="00E1507B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14:paraId="06FA4047" w14:textId="7A8AA77C" w:rsidR="002510A5" w:rsidRPr="00ED2C45" w:rsidRDefault="004A1428" w:rsidP="00E1507B">
      <w:pPr>
        <w:spacing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E1507B">
        <w:rPr>
          <w:b/>
          <w:bCs/>
          <w:iCs/>
          <w:sz w:val="22"/>
          <w:szCs w:val="22"/>
        </w:rPr>
        <w:t xml:space="preserve">                                                   </w:t>
      </w:r>
      <w:r w:rsidR="002510A5" w:rsidRPr="00ED2C45">
        <w:rPr>
          <w:b/>
          <w:bCs/>
          <w:iCs/>
          <w:sz w:val="22"/>
          <w:szCs w:val="22"/>
          <w:u w:val="single"/>
        </w:rPr>
        <w:t>SAŽETAK KARAKTERISTIKA LIJEKA</w:t>
      </w:r>
    </w:p>
    <w:p w14:paraId="7F94FDFD" w14:textId="77777777" w:rsidR="00C37FD7" w:rsidRPr="00661C10" w:rsidRDefault="00C37FD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lang w:val="hr-HR"/>
        </w:rPr>
      </w:pPr>
    </w:p>
    <w:p w14:paraId="11E0E1CD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1.</w:t>
      </w:r>
      <w:r w:rsidR="00F5167F" w:rsidRPr="00661C10">
        <w:rPr>
          <w:b/>
          <w:bCs/>
          <w:sz w:val="22"/>
          <w:szCs w:val="22"/>
        </w:rPr>
        <w:tab/>
      </w:r>
      <w:r w:rsidR="002846DB" w:rsidRPr="00661C10">
        <w:rPr>
          <w:b/>
          <w:bCs/>
          <w:sz w:val="22"/>
          <w:szCs w:val="22"/>
        </w:rPr>
        <w:t xml:space="preserve">NAZIV </w:t>
      </w:r>
      <w:r w:rsidRPr="00661C10">
        <w:rPr>
          <w:b/>
          <w:bCs/>
          <w:sz w:val="22"/>
          <w:szCs w:val="22"/>
        </w:rPr>
        <w:t>LIJEKA</w:t>
      </w:r>
    </w:p>
    <w:p w14:paraId="7B4337EE" w14:textId="77777777" w:rsidR="00EC2532" w:rsidRPr="00661C10" w:rsidRDefault="00EC2532" w:rsidP="00E1507B">
      <w:pPr>
        <w:spacing w:line="276" w:lineRule="auto"/>
        <w:jc w:val="both"/>
        <w:rPr>
          <w:sz w:val="22"/>
          <w:szCs w:val="22"/>
          <w:lang w:val="pl-PL"/>
        </w:rPr>
      </w:pPr>
    </w:p>
    <w:p w14:paraId="5CC5AA15" w14:textId="617FBD52" w:rsidR="008059F4" w:rsidRPr="00ED2C45" w:rsidRDefault="008059F4" w:rsidP="00E1507B">
      <w:pPr>
        <w:spacing w:line="276" w:lineRule="auto"/>
        <w:jc w:val="both"/>
        <w:rPr>
          <w:i/>
          <w:iCs/>
          <w:color w:val="808080"/>
          <w:sz w:val="22"/>
          <w:szCs w:val="22"/>
          <w:lang w:val="sr-Latn-ME"/>
        </w:rPr>
      </w:pPr>
      <w:r w:rsidRPr="00E1507B">
        <w:rPr>
          <w:sz w:val="22"/>
          <w:szCs w:val="22"/>
        </w:rPr>
        <w:t xml:space="preserve">Imipenem/Cilastatin </w:t>
      </w:r>
      <w:r w:rsidR="00126A4B" w:rsidRPr="00E1507B">
        <w:rPr>
          <w:sz w:val="22"/>
          <w:szCs w:val="22"/>
        </w:rPr>
        <w:t>AptaPharma</w:t>
      </w:r>
      <w:r w:rsidRPr="00E1507B">
        <w:rPr>
          <w:sz w:val="22"/>
          <w:szCs w:val="22"/>
        </w:rPr>
        <w:t>, 500 mg</w:t>
      </w:r>
      <w:r w:rsidR="00A96EFE">
        <w:rPr>
          <w:sz w:val="22"/>
          <w:szCs w:val="22"/>
        </w:rPr>
        <w:t xml:space="preserve"> + </w:t>
      </w:r>
      <w:r w:rsidRPr="00E1507B">
        <w:rPr>
          <w:sz w:val="22"/>
          <w:szCs w:val="22"/>
        </w:rPr>
        <w:t xml:space="preserve">500 mg, prašak za rastvor za infuziju </w:t>
      </w:r>
    </w:p>
    <w:p w14:paraId="261AD4F4" w14:textId="77777777" w:rsidR="000D425A" w:rsidRPr="00661C10" w:rsidRDefault="000D425A" w:rsidP="00E1507B">
      <w:pPr>
        <w:spacing w:line="276" w:lineRule="auto"/>
        <w:jc w:val="both"/>
        <w:rPr>
          <w:bCs/>
          <w:sz w:val="22"/>
          <w:szCs w:val="22"/>
          <w:lang w:val="sv-SE"/>
        </w:rPr>
      </w:pPr>
    </w:p>
    <w:p w14:paraId="6E6848A3" w14:textId="77777777" w:rsidR="006D20A5" w:rsidRPr="00ED2C45" w:rsidRDefault="006D20A5" w:rsidP="00E1507B">
      <w:pPr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v-SE"/>
        </w:rPr>
        <w:t>INN:</w:t>
      </w:r>
      <w:r w:rsidR="008059F4" w:rsidRPr="00E1507B">
        <w:rPr>
          <w:sz w:val="22"/>
          <w:szCs w:val="22"/>
        </w:rPr>
        <w:t xml:space="preserve"> </w:t>
      </w:r>
      <w:r w:rsidR="008059F4" w:rsidRPr="00ED2C45">
        <w:rPr>
          <w:sz w:val="22"/>
          <w:szCs w:val="22"/>
          <w:lang w:val="sv-SE"/>
        </w:rPr>
        <w:t>imipenem/cilastatin</w:t>
      </w:r>
    </w:p>
    <w:p w14:paraId="6B4237BC" w14:textId="77777777" w:rsidR="00530BD7" w:rsidRPr="00661C10" w:rsidRDefault="00530BD7" w:rsidP="00E1507B">
      <w:pPr>
        <w:spacing w:line="276" w:lineRule="auto"/>
        <w:jc w:val="both"/>
        <w:rPr>
          <w:bCs/>
          <w:sz w:val="22"/>
          <w:szCs w:val="22"/>
          <w:lang w:val="sv-SE"/>
        </w:rPr>
      </w:pPr>
    </w:p>
    <w:p w14:paraId="66612579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2. </w:t>
      </w:r>
      <w:r w:rsidR="00F5167F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KVALITATIVNI I KVANTITATIVNI SASTAV</w:t>
      </w:r>
    </w:p>
    <w:p w14:paraId="37E78EAA" w14:textId="77777777" w:rsidR="005A0B2E" w:rsidRPr="00661C10" w:rsidRDefault="005A0B2E" w:rsidP="00E1507B">
      <w:pPr>
        <w:spacing w:line="276" w:lineRule="auto"/>
        <w:jc w:val="both"/>
        <w:rPr>
          <w:sz w:val="22"/>
          <w:szCs w:val="22"/>
          <w:lang w:val="sr-Latn-CS"/>
        </w:rPr>
      </w:pPr>
    </w:p>
    <w:p w14:paraId="4958E553" w14:textId="77777777" w:rsidR="008059F4" w:rsidRPr="00661C10" w:rsidRDefault="008059F4" w:rsidP="004A1428">
      <w:pPr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Jedna bočica sadrži 500 mg imipenema (u obliku imipenem, monohidrata) i 500 mg cilastatina (u obliku</w:t>
      </w:r>
      <w:r w:rsidR="00126A4B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>cilastatin</w:t>
      </w:r>
      <w:r w:rsidR="00126A4B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>natrijuma).</w:t>
      </w:r>
    </w:p>
    <w:p w14:paraId="72628B9F" w14:textId="77777777" w:rsidR="008059F4" w:rsidRPr="00661C10" w:rsidRDefault="008059F4" w:rsidP="00065BF7">
      <w:pPr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Pomoćna supstanca sa potvrđenim dejstvom</w:t>
      </w:r>
      <w:r w:rsidRPr="00661C10">
        <w:rPr>
          <w:sz w:val="22"/>
          <w:szCs w:val="22"/>
          <w:lang w:val="sr-Latn-CS"/>
        </w:rPr>
        <w:t>:</w:t>
      </w:r>
    </w:p>
    <w:p w14:paraId="4993573C" w14:textId="77777777" w:rsidR="008059F4" w:rsidRPr="00661C10" w:rsidRDefault="008059F4">
      <w:pPr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Jedna bočica sadrži 37,</w:t>
      </w:r>
      <w:r w:rsidR="00126A4B" w:rsidRPr="00661C10">
        <w:rPr>
          <w:sz w:val="22"/>
          <w:szCs w:val="22"/>
          <w:lang w:val="sr-Latn-CS"/>
        </w:rPr>
        <w:t>5</w:t>
      </w:r>
      <w:r w:rsidRPr="00661C10">
        <w:rPr>
          <w:sz w:val="22"/>
          <w:szCs w:val="22"/>
          <w:lang w:val="sr-Latn-CS"/>
        </w:rPr>
        <w:t xml:space="preserve"> mg (1,6 mmol) natrijuma.</w:t>
      </w:r>
    </w:p>
    <w:p w14:paraId="4888B451" w14:textId="77777777" w:rsidR="00661C10" w:rsidRDefault="00661C10">
      <w:pPr>
        <w:spacing w:line="276" w:lineRule="auto"/>
        <w:jc w:val="both"/>
        <w:rPr>
          <w:sz w:val="22"/>
          <w:szCs w:val="22"/>
          <w:lang w:val="sr-Latn-CS"/>
        </w:rPr>
      </w:pPr>
    </w:p>
    <w:p w14:paraId="34867808" w14:textId="2EF35821" w:rsidR="0003793F" w:rsidRPr="00ED2C45" w:rsidRDefault="0003793F">
      <w:pPr>
        <w:spacing w:line="276" w:lineRule="auto"/>
        <w:jc w:val="both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t>Za spisak svih ekscipijenasa, pogledati dio 6.1.</w:t>
      </w:r>
    </w:p>
    <w:p w14:paraId="25B79F94" w14:textId="77777777" w:rsidR="0003793F" w:rsidRPr="00ED2C45" w:rsidRDefault="0003793F" w:rsidP="00E1507B">
      <w:pPr>
        <w:spacing w:line="276" w:lineRule="auto"/>
        <w:jc w:val="both"/>
        <w:rPr>
          <w:sz w:val="22"/>
          <w:szCs w:val="22"/>
          <w:lang w:val="sr-Latn-CS"/>
        </w:rPr>
      </w:pPr>
    </w:p>
    <w:p w14:paraId="742C5F61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3. </w:t>
      </w:r>
      <w:r w:rsidR="00F5167F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FARMACEUTSKI OBLIK</w:t>
      </w:r>
      <w:r w:rsidR="009F2D23" w:rsidRPr="00661C10">
        <w:rPr>
          <w:b/>
          <w:bCs/>
          <w:sz w:val="22"/>
          <w:szCs w:val="22"/>
        </w:rPr>
        <w:t xml:space="preserve"> </w:t>
      </w:r>
    </w:p>
    <w:p w14:paraId="65540D56" w14:textId="77777777" w:rsidR="008059F4" w:rsidRPr="00661C10" w:rsidRDefault="008059F4" w:rsidP="00E1507B">
      <w:pPr>
        <w:spacing w:line="276" w:lineRule="auto"/>
        <w:jc w:val="both"/>
        <w:rPr>
          <w:sz w:val="22"/>
          <w:szCs w:val="22"/>
          <w:lang w:val="sr-Latn-CS"/>
        </w:rPr>
      </w:pPr>
    </w:p>
    <w:p w14:paraId="64909B3E" w14:textId="77777777" w:rsidR="008059F4" w:rsidRPr="00661C10" w:rsidRDefault="008059F4" w:rsidP="00E1507B">
      <w:pPr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Prašak za rastvor za infuziju.</w:t>
      </w:r>
    </w:p>
    <w:p w14:paraId="1AA09528" w14:textId="17E42736" w:rsidR="00EC2532" w:rsidRPr="00ED2C45" w:rsidRDefault="00126A4B" w:rsidP="00ED2C45">
      <w:pPr>
        <w:spacing w:line="276" w:lineRule="auto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t>Bijeli do svijetložuti prašak</w:t>
      </w:r>
      <w:r w:rsidR="008059F4" w:rsidRPr="00ED2C45">
        <w:rPr>
          <w:sz w:val="22"/>
          <w:szCs w:val="22"/>
          <w:lang w:val="sr-Latn-CS"/>
        </w:rPr>
        <w:t>.</w:t>
      </w:r>
      <w:r w:rsidR="008059F4" w:rsidRPr="00ED2C45">
        <w:rPr>
          <w:sz w:val="22"/>
          <w:szCs w:val="22"/>
          <w:lang w:val="sr-Latn-CS"/>
        </w:rPr>
        <w:cr/>
      </w:r>
    </w:p>
    <w:p w14:paraId="1D86EE22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ED2C45">
        <w:rPr>
          <w:b/>
          <w:bCs/>
          <w:sz w:val="22"/>
          <w:szCs w:val="22"/>
        </w:rPr>
        <w:t xml:space="preserve">4. </w:t>
      </w:r>
      <w:r w:rsidR="00480FB1" w:rsidRPr="00ED2C45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KLINIČKI PODACI</w:t>
      </w:r>
    </w:p>
    <w:p w14:paraId="5C6A5695" w14:textId="77777777" w:rsidR="00CD6F02" w:rsidRPr="00661C10" w:rsidRDefault="00CD6F02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6886FDC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4.1.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Terapijske indikacije</w:t>
      </w:r>
    </w:p>
    <w:p w14:paraId="6B38540A" w14:textId="77777777" w:rsidR="00126A4B" w:rsidRPr="00661C10" w:rsidRDefault="00126A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6AFCED0E" w14:textId="77777777" w:rsidR="00126A4B" w:rsidRPr="00661C10" w:rsidRDefault="00126A4B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Lijek</w:t>
      </w:r>
      <w:r w:rsidR="008059F4" w:rsidRPr="00661C10">
        <w:rPr>
          <w:sz w:val="22"/>
          <w:szCs w:val="22"/>
          <w:lang w:val="sr-Latn-CS"/>
        </w:rPr>
        <w:t xml:space="preserve"> Imipenem/Cilastatin </w:t>
      </w:r>
      <w:r w:rsidRPr="00661C10">
        <w:rPr>
          <w:sz w:val="22"/>
          <w:szCs w:val="22"/>
          <w:lang w:val="sr-Latn-CS"/>
        </w:rPr>
        <w:t>AptaPharma</w:t>
      </w:r>
      <w:r w:rsidR="008059F4" w:rsidRPr="00661C10">
        <w:rPr>
          <w:sz w:val="22"/>
          <w:szCs w:val="22"/>
          <w:lang w:val="sr-Latn-CS"/>
        </w:rPr>
        <w:t xml:space="preserve"> je indikovan za </w:t>
      </w:r>
      <w:r w:rsidRPr="00661C10">
        <w:rPr>
          <w:sz w:val="22"/>
          <w:szCs w:val="22"/>
          <w:lang w:val="sr-Latn-CS"/>
        </w:rPr>
        <w:t>liječe</w:t>
      </w:r>
      <w:r w:rsidR="008059F4" w:rsidRPr="00661C10">
        <w:rPr>
          <w:sz w:val="22"/>
          <w:szCs w:val="22"/>
          <w:lang w:val="sr-Latn-CS"/>
        </w:rPr>
        <w:t>nje sl</w:t>
      </w:r>
      <w:r w:rsidRPr="00661C10">
        <w:rPr>
          <w:sz w:val="22"/>
          <w:szCs w:val="22"/>
          <w:lang w:val="sr-Latn-CS"/>
        </w:rPr>
        <w:t>j</w:t>
      </w:r>
      <w:r w:rsidR="008059F4" w:rsidRPr="00661C10">
        <w:rPr>
          <w:sz w:val="22"/>
          <w:szCs w:val="22"/>
          <w:lang w:val="sr-Latn-CS"/>
        </w:rPr>
        <w:t xml:space="preserve">edećih infekcija kod odraslih pacijenata i </w:t>
      </w:r>
      <w:r w:rsidRPr="00661C10">
        <w:rPr>
          <w:sz w:val="22"/>
          <w:szCs w:val="22"/>
          <w:lang w:val="sr-Latn-CS"/>
        </w:rPr>
        <w:t>djece</w:t>
      </w:r>
      <w:r w:rsidR="008059F4" w:rsidRPr="00661C10">
        <w:rPr>
          <w:sz w:val="22"/>
          <w:szCs w:val="22"/>
          <w:lang w:val="sr-Latn-CS"/>
        </w:rPr>
        <w:t xml:space="preserve"> uzrasta od godinu dana i starije 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="008059F4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>djelove</w:t>
      </w:r>
      <w:r w:rsidR="008059F4" w:rsidRPr="00661C10">
        <w:rPr>
          <w:sz w:val="22"/>
          <w:szCs w:val="22"/>
          <w:lang w:val="sr-Latn-CS"/>
        </w:rPr>
        <w:t xml:space="preserve"> 4.4 i 5.1): </w:t>
      </w:r>
    </w:p>
    <w:p w14:paraId="041F21CF" w14:textId="77777777" w:rsidR="00126A4B" w:rsidRPr="00ED2C45" w:rsidRDefault="008059F4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sym w:font="Symbol" w:char="F0B7"/>
      </w:r>
      <w:r w:rsidRPr="00ED2C45">
        <w:rPr>
          <w:sz w:val="22"/>
          <w:szCs w:val="22"/>
          <w:lang w:val="sr-Latn-CS"/>
        </w:rPr>
        <w:t xml:space="preserve"> komplikovane intraabdominalne infekcije, </w:t>
      </w:r>
    </w:p>
    <w:p w14:paraId="3960AF15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sym w:font="Symbol" w:char="F0B7"/>
      </w:r>
      <w:r w:rsidRPr="00ED2C45">
        <w:rPr>
          <w:sz w:val="22"/>
          <w:szCs w:val="22"/>
          <w:lang w:val="sr-Latn-CS"/>
        </w:rPr>
        <w:t xml:space="preserve"> teška pneumonija, uključujući bolničku pneumoniju i pneumoniju povezanu sa mehaničkom ventilacijom, </w:t>
      </w:r>
    </w:p>
    <w:p w14:paraId="4D298AE6" w14:textId="77777777" w:rsidR="00126A4B" w:rsidRPr="00ED2C45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sym w:font="Symbol" w:char="F0B7"/>
      </w:r>
      <w:r w:rsidRPr="00ED2C45">
        <w:rPr>
          <w:sz w:val="22"/>
          <w:szCs w:val="22"/>
          <w:lang w:val="sr-Latn-CS"/>
        </w:rPr>
        <w:t xml:space="preserve"> infekcije nastale tokom i posle porođaja, </w:t>
      </w:r>
    </w:p>
    <w:p w14:paraId="4DC28454" w14:textId="77777777" w:rsidR="00126A4B" w:rsidRPr="00ED2C45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sym w:font="Symbol" w:char="F0B7"/>
      </w:r>
      <w:r w:rsidRPr="00ED2C45">
        <w:rPr>
          <w:sz w:val="22"/>
          <w:szCs w:val="22"/>
          <w:lang w:val="sr-Latn-CS"/>
        </w:rPr>
        <w:t xml:space="preserve"> komplikovane infekcije urinarnog trakta, </w:t>
      </w:r>
    </w:p>
    <w:p w14:paraId="3A5B5E23" w14:textId="77777777" w:rsidR="00126A4B" w:rsidRPr="00ED2C45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ED2C45">
        <w:rPr>
          <w:sz w:val="22"/>
          <w:szCs w:val="22"/>
          <w:lang w:val="sr-Latn-CS"/>
        </w:rPr>
        <w:sym w:font="Symbol" w:char="F0B7"/>
      </w:r>
      <w:r w:rsidRPr="00ED2C45">
        <w:rPr>
          <w:sz w:val="22"/>
          <w:szCs w:val="22"/>
          <w:lang w:val="sr-Latn-CS"/>
        </w:rPr>
        <w:t xml:space="preserve"> komplikovane infekcije kože i mekih tkiva. </w:t>
      </w:r>
    </w:p>
    <w:p w14:paraId="5E373377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149AC135" w14:textId="595A507D" w:rsidR="00B26C42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Lijek</w:t>
      </w:r>
      <w:r w:rsidR="008059F4" w:rsidRPr="00661C10">
        <w:rPr>
          <w:sz w:val="22"/>
          <w:szCs w:val="22"/>
          <w:lang w:val="sr-Latn-CS"/>
        </w:rPr>
        <w:t xml:space="preserve"> Imipenem/Cilastatin </w:t>
      </w:r>
      <w:r w:rsidRPr="00661C10">
        <w:rPr>
          <w:sz w:val="22"/>
          <w:szCs w:val="22"/>
          <w:lang w:val="sr-Latn-CS"/>
        </w:rPr>
        <w:t>AptaPharma</w:t>
      </w:r>
      <w:r w:rsidR="008059F4" w:rsidRPr="00661C10">
        <w:rPr>
          <w:sz w:val="22"/>
          <w:szCs w:val="22"/>
          <w:lang w:val="sr-Latn-CS"/>
        </w:rPr>
        <w:t xml:space="preserve"> može da se koristi za </w:t>
      </w:r>
      <w:r w:rsidRPr="00661C10">
        <w:rPr>
          <w:sz w:val="22"/>
          <w:szCs w:val="22"/>
          <w:lang w:val="sr-Latn-CS"/>
        </w:rPr>
        <w:t>liječe</w:t>
      </w:r>
      <w:r w:rsidR="008059F4" w:rsidRPr="00661C10">
        <w:rPr>
          <w:sz w:val="22"/>
          <w:szCs w:val="22"/>
          <w:lang w:val="sr-Latn-CS"/>
        </w:rPr>
        <w:t xml:space="preserve">nje pacijenata sa neutropenijom praćenom povišenom </w:t>
      </w:r>
      <w:r w:rsidRPr="00661C10">
        <w:rPr>
          <w:sz w:val="22"/>
          <w:szCs w:val="22"/>
          <w:lang w:val="sr-Latn-CS"/>
        </w:rPr>
        <w:t xml:space="preserve">tjelesnom </w:t>
      </w:r>
      <w:r w:rsidR="008059F4" w:rsidRPr="00661C10">
        <w:rPr>
          <w:sz w:val="22"/>
          <w:szCs w:val="22"/>
          <w:lang w:val="sr-Latn-CS"/>
        </w:rPr>
        <w:t xml:space="preserve"> temperaturom za koju se sumnja da je posl</w:t>
      </w:r>
      <w:r w:rsidR="004A1428" w:rsidRPr="00661C10">
        <w:rPr>
          <w:sz w:val="22"/>
          <w:szCs w:val="22"/>
          <w:lang w:val="sr-Latn-CS"/>
        </w:rPr>
        <w:t>j</w:t>
      </w:r>
      <w:r w:rsidR="008059F4" w:rsidRPr="00661C10">
        <w:rPr>
          <w:sz w:val="22"/>
          <w:szCs w:val="22"/>
          <w:lang w:val="sr-Latn-CS"/>
        </w:rPr>
        <w:t xml:space="preserve">edica neke bakterijske infekcije. </w:t>
      </w:r>
    </w:p>
    <w:p w14:paraId="06BE3267" w14:textId="56A1B49D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Liječe</w:t>
      </w:r>
      <w:r w:rsidR="008059F4" w:rsidRPr="00661C10">
        <w:rPr>
          <w:sz w:val="22"/>
          <w:szCs w:val="22"/>
          <w:lang w:val="sr-Latn-CS"/>
        </w:rPr>
        <w:t xml:space="preserve">nje pacijenata sa bakterijemijom koja je povezana ili se sumnja da je povezana, sa nekom od gore navedenih infekcija. </w:t>
      </w:r>
    </w:p>
    <w:p w14:paraId="49A0488C" w14:textId="77777777" w:rsidR="00411B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Treba uzeti u obzir zvanične </w:t>
      </w:r>
      <w:r w:rsidR="00126A4B" w:rsidRPr="00661C10">
        <w:rPr>
          <w:sz w:val="22"/>
          <w:szCs w:val="22"/>
          <w:lang w:val="sr-Latn-CS"/>
        </w:rPr>
        <w:t>smjernice</w:t>
      </w:r>
      <w:r w:rsidRPr="00661C10">
        <w:rPr>
          <w:sz w:val="22"/>
          <w:szCs w:val="22"/>
          <w:lang w:val="sr-Latn-CS"/>
        </w:rPr>
        <w:t xml:space="preserve"> za adekvatnu upotrebu antibiotika.</w:t>
      </w:r>
    </w:p>
    <w:p w14:paraId="5FD67850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36766C4" w14:textId="77777777" w:rsidR="00DA0786" w:rsidRPr="00661C10" w:rsidRDefault="00DA0786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554324EB" w14:textId="3F8BB93B" w:rsidR="00DA0786" w:rsidRDefault="00DA0786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6E4DF3FB" w14:textId="47D680AC" w:rsidR="006F28B7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0B1323EC" w14:textId="0D585B5E" w:rsidR="006F28B7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11B5DC26" w14:textId="77777777" w:rsidR="006F28B7" w:rsidRPr="00ED2C45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5286E83F" w14:textId="77777777" w:rsidR="00DA0786" w:rsidRPr="00661C10" w:rsidRDefault="00DA0786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41D26D41" w14:textId="13F253D6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lastRenderedPageBreak/>
        <w:t xml:space="preserve">4.2.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Doziranje i način primjene</w:t>
      </w:r>
    </w:p>
    <w:p w14:paraId="40B6286F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73A11A7" w14:textId="77777777" w:rsidR="00452E9D" w:rsidRPr="00661C10" w:rsidRDefault="00452E9D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Doziranje</w:t>
      </w:r>
    </w:p>
    <w:p w14:paraId="79C3F9A6" w14:textId="2ECF042E" w:rsidR="00126A4B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Preporuke za doziranje </w:t>
      </w:r>
      <w:r w:rsidR="00126A4B" w:rsidRPr="00661C10">
        <w:rPr>
          <w:sz w:val="22"/>
          <w:szCs w:val="22"/>
          <w:lang w:val="sr-Latn-CS"/>
        </w:rPr>
        <w:t>lijek</w:t>
      </w:r>
      <w:r w:rsidRPr="00661C10">
        <w:rPr>
          <w:sz w:val="22"/>
          <w:szCs w:val="22"/>
          <w:lang w:val="sr-Latn-CS"/>
        </w:rPr>
        <w:t xml:space="preserve">a 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 xml:space="preserve"> predstavljaju količinu imipenema/cilastatina koju treba </w:t>
      </w:r>
      <w:r w:rsidR="00126A4B" w:rsidRPr="00661C10">
        <w:rPr>
          <w:sz w:val="22"/>
          <w:szCs w:val="22"/>
          <w:lang w:val="sr-Latn-CS"/>
        </w:rPr>
        <w:t>prim</w:t>
      </w:r>
      <w:r w:rsidR="004A1428" w:rsidRPr="00661C10">
        <w:rPr>
          <w:sz w:val="22"/>
          <w:szCs w:val="22"/>
          <w:lang w:val="sr-Latn-CS"/>
        </w:rPr>
        <w:t>i</w:t>
      </w:r>
      <w:r w:rsidR="00126A4B" w:rsidRPr="00661C10">
        <w:rPr>
          <w:sz w:val="22"/>
          <w:szCs w:val="22"/>
          <w:lang w:val="sr-Latn-CS"/>
        </w:rPr>
        <w:t>jen</w:t>
      </w:r>
      <w:r w:rsidRPr="00661C10">
        <w:rPr>
          <w:sz w:val="22"/>
          <w:szCs w:val="22"/>
          <w:lang w:val="sr-Latn-CS"/>
        </w:rPr>
        <w:t xml:space="preserve">iti. </w:t>
      </w:r>
    </w:p>
    <w:p w14:paraId="6E4D482B" w14:textId="49C2EA15" w:rsidR="00126A4B" w:rsidRPr="00661C10" w:rsidRDefault="008059F4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Dnevna doza </w:t>
      </w:r>
      <w:r w:rsidR="00126A4B" w:rsidRPr="00661C10">
        <w:rPr>
          <w:sz w:val="22"/>
          <w:szCs w:val="22"/>
          <w:lang w:val="sr-Latn-CS"/>
        </w:rPr>
        <w:t>lijek</w:t>
      </w:r>
      <w:r w:rsidRPr="00661C10">
        <w:rPr>
          <w:sz w:val="22"/>
          <w:szCs w:val="22"/>
          <w:lang w:val="sr-Latn-CS"/>
        </w:rPr>
        <w:t xml:space="preserve">a 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 xml:space="preserve"> treba da se zasniva na vrsti infekcije i da se </w:t>
      </w:r>
      <w:r w:rsidR="00126A4B" w:rsidRPr="00661C10">
        <w:rPr>
          <w:sz w:val="22"/>
          <w:szCs w:val="22"/>
          <w:lang w:val="sr-Latn-CS"/>
        </w:rPr>
        <w:t>primjenjuje</w:t>
      </w:r>
      <w:r w:rsidRPr="00661C10">
        <w:rPr>
          <w:sz w:val="22"/>
          <w:szCs w:val="22"/>
          <w:lang w:val="sr-Latn-CS"/>
        </w:rPr>
        <w:t xml:space="preserve"> u jednakim pod</w:t>
      </w:r>
      <w:r w:rsidR="004A1428" w:rsidRPr="00661C10">
        <w:rPr>
          <w:sz w:val="22"/>
          <w:szCs w:val="22"/>
          <w:lang w:val="sr-Latn-CS"/>
        </w:rPr>
        <w:t>i</w:t>
      </w:r>
      <w:r w:rsidR="00126A4B" w:rsidRPr="00661C10">
        <w:rPr>
          <w:sz w:val="22"/>
          <w:szCs w:val="22"/>
          <w:lang w:val="sr-Latn-CS"/>
        </w:rPr>
        <w:t>j</w:t>
      </w:r>
      <w:r w:rsidRPr="00661C10">
        <w:rPr>
          <w:sz w:val="22"/>
          <w:szCs w:val="22"/>
          <w:lang w:val="sr-Latn-CS"/>
        </w:rPr>
        <w:t xml:space="preserve">eljenim dozama na osnovu stepena </w:t>
      </w:r>
      <w:r w:rsidR="00126A4B" w:rsidRPr="00661C10">
        <w:rPr>
          <w:sz w:val="22"/>
          <w:szCs w:val="22"/>
          <w:lang w:val="sr-Latn-CS"/>
        </w:rPr>
        <w:t xml:space="preserve">osjetljivosti </w:t>
      </w:r>
      <w:r w:rsidRPr="00661C10">
        <w:rPr>
          <w:sz w:val="22"/>
          <w:szCs w:val="22"/>
          <w:lang w:val="sr-Latn-CS"/>
        </w:rPr>
        <w:t xml:space="preserve"> uzročnika infekcije i funkcije bubrega pacijenta 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djelove</w:t>
      </w:r>
      <w:r w:rsidRPr="00661C10">
        <w:rPr>
          <w:sz w:val="22"/>
          <w:szCs w:val="22"/>
          <w:lang w:val="sr-Latn-CS"/>
        </w:rPr>
        <w:t xml:space="preserve"> 4.4 i 5.1). </w:t>
      </w:r>
    </w:p>
    <w:p w14:paraId="25D684FF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31B8E95A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Odrasli pacijenti i adolescenti</w:t>
      </w:r>
    </w:p>
    <w:p w14:paraId="1DDCFCCF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41DB663E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Kod pacijenata sa normalnom funkcijom bubrega (klirens kreatinina ≥ 90 </w:t>
      </w:r>
      <w:r w:rsidR="00126A4B" w:rsidRPr="00661C10">
        <w:rPr>
          <w:sz w:val="22"/>
          <w:szCs w:val="22"/>
          <w:lang w:val="sr-Latn-CS"/>
        </w:rPr>
        <w:t>ml</w:t>
      </w:r>
      <w:r w:rsidRPr="00661C10">
        <w:rPr>
          <w:sz w:val="22"/>
          <w:szCs w:val="22"/>
          <w:lang w:val="sr-Latn-CS"/>
        </w:rPr>
        <w:t xml:space="preserve">/min), preporučuje se sledeći režim doziranja: </w:t>
      </w:r>
    </w:p>
    <w:p w14:paraId="18EE3896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05FD80BA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500 mg/500 mg na svakih 6 sati </w:t>
      </w:r>
    </w:p>
    <w:p w14:paraId="694015D1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ILI </w:t>
      </w:r>
    </w:p>
    <w:p w14:paraId="5A91E03F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1000 mg/1000 mg na svakih 8 sati </w:t>
      </w:r>
      <w:r w:rsidR="00126A4B" w:rsidRPr="00661C10">
        <w:rPr>
          <w:sz w:val="22"/>
          <w:szCs w:val="22"/>
          <w:lang w:val="sr-Latn-CS"/>
        </w:rPr>
        <w:t>ILI na svakih 6 sati.</w:t>
      </w:r>
    </w:p>
    <w:p w14:paraId="2954AB40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303A9257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Preporučuje se da se kod infekcija za koje se sumnja ili je potvrđeno da su izazvane manje os</w:t>
      </w:r>
      <w:r w:rsidR="00126A4B" w:rsidRPr="00661C10">
        <w:rPr>
          <w:sz w:val="22"/>
          <w:szCs w:val="22"/>
          <w:lang w:val="sr-Latn-CS"/>
        </w:rPr>
        <w:t>j</w:t>
      </w:r>
      <w:r w:rsidRPr="00661C10">
        <w:rPr>
          <w:sz w:val="22"/>
          <w:szCs w:val="22"/>
          <w:lang w:val="sr-Latn-CS"/>
        </w:rPr>
        <w:t xml:space="preserve">etljivim bakterijskim vrstama (npr. </w:t>
      </w:r>
      <w:r w:rsidRPr="00661C10">
        <w:rPr>
          <w:i/>
          <w:sz w:val="22"/>
          <w:szCs w:val="22"/>
          <w:lang w:val="sr-Latn-CS"/>
        </w:rPr>
        <w:t>Pseudomonas aeruginosa</w:t>
      </w:r>
      <w:r w:rsidRPr="00661C10">
        <w:rPr>
          <w:sz w:val="22"/>
          <w:szCs w:val="22"/>
          <w:lang w:val="sr-Latn-CS"/>
        </w:rPr>
        <w:t xml:space="preserve">), kao i kod veoma teških infekcija (npr. kod pacijenata sa neutropenijom praćenom povišenom </w:t>
      </w:r>
      <w:r w:rsidR="00126A4B" w:rsidRPr="00661C10">
        <w:rPr>
          <w:sz w:val="22"/>
          <w:szCs w:val="22"/>
          <w:lang w:val="sr-Latn-CS"/>
        </w:rPr>
        <w:t xml:space="preserve">tjelesnom </w:t>
      </w:r>
      <w:r w:rsidRPr="00661C10">
        <w:rPr>
          <w:sz w:val="22"/>
          <w:szCs w:val="22"/>
          <w:lang w:val="sr-Latn-CS"/>
        </w:rPr>
        <w:t xml:space="preserve"> temperaturom), </w:t>
      </w:r>
      <w:r w:rsidR="00126A4B" w:rsidRPr="00661C10">
        <w:rPr>
          <w:sz w:val="22"/>
          <w:szCs w:val="22"/>
          <w:lang w:val="sr-Latn-CS"/>
        </w:rPr>
        <w:t>primjenjuje</w:t>
      </w:r>
      <w:r w:rsidRPr="00661C10">
        <w:rPr>
          <w:sz w:val="22"/>
          <w:szCs w:val="22"/>
          <w:lang w:val="sr-Latn-CS"/>
        </w:rPr>
        <w:t xml:space="preserve"> doza od 1000 mg/1000 mg na svakih 6 sati. </w:t>
      </w:r>
    </w:p>
    <w:p w14:paraId="520CD026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Smanjenje doze je neophodno kada je klirens kreatinina &lt; 90 </w:t>
      </w:r>
      <w:r w:rsidR="00126A4B" w:rsidRPr="00661C10">
        <w:rPr>
          <w:sz w:val="22"/>
          <w:szCs w:val="22"/>
          <w:lang w:val="sr-Latn-CS"/>
        </w:rPr>
        <w:t>ml</w:t>
      </w:r>
      <w:r w:rsidRPr="00661C10">
        <w:rPr>
          <w:sz w:val="22"/>
          <w:szCs w:val="22"/>
          <w:lang w:val="sr-Latn-CS"/>
        </w:rPr>
        <w:t>/min (vid</w:t>
      </w:r>
      <w:r w:rsidR="00126A4B" w:rsidRPr="00661C10">
        <w:rPr>
          <w:sz w:val="22"/>
          <w:szCs w:val="22"/>
          <w:lang w:val="sr-Latn-CS"/>
        </w:rPr>
        <w:t>j</w:t>
      </w:r>
      <w:r w:rsidRPr="00661C10">
        <w:rPr>
          <w:sz w:val="22"/>
          <w:szCs w:val="22"/>
          <w:lang w:val="sr-Latn-CS"/>
        </w:rPr>
        <w:t xml:space="preserve">eti Tabelu 1). </w:t>
      </w:r>
    </w:p>
    <w:p w14:paraId="509A12A7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Ukupna maksimalna dnevna doza ne </w:t>
      </w:r>
      <w:r w:rsidR="00126A4B" w:rsidRPr="00661C10">
        <w:rPr>
          <w:sz w:val="22"/>
          <w:szCs w:val="22"/>
          <w:lang w:val="sr-Latn-CS"/>
        </w:rPr>
        <w:t>smije</w:t>
      </w:r>
      <w:r w:rsidRPr="00661C10">
        <w:rPr>
          <w:sz w:val="22"/>
          <w:szCs w:val="22"/>
          <w:lang w:val="sr-Latn-CS"/>
        </w:rPr>
        <w:t xml:space="preserve"> da bude veća od 4000 mg/4000 mg dnevno. </w:t>
      </w:r>
    </w:p>
    <w:p w14:paraId="41CA6A22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</w:p>
    <w:p w14:paraId="0D566F8C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Oštećenje funkcije bubrega</w:t>
      </w:r>
      <w:r w:rsidRPr="00661C10">
        <w:rPr>
          <w:sz w:val="22"/>
          <w:szCs w:val="22"/>
          <w:lang w:val="sr-Latn-CS"/>
        </w:rPr>
        <w:t xml:space="preserve"> </w:t>
      </w:r>
    </w:p>
    <w:p w14:paraId="4802157E" w14:textId="77777777" w:rsidR="00126A4B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12FF4F21" w14:textId="77777777" w:rsidR="00126A4B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Određivanje smanjene doze kod odraslih pacijenata sa oštećenom funkcijom bubrega: </w:t>
      </w:r>
    </w:p>
    <w:p w14:paraId="678B5BFC" w14:textId="3586E8C6" w:rsidR="0001527F" w:rsidRPr="00661C10" w:rsidRDefault="008059F4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Odabrati ukupnu dnevnu dozu (npr.: 2000/2000, 3000/3000 ili 4000/4000 mg) koja je uobičajeno </w:t>
      </w:r>
      <w:r w:rsidR="00126A4B" w:rsidRPr="00661C10">
        <w:rPr>
          <w:sz w:val="22"/>
          <w:szCs w:val="22"/>
          <w:lang w:val="sr-Latn-CS"/>
        </w:rPr>
        <w:t>primjen</w:t>
      </w:r>
      <w:r w:rsidRPr="00661C10">
        <w:rPr>
          <w:sz w:val="22"/>
          <w:szCs w:val="22"/>
          <w:lang w:val="sr-Latn-CS"/>
        </w:rPr>
        <w:t xml:space="preserve">ljiva kod pacijenata sa normalnom funkcijom bubrega. </w:t>
      </w:r>
    </w:p>
    <w:p w14:paraId="15434E2C" w14:textId="06AB2AD9" w:rsidR="00452E9D" w:rsidRPr="00661C10" w:rsidRDefault="008059F4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Odabrati odgovarajući režim smanjenja doze iz Tabele 1, a na osnovu </w:t>
      </w:r>
      <w:r w:rsidR="00126A4B" w:rsidRPr="00661C10">
        <w:rPr>
          <w:sz w:val="22"/>
          <w:szCs w:val="22"/>
          <w:lang w:val="sr-Latn-CS"/>
        </w:rPr>
        <w:t>vrijednost</w:t>
      </w:r>
      <w:r w:rsidRPr="00661C10">
        <w:rPr>
          <w:sz w:val="22"/>
          <w:szCs w:val="22"/>
          <w:lang w:val="sr-Latn-CS"/>
        </w:rPr>
        <w:t xml:space="preserve">i klirensa kreatinina za datog pacijenta. Za određivanje vremena trajanja infuzije 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dio</w:t>
      </w:r>
      <w:r w:rsidRPr="00661C10">
        <w:rPr>
          <w:sz w:val="22"/>
          <w:szCs w:val="22"/>
          <w:lang w:val="sr-Latn-CS"/>
        </w:rPr>
        <w:t xml:space="preserve"> “Način </w:t>
      </w:r>
      <w:r w:rsidR="00126A4B" w:rsidRPr="00661C10">
        <w:rPr>
          <w:sz w:val="22"/>
          <w:szCs w:val="22"/>
          <w:lang w:val="sr-Latn-CS"/>
        </w:rPr>
        <w:t>primjen</w:t>
      </w:r>
      <w:r w:rsidRPr="00661C10">
        <w:rPr>
          <w:sz w:val="22"/>
          <w:szCs w:val="22"/>
          <w:lang w:val="sr-Latn-CS"/>
        </w:rPr>
        <w:t>e”.</w:t>
      </w:r>
    </w:p>
    <w:p w14:paraId="521AA774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6396F331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Tabela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8059F4" w:rsidRPr="00661C10" w14:paraId="56300577" w14:textId="77777777" w:rsidTr="008059F4">
        <w:tc>
          <w:tcPr>
            <w:tcW w:w="2265" w:type="dxa"/>
            <w:vMerge w:val="restart"/>
          </w:tcPr>
          <w:p w14:paraId="62F1A320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Klirens</w:t>
            </w:r>
          </w:p>
          <w:p w14:paraId="6B0BE78D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kreatinina</w:t>
            </w:r>
          </w:p>
          <w:p w14:paraId="42BEFFC3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(</w:t>
            </w:r>
            <w:r w:rsidR="00126A4B" w:rsidRPr="00E1507B">
              <w:rPr>
                <w:sz w:val="22"/>
                <w:szCs w:val="22"/>
                <w:lang w:val="sr-Latn-CS"/>
              </w:rPr>
              <w:t>ml</w:t>
            </w:r>
            <w:r w:rsidRPr="00E1507B">
              <w:rPr>
                <w:sz w:val="22"/>
                <w:szCs w:val="22"/>
                <w:lang w:val="sr-Latn-CS"/>
              </w:rPr>
              <w:t>/min)</w:t>
            </w:r>
          </w:p>
          <w:p w14:paraId="3466B947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je:</w:t>
            </w:r>
          </w:p>
        </w:tc>
        <w:tc>
          <w:tcPr>
            <w:tcW w:w="2266" w:type="dxa"/>
          </w:tcPr>
          <w:p w14:paraId="63DE9FAC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Ako je UKUPNA DNEVNA DOZA: 2000 mg/dnevno</w:t>
            </w:r>
          </w:p>
        </w:tc>
        <w:tc>
          <w:tcPr>
            <w:tcW w:w="2266" w:type="dxa"/>
          </w:tcPr>
          <w:p w14:paraId="6EA0833E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Ako je UKUPNA DNEVNA DOZA: 3000 mg/dnevno</w:t>
            </w:r>
          </w:p>
        </w:tc>
        <w:tc>
          <w:tcPr>
            <w:tcW w:w="2266" w:type="dxa"/>
          </w:tcPr>
          <w:p w14:paraId="1ED7C1BC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Ako je UKUPNA DNEVNA DOZA: 4000 mg/dnevno</w:t>
            </w:r>
          </w:p>
        </w:tc>
      </w:tr>
      <w:tr w:rsidR="008059F4" w:rsidRPr="00661C10" w14:paraId="205E32FE" w14:textId="77777777" w:rsidTr="00126A4B">
        <w:tc>
          <w:tcPr>
            <w:tcW w:w="2265" w:type="dxa"/>
            <w:vMerge/>
          </w:tcPr>
          <w:p w14:paraId="0B4E7A9A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6798" w:type="dxa"/>
            <w:gridSpan w:val="3"/>
          </w:tcPr>
          <w:p w14:paraId="5CC22DA6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059F4" w:rsidRPr="00661C10" w14:paraId="3E7286C5" w14:textId="77777777" w:rsidTr="008059F4">
        <w:tc>
          <w:tcPr>
            <w:tcW w:w="2265" w:type="dxa"/>
          </w:tcPr>
          <w:p w14:paraId="58D6ED26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≥ 90 (normalna vrijednost)</w:t>
            </w:r>
          </w:p>
        </w:tc>
        <w:tc>
          <w:tcPr>
            <w:tcW w:w="2266" w:type="dxa"/>
          </w:tcPr>
          <w:p w14:paraId="4854B175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500</w:t>
            </w:r>
          </w:p>
          <w:p w14:paraId="7428A97F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doziranje na 6 h</w:t>
            </w:r>
          </w:p>
        </w:tc>
        <w:tc>
          <w:tcPr>
            <w:tcW w:w="2266" w:type="dxa"/>
          </w:tcPr>
          <w:p w14:paraId="56FB5EBA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1000</w:t>
            </w:r>
          </w:p>
          <w:p w14:paraId="046DED80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doziranje na 8 h</w:t>
            </w:r>
          </w:p>
        </w:tc>
        <w:tc>
          <w:tcPr>
            <w:tcW w:w="2266" w:type="dxa"/>
          </w:tcPr>
          <w:p w14:paraId="083CF882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1000</w:t>
            </w:r>
          </w:p>
          <w:p w14:paraId="26163EC3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doziranje na 6 h</w:t>
            </w:r>
          </w:p>
        </w:tc>
      </w:tr>
      <w:tr w:rsidR="008059F4" w:rsidRPr="00661C10" w14:paraId="549C079F" w14:textId="77777777" w:rsidTr="00126A4B">
        <w:tc>
          <w:tcPr>
            <w:tcW w:w="9063" w:type="dxa"/>
            <w:gridSpan w:val="4"/>
          </w:tcPr>
          <w:p w14:paraId="4AA91BCB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/>
                <w:sz w:val="22"/>
                <w:szCs w:val="22"/>
                <w:lang w:val="sr-Latn-CS"/>
              </w:rPr>
            </w:pPr>
            <w:r w:rsidRPr="00E1507B">
              <w:rPr>
                <w:b/>
                <w:sz w:val="22"/>
                <w:szCs w:val="22"/>
              </w:rPr>
              <w:t>Smanjenje doze (mg) za pacijente sa oštećenjem funkcije bubrega:</w:t>
            </w:r>
          </w:p>
        </w:tc>
      </w:tr>
      <w:tr w:rsidR="008059F4" w:rsidRPr="00661C10" w14:paraId="7989C144" w14:textId="77777777" w:rsidTr="008059F4">
        <w:tc>
          <w:tcPr>
            <w:tcW w:w="2265" w:type="dxa"/>
          </w:tcPr>
          <w:p w14:paraId="00DD468B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  <w:lang w:val="sr-Latn-CS"/>
              </w:rPr>
              <w:t>&lt; 90 - ≥ 60</w:t>
            </w:r>
          </w:p>
        </w:tc>
        <w:tc>
          <w:tcPr>
            <w:tcW w:w="2266" w:type="dxa"/>
          </w:tcPr>
          <w:p w14:paraId="43E7E590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400 doziranje na 6 h</w:t>
            </w:r>
          </w:p>
        </w:tc>
        <w:tc>
          <w:tcPr>
            <w:tcW w:w="2266" w:type="dxa"/>
          </w:tcPr>
          <w:p w14:paraId="325E9F74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500 doziranje na 6 h</w:t>
            </w:r>
          </w:p>
        </w:tc>
        <w:tc>
          <w:tcPr>
            <w:tcW w:w="2266" w:type="dxa"/>
          </w:tcPr>
          <w:p w14:paraId="7317F7C9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750 doziranje na 8 h</w:t>
            </w:r>
          </w:p>
        </w:tc>
      </w:tr>
      <w:tr w:rsidR="008059F4" w:rsidRPr="00661C10" w14:paraId="4D83CEDF" w14:textId="77777777" w:rsidTr="008059F4">
        <w:tc>
          <w:tcPr>
            <w:tcW w:w="2265" w:type="dxa"/>
          </w:tcPr>
          <w:p w14:paraId="34C85998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</w:rPr>
              <w:t>&lt; 60 - ≥ 30</w:t>
            </w:r>
          </w:p>
        </w:tc>
        <w:tc>
          <w:tcPr>
            <w:tcW w:w="2266" w:type="dxa"/>
          </w:tcPr>
          <w:p w14:paraId="0521FADB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300 doziranje na 6 h</w:t>
            </w:r>
          </w:p>
        </w:tc>
        <w:tc>
          <w:tcPr>
            <w:tcW w:w="2266" w:type="dxa"/>
          </w:tcPr>
          <w:p w14:paraId="03A166D9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500 doziranje na 8 h</w:t>
            </w:r>
          </w:p>
        </w:tc>
        <w:tc>
          <w:tcPr>
            <w:tcW w:w="2266" w:type="dxa"/>
          </w:tcPr>
          <w:p w14:paraId="61F34AA7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500 doziranje na 6 h</w:t>
            </w:r>
          </w:p>
        </w:tc>
      </w:tr>
      <w:tr w:rsidR="008059F4" w:rsidRPr="00661C10" w14:paraId="43739EEB" w14:textId="77777777" w:rsidTr="008059F4">
        <w:tc>
          <w:tcPr>
            <w:tcW w:w="2265" w:type="dxa"/>
          </w:tcPr>
          <w:p w14:paraId="54A4118F" w14:textId="77777777" w:rsidR="008059F4" w:rsidRPr="00E1507B" w:rsidRDefault="008059F4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  <w:lang w:val="sr-Latn-CS"/>
              </w:rPr>
            </w:pPr>
            <w:r w:rsidRPr="00E1507B">
              <w:rPr>
                <w:sz w:val="22"/>
                <w:szCs w:val="22"/>
              </w:rPr>
              <w:t>&lt; 30 - ≥ 15</w:t>
            </w:r>
          </w:p>
        </w:tc>
        <w:tc>
          <w:tcPr>
            <w:tcW w:w="2266" w:type="dxa"/>
          </w:tcPr>
          <w:p w14:paraId="35427EE8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200 doziranje na 6 h</w:t>
            </w:r>
          </w:p>
        </w:tc>
        <w:tc>
          <w:tcPr>
            <w:tcW w:w="2266" w:type="dxa"/>
          </w:tcPr>
          <w:p w14:paraId="530B4998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500 doziranje na 12 h</w:t>
            </w:r>
          </w:p>
        </w:tc>
        <w:tc>
          <w:tcPr>
            <w:tcW w:w="2266" w:type="dxa"/>
          </w:tcPr>
          <w:p w14:paraId="731338B6" w14:textId="77777777" w:rsidR="008059F4" w:rsidRPr="00E1507B" w:rsidRDefault="008059F4" w:rsidP="00E15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500 doziranje na 12 h</w:t>
            </w:r>
          </w:p>
        </w:tc>
      </w:tr>
    </w:tbl>
    <w:p w14:paraId="45A48080" w14:textId="77777777" w:rsidR="008059F4" w:rsidRPr="00ED2C45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52E29440" w14:textId="77777777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 xml:space="preserve">Pacijenti čija je </w:t>
      </w:r>
      <w:r w:rsidR="00126A4B" w:rsidRPr="00661C10">
        <w:rPr>
          <w:sz w:val="22"/>
          <w:szCs w:val="22"/>
          <w:u w:val="single"/>
          <w:lang w:val="sr-Latn-CS"/>
        </w:rPr>
        <w:t>vrijednost</w:t>
      </w:r>
      <w:r w:rsidRPr="00661C10">
        <w:rPr>
          <w:sz w:val="22"/>
          <w:szCs w:val="22"/>
          <w:u w:val="single"/>
          <w:lang w:val="sr-Latn-CS"/>
        </w:rPr>
        <w:t xml:space="preserve"> klirensa kreatinina &lt; 15 </w:t>
      </w:r>
      <w:r w:rsidR="00126A4B" w:rsidRPr="00661C10">
        <w:rPr>
          <w:sz w:val="22"/>
          <w:szCs w:val="22"/>
          <w:u w:val="single"/>
          <w:lang w:val="sr-Latn-CS"/>
        </w:rPr>
        <w:t>ml</w:t>
      </w:r>
      <w:r w:rsidRPr="00661C10">
        <w:rPr>
          <w:sz w:val="22"/>
          <w:szCs w:val="22"/>
          <w:u w:val="single"/>
          <w:lang w:val="sr-Latn-CS"/>
        </w:rPr>
        <w:t>/min</w:t>
      </w:r>
    </w:p>
    <w:p w14:paraId="595E4EB7" w14:textId="77777777" w:rsidR="008059F4" w:rsidRPr="00661C10" w:rsidRDefault="008059F4" w:rsidP="00DA0786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Ovi pacijenti ne </w:t>
      </w:r>
      <w:r w:rsidR="0001527F" w:rsidRPr="00661C10">
        <w:rPr>
          <w:sz w:val="22"/>
          <w:szCs w:val="22"/>
          <w:lang w:val="sr-Latn-CS"/>
        </w:rPr>
        <w:t>smij</w:t>
      </w:r>
      <w:r w:rsidRPr="00661C10">
        <w:rPr>
          <w:sz w:val="22"/>
          <w:szCs w:val="22"/>
          <w:lang w:val="sr-Latn-CS"/>
        </w:rPr>
        <w:t xml:space="preserve"> da primaju </w:t>
      </w:r>
      <w:r w:rsidR="00126A4B" w:rsidRPr="00661C10">
        <w:rPr>
          <w:sz w:val="22"/>
          <w:szCs w:val="22"/>
          <w:lang w:val="sr-Latn-CS"/>
        </w:rPr>
        <w:t>lijek</w:t>
      </w:r>
      <w:r w:rsidRPr="00661C10">
        <w:rPr>
          <w:sz w:val="22"/>
          <w:szCs w:val="22"/>
          <w:lang w:val="sr-Latn-CS"/>
        </w:rPr>
        <w:t xml:space="preserve"> 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>, osim ukoliko se kod njih ne započne</w:t>
      </w:r>
      <w:r w:rsidR="0001527F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 xml:space="preserve">hemodijaliza u roku od 48 sati nakon uzimanja </w:t>
      </w:r>
      <w:r w:rsidR="00126A4B" w:rsidRPr="00661C10">
        <w:rPr>
          <w:sz w:val="22"/>
          <w:szCs w:val="22"/>
          <w:lang w:val="sr-Latn-CS"/>
        </w:rPr>
        <w:t>lijek</w:t>
      </w:r>
      <w:r w:rsidRPr="00661C10">
        <w:rPr>
          <w:sz w:val="22"/>
          <w:szCs w:val="22"/>
          <w:lang w:val="sr-Latn-CS"/>
        </w:rPr>
        <w:t>a.</w:t>
      </w:r>
    </w:p>
    <w:p w14:paraId="6F38AD89" w14:textId="3AFAA032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lastRenderedPageBreak/>
        <w:t>Pacijenti na hemodijalizi</w:t>
      </w:r>
    </w:p>
    <w:p w14:paraId="6C666265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Za </w:t>
      </w:r>
      <w:r w:rsidR="00126A4B" w:rsidRPr="00661C10">
        <w:rPr>
          <w:sz w:val="22"/>
          <w:szCs w:val="22"/>
          <w:lang w:val="sr-Latn-CS"/>
        </w:rPr>
        <w:t>liječe</w:t>
      </w:r>
      <w:r w:rsidRPr="00661C10">
        <w:rPr>
          <w:sz w:val="22"/>
          <w:szCs w:val="22"/>
          <w:lang w:val="sr-Latn-CS"/>
        </w:rPr>
        <w:t xml:space="preserve">nje pacijenata čija je </w:t>
      </w:r>
      <w:r w:rsidR="00126A4B" w:rsidRPr="00661C10">
        <w:rPr>
          <w:sz w:val="22"/>
          <w:szCs w:val="22"/>
          <w:lang w:val="sr-Latn-CS"/>
        </w:rPr>
        <w:t>vrijednost</w:t>
      </w:r>
      <w:r w:rsidRPr="00661C10">
        <w:rPr>
          <w:sz w:val="22"/>
          <w:szCs w:val="22"/>
          <w:lang w:val="sr-Latn-CS"/>
        </w:rPr>
        <w:t xml:space="preserve"> klirensa kreatinina &lt; 15 </w:t>
      </w:r>
      <w:r w:rsidR="00126A4B" w:rsidRPr="00661C10">
        <w:rPr>
          <w:sz w:val="22"/>
          <w:szCs w:val="22"/>
          <w:lang w:val="sr-Latn-CS"/>
        </w:rPr>
        <w:t>ml</w:t>
      </w:r>
      <w:r w:rsidRPr="00661C10">
        <w:rPr>
          <w:sz w:val="22"/>
          <w:szCs w:val="22"/>
          <w:lang w:val="sr-Latn-CS"/>
        </w:rPr>
        <w:t xml:space="preserve">/min, a koji su na dijalizi, treba se pridržavati preporuka za doziranje za pacijente čija je </w:t>
      </w:r>
      <w:r w:rsidR="00126A4B" w:rsidRPr="00661C10">
        <w:rPr>
          <w:sz w:val="22"/>
          <w:szCs w:val="22"/>
          <w:lang w:val="sr-Latn-CS"/>
        </w:rPr>
        <w:t>vrijednost</w:t>
      </w:r>
      <w:r w:rsidRPr="00661C10">
        <w:rPr>
          <w:sz w:val="22"/>
          <w:szCs w:val="22"/>
          <w:lang w:val="sr-Latn-CS"/>
        </w:rPr>
        <w:t xml:space="preserve"> klirensa kreatinina od 15 do 29 </w:t>
      </w:r>
      <w:r w:rsidR="00126A4B" w:rsidRPr="00661C10">
        <w:rPr>
          <w:sz w:val="22"/>
          <w:szCs w:val="22"/>
          <w:lang w:val="sr-Latn-CS"/>
        </w:rPr>
        <w:t>ml</w:t>
      </w:r>
      <w:r w:rsidRPr="00661C10">
        <w:rPr>
          <w:sz w:val="22"/>
          <w:szCs w:val="22"/>
          <w:lang w:val="sr-Latn-CS"/>
        </w:rPr>
        <w:t xml:space="preserve">/min </w:t>
      </w:r>
    </w:p>
    <w:p w14:paraId="2ED99FD3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Tabelu 1).</w:t>
      </w:r>
    </w:p>
    <w:p w14:paraId="1F648F95" w14:textId="77777777" w:rsidR="00B26C42" w:rsidRPr="00661C10" w:rsidRDefault="00B26C42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24644FF8" w14:textId="72EE6CDE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I imipenem i cilastatin se uklanjaju iz organizma tokom hemodijalize. Pacijent treba da primi </w:t>
      </w:r>
      <w:r w:rsidR="00126A4B" w:rsidRPr="00661C10">
        <w:rPr>
          <w:sz w:val="22"/>
          <w:szCs w:val="22"/>
          <w:lang w:val="sr-Latn-CS"/>
        </w:rPr>
        <w:t>lijek</w:t>
      </w:r>
      <w:r w:rsidR="0001527F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 xml:space="preserve">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 xml:space="preserve"> nakon hemodijalize, a zatim u intervalima od po 12 sati nakon završetka date sesije hemodijalize. Pacijente koji su na dijalizi, a posebno one koji imaju neko prateće oboljenje centralnog</w:t>
      </w:r>
      <w:r w:rsidR="0001527F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 xml:space="preserve">nervnog sistema (CNS), treba pažljivo pratiti: pacijenti koji su na hemodijalizi treba da primaju </w:t>
      </w:r>
      <w:r w:rsidR="00126A4B" w:rsidRPr="00661C10">
        <w:rPr>
          <w:sz w:val="22"/>
          <w:szCs w:val="22"/>
          <w:lang w:val="sr-Latn-CS"/>
        </w:rPr>
        <w:t>lijek</w:t>
      </w:r>
      <w:r w:rsidR="0001527F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 xml:space="preserve">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 xml:space="preserve"> samo u slučajevima kada je korist terapije veća od potencijalnog rizika za pojavu </w:t>
      </w:r>
      <w:r w:rsidR="0001527F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>epileptičnih napada 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dio</w:t>
      </w:r>
      <w:r w:rsidRPr="00661C10">
        <w:rPr>
          <w:sz w:val="22"/>
          <w:szCs w:val="22"/>
          <w:lang w:val="sr-Latn-CS"/>
        </w:rPr>
        <w:t xml:space="preserve"> 4.4).Trenutno ne postoje adekvatni raspoloživi podaci na osnovu kojih bi se preporučila </w:t>
      </w:r>
      <w:r w:rsidR="00126A4B" w:rsidRPr="00661C10">
        <w:rPr>
          <w:sz w:val="22"/>
          <w:szCs w:val="22"/>
          <w:lang w:val="sr-Latn-CS"/>
        </w:rPr>
        <w:t>primjen</w:t>
      </w:r>
      <w:r w:rsidRPr="00661C10">
        <w:rPr>
          <w:sz w:val="22"/>
          <w:szCs w:val="22"/>
          <w:lang w:val="sr-Latn-CS"/>
        </w:rPr>
        <w:t xml:space="preserve">a </w:t>
      </w:r>
      <w:r w:rsidR="00126A4B" w:rsidRPr="00661C10">
        <w:rPr>
          <w:sz w:val="22"/>
          <w:szCs w:val="22"/>
          <w:lang w:val="sr-Latn-CS"/>
        </w:rPr>
        <w:t>lijek</w:t>
      </w:r>
      <w:r w:rsidRPr="00661C10">
        <w:rPr>
          <w:sz w:val="22"/>
          <w:szCs w:val="22"/>
          <w:lang w:val="sr-Latn-CS"/>
        </w:rPr>
        <w:t>a</w:t>
      </w:r>
      <w:r w:rsidR="00F05022" w:rsidRPr="00661C10">
        <w:rPr>
          <w:sz w:val="22"/>
          <w:szCs w:val="22"/>
          <w:lang w:val="sr-Latn-CS"/>
        </w:rPr>
        <w:t xml:space="preserve"> </w:t>
      </w:r>
      <w:r w:rsidRPr="00661C10">
        <w:rPr>
          <w:sz w:val="22"/>
          <w:szCs w:val="22"/>
          <w:lang w:val="sr-Latn-CS"/>
        </w:rPr>
        <w:t xml:space="preserve">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 xml:space="preserve"> kod pacijenata na peritonealnoj dijalizi.</w:t>
      </w:r>
    </w:p>
    <w:p w14:paraId="375CAF71" w14:textId="77777777" w:rsidR="00F05022" w:rsidRPr="00661C10" w:rsidRDefault="00F05022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0B153212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Oštećenje funkcije jetre</w:t>
      </w:r>
    </w:p>
    <w:p w14:paraId="472E8FCA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Nije potrebno prilagođavanje doze kod pacijenata sa oštećenjem funkcije jetre 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dio</w:t>
      </w:r>
      <w:r w:rsidRPr="00661C10">
        <w:rPr>
          <w:sz w:val="22"/>
          <w:szCs w:val="22"/>
          <w:lang w:val="sr-Latn-CS"/>
        </w:rPr>
        <w:t xml:space="preserve"> 5.2).</w:t>
      </w:r>
    </w:p>
    <w:p w14:paraId="604F1B83" w14:textId="77777777" w:rsidR="00DB74A0" w:rsidRPr="00661C10" w:rsidRDefault="00DB74A0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55DF5657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Stariji pacijenti</w:t>
      </w:r>
    </w:p>
    <w:p w14:paraId="74003B11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Nije potrebno prilagođavanje doze kod starijih pacijenata sa normalnom funkcijom bubrega 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dio</w:t>
      </w:r>
    </w:p>
    <w:p w14:paraId="47E6F7DB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5.2).</w:t>
      </w:r>
    </w:p>
    <w:p w14:paraId="02BF6FFE" w14:textId="77777777" w:rsidR="00DB74A0" w:rsidRPr="00661C10" w:rsidRDefault="00DB74A0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0538182D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Pedijatrijska populacija uzrasta od 1 godine i više</w:t>
      </w:r>
    </w:p>
    <w:p w14:paraId="540432F7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Kod pedijatrijskih pacijenata uzrasta od 1 godine i više, preporučuje se doza od 15/15 ili 25/25 mg/kg</w:t>
      </w:r>
    </w:p>
    <w:p w14:paraId="40241C8A" w14:textId="77777777" w:rsidR="008059F4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prim</w:t>
      </w:r>
      <w:r w:rsidR="00DB74A0" w:rsidRPr="00661C10">
        <w:rPr>
          <w:sz w:val="22"/>
          <w:szCs w:val="22"/>
          <w:lang w:val="sr-Latn-CS"/>
        </w:rPr>
        <w:t>i</w:t>
      </w:r>
      <w:r w:rsidRPr="00661C10">
        <w:rPr>
          <w:sz w:val="22"/>
          <w:szCs w:val="22"/>
          <w:lang w:val="sr-Latn-CS"/>
        </w:rPr>
        <w:t>jen</w:t>
      </w:r>
      <w:r w:rsidR="008059F4" w:rsidRPr="00661C10">
        <w:rPr>
          <w:sz w:val="22"/>
          <w:szCs w:val="22"/>
          <w:lang w:val="sr-Latn-CS"/>
        </w:rPr>
        <w:t>jena na svakih 6 sati.</w:t>
      </w:r>
    </w:p>
    <w:p w14:paraId="4037B7A2" w14:textId="77777777" w:rsidR="00B26C42" w:rsidRPr="00661C10" w:rsidRDefault="00B26C42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4467BD7D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Kod infekcija za koje se sumnja ili je potvrđeno da su izazvane manje os</w:t>
      </w:r>
      <w:r w:rsidR="00DB74A0" w:rsidRPr="00661C10">
        <w:rPr>
          <w:sz w:val="22"/>
          <w:szCs w:val="22"/>
          <w:lang w:val="sr-Latn-CS"/>
        </w:rPr>
        <w:t>j</w:t>
      </w:r>
      <w:r w:rsidRPr="00661C10">
        <w:rPr>
          <w:sz w:val="22"/>
          <w:szCs w:val="22"/>
          <w:lang w:val="sr-Latn-CS"/>
        </w:rPr>
        <w:t>etljivim bakterijskim vrstama (npr.</w:t>
      </w:r>
      <w:r w:rsidRPr="00661C10">
        <w:rPr>
          <w:i/>
          <w:sz w:val="22"/>
          <w:szCs w:val="22"/>
          <w:lang w:val="sr-Latn-CS"/>
        </w:rPr>
        <w:t>Pseudomonas aeruginosa</w:t>
      </w:r>
      <w:r w:rsidRPr="00661C10">
        <w:rPr>
          <w:sz w:val="22"/>
          <w:szCs w:val="22"/>
          <w:lang w:val="sr-Latn-CS"/>
        </w:rPr>
        <w:t xml:space="preserve">), kao i kod veoma teških infekcija (npr. kod pacijenata sa neutropenijom praćenom povišenom </w:t>
      </w:r>
      <w:r w:rsidR="00126A4B" w:rsidRPr="00661C10">
        <w:rPr>
          <w:sz w:val="22"/>
          <w:szCs w:val="22"/>
          <w:lang w:val="sr-Latn-CS"/>
        </w:rPr>
        <w:t xml:space="preserve">tjelesnom </w:t>
      </w:r>
      <w:r w:rsidRPr="00661C10">
        <w:rPr>
          <w:sz w:val="22"/>
          <w:szCs w:val="22"/>
          <w:lang w:val="sr-Latn-CS"/>
        </w:rPr>
        <w:t xml:space="preserve"> temperaturom), preporučuje se da se </w:t>
      </w:r>
      <w:r w:rsidR="00126A4B" w:rsidRPr="00661C10">
        <w:rPr>
          <w:sz w:val="22"/>
          <w:szCs w:val="22"/>
          <w:lang w:val="sr-Latn-CS"/>
        </w:rPr>
        <w:t>primjenjuje</w:t>
      </w:r>
      <w:r w:rsidRPr="00661C10">
        <w:rPr>
          <w:sz w:val="22"/>
          <w:szCs w:val="22"/>
          <w:lang w:val="sr-Latn-CS"/>
        </w:rPr>
        <w:t xml:space="preserve"> doza od 25/25 mg/kg na svakih 6 sati.</w:t>
      </w:r>
    </w:p>
    <w:p w14:paraId="5ADD38B4" w14:textId="77777777" w:rsidR="00DB74A0" w:rsidRPr="00661C10" w:rsidRDefault="00DB74A0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73D5387D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Pedijatrijska populacija uzrasta do 1 godine</w:t>
      </w:r>
    </w:p>
    <w:p w14:paraId="55E51137" w14:textId="2819C78D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Raspoloživi klinički podaci ni</w:t>
      </w:r>
      <w:r w:rsidR="004A1428" w:rsidRPr="00661C10">
        <w:rPr>
          <w:sz w:val="22"/>
          <w:szCs w:val="22"/>
          <w:lang w:val="sr-Latn-CS"/>
        </w:rPr>
        <w:t>je</w:t>
      </w:r>
      <w:r w:rsidRPr="00661C10">
        <w:rPr>
          <w:sz w:val="22"/>
          <w:szCs w:val="22"/>
          <w:lang w:val="sr-Latn-CS"/>
        </w:rPr>
        <w:t xml:space="preserve">su dovoljni da bi se mogle dati preporuke za doziranje kod </w:t>
      </w:r>
      <w:r w:rsidR="00126A4B" w:rsidRPr="00661C10">
        <w:rPr>
          <w:sz w:val="22"/>
          <w:szCs w:val="22"/>
          <w:lang w:val="sr-Latn-CS"/>
        </w:rPr>
        <w:t>djece</w:t>
      </w:r>
      <w:r w:rsidRPr="00661C10">
        <w:rPr>
          <w:sz w:val="22"/>
          <w:szCs w:val="22"/>
          <w:lang w:val="sr-Latn-CS"/>
        </w:rPr>
        <w:t xml:space="preserve"> uzrasta do 1 godine.</w:t>
      </w:r>
    </w:p>
    <w:p w14:paraId="4FD243EB" w14:textId="77777777" w:rsidR="00DB74A0" w:rsidRPr="00661C10" w:rsidRDefault="00DB74A0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50847F83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>Pedijatrijska populacija sa oštećenjem funkcije bubrega</w:t>
      </w:r>
    </w:p>
    <w:p w14:paraId="061CA913" w14:textId="428FD850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Raspoloživi klinički podaci ni</w:t>
      </w:r>
      <w:r w:rsidR="004A1428" w:rsidRPr="00661C10">
        <w:rPr>
          <w:sz w:val="22"/>
          <w:szCs w:val="22"/>
          <w:lang w:val="sr-Latn-CS"/>
        </w:rPr>
        <w:t>je</w:t>
      </w:r>
      <w:r w:rsidRPr="00661C10">
        <w:rPr>
          <w:sz w:val="22"/>
          <w:szCs w:val="22"/>
          <w:lang w:val="sr-Latn-CS"/>
        </w:rPr>
        <w:t xml:space="preserve">su dovoljni da bi mogle da se daju preporuke za doziranje kod </w:t>
      </w:r>
      <w:r w:rsidR="00126A4B" w:rsidRPr="00661C10">
        <w:rPr>
          <w:sz w:val="22"/>
          <w:szCs w:val="22"/>
          <w:lang w:val="sr-Latn-CS"/>
        </w:rPr>
        <w:t>djece</w:t>
      </w:r>
      <w:r w:rsidRPr="00661C10">
        <w:rPr>
          <w:sz w:val="22"/>
          <w:szCs w:val="22"/>
          <w:lang w:val="sr-Latn-CS"/>
        </w:rPr>
        <w:t xml:space="preserve"> sa</w:t>
      </w:r>
    </w:p>
    <w:p w14:paraId="148EE145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oštećenjem funkcije bubrega (serumski kreatinin &gt; 2 mg/dL). 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dio</w:t>
      </w:r>
      <w:r w:rsidRPr="00661C10">
        <w:rPr>
          <w:sz w:val="22"/>
          <w:szCs w:val="22"/>
          <w:lang w:val="sr-Latn-CS"/>
        </w:rPr>
        <w:t xml:space="preserve"> 4.4.</w:t>
      </w:r>
    </w:p>
    <w:p w14:paraId="4864E3B7" w14:textId="77777777" w:rsidR="00DB74A0" w:rsidRPr="00661C10" w:rsidRDefault="00DB74A0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</w:p>
    <w:p w14:paraId="6180C08A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  <w:lang w:val="sr-Latn-CS"/>
        </w:rPr>
      </w:pPr>
      <w:r w:rsidRPr="00661C10">
        <w:rPr>
          <w:sz w:val="22"/>
          <w:szCs w:val="22"/>
          <w:u w:val="single"/>
          <w:lang w:val="sr-Latn-CS"/>
        </w:rPr>
        <w:t xml:space="preserve">Način </w:t>
      </w:r>
      <w:r w:rsidR="00126A4B" w:rsidRPr="00661C10">
        <w:rPr>
          <w:sz w:val="22"/>
          <w:szCs w:val="22"/>
          <w:u w:val="single"/>
          <w:lang w:val="sr-Latn-CS"/>
        </w:rPr>
        <w:t>primjen</w:t>
      </w:r>
      <w:r w:rsidRPr="00661C10">
        <w:rPr>
          <w:sz w:val="22"/>
          <w:szCs w:val="22"/>
          <w:u w:val="single"/>
          <w:lang w:val="sr-Latn-CS"/>
        </w:rPr>
        <w:t>e</w:t>
      </w:r>
    </w:p>
    <w:p w14:paraId="23675EE7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Pr</w:t>
      </w:r>
      <w:r w:rsidR="00DB74A0" w:rsidRPr="00661C10">
        <w:rPr>
          <w:sz w:val="22"/>
          <w:szCs w:val="22"/>
          <w:lang w:val="sr-Latn-CS"/>
        </w:rPr>
        <w:t>ij</w:t>
      </w:r>
      <w:r w:rsidRPr="00661C10">
        <w:rPr>
          <w:sz w:val="22"/>
          <w:szCs w:val="22"/>
          <w:lang w:val="sr-Latn-CS"/>
        </w:rPr>
        <w:t xml:space="preserve">e upotrebe, </w:t>
      </w:r>
      <w:r w:rsidR="00126A4B" w:rsidRPr="00661C10">
        <w:rPr>
          <w:sz w:val="22"/>
          <w:szCs w:val="22"/>
          <w:lang w:val="sr-Latn-CS"/>
        </w:rPr>
        <w:t>lijek</w:t>
      </w:r>
      <w:r w:rsidRPr="00661C10">
        <w:rPr>
          <w:sz w:val="22"/>
          <w:szCs w:val="22"/>
          <w:lang w:val="sr-Latn-CS"/>
        </w:rPr>
        <w:t xml:space="preserve"> Imipenem/Cilastatin </w:t>
      </w:r>
      <w:r w:rsidR="00126A4B" w:rsidRPr="00661C10">
        <w:rPr>
          <w:sz w:val="22"/>
          <w:szCs w:val="22"/>
          <w:lang w:val="sr-Latn-CS"/>
        </w:rPr>
        <w:t>AptaPharma</w:t>
      </w:r>
      <w:r w:rsidRPr="00661C10">
        <w:rPr>
          <w:sz w:val="22"/>
          <w:szCs w:val="22"/>
          <w:lang w:val="sr-Latn-CS"/>
        </w:rPr>
        <w:t xml:space="preserve"> treba da se rekonstituiše i dalje razblaži (</w:t>
      </w:r>
      <w:r w:rsidR="0001527F" w:rsidRPr="00661C10">
        <w:rPr>
          <w:sz w:val="22"/>
          <w:szCs w:val="22"/>
          <w:lang w:val="sr-Latn-CS"/>
        </w:rPr>
        <w:t xml:space="preserve">vidjeti </w:t>
      </w:r>
      <w:r w:rsidRPr="00661C10">
        <w:rPr>
          <w:sz w:val="22"/>
          <w:szCs w:val="22"/>
          <w:lang w:val="sr-Latn-CS"/>
        </w:rPr>
        <w:t xml:space="preserve"> </w:t>
      </w:r>
      <w:r w:rsidR="00126A4B" w:rsidRPr="00661C10">
        <w:rPr>
          <w:sz w:val="22"/>
          <w:szCs w:val="22"/>
          <w:lang w:val="sr-Latn-CS"/>
        </w:rPr>
        <w:t>djelove</w:t>
      </w:r>
      <w:r w:rsidRPr="00661C10">
        <w:rPr>
          <w:sz w:val="22"/>
          <w:szCs w:val="22"/>
          <w:lang w:val="sr-Latn-CS"/>
        </w:rPr>
        <w:t xml:space="preserve"> 6.2, 6.3 i 6.6). Svaka doza ≤ 500 mg/500 mg treba da se daje putem intravenske infuzije u trajanju od 20 do 30 minuta. </w:t>
      </w:r>
    </w:p>
    <w:p w14:paraId="4FB0858E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 xml:space="preserve">Svaka doza &gt; 500 mg/500 mg treba da se daje putem intravenske infuzije u trajanju od 40 do 60 minuta. </w:t>
      </w:r>
    </w:p>
    <w:p w14:paraId="420076EC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Brzina davanja infuzije može da se smanji kod pacijenata kod kojih se pojavi mučnina tokom primanja</w:t>
      </w:r>
    </w:p>
    <w:p w14:paraId="26DF0983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infuzije.</w:t>
      </w:r>
    </w:p>
    <w:p w14:paraId="0FF5F5B8" w14:textId="5D75D6F1" w:rsidR="00B26C42" w:rsidRPr="00661C10" w:rsidRDefault="00B26C42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4BA24889" w14:textId="24583713" w:rsidR="00B26C42" w:rsidRPr="00661C10" w:rsidRDefault="00B26C42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  <w:r w:rsidRPr="00661C10">
        <w:rPr>
          <w:sz w:val="22"/>
          <w:szCs w:val="22"/>
          <w:lang w:val="sr-Latn-CS"/>
        </w:rPr>
        <w:t>Rastvor je bezbojan do blijedo žute boje.</w:t>
      </w:r>
    </w:p>
    <w:p w14:paraId="7618EFD9" w14:textId="77777777" w:rsidR="00B26C42" w:rsidRPr="00661C10" w:rsidRDefault="00B26C42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CS"/>
        </w:rPr>
      </w:pPr>
    </w:p>
    <w:p w14:paraId="0E68A951" w14:textId="0CB71EE0" w:rsidR="00DA0786" w:rsidRDefault="00DA0786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682835DD" w14:textId="77777777" w:rsidR="006F28B7" w:rsidRPr="00ED2C45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A8E0ED3" w14:textId="2E3A5201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lastRenderedPageBreak/>
        <w:t xml:space="preserve">4.3.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Kontraindikacije</w:t>
      </w:r>
    </w:p>
    <w:p w14:paraId="36DB9E4D" w14:textId="77777777" w:rsidR="00803236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2254CE4F" w14:textId="77777777" w:rsidR="00803236" w:rsidRPr="00661C10" w:rsidRDefault="00803236" w:rsidP="00E1507B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</w:t>
      </w:r>
      <w:r w:rsidR="008059F4" w:rsidRPr="00661C10">
        <w:rPr>
          <w:bCs/>
          <w:sz w:val="22"/>
          <w:szCs w:val="22"/>
        </w:rPr>
        <w:t>reos</w:t>
      </w:r>
      <w:r w:rsidRPr="00661C10">
        <w:rPr>
          <w:bCs/>
          <w:sz w:val="22"/>
          <w:szCs w:val="22"/>
        </w:rPr>
        <w:t>j</w:t>
      </w:r>
      <w:r w:rsidR="008059F4" w:rsidRPr="00661C10">
        <w:rPr>
          <w:bCs/>
          <w:sz w:val="22"/>
          <w:szCs w:val="22"/>
        </w:rPr>
        <w:t xml:space="preserve">etljivost na aktivne supstance ili na bilo koju od pomoćnih supstanci navedenih u </w:t>
      </w:r>
      <w:r w:rsidRPr="00661C10">
        <w:rPr>
          <w:bCs/>
          <w:sz w:val="22"/>
          <w:szCs w:val="22"/>
        </w:rPr>
        <w:t>dijelu</w:t>
      </w:r>
      <w:r w:rsidR="008059F4" w:rsidRPr="00661C10">
        <w:rPr>
          <w:bCs/>
          <w:sz w:val="22"/>
          <w:szCs w:val="22"/>
        </w:rPr>
        <w:t xml:space="preserve"> 6.1.</w:t>
      </w:r>
    </w:p>
    <w:p w14:paraId="2A7B7A7A" w14:textId="77777777" w:rsidR="00803236" w:rsidRPr="00661C10" w:rsidRDefault="00803236" w:rsidP="00E1507B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</w:t>
      </w:r>
      <w:r w:rsidR="008059F4" w:rsidRPr="00661C10">
        <w:rPr>
          <w:bCs/>
          <w:sz w:val="22"/>
          <w:szCs w:val="22"/>
        </w:rPr>
        <w:t>reos</w:t>
      </w:r>
      <w:r w:rsidRPr="00661C10">
        <w:rPr>
          <w:bCs/>
          <w:sz w:val="22"/>
          <w:szCs w:val="22"/>
        </w:rPr>
        <w:t>j</w:t>
      </w:r>
      <w:r w:rsidR="008059F4" w:rsidRPr="00661C10">
        <w:rPr>
          <w:bCs/>
          <w:sz w:val="22"/>
          <w:szCs w:val="22"/>
        </w:rPr>
        <w:t>etljivost na bilo koji drugi karbapenemski antibiotik.</w:t>
      </w:r>
    </w:p>
    <w:p w14:paraId="5E1662A0" w14:textId="35B65B55" w:rsidR="0072020E" w:rsidRPr="00661C10" w:rsidRDefault="00803236" w:rsidP="00E1507B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T</w:t>
      </w:r>
      <w:r w:rsidR="008059F4" w:rsidRPr="00661C10">
        <w:rPr>
          <w:bCs/>
          <w:sz w:val="22"/>
          <w:szCs w:val="22"/>
        </w:rPr>
        <w:t>eška preos</w:t>
      </w:r>
      <w:r w:rsidRPr="00661C10">
        <w:rPr>
          <w:bCs/>
          <w:sz w:val="22"/>
          <w:szCs w:val="22"/>
        </w:rPr>
        <w:t>j</w:t>
      </w:r>
      <w:r w:rsidR="008059F4" w:rsidRPr="00661C10">
        <w:rPr>
          <w:bCs/>
          <w:sz w:val="22"/>
          <w:szCs w:val="22"/>
        </w:rPr>
        <w:t>etljivost (na prim</w:t>
      </w:r>
      <w:r w:rsidR="00B26C42" w:rsidRPr="00661C10">
        <w:rPr>
          <w:bCs/>
          <w:sz w:val="22"/>
          <w:szCs w:val="22"/>
        </w:rPr>
        <w:t>j</w:t>
      </w:r>
      <w:r w:rsidR="008059F4" w:rsidRPr="00661C10">
        <w:rPr>
          <w:bCs/>
          <w:sz w:val="22"/>
          <w:szCs w:val="22"/>
        </w:rPr>
        <w:t>er: anafilaktička reakcija, teška reakcija na koži) na bilo koju drugu vrstu beta-laktamskih antibiotika (npr. penicilini ili cefalosporini).</w:t>
      </w:r>
    </w:p>
    <w:p w14:paraId="1BD278D5" w14:textId="77777777" w:rsidR="00803236" w:rsidRPr="00661C10" w:rsidRDefault="00803236" w:rsidP="00E1507B">
      <w:pPr>
        <w:pStyle w:val="ListParagraph"/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4723BA6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4.4.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Posebna upozorenja i mjere opreza pri upotrebi lijeka</w:t>
      </w:r>
    </w:p>
    <w:p w14:paraId="5D6738F4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C00C6F9" w14:textId="77777777" w:rsidR="00057E35" w:rsidRPr="00661C10" w:rsidRDefault="00057E35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  <w:r w:rsidRPr="00661C10">
        <w:rPr>
          <w:sz w:val="22"/>
          <w:szCs w:val="22"/>
          <w:u w:val="single"/>
        </w:rPr>
        <w:t>Pedijatrijska populacija</w:t>
      </w:r>
    </w:p>
    <w:p w14:paraId="24DE3299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</w:p>
    <w:p w14:paraId="7B47DFE2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Opšta</w:t>
      </w:r>
    </w:p>
    <w:p w14:paraId="0F64EC2C" w14:textId="77777777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Prilikom odabira imipenema/cilastatina za terapiju, potrebno je da se, za svakog pacijenta posebno, razmotri adekvatnost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karbapenemskog antibiotika, a na osnovu faktora poput težine infekcije, prevalence rezistencije na druge odgovarajuće antibiotike, kao i rizika da se terapija odabere u slučaju infekcije</w:t>
      </w:r>
      <w:r w:rsidR="00803236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bakterijama rezistentnim na karbapeneme.</w:t>
      </w:r>
    </w:p>
    <w:p w14:paraId="2DC50C42" w14:textId="77777777" w:rsidR="00803236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B740342" w14:textId="77777777" w:rsidR="008059F4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Preosjetljivost</w:t>
      </w:r>
    </w:p>
    <w:p w14:paraId="2CADFF87" w14:textId="5A8AE484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Kod pacijenata koji su primali beta-laktamske antibiotike </w:t>
      </w:r>
      <w:proofErr w:type="gramStart"/>
      <w:r w:rsidR="00B07716" w:rsidRPr="00661C10">
        <w:rPr>
          <w:bCs/>
          <w:sz w:val="22"/>
          <w:szCs w:val="22"/>
        </w:rPr>
        <w:t xml:space="preserve">zabilježene </w:t>
      </w:r>
      <w:r w:rsidRPr="00661C10">
        <w:rPr>
          <w:bCs/>
          <w:sz w:val="22"/>
          <w:szCs w:val="22"/>
        </w:rPr>
        <w:t xml:space="preserve"> su</w:t>
      </w:r>
      <w:proofErr w:type="gramEnd"/>
      <w:r w:rsidRPr="00661C10">
        <w:rPr>
          <w:bCs/>
          <w:sz w:val="22"/>
          <w:szCs w:val="22"/>
        </w:rPr>
        <w:t xml:space="preserve"> ozbiljne, i u nekim slučajevima sa </w:t>
      </w:r>
      <w:r w:rsidR="00803236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smrtnim ishodom, reakcije pre</w:t>
      </w:r>
      <w:r w:rsidR="00126A4B" w:rsidRPr="00661C10">
        <w:rPr>
          <w:bCs/>
          <w:sz w:val="22"/>
          <w:szCs w:val="22"/>
        </w:rPr>
        <w:t xml:space="preserve">osjetljivosti </w:t>
      </w:r>
      <w:r w:rsidRPr="00661C10">
        <w:rPr>
          <w:bCs/>
          <w:sz w:val="22"/>
          <w:szCs w:val="22"/>
        </w:rPr>
        <w:t xml:space="preserve"> (anafilaktičke reakcije). Veća je </w:t>
      </w:r>
      <w:proofErr w:type="gramStart"/>
      <w:r w:rsidR="00803236" w:rsidRPr="00661C10">
        <w:rPr>
          <w:bCs/>
          <w:sz w:val="22"/>
          <w:szCs w:val="22"/>
        </w:rPr>
        <w:t xml:space="preserve">vjerovatnoća </w:t>
      </w:r>
      <w:r w:rsidRPr="00661C10">
        <w:rPr>
          <w:bCs/>
          <w:sz w:val="22"/>
          <w:szCs w:val="22"/>
        </w:rPr>
        <w:t xml:space="preserve"> da</w:t>
      </w:r>
      <w:proofErr w:type="gramEnd"/>
      <w:r w:rsidRPr="00661C10">
        <w:rPr>
          <w:bCs/>
          <w:sz w:val="22"/>
          <w:szCs w:val="22"/>
        </w:rPr>
        <w:t xml:space="preserve"> će se ove reakcije pojaviti kod pacijenata koji su prethodno ispoljili osetljivost na više alergena. Pr</w:t>
      </w:r>
      <w:r w:rsidR="00803236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 započinjanja terapije </w:t>
      </w:r>
      <w:r w:rsidR="00126A4B" w:rsidRPr="00661C10">
        <w:rPr>
          <w:bCs/>
          <w:sz w:val="22"/>
          <w:szCs w:val="22"/>
        </w:rPr>
        <w:t>ljeko</w:t>
      </w:r>
      <w:r w:rsidRPr="00661C10">
        <w:rPr>
          <w:bCs/>
          <w:sz w:val="22"/>
          <w:szCs w:val="22"/>
        </w:rPr>
        <w:t xml:space="preserve">m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 treba pažljivo ispitati postojanje prethodnih reakcija pre</w:t>
      </w:r>
      <w:r w:rsidR="00126A4B" w:rsidRPr="00661C10">
        <w:rPr>
          <w:bCs/>
          <w:sz w:val="22"/>
          <w:szCs w:val="22"/>
        </w:rPr>
        <w:t>osjetljivosti</w:t>
      </w:r>
      <w:r w:rsidRPr="00661C10">
        <w:rPr>
          <w:bCs/>
          <w:sz w:val="22"/>
          <w:szCs w:val="22"/>
        </w:rPr>
        <w:t xml:space="preserve"> na karbapeneme, peniciline, cefalosporine, druge beta-laktamske antibiotike i ostale alergene (</w:t>
      </w:r>
      <w:r w:rsidR="0001527F" w:rsidRPr="00661C10">
        <w:rPr>
          <w:bCs/>
          <w:sz w:val="22"/>
          <w:szCs w:val="22"/>
        </w:rPr>
        <w:t>vidjeti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r w:rsidR="004A142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4.3). Ako dođe do alergijske reakcije na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, treba odmah prekinuti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a. </w:t>
      </w:r>
    </w:p>
    <w:p w14:paraId="2A309DF5" w14:textId="77777777" w:rsidR="008059F4" w:rsidRPr="00661C10" w:rsidRDefault="008059F4" w:rsidP="00DA0786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Ozbiljne anafilaktičke reakcije zahtevaju preduzimanje hitnih medicinskih m</w:t>
      </w:r>
      <w:r w:rsidR="00803236" w:rsidRPr="00661C10">
        <w:rPr>
          <w:b/>
          <w:bCs/>
          <w:sz w:val="22"/>
          <w:szCs w:val="22"/>
        </w:rPr>
        <w:t>j</w:t>
      </w:r>
      <w:r w:rsidRPr="00661C10">
        <w:rPr>
          <w:b/>
          <w:bCs/>
          <w:sz w:val="22"/>
          <w:szCs w:val="22"/>
        </w:rPr>
        <w:t>era.</w:t>
      </w:r>
    </w:p>
    <w:p w14:paraId="26289786" w14:textId="77777777" w:rsidR="00803236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E49A925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Funkcija jetre</w:t>
      </w:r>
    </w:p>
    <w:p w14:paraId="6AEAFCDB" w14:textId="77777777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Tokom terapije </w:t>
      </w:r>
      <w:r w:rsidR="00126A4B" w:rsidRPr="00661C10">
        <w:rPr>
          <w:bCs/>
          <w:sz w:val="22"/>
          <w:szCs w:val="22"/>
        </w:rPr>
        <w:t>ljeko</w:t>
      </w:r>
      <w:r w:rsidRPr="00661C10">
        <w:rPr>
          <w:bCs/>
          <w:sz w:val="22"/>
          <w:szCs w:val="22"/>
        </w:rPr>
        <w:t xml:space="preserve">m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 potrebno je da se pažljivo prati funkcija jetre zbog rizika za pojavu hepatotoksičnosti (poput povećanih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>i transaminaza, insuficijencije jetre ili fulminantnog hepatitisa).</w:t>
      </w:r>
    </w:p>
    <w:p w14:paraId="53F346AF" w14:textId="52532E96" w:rsidR="008059F4" w:rsidRPr="00661C10" w:rsidRDefault="008059F4" w:rsidP="00DA078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Upotreba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a kod pacijenata sa oboljenjem jetre: kod pacijenata sa prethodno postojećim bolestima jetre treba pratiti funkciju jetre tokom terapije imipenemom/cilastatinom. Nije potrebno prilagođavati dozu (</w:t>
      </w:r>
      <w:r w:rsidR="0001527F" w:rsidRPr="00661C10">
        <w:rPr>
          <w:bCs/>
          <w:sz w:val="22"/>
          <w:szCs w:val="22"/>
        </w:rPr>
        <w:t xml:space="preserve">vidjeti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4.2).</w:t>
      </w:r>
    </w:p>
    <w:p w14:paraId="36EB7B6B" w14:textId="77777777" w:rsidR="00803236" w:rsidRPr="00661C10" w:rsidRDefault="00803236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2EA9B88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Hematološka ispitivanja</w:t>
      </w:r>
    </w:p>
    <w:p w14:paraId="7D5D53D8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Tokom terapije imipenemom/cilastatinom moguće je da dođe do pojave pozitivnih rezultata pri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i direktnog ili indirektnog Coombs-ovog testa.</w:t>
      </w:r>
    </w:p>
    <w:p w14:paraId="00668275" w14:textId="77777777" w:rsidR="00803236" w:rsidRPr="00661C10" w:rsidRDefault="0080323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7A765CB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Antibakterijski spektar</w:t>
      </w:r>
    </w:p>
    <w:p w14:paraId="6BF90BCA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Pr</w:t>
      </w:r>
      <w:r w:rsidR="00803236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 započinjanja empirijske terapije treba uzeti u obzir antibakterijski spektar imipenema/cilastatina, a </w:t>
      </w:r>
    </w:p>
    <w:p w14:paraId="4C4633F3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posebno kada su u pitanju životno-ugrožavajuća stanja. Pored toga, oprez je neophodan zbog ograničene </w:t>
      </w:r>
    </w:p>
    <w:p w14:paraId="3C43DCF3" w14:textId="5C2F218F" w:rsidR="008059F4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osjetljivosti </w:t>
      </w:r>
      <w:r w:rsidR="008059F4" w:rsidRPr="00661C10">
        <w:rPr>
          <w:bCs/>
          <w:sz w:val="22"/>
          <w:szCs w:val="22"/>
        </w:rPr>
        <w:t>određenih patogenih mikroorganizama na imipenem/cilastatin, a koji su povezani sa, npr.</w:t>
      </w:r>
    </w:p>
    <w:p w14:paraId="128030CB" w14:textId="5913A4B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bakterijskim infekcijama kože i mekih tkiva.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a imipenema/cilastatina nije odgovarajuća za </w:t>
      </w:r>
      <w:r w:rsidR="00126A4B" w:rsidRPr="00661C10">
        <w:rPr>
          <w:bCs/>
          <w:sz w:val="22"/>
          <w:szCs w:val="22"/>
        </w:rPr>
        <w:t>liječe</w:t>
      </w:r>
      <w:r w:rsidRPr="00661C10">
        <w:rPr>
          <w:bCs/>
          <w:sz w:val="22"/>
          <w:szCs w:val="22"/>
        </w:rPr>
        <w:t xml:space="preserve">nje ovih vrsta infekcija, osim u slučaju poznate i dokumentovane </w:t>
      </w:r>
      <w:r w:rsidR="00126A4B" w:rsidRPr="00661C10">
        <w:rPr>
          <w:bCs/>
          <w:sz w:val="22"/>
          <w:szCs w:val="22"/>
        </w:rPr>
        <w:t>osjetljivosti</w:t>
      </w:r>
      <w:r w:rsidRPr="00661C10">
        <w:rPr>
          <w:bCs/>
          <w:sz w:val="22"/>
          <w:szCs w:val="22"/>
        </w:rPr>
        <w:t xml:space="preserve"> patogenog mikroorganizma na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 ili ako postoji dobro utemeljena sumnja da je patogen najverovatnije pogodan za </w:t>
      </w:r>
      <w:r w:rsidR="00126A4B" w:rsidRPr="00661C10">
        <w:rPr>
          <w:bCs/>
          <w:sz w:val="22"/>
          <w:szCs w:val="22"/>
        </w:rPr>
        <w:t>liječe</w:t>
      </w:r>
      <w:r w:rsidRPr="00661C10">
        <w:rPr>
          <w:bCs/>
          <w:sz w:val="22"/>
          <w:szCs w:val="22"/>
        </w:rPr>
        <w:t xml:space="preserve">nje. Kada se sumnja ili je potvrđeno da je MRSA (Methicillin-resistant </w:t>
      </w:r>
      <w:r w:rsidRPr="00661C10">
        <w:rPr>
          <w:bCs/>
          <w:i/>
          <w:sz w:val="22"/>
          <w:szCs w:val="22"/>
        </w:rPr>
        <w:t>Staphylococcus aureus</w:t>
      </w:r>
      <w:r w:rsidRPr="00661C10">
        <w:rPr>
          <w:bCs/>
          <w:sz w:val="22"/>
          <w:szCs w:val="22"/>
        </w:rPr>
        <w:t xml:space="preserve">) infekcija uključena u odobrene indikacije za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a, može da se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i istovremena terapija sa odgovarajućim antibiotikom za </w:t>
      </w:r>
      <w:r w:rsidR="00126A4B" w:rsidRPr="00661C10">
        <w:rPr>
          <w:bCs/>
          <w:sz w:val="22"/>
          <w:szCs w:val="22"/>
        </w:rPr>
        <w:t>liječe</w:t>
      </w:r>
      <w:r w:rsidRPr="00661C10">
        <w:rPr>
          <w:bCs/>
          <w:sz w:val="22"/>
          <w:szCs w:val="22"/>
        </w:rPr>
        <w:t xml:space="preserve">nje infekcija uzrokovanim MRSA. Istovremena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a sa nekim aminoglikozidom može da bude indikovana u slučajevima kada se sumnja ili je potvrđeno da je </w:t>
      </w:r>
      <w:r w:rsidRPr="00661C10">
        <w:rPr>
          <w:bCs/>
          <w:sz w:val="22"/>
          <w:szCs w:val="22"/>
        </w:rPr>
        <w:lastRenderedPageBreak/>
        <w:t xml:space="preserve">infekcija sa </w:t>
      </w:r>
      <w:r w:rsidRPr="00661C10">
        <w:rPr>
          <w:bCs/>
          <w:i/>
          <w:sz w:val="22"/>
          <w:szCs w:val="22"/>
        </w:rPr>
        <w:t>Pseudomonas aeruginosa</w:t>
      </w:r>
      <w:r w:rsidRPr="00661C10">
        <w:rPr>
          <w:bCs/>
          <w:sz w:val="22"/>
          <w:szCs w:val="22"/>
        </w:rPr>
        <w:t xml:space="preserve">uključena u odobrene indikacije za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a (</w:t>
      </w:r>
      <w:r w:rsidR="0001527F" w:rsidRPr="00661C10">
        <w:rPr>
          <w:bCs/>
          <w:sz w:val="22"/>
          <w:szCs w:val="22"/>
        </w:rPr>
        <w:t>vidjeti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4.1).</w:t>
      </w:r>
    </w:p>
    <w:p w14:paraId="4BAD38A8" w14:textId="77777777" w:rsidR="00DA0786" w:rsidRPr="00661C10" w:rsidRDefault="00DA078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</w:p>
    <w:p w14:paraId="5ADC9F68" w14:textId="2EC80D26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Interakcij</w:t>
      </w:r>
      <w:r w:rsidR="00803236" w:rsidRPr="00661C10">
        <w:rPr>
          <w:bCs/>
          <w:sz w:val="22"/>
          <w:szCs w:val="22"/>
          <w:u w:val="single"/>
        </w:rPr>
        <w:t>a</w:t>
      </w:r>
      <w:r w:rsidRPr="00661C10">
        <w:rPr>
          <w:bCs/>
          <w:sz w:val="22"/>
          <w:szCs w:val="22"/>
          <w:u w:val="single"/>
        </w:rPr>
        <w:t xml:space="preserve"> sa valproinskom kiselinom</w:t>
      </w:r>
    </w:p>
    <w:p w14:paraId="5CDC3371" w14:textId="0A19CA6F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Ne preporučuje se istovremena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a imipenema/cilastatina sa valproinskom kiselinom/natrijum valproatom (</w:t>
      </w:r>
      <w:r w:rsidR="0001527F" w:rsidRPr="00661C10">
        <w:rPr>
          <w:bCs/>
          <w:sz w:val="22"/>
          <w:szCs w:val="22"/>
        </w:rPr>
        <w:t xml:space="preserve">vidjeti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4.5).</w:t>
      </w:r>
    </w:p>
    <w:p w14:paraId="06AE6E04" w14:textId="77777777" w:rsidR="00803236" w:rsidRPr="00661C10" w:rsidRDefault="00803236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6CBF3B82" w14:textId="77777777" w:rsidR="008059F4" w:rsidRPr="00661C10" w:rsidRDefault="008059F4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  <w:u w:val="single"/>
        </w:rPr>
      </w:pPr>
      <w:r w:rsidRPr="00661C10">
        <w:rPr>
          <w:bCs/>
          <w:i/>
          <w:sz w:val="22"/>
          <w:szCs w:val="22"/>
          <w:u w:val="single"/>
        </w:rPr>
        <w:t>Clostridium difficile</w:t>
      </w:r>
    </w:p>
    <w:p w14:paraId="7F5AE2EF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Kolitis povezan sa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om antibiotika i pseudomembranozni kolitis zab</w:t>
      </w:r>
      <w:r w:rsidR="00803236" w:rsidRPr="00661C10">
        <w:rPr>
          <w:bCs/>
          <w:sz w:val="22"/>
          <w:szCs w:val="22"/>
        </w:rPr>
        <w:t>i</w:t>
      </w:r>
      <w:r w:rsidRPr="00661C10">
        <w:rPr>
          <w:bCs/>
          <w:sz w:val="22"/>
          <w:szCs w:val="22"/>
        </w:rPr>
        <w:t>l</w:t>
      </w:r>
      <w:r w:rsidR="00803236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 xml:space="preserve">eženi su tokom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</w:t>
      </w:r>
    </w:p>
    <w:p w14:paraId="5CC0DCA4" w14:textId="1ABB4B8B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imipenema/cilastatina, kao i kod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gotovo svih ostalih antibiotika, a mogu da se kreću u opsegu od blagog do životno-ugrožavajućeg oblika. Izuzetno je važno da se ova dijagnoza uzme u obzir kod pacijenata kod kojih se pojavi dijareja tokom ili nakon terapije imipenemom/cilastatinom (</w:t>
      </w:r>
      <w:proofErr w:type="gramStart"/>
      <w:r w:rsidR="0001527F" w:rsidRPr="00661C10">
        <w:rPr>
          <w:bCs/>
          <w:sz w:val="22"/>
          <w:szCs w:val="22"/>
        </w:rPr>
        <w:t xml:space="preserve">vidjeti 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proofErr w:type="gramEnd"/>
      <w:r w:rsidRPr="00661C10">
        <w:rPr>
          <w:bCs/>
          <w:sz w:val="22"/>
          <w:szCs w:val="22"/>
        </w:rPr>
        <w:t xml:space="preserve"> 4.8). Treba razmotriti prekid terapije imipenemom/cilastatinom i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u specifične terapije za </w:t>
      </w:r>
      <w:r w:rsidRPr="00661C10">
        <w:rPr>
          <w:bCs/>
          <w:i/>
          <w:sz w:val="22"/>
          <w:szCs w:val="22"/>
        </w:rPr>
        <w:t>Clostridium difficile</w:t>
      </w:r>
      <w:r w:rsidRPr="00661C10">
        <w:rPr>
          <w:bCs/>
          <w:sz w:val="22"/>
          <w:szCs w:val="22"/>
        </w:rPr>
        <w:t xml:space="preserve">. Ne </w:t>
      </w:r>
      <w:r w:rsidR="00126A4B" w:rsidRPr="00661C10">
        <w:rPr>
          <w:bCs/>
          <w:sz w:val="22"/>
          <w:szCs w:val="22"/>
        </w:rPr>
        <w:t>smij</w:t>
      </w:r>
      <w:r w:rsidRPr="00661C10">
        <w:rPr>
          <w:bCs/>
          <w:sz w:val="22"/>
          <w:szCs w:val="22"/>
        </w:rPr>
        <w:t xml:space="preserve">u se davati </w:t>
      </w:r>
      <w:r w:rsidR="00126A4B" w:rsidRPr="00661C10">
        <w:rPr>
          <w:bCs/>
          <w:sz w:val="22"/>
          <w:szCs w:val="22"/>
        </w:rPr>
        <w:t>ljeko</w:t>
      </w:r>
      <w:r w:rsidRPr="00661C10">
        <w:rPr>
          <w:bCs/>
          <w:sz w:val="22"/>
          <w:szCs w:val="22"/>
        </w:rPr>
        <w:t>vi koji inhibiraju peristaltiku cr</w:t>
      </w:r>
      <w:r w:rsidR="004A1428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eva.</w:t>
      </w:r>
    </w:p>
    <w:p w14:paraId="6DDD561E" w14:textId="77777777" w:rsidR="00803236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F3DB53B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Meningitis</w:t>
      </w:r>
    </w:p>
    <w:p w14:paraId="5D5E8DD8" w14:textId="77777777" w:rsidR="008059F4" w:rsidRPr="00661C10" w:rsidRDefault="00126A4B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Lijek</w:t>
      </w:r>
      <w:r w:rsidR="008059F4" w:rsidRPr="00661C10">
        <w:rPr>
          <w:bCs/>
          <w:sz w:val="22"/>
          <w:szCs w:val="22"/>
        </w:rPr>
        <w:t xml:space="preserve"> Imipenem/Cilastatin </w:t>
      </w:r>
      <w:r w:rsidRPr="00661C10">
        <w:rPr>
          <w:bCs/>
          <w:sz w:val="22"/>
          <w:szCs w:val="22"/>
        </w:rPr>
        <w:t>AptaPharma</w:t>
      </w:r>
      <w:r w:rsidR="008059F4" w:rsidRPr="00661C10">
        <w:rPr>
          <w:bCs/>
          <w:sz w:val="22"/>
          <w:szCs w:val="22"/>
        </w:rPr>
        <w:t xml:space="preserve"> se ne preporučuje za </w:t>
      </w:r>
      <w:r w:rsidRPr="00661C10">
        <w:rPr>
          <w:bCs/>
          <w:sz w:val="22"/>
          <w:szCs w:val="22"/>
        </w:rPr>
        <w:t>liječe</w:t>
      </w:r>
      <w:r w:rsidR="008059F4" w:rsidRPr="00661C10">
        <w:rPr>
          <w:bCs/>
          <w:sz w:val="22"/>
          <w:szCs w:val="22"/>
        </w:rPr>
        <w:t>nje meningitisa.</w:t>
      </w:r>
    </w:p>
    <w:p w14:paraId="0F748983" w14:textId="77777777" w:rsidR="00803236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4CC2B9A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Oštećenje funkcije bubrega</w:t>
      </w:r>
    </w:p>
    <w:p w14:paraId="27B17196" w14:textId="7B634134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Imipenem/cilastatin se akumulira kod pacijenata sa smanjenom funkcijom bubrega. Ukoliko doza nije prilagođena prema bubrežnoj funkciji, mogu se javiti neželjene reakcije na nivou centralnog nervnog sistema. </w:t>
      </w:r>
      <w:r w:rsidR="0001527F" w:rsidRPr="00661C10">
        <w:rPr>
          <w:bCs/>
          <w:sz w:val="22"/>
          <w:szCs w:val="22"/>
        </w:rPr>
        <w:t xml:space="preserve">Vidjeti </w:t>
      </w:r>
      <w:r w:rsidR="00126A4B" w:rsidRPr="00661C10">
        <w:rPr>
          <w:bCs/>
          <w:sz w:val="22"/>
          <w:szCs w:val="22"/>
        </w:rPr>
        <w:t>djelove</w:t>
      </w:r>
      <w:r w:rsidRPr="00661C10">
        <w:rPr>
          <w:bCs/>
          <w:sz w:val="22"/>
          <w:szCs w:val="22"/>
        </w:rPr>
        <w:t xml:space="preserve"> 4.2 i 4.4.</w:t>
      </w:r>
    </w:p>
    <w:p w14:paraId="5D5F5BA3" w14:textId="77777777" w:rsidR="00803236" w:rsidRPr="00661C10" w:rsidRDefault="008032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E4B5562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Centralni nervni sistem</w:t>
      </w:r>
    </w:p>
    <w:p w14:paraId="1B1749ED" w14:textId="77777777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Zab</w:t>
      </w:r>
      <w:r w:rsidR="000C535C" w:rsidRPr="00661C10">
        <w:rPr>
          <w:bCs/>
          <w:sz w:val="22"/>
          <w:szCs w:val="22"/>
        </w:rPr>
        <w:t>i</w:t>
      </w:r>
      <w:r w:rsidRPr="00661C10">
        <w:rPr>
          <w:bCs/>
          <w:sz w:val="22"/>
          <w:szCs w:val="22"/>
        </w:rPr>
        <w:t>l</w:t>
      </w:r>
      <w:r w:rsidR="00803236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 xml:space="preserve">ežene su neželjene reakcije na nivou CNS-a poput mioklonične aktivnosti, stanja konfuzije ili </w:t>
      </w:r>
    </w:p>
    <w:p w14:paraId="677BBAD9" w14:textId="3062FE9B" w:rsidR="008059F4" w:rsidRPr="00661C10" w:rsidRDefault="008059F4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epileptičnih napada, a posebno u slučajevima kada su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jivane doze veće od preporučenih za datu </w:t>
      </w:r>
      <w:r w:rsidR="00403AE2" w:rsidRPr="00661C10">
        <w:rPr>
          <w:bCs/>
          <w:sz w:val="22"/>
          <w:szCs w:val="22"/>
        </w:rPr>
        <w:t xml:space="preserve">tjelesnu </w:t>
      </w:r>
      <w:r w:rsidRPr="00661C10">
        <w:rPr>
          <w:bCs/>
          <w:sz w:val="22"/>
          <w:szCs w:val="22"/>
        </w:rPr>
        <w:t xml:space="preserve">masu i stanje funkcije bubrega. Ove reakcije su najčešće uočene kod pacijenata sa već postojećim poremećajima CNS-a (npr: moždane lezije ili epileptični napadi u anamnezi) i/ili kod pacijenata sa kompromitovanom funkcijom bubrega kod kojih može da dođe do akumulacije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jenih jedinjenja. Zato</w:t>
      </w:r>
      <w:r w:rsidR="000C535C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se, posebno kod ovih pacijenata, preporučuje strogo pridržavanje preporučenom režimu doziranja (</w:t>
      </w:r>
      <w:r w:rsidR="0001527F" w:rsidRPr="00661C10">
        <w:rPr>
          <w:bCs/>
          <w:sz w:val="22"/>
          <w:szCs w:val="22"/>
        </w:rPr>
        <w:t xml:space="preserve">vidjeti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4.2). Kod pacijenata sa poznatim epileptičnim napadima u anamnezi treba nastaviti sa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om</w:t>
      </w:r>
      <w:r w:rsidR="000C535C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antikonvulzivne terapije.</w:t>
      </w:r>
    </w:p>
    <w:p w14:paraId="12B0EFE9" w14:textId="77777777" w:rsidR="00B26C42" w:rsidRPr="00661C10" w:rsidRDefault="00B26C42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0BC080D" w14:textId="64D2F31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Posebna pažnja treba da se obrati na neurološke simptome ili epileptične napade kod </w:t>
      </w:r>
      <w:r w:rsidR="00126A4B" w:rsidRPr="00661C10">
        <w:rPr>
          <w:bCs/>
          <w:sz w:val="22"/>
          <w:szCs w:val="22"/>
        </w:rPr>
        <w:t>djece</w:t>
      </w:r>
      <w:r w:rsidRPr="00661C10">
        <w:rPr>
          <w:bCs/>
          <w:sz w:val="22"/>
          <w:szCs w:val="22"/>
        </w:rPr>
        <w:t xml:space="preserve"> sa poznatim faktorima rizika za pojavu epileptičnih napada ili kod </w:t>
      </w:r>
      <w:r w:rsidR="00126A4B" w:rsidRPr="00661C10">
        <w:rPr>
          <w:bCs/>
          <w:sz w:val="22"/>
          <w:szCs w:val="22"/>
        </w:rPr>
        <w:t>djece</w:t>
      </w:r>
      <w:r w:rsidRPr="00661C10">
        <w:rPr>
          <w:bCs/>
          <w:sz w:val="22"/>
          <w:szCs w:val="22"/>
        </w:rPr>
        <w:t xml:space="preserve"> koja primaju istovremeno terapiju </w:t>
      </w:r>
      <w:r w:rsidR="00126A4B" w:rsidRPr="00661C10">
        <w:rPr>
          <w:bCs/>
          <w:sz w:val="22"/>
          <w:szCs w:val="22"/>
        </w:rPr>
        <w:t>ljeko</w:t>
      </w:r>
      <w:r w:rsidRPr="00661C10">
        <w:rPr>
          <w:bCs/>
          <w:sz w:val="22"/>
          <w:szCs w:val="22"/>
        </w:rPr>
        <w:t>vima koji</w:t>
      </w:r>
      <w:r w:rsidR="000C535C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snižavaju prag nastanka epileptičnog napada.</w:t>
      </w:r>
    </w:p>
    <w:p w14:paraId="188D9FCF" w14:textId="7777777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Ukoliko dođe do pojave fokalnih tremora, mioklonija ili epileptičnih napada, treba izvršiti neurološki pregled pacijenta i dati mu antikonvulzivnu terapiju, ukoliko je već ne prima. Ukoliko ovi simptomi CNS-a i dalje traju, dozu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a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 treba smanjiti ili terapiju ovim </w:t>
      </w:r>
      <w:r w:rsidR="00126A4B" w:rsidRPr="00661C10">
        <w:rPr>
          <w:bCs/>
          <w:sz w:val="22"/>
          <w:szCs w:val="22"/>
        </w:rPr>
        <w:t>ljeko</w:t>
      </w:r>
      <w:r w:rsidRPr="00661C10">
        <w:rPr>
          <w:bCs/>
          <w:sz w:val="22"/>
          <w:szCs w:val="22"/>
        </w:rPr>
        <w:t>m potpuno prekinuti.</w:t>
      </w:r>
    </w:p>
    <w:p w14:paraId="3937336E" w14:textId="77777777" w:rsidR="00A40327" w:rsidRPr="00661C10" w:rsidRDefault="00A4032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C388DD0" w14:textId="007491F0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Pacijenti sa klirensom kreatinina &lt; 15 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/min ne </w:t>
      </w:r>
      <w:r w:rsidR="00803236" w:rsidRPr="00661C10">
        <w:rPr>
          <w:bCs/>
          <w:sz w:val="22"/>
          <w:szCs w:val="22"/>
        </w:rPr>
        <w:t>smiju</w:t>
      </w:r>
      <w:r w:rsidRPr="00661C10">
        <w:rPr>
          <w:bCs/>
          <w:sz w:val="22"/>
          <w:szCs w:val="22"/>
        </w:rPr>
        <w:t xml:space="preserve"> da primaju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 osim ukoliko se kod njih ne planira hemodijaliza u narednih 48 sati nakon uzimanja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a. Preporučuje se da</w:t>
      </w:r>
      <w:r w:rsidR="000C535C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pacijenti koji su na hemodijalizi primaju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 samo u slučajevima kada je korist od terapije veća od potencijalnog rizika za pojavu epileptičnih napada (</w:t>
      </w:r>
      <w:r w:rsidR="0001527F" w:rsidRPr="00661C10">
        <w:rPr>
          <w:bCs/>
          <w:sz w:val="22"/>
          <w:szCs w:val="22"/>
        </w:rPr>
        <w:t>vidjet</w:t>
      </w:r>
      <w:r w:rsidR="00A40327" w:rsidRPr="00661C10">
        <w:rPr>
          <w:bCs/>
          <w:sz w:val="22"/>
          <w:szCs w:val="22"/>
        </w:rPr>
        <w:t>i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4.2).</w:t>
      </w:r>
    </w:p>
    <w:p w14:paraId="70A50E38" w14:textId="77777777" w:rsidR="000C535C" w:rsidRPr="00661C10" w:rsidRDefault="000C535C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71F7A40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Pedijatrijska populacija</w:t>
      </w:r>
    </w:p>
    <w:p w14:paraId="5DA19F1F" w14:textId="58569CD2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Raspoloživi klinički podaci ni</w:t>
      </w:r>
      <w:r w:rsidR="004A1428" w:rsidRPr="00661C10">
        <w:rPr>
          <w:bCs/>
          <w:sz w:val="22"/>
          <w:szCs w:val="22"/>
        </w:rPr>
        <w:t>je</w:t>
      </w:r>
      <w:r w:rsidRPr="00661C10">
        <w:rPr>
          <w:bCs/>
          <w:sz w:val="22"/>
          <w:szCs w:val="22"/>
        </w:rPr>
        <w:t xml:space="preserve">su dovoljni da bi se mogle dati preporuke za upotrebu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a Imipenem/Cilastatin </w:t>
      </w:r>
      <w:r w:rsidR="00126A4B" w:rsidRPr="00661C10">
        <w:rPr>
          <w:bCs/>
          <w:sz w:val="22"/>
          <w:szCs w:val="22"/>
        </w:rPr>
        <w:t>AptaPharma</w:t>
      </w:r>
      <w:r w:rsidRPr="00661C10">
        <w:rPr>
          <w:bCs/>
          <w:sz w:val="22"/>
          <w:szCs w:val="22"/>
        </w:rPr>
        <w:t xml:space="preserve"> kod </w:t>
      </w:r>
      <w:r w:rsidR="00126A4B" w:rsidRPr="00661C10">
        <w:rPr>
          <w:bCs/>
          <w:sz w:val="22"/>
          <w:szCs w:val="22"/>
        </w:rPr>
        <w:t>djece</w:t>
      </w:r>
      <w:r w:rsidRPr="00661C10">
        <w:rPr>
          <w:bCs/>
          <w:sz w:val="22"/>
          <w:szCs w:val="22"/>
        </w:rPr>
        <w:t xml:space="preserve"> uzrasta do 1 godine ili kod pedijatrijskih pacijenata sa </w:t>
      </w:r>
      <w:r w:rsidRPr="00661C10">
        <w:rPr>
          <w:bCs/>
          <w:sz w:val="22"/>
          <w:szCs w:val="22"/>
        </w:rPr>
        <w:lastRenderedPageBreak/>
        <w:t xml:space="preserve">poremećajem funkcije bubrega (serumski kreatinin &gt; 2 mg/dL). Takođe </w:t>
      </w:r>
      <w:r w:rsidR="0001527F" w:rsidRPr="00661C10">
        <w:rPr>
          <w:bCs/>
          <w:sz w:val="22"/>
          <w:szCs w:val="22"/>
        </w:rPr>
        <w:t>vidjeti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“Centralni nervni sistem”.</w:t>
      </w:r>
    </w:p>
    <w:p w14:paraId="20EA890A" w14:textId="77777777" w:rsidR="00DA0786" w:rsidRPr="00661C10" w:rsidRDefault="00DA0786" w:rsidP="00DA078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</w:p>
    <w:p w14:paraId="0401296B" w14:textId="5C43679B" w:rsidR="000C535C" w:rsidRPr="00661C10" w:rsidRDefault="000C535C" w:rsidP="00DA078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Pomoćne supstance</w:t>
      </w:r>
    </w:p>
    <w:p w14:paraId="3B9EA1B9" w14:textId="77777777" w:rsidR="008059F4" w:rsidRPr="00661C10" w:rsidRDefault="000C535C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Ovaj lijek</w:t>
      </w:r>
      <w:r w:rsidR="008059F4" w:rsidRPr="00661C10">
        <w:rPr>
          <w:bCs/>
          <w:sz w:val="22"/>
          <w:szCs w:val="22"/>
        </w:rPr>
        <w:t xml:space="preserve"> sadrži 37,</w:t>
      </w:r>
      <w:r w:rsidRPr="00661C10">
        <w:rPr>
          <w:bCs/>
          <w:sz w:val="22"/>
          <w:szCs w:val="22"/>
        </w:rPr>
        <w:t>5</w:t>
      </w:r>
      <w:r w:rsidR="008059F4" w:rsidRPr="00661C10">
        <w:rPr>
          <w:bCs/>
          <w:sz w:val="22"/>
          <w:szCs w:val="22"/>
        </w:rPr>
        <w:t xml:space="preserve"> mg natrijuma (1,6 mmol) po bočici, što odgovara 1,9% preporučenog maksimalnog dnevnog unosa od 2 g natrijuma prema preporukama SZO za odraslu osobu. </w:t>
      </w:r>
    </w:p>
    <w:p w14:paraId="4FAF045B" w14:textId="77777777" w:rsidR="000C535C" w:rsidRPr="00661C10" w:rsidRDefault="000C535C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08470236" w14:textId="77777777" w:rsidR="00411B4B" w:rsidRPr="00661C10" w:rsidRDefault="00411B4B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4.5.</w:t>
      </w:r>
      <w:r w:rsidR="000D60CC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Interakcije sa drugim ljekovima i druge vrste interakcija</w:t>
      </w:r>
    </w:p>
    <w:p w14:paraId="272C7B5B" w14:textId="77777777" w:rsidR="000C535C" w:rsidRPr="00661C10" w:rsidRDefault="000C535C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0850C33" w14:textId="4FE1F813" w:rsidR="000C535C" w:rsidRPr="00661C10" w:rsidRDefault="000C535C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Kod pacijenata koji su istovremeno primali ganciklovir i lijek Imipenem/Cilastatin AptaPharma zabilježeni su slučajevi generalizovanih epileptičnih napada. Ova dva lijeka ne treba da se koriste istovremeno osim u slučajevima kada je potencijalna korist terapije veća od rizika.</w:t>
      </w:r>
    </w:p>
    <w:p w14:paraId="1554B6BB" w14:textId="77777777" w:rsidR="00A40327" w:rsidRPr="00661C10" w:rsidRDefault="00A40327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3B31FEEF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 xml:space="preserve">Zabilježene su smanjene koncentracije valproinske kiseline, koje su u nekim slučajevima bile ispod </w:t>
      </w:r>
    </w:p>
    <w:p w14:paraId="080DDACA" w14:textId="2AF6D8B8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terapijskog opsega, kada je valproinska kiselina primjenjivana istovremeno sa karbapenemskim antibioticima. Smanjene koncentracije valproinske kiseline mogu da dovedu do neadekvatne kontrole epileptičnih napada, zato se ne preporučuje istovremena primjena imipenema i valproinske kiseline/natrijum valproata i potrebno je da se razmotri davanje alternativne antibakterijske ili antikonvulzivne terapije (vidjeti dio 4.4).</w:t>
      </w:r>
    </w:p>
    <w:p w14:paraId="168F2132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0BF93C48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  <w:r w:rsidRPr="00661C10">
        <w:rPr>
          <w:sz w:val="22"/>
          <w:szCs w:val="22"/>
          <w:u w:val="single"/>
        </w:rPr>
        <w:t>Oralni antikoagulansi</w:t>
      </w:r>
    </w:p>
    <w:p w14:paraId="738A43B6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Istovremena primjena antibiotika i varfarina može da pojača antikoagulantno dejstvo varfarina.</w:t>
      </w:r>
    </w:p>
    <w:p w14:paraId="1A5487BE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Zabilježeno je dosta slučajeva povećanog antikoagulantnog dejstva oralno primjenjenih antikoagulantnih ljekova, uključujući varfarin, kod pacijenata koji su istovremeno primali antibakterijske ljekove. Rizik može da bude različit i zavisi od vrste prateće infekcije, godina starosti i opšteg stanja pacijenta, tako da je veoma teško procijeniti koji u kojoj meri antibiotici utiču na povećanje vrijednosti INR (međunarodni normalizovani odnos protrombinskih vremena, eng. International Normalised Ratio). Preporučuje se da se vrijednosti INR prate u redovnim intervalima tokom, kao i ubrzo nakon istovremene primjene antibiotika i antikoagulantnih ljekova.</w:t>
      </w:r>
    </w:p>
    <w:p w14:paraId="18A90409" w14:textId="77777777" w:rsidR="00A40327" w:rsidRPr="00661C10" w:rsidRDefault="00A4032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37E849C8" w14:textId="7566F4F6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Istovremena primjena imipenem/cilastatina i probenecida dovela je do minimalnog povećanja koncentracije u plazmi i poluvremena eliminacije imipenema. Kada je imipenem/cilastatin primijenjen zajedno sa probenecidom, prisustvo aktivnog (nemetabolisanog) imipenema u urinu smanjilo se na oko 60% od primjenjene doze. Istovremena primjena imipenem/cilastatina i probenecida dovela je do udvostručavanja koncentracija u plazmi i poluvremena eliminacije cilastatina, ali to nije imalo uticaj na</w:t>
      </w:r>
    </w:p>
    <w:p w14:paraId="65635B9D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izlučivanje cilastatina putem urina.</w:t>
      </w:r>
    </w:p>
    <w:p w14:paraId="2FBE8DB2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3C4EC293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  <w:r w:rsidRPr="00661C10">
        <w:rPr>
          <w:sz w:val="22"/>
          <w:szCs w:val="22"/>
          <w:u w:val="single"/>
        </w:rPr>
        <w:t>Pedijatrijska populacija</w:t>
      </w:r>
    </w:p>
    <w:p w14:paraId="348B643C" w14:textId="77777777" w:rsidR="000C535C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Studije interakcija su sprovedene samo kod odraslih pacijenata.</w:t>
      </w:r>
    </w:p>
    <w:p w14:paraId="62911BAD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B74522E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  <w:lang w:val="sr-Latn-CS"/>
        </w:rPr>
      </w:pPr>
      <w:r w:rsidRPr="00661C10">
        <w:rPr>
          <w:b/>
          <w:bCs/>
          <w:sz w:val="22"/>
          <w:szCs w:val="22"/>
        </w:rPr>
        <w:t xml:space="preserve">4.6. </w:t>
      </w:r>
      <w:r w:rsidR="00480FB1" w:rsidRPr="00661C10">
        <w:rPr>
          <w:b/>
          <w:bCs/>
          <w:sz w:val="22"/>
          <w:szCs w:val="22"/>
        </w:rPr>
        <w:tab/>
      </w:r>
      <w:r w:rsidR="006D20A5" w:rsidRPr="00661C10">
        <w:rPr>
          <w:b/>
          <w:sz w:val="22"/>
          <w:szCs w:val="22"/>
          <w:lang w:val="sr-Latn-CS"/>
        </w:rPr>
        <w:t>Plodnost, trudnoća i dojenje</w:t>
      </w:r>
    </w:p>
    <w:p w14:paraId="088163D7" w14:textId="77777777" w:rsidR="000C535C" w:rsidRPr="00661C10" w:rsidRDefault="000C535C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</w:p>
    <w:p w14:paraId="66DFDA43" w14:textId="77777777" w:rsidR="000C535C" w:rsidRPr="00661C10" w:rsidRDefault="000C535C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  <w:r w:rsidRPr="00661C10">
        <w:rPr>
          <w:sz w:val="22"/>
          <w:szCs w:val="22"/>
          <w:u w:val="single"/>
        </w:rPr>
        <w:t>Plodnost</w:t>
      </w:r>
    </w:p>
    <w:p w14:paraId="34C52E28" w14:textId="77777777" w:rsidR="000C535C" w:rsidRPr="00661C10" w:rsidRDefault="000C535C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 xml:space="preserve">Nema raspoloživih podataka koji bi ukazali na mogući efekat imipenema/cilastatina na plodnost kod </w:t>
      </w:r>
    </w:p>
    <w:p w14:paraId="0B888B01" w14:textId="77777777" w:rsidR="000C535C" w:rsidRPr="00661C10" w:rsidRDefault="000C535C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muškaraca i žena.</w:t>
      </w:r>
    </w:p>
    <w:p w14:paraId="10494A02" w14:textId="77777777" w:rsidR="000C535C" w:rsidRPr="00661C10" w:rsidRDefault="000C535C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66A8DB62" w14:textId="77777777" w:rsidR="008059F4" w:rsidRPr="00661C10" w:rsidRDefault="000C535C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  <w:r w:rsidRPr="00661C10">
        <w:rPr>
          <w:sz w:val="22"/>
          <w:szCs w:val="22"/>
          <w:u w:val="single"/>
        </w:rPr>
        <w:t>Trudnoća</w:t>
      </w:r>
    </w:p>
    <w:p w14:paraId="76F52254" w14:textId="788CBDFE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Ni</w:t>
      </w:r>
      <w:r w:rsidR="004A1428" w:rsidRPr="00661C10">
        <w:rPr>
          <w:sz w:val="22"/>
          <w:szCs w:val="22"/>
        </w:rPr>
        <w:t>je</w:t>
      </w:r>
      <w:r w:rsidRPr="00661C10">
        <w:rPr>
          <w:sz w:val="22"/>
          <w:szCs w:val="22"/>
        </w:rPr>
        <w:t xml:space="preserve">su sprovedene adekvatne i dobro kontrolisane studije za </w:t>
      </w:r>
      <w:r w:rsidR="00126A4B" w:rsidRPr="00661C10">
        <w:rPr>
          <w:sz w:val="22"/>
          <w:szCs w:val="22"/>
        </w:rPr>
        <w:t>primjen</w:t>
      </w:r>
      <w:r w:rsidRPr="00661C10">
        <w:rPr>
          <w:sz w:val="22"/>
          <w:szCs w:val="22"/>
        </w:rPr>
        <w:t>u imipenema/cilastatina kod trudnih žena.</w:t>
      </w:r>
    </w:p>
    <w:p w14:paraId="3532E7A7" w14:textId="09D078F5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lastRenderedPageBreak/>
        <w:t>U ispitivanjima na trudnim ženkama majmuna uočena je reproduktivna toksičnost (</w:t>
      </w:r>
      <w:r w:rsidR="0001527F" w:rsidRPr="00661C10">
        <w:rPr>
          <w:sz w:val="22"/>
          <w:szCs w:val="22"/>
        </w:rPr>
        <w:t xml:space="preserve">vidjeti </w:t>
      </w:r>
      <w:r w:rsidR="00126A4B" w:rsidRPr="00661C10">
        <w:rPr>
          <w:sz w:val="22"/>
          <w:szCs w:val="22"/>
        </w:rPr>
        <w:t>dio</w:t>
      </w:r>
      <w:r w:rsidRPr="00661C10">
        <w:rPr>
          <w:sz w:val="22"/>
          <w:szCs w:val="22"/>
        </w:rPr>
        <w:t xml:space="preserve"> 5.3). Nije poznat mogući rizik za ljude.</w:t>
      </w:r>
    </w:p>
    <w:p w14:paraId="1487CC23" w14:textId="77777777" w:rsidR="00A40327" w:rsidRPr="00661C10" w:rsidRDefault="00126A4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Lijek</w:t>
      </w:r>
      <w:r w:rsidR="008059F4" w:rsidRPr="00661C10">
        <w:rPr>
          <w:sz w:val="22"/>
          <w:szCs w:val="22"/>
        </w:rPr>
        <w:t xml:space="preserve"> Imipenem/Cilastatin </w:t>
      </w:r>
      <w:r w:rsidRPr="00661C10">
        <w:rPr>
          <w:sz w:val="22"/>
          <w:szCs w:val="22"/>
        </w:rPr>
        <w:t>AptaPharma</w:t>
      </w:r>
      <w:r w:rsidR="008059F4" w:rsidRPr="00661C10">
        <w:rPr>
          <w:sz w:val="22"/>
          <w:szCs w:val="22"/>
        </w:rPr>
        <w:t xml:space="preserve"> može da se </w:t>
      </w:r>
      <w:r w:rsidRPr="00661C10">
        <w:rPr>
          <w:sz w:val="22"/>
          <w:szCs w:val="22"/>
        </w:rPr>
        <w:t>primjenjuje</w:t>
      </w:r>
      <w:r w:rsidR="008059F4" w:rsidRPr="00661C10">
        <w:rPr>
          <w:sz w:val="22"/>
          <w:szCs w:val="22"/>
        </w:rPr>
        <w:t xml:space="preserve"> u trudnoći samo ako je moguća korist za majku veća</w:t>
      </w:r>
      <w:r w:rsidR="00B07716" w:rsidRPr="00661C10">
        <w:rPr>
          <w:sz w:val="22"/>
          <w:szCs w:val="22"/>
        </w:rPr>
        <w:t xml:space="preserve"> </w:t>
      </w:r>
      <w:r w:rsidR="008059F4" w:rsidRPr="00661C10">
        <w:rPr>
          <w:sz w:val="22"/>
          <w:szCs w:val="22"/>
        </w:rPr>
        <w:t>od mogućeg rizika za plod.</w:t>
      </w:r>
    </w:p>
    <w:p w14:paraId="6620072B" w14:textId="77777777" w:rsidR="004A1428" w:rsidRPr="00661C10" w:rsidRDefault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u w:val="single"/>
        </w:rPr>
      </w:pPr>
    </w:p>
    <w:p w14:paraId="015E9A98" w14:textId="7046C5D2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  <w:u w:val="single"/>
        </w:rPr>
        <w:t>Dojenje</w:t>
      </w:r>
    </w:p>
    <w:p w14:paraId="255D716B" w14:textId="2FF3C627" w:rsidR="008059F4" w:rsidRPr="00661C10" w:rsidRDefault="008059F4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 xml:space="preserve">Imipenem i cilastatin se izlučuju u malim količinama u majčino </w:t>
      </w:r>
      <w:r w:rsidR="00126A4B" w:rsidRPr="00661C10">
        <w:rPr>
          <w:sz w:val="22"/>
          <w:szCs w:val="22"/>
        </w:rPr>
        <w:t>ml</w:t>
      </w:r>
      <w:r w:rsidR="00B07716" w:rsidRPr="00661C10">
        <w:rPr>
          <w:sz w:val="22"/>
          <w:szCs w:val="22"/>
        </w:rPr>
        <w:t>i</w:t>
      </w:r>
      <w:r w:rsidR="00126A4B" w:rsidRPr="00661C10">
        <w:rPr>
          <w:sz w:val="22"/>
          <w:szCs w:val="22"/>
        </w:rPr>
        <w:t>jeko</w:t>
      </w:r>
      <w:r w:rsidRPr="00661C10">
        <w:rPr>
          <w:sz w:val="22"/>
          <w:szCs w:val="22"/>
        </w:rPr>
        <w:t xml:space="preserve">. Nakon oralne </w:t>
      </w:r>
      <w:r w:rsidR="00126A4B" w:rsidRPr="00661C10">
        <w:rPr>
          <w:sz w:val="22"/>
          <w:szCs w:val="22"/>
        </w:rPr>
        <w:t>primjen</w:t>
      </w:r>
      <w:r w:rsidRPr="00661C10">
        <w:rPr>
          <w:sz w:val="22"/>
          <w:szCs w:val="22"/>
        </w:rPr>
        <w:t xml:space="preserve">e dolazi do male resorpcije oba jedinjenja. </w:t>
      </w:r>
      <w:r w:rsidR="004A1428" w:rsidRPr="00661C10">
        <w:rPr>
          <w:sz w:val="22"/>
          <w:szCs w:val="22"/>
        </w:rPr>
        <w:t xml:space="preserve">Zbog </w:t>
      </w:r>
      <w:r w:rsidRPr="00661C10">
        <w:rPr>
          <w:sz w:val="22"/>
          <w:szCs w:val="22"/>
        </w:rPr>
        <w:t xml:space="preserve">toga postoji mala </w:t>
      </w:r>
      <w:r w:rsidR="00B07716" w:rsidRPr="00661C10">
        <w:rPr>
          <w:sz w:val="22"/>
          <w:szCs w:val="22"/>
        </w:rPr>
        <w:t>vjerovatnoća da</w:t>
      </w:r>
      <w:r w:rsidRPr="00661C10">
        <w:rPr>
          <w:sz w:val="22"/>
          <w:szCs w:val="22"/>
        </w:rPr>
        <w:t xml:space="preserve"> će d</w:t>
      </w:r>
      <w:r w:rsidR="00B07716" w:rsidRPr="00661C10">
        <w:rPr>
          <w:sz w:val="22"/>
          <w:szCs w:val="22"/>
        </w:rPr>
        <w:t>ij</w:t>
      </w:r>
      <w:r w:rsidRPr="00661C10">
        <w:rPr>
          <w:sz w:val="22"/>
          <w:szCs w:val="22"/>
        </w:rPr>
        <w:t xml:space="preserve">ete koje doji biti izloženo značajnim količinama </w:t>
      </w:r>
      <w:r w:rsidR="00126A4B" w:rsidRPr="00661C10">
        <w:rPr>
          <w:sz w:val="22"/>
          <w:szCs w:val="22"/>
        </w:rPr>
        <w:t>lijek</w:t>
      </w:r>
      <w:r w:rsidRPr="00661C10">
        <w:rPr>
          <w:sz w:val="22"/>
          <w:szCs w:val="22"/>
        </w:rPr>
        <w:t xml:space="preserve">a. Ukoliko se smatra da je davanje </w:t>
      </w:r>
      <w:r w:rsidR="00126A4B" w:rsidRPr="00661C10">
        <w:rPr>
          <w:sz w:val="22"/>
          <w:szCs w:val="22"/>
        </w:rPr>
        <w:t>lijek</w:t>
      </w:r>
      <w:r w:rsidRPr="00661C10">
        <w:rPr>
          <w:sz w:val="22"/>
          <w:szCs w:val="22"/>
        </w:rPr>
        <w:t xml:space="preserve">a Imipenem/Cilastatin </w:t>
      </w:r>
      <w:r w:rsidR="00126A4B" w:rsidRPr="00661C10">
        <w:rPr>
          <w:sz w:val="22"/>
          <w:szCs w:val="22"/>
        </w:rPr>
        <w:t>AptaPharma</w:t>
      </w:r>
      <w:r w:rsidRPr="00661C10">
        <w:rPr>
          <w:sz w:val="22"/>
          <w:szCs w:val="22"/>
        </w:rPr>
        <w:t xml:space="preserve"> neophodno, potrebno je da</w:t>
      </w:r>
      <w:r w:rsidR="00B07716" w:rsidRPr="00661C10">
        <w:rPr>
          <w:sz w:val="22"/>
          <w:szCs w:val="22"/>
        </w:rPr>
        <w:t xml:space="preserve"> </w:t>
      </w:r>
      <w:r w:rsidRPr="00661C10">
        <w:rPr>
          <w:sz w:val="22"/>
          <w:szCs w:val="22"/>
        </w:rPr>
        <w:t>se proc</w:t>
      </w:r>
      <w:r w:rsidR="00B07716" w:rsidRPr="00661C10">
        <w:rPr>
          <w:sz w:val="22"/>
          <w:szCs w:val="22"/>
        </w:rPr>
        <w:t>ij</w:t>
      </w:r>
      <w:r w:rsidRPr="00661C10">
        <w:rPr>
          <w:sz w:val="22"/>
          <w:szCs w:val="22"/>
        </w:rPr>
        <w:t>eni korist od dojenja za d</w:t>
      </w:r>
      <w:r w:rsidR="00B07716" w:rsidRPr="00661C10">
        <w:rPr>
          <w:sz w:val="22"/>
          <w:szCs w:val="22"/>
        </w:rPr>
        <w:t>ij</w:t>
      </w:r>
      <w:r w:rsidRPr="00661C10">
        <w:rPr>
          <w:sz w:val="22"/>
          <w:szCs w:val="22"/>
        </w:rPr>
        <w:t>ete u odnosu na mogući rizik po d</w:t>
      </w:r>
      <w:r w:rsidR="00B07716" w:rsidRPr="00661C10">
        <w:rPr>
          <w:sz w:val="22"/>
          <w:szCs w:val="22"/>
        </w:rPr>
        <w:t>ij</w:t>
      </w:r>
      <w:r w:rsidRPr="00661C10">
        <w:rPr>
          <w:sz w:val="22"/>
          <w:szCs w:val="22"/>
        </w:rPr>
        <w:t>ete.</w:t>
      </w:r>
    </w:p>
    <w:p w14:paraId="0CD4D231" w14:textId="77777777" w:rsidR="00227BDB" w:rsidRPr="00661C10" w:rsidRDefault="00227BDB" w:rsidP="00E1507B">
      <w:pPr>
        <w:tabs>
          <w:tab w:val="left" w:pos="540"/>
          <w:tab w:val="left" w:pos="569"/>
        </w:tabs>
        <w:spacing w:line="276" w:lineRule="auto"/>
        <w:ind w:left="540" w:hanging="540"/>
        <w:jc w:val="both"/>
        <w:rPr>
          <w:sz w:val="22"/>
          <w:szCs w:val="22"/>
          <w:u w:val="single"/>
        </w:rPr>
      </w:pPr>
    </w:p>
    <w:p w14:paraId="4E226400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ind w:left="540" w:hanging="540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4.7.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 xml:space="preserve">Uticaj na </w:t>
      </w:r>
      <w:r w:rsidR="002031B3" w:rsidRPr="00661C10">
        <w:rPr>
          <w:b/>
          <w:bCs/>
          <w:sz w:val="22"/>
          <w:szCs w:val="22"/>
        </w:rPr>
        <w:t xml:space="preserve">sposobnost </w:t>
      </w:r>
      <w:r w:rsidR="00F34554" w:rsidRPr="00661C10">
        <w:rPr>
          <w:b/>
          <w:bCs/>
          <w:sz w:val="22"/>
          <w:szCs w:val="22"/>
        </w:rPr>
        <w:t>upravljanja vozili</w:t>
      </w:r>
      <w:r w:rsidRPr="00661C10">
        <w:rPr>
          <w:b/>
          <w:bCs/>
          <w:sz w:val="22"/>
          <w:szCs w:val="22"/>
        </w:rPr>
        <w:t>m</w:t>
      </w:r>
      <w:r w:rsidR="00F34554" w:rsidRPr="00661C10">
        <w:rPr>
          <w:b/>
          <w:bCs/>
          <w:sz w:val="22"/>
          <w:szCs w:val="22"/>
        </w:rPr>
        <w:t>a</w:t>
      </w:r>
      <w:r w:rsidRPr="00661C10">
        <w:rPr>
          <w:b/>
          <w:bCs/>
          <w:sz w:val="22"/>
          <w:szCs w:val="22"/>
        </w:rPr>
        <w:t xml:space="preserve"> i </w:t>
      </w:r>
      <w:r w:rsidR="000D3449" w:rsidRPr="00661C10">
        <w:rPr>
          <w:b/>
          <w:bCs/>
          <w:sz w:val="22"/>
          <w:szCs w:val="22"/>
        </w:rPr>
        <w:t xml:space="preserve">rukovanje </w:t>
      </w:r>
      <w:r w:rsidRPr="00661C10">
        <w:rPr>
          <w:b/>
          <w:bCs/>
          <w:sz w:val="22"/>
          <w:szCs w:val="22"/>
        </w:rPr>
        <w:t>mašinama</w:t>
      </w:r>
    </w:p>
    <w:p w14:paraId="18632886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2F164BF6" w14:textId="145EFF33" w:rsidR="00B07716" w:rsidRPr="00661C10" w:rsidRDefault="00B07716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Ni</w:t>
      </w:r>
      <w:r w:rsidR="004A1428" w:rsidRPr="00661C10">
        <w:rPr>
          <w:sz w:val="22"/>
          <w:szCs w:val="22"/>
        </w:rPr>
        <w:t>je</w:t>
      </w:r>
      <w:r w:rsidRPr="00661C10">
        <w:rPr>
          <w:sz w:val="22"/>
          <w:szCs w:val="22"/>
        </w:rPr>
        <w:t xml:space="preserve">su sprovedena ispitivanja uticaja na sposobnost upravljanja vozilima i rukovanje mašinama. Međutim, </w:t>
      </w:r>
    </w:p>
    <w:p w14:paraId="056CE773" w14:textId="574467A1" w:rsidR="00B07716" w:rsidRPr="00661C10" w:rsidRDefault="00B07716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neka neželjena dejstva ovog lijeka (kao što su: halucinacije, vrtoglavica, pospanost i vertigo) povezane sa primjenom ovog lijeka mogu uticati na sposobnost upravljanja vozilima ili rukovanje mašinama (vidjeti dio 4.8).</w:t>
      </w:r>
      <w:r w:rsidRPr="00661C10">
        <w:rPr>
          <w:sz w:val="22"/>
          <w:szCs w:val="22"/>
        </w:rPr>
        <w:cr/>
      </w:r>
    </w:p>
    <w:p w14:paraId="3DF7DA67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4.8.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Neželjena dejstva</w:t>
      </w:r>
    </w:p>
    <w:p w14:paraId="68828106" w14:textId="77777777" w:rsidR="008059F4" w:rsidRPr="00661C10" w:rsidRDefault="008059F4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719CBAB0" w14:textId="76487E6D" w:rsidR="008059F4" w:rsidRPr="00661C10" w:rsidRDefault="008059F4" w:rsidP="004A1428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U kliničkim ispitivanjima u kojima su učestvovala 1723 pacijenta koji su intravenski primali imipenem/cilastatin, najčešće zab</w:t>
      </w:r>
      <w:r w:rsidR="00B07716" w:rsidRPr="00661C10">
        <w:rPr>
          <w:sz w:val="22"/>
          <w:szCs w:val="22"/>
        </w:rPr>
        <w:t>i</w:t>
      </w:r>
      <w:r w:rsidRPr="00661C10">
        <w:rPr>
          <w:sz w:val="22"/>
          <w:szCs w:val="22"/>
        </w:rPr>
        <w:t>l</w:t>
      </w:r>
      <w:r w:rsidR="00B07716" w:rsidRPr="00661C10">
        <w:rPr>
          <w:sz w:val="22"/>
          <w:szCs w:val="22"/>
        </w:rPr>
        <w:t>j</w:t>
      </w:r>
      <w:r w:rsidRPr="00661C10">
        <w:rPr>
          <w:sz w:val="22"/>
          <w:szCs w:val="22"/>
        </w:rPr>
        <w:t>ežene sistemske neželjene reakcije, prijavljene kao moguće povezane sa terapijom, bile su: mučnina (2,0%), dijareja (1,8%), povraćanje (1,5%), osip (0,9%), povišena t</w:t>
      </w:r>
      <w:r w:rsidR="00B07716" w:rsidRPr="00661C10">
        <w:rPr>
          <w:sz w:val="22"/>
          <w:szCs w:val="22"/>
        </w:rPr>
        <w:t>j</w:t>
      </w:r>
      <w:r w:rsidRPr="00661C10">
        <w:rPr>
          <w:sz w:val="22"/>
          <w:szCs w:val="22"/>
        </w:rPr>
        <w:t>elesna temperatura (0,5%), hipotenzija (0,4%), epileptični napadi (0,4%) (</w:t>
      </w:r>
      <w:r w:rsidR="0001527F" w:rsidRPr="00661C10">
        <w:rPr>
          <w:sz w:val="22"/>
          <w:szCs w:val="22"/>
        </w:rPr>
        <w:t xml:space="preserve">vidjeti </w:t>
      </w:r>
      <w:r w:rsidRPr="00661C10">
        <w:rPr>
          <w:sz w:val="22"/>
          <w:szCs w:val="22"/>
        </w:rPr>
        <w:t xml:space="preserve"> </w:t>
      </w:r>
      <w:r w:rsidR="00126A4B" w:rsidRPr="00661C10">
        <w:rPr>
          <w:sz w:val="22"/>
          <w:szCs w:val="22"/>
        </w:rPr>
        <w:t>dio</w:t>
      </w:r>
      <w:r w:rsidRPr="00661C10">
        <w:rPr>
          <w:sz w:val="22"/>
          <w:szCs w:val="22"/>
        </w:rPr>
        <w:t xml:space="preserve"> 4.4), vrtoglavica (0,3%), pruritus (0,3%), urtikarija (0,2%) i pospanost (0,2%). Slično, najčešće </w:t>
      </w:r>
      <w:r w:rsidR="00B07716" w:rsidRPr="00661C10">
        <w:rPr>
          <w:sz w:val="22"/>
          <w:szCs w:val="22"/>
        </w:rPr>
        <w:t>zabilježene</w:t>
      </w:r>
      <w:r w:rsidRPr="00661C10">
        <w:rPr>
          <w:sz w:val="22"/>
          <w:szCs w:val="22"/>
        </w:rPr>
        <w:t xml:space="preserve"> lokalne neželjene reakcije bile su: flebitis/tromboflebitis (3,1%), bol na m</w:t>
      </w:r>
      <w:r w:rsidR="00B07716" w:rsidRPr="00661C10">
        <w:rPr>
          <w:sz w:val="22"/>
          <w:szCs w:val="22"/>
        </w:rPr>
        <w:t>j</w:t>
      </w:r>
      <w:r w:rsidRPr="00661C10">
        <w:rPr>
          <w:sz w:val="22"/>
          <w:szCs w:val="22"/>
        </w:rPr>
        <w:t xml:space="preserve">estu </w:t>
      </w:r>
      <w:r w:rsidR="00126A4B" w:rsidRPr="00661C10">
        <w:rPr>
          <w:sz w:val="22"/>
          <w:szCs w:val="22"/>
        </w:rPr>
        <w:t>primjen</w:t>
      </w:r>
      <w:r w:rsidRPr="00661C10">
        <w:rPr>
          <w:sz w:val="22"/>
          <w:szCs w:val="22"/>
        </w:rPr>
        <w:t>e injekcije (0,7%), eritem na m</w:t>
      </w:r>
      <w:r w:rsidR="00B07716" w:rsidRPr="00661C10">
        <w:rPr>
          <w:sz w:val="22"/>
          <w:szCs w:val="22"/>
        </w:rPr>
        <w:t>j</w:t>
      </w:r>
      <w:r w:rsidRPr="00661C10">
        <w:rPr>
          <w:sz w:val="22"/>
          <w:szCs w:val="22"/>
        </w:rPr>
        <w:t xml:space="preserve">estu </w:t>
      </w:r>
      <w:r w:rsidR="00126A4B" w:rsidRPr="00661C10">
        <w:rPr>
          <w:sz w:val="22"/>
          <w:szCs w:val="22"/>
        </w:rPr>
        <w:t>primjen</w:t>
      </w:r>
      <w:r w:rsidRPr="00661C10">
        <w:rPr>
          <w:sz w:val="22"/>
          <w:szCs w:val="22"/>
        </w:rPr>
        <w:t>e injekcije (0,4%) i induracija vene (0,2%). Takođe su često zab</w:t>
      </w:r>
      <w:r w:rsidR="00B07716" w:rsidRPr="00661C10">
        <w:rPr>
          <w:sz w:val="22"/>
          <w:szCs w:val="22"/>
        </w:rPr>
        <w:t>i</w:t>
      </w:r>
      <w:r w:rsidRPr="00661C10">
        <w:rPr>
          <w:sz w:val="22"/>
          <w:szCs w:val="22"/>
        </w:rPr>
        <w:t>l</w:t>
      </w:r>
      <w:r w:rsidR="00B07716" w:rsidRPr="00661C10">
        <w:rPr>
          <w:sz w:val="22"/>
          <w:szCs w:val="22"/>
        </w:rPr>
        <w:t>j</w:t>
      </w:r>
      <w:r w:rsidRPr="00661C10">
        <w:rPr>
          <w:sz w:val="22"/>
          <w:szCs w:val="22"/>
        </w:rPr>
        <w:t xml:space="preserve">ežena povećanja </w:t>
      </w:r>
      <w:r w:rsidR="00126A4B" w:rsidRPr="00661C10">
        <w:rPr>
          <w:sz w:val="22"/>
          <w:szCs w:val="22"/>
        </w:rPr>
        <w:t>vrijednost</w:t>
      </w:r>
      <w:r w:rsidRPr="00661C10">
        <w:rPr>
          <w:sz w:val="22"/>
          <w:szCs w:val="22"/>
        </w:rPr>
        <w:t>i serumskih transaminaza i alkalne fosfataze.</w:t>
      </w:r>
    </w:p>
    <w:p w14:paraId="24B2E747" w14:textId="68E7559F" w:rsidR="008059F4" w:rsidRPr="00661C10" w:rsidRDefault="008059F4" w:rsidP="00DA0786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</w:rPr>
        <w:t>Sl</w:t>
      </w:r>
      <w:r w:rsidR="00DA0786" w:rsidRPr="00661C10">
        <w:rPr>
          <w:sz w:val="22"/>
          <w:szCs w:val="22"/>
        </w:rPr>
        <w:t>j</w:t>
      </w:r>
      <w:r w:rsidRPr="00661C10">
        <w:rPr>
          <w:sz w:val="22"/>
          <w:szCs w:val="22"/>
        </w:rPr>
        <w:t xml:space="preserve">edeće neželjene reakcije </w:t>
      </w:r>
      <w:r w:rsidR="00B07716" w:rsidRPr="00661C10">
        <w:rPr>
          <w:sz w:val="22"/>
          <w:szCs w:val="22"/>
        </w:rPr>
        <w:t>zabilježene su</w:t>
      </w:r>
      <w:r w:rsidRPr="00661C10">
        <w:rPr>
          <w:sz w:val="22"/>
          <w:szCs w:val="22"/>
        </w:rPr>
        <w:t xml:space="preserve"> u kliničkim ispitivanjima ili u postmarketinškom praćenju nakon stavljanja </w:t>
      </w:r>
      <w:r w:rsidR="00126A4B" w:rsidRPr="00661C10">
        <w:rPr>
          <w:sz w:val="22"/>
          <w:szCs w:val="22"/>
        </w:rPr>
        <w:t>lijek</w:t>
      </w:r>
      <w:r w:rsidRPr="00661C10">
        <w:rPr>
          <w:sz w:val="22"/>
          <w:szCs w:val="22"/>
        </w:rPr>
        <w:t>a u promet</w:t>
      </w:r>
      <w:r w:rsidR="00B07716" w:rsidRPr="00661C10">
        <w:rPr>
          <w:sz w:val="22"/>
          <w:szCs w:val="22"/>
        </w:rPr>
        <w:t>.</w:t>
      </w:r>
    </w:p>
    <w:p w14:paraId="7E5F53A6" w14:textId="77777777" w:rsidR="00FE3ABD" w:rsidRPr="00ED2C45" w:rsidRDefault="00FE3ABD" w:rsidP="00065BF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sz w:val="22"/>
          <w:szCs w:val="22"/>
          <w:u w:val="single"/>
        </w:rPr>
        <w:t>Sve neželjene reakcije su navedene prema klasi sistema organa i učestalosti:</w:t>
      </w:r>
      <w:r w:rsidRPr="00E1507B">
        <w:rPr>
          <w:sz w:val="22"/>
          <w:szCs w:val="22"/>
        </w:rPr>
        <w:t xml:space="preserve"> veoma česte (</w:t>
      </w:r>
      <w:r w:rsidRPr="00E1507B">
        <w:rPr>
          <w:sz w:val="22"/>
          <w:szCs w:val="22"/>
        </w:rPr>
        <w:sym w:font="Symbol" w:char="F0B3"/>
      </w:r>
      <w:r w:rsidRPr="00E1507B">
        <w:rPr>
          <w:sz w:val="22"/>
          <w:szCs w:val="22"/>
        </w:rPr>
        <w:t xml:space="preserve"> 1/10), č</w:t>
      </w:r>
      <w:r w:rsidRPr="00ED2C45">
        <w:rPr>
          <w:sz w:val="22"/>
          <w:szCs w:val="22"/>
        </w:rPr>
        <w:t>este (≥1/100 do &lt; 1/100), rijetke (≥ 1/10000 do &lt; 1/1000), veoma rijetke (&lt;1/10000) i nepoznate (učestalost se ne može procijeniti na osnovu dostupnih podataka).</w:t>
      </w:r>
    </w:p>
    <w:p w14:paraId="2A1904BC" w14:textId="77777777" w:rsidR="00FE3ABD" w:rsidRPr="00ED2C45" w:rsidRDefault="00FE3ABD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ED2C45">
        <w:rPr>
          <w:sz w:val="22"/>
          <w:szCs w:val="22"/>
        </w:rPr>
        <w:t>U okviru svake grupe učestalosti, neželjene reakcije su navedene prema opadajućem stepenu ozbiljnosti.</w:t>
      </w:r>
    </w:p>
    <w:p w14:paraId="79DCAA09" w14:textId="77777777" w:rsidR="00A40327" w:rsidRPr="00661C10" w:rsidRDefault="00A40327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tbl>
      <w:tblPr>
        <w:tblStyle w:val="TableGrid3"/>
        <w:tblW w:w="0" w:type="auto"/>
        <w:tblInd w:w="-5" w:type="dxa"/>
        <w:tblLook w:val="04A0" w:firstRow="1" w:lastRow="0" w:firstColumn="1" w:lastColumn="0" w:noHBand="0" w:noVBand="1"/>
      </w:tblPr>
      <w:tblGrid>
        <w:gridCol w:w="2779"/>
        <w:gridCol w:w="1361"/>
        <w:gridCol w:w="4928"/>
      </w:tblGrid>
      <w:tr w:rsidR="00FE3ABD" w:rsidRPr="00661C10" w14:paraId="6AE1638E" w14:textId="77777777" w:rsidTr="00A40327">
        <w:trPr>
          <w:trHeight w:val="20"/>
          <w:tblHeader/>
        </w:trPr>
        <w:tc>
          <w:tcPr>
            <w:tcW w:w="2779" w:type="dxa"/>
          </w:tcPr>
          <w:p w14:paraId="11DCDDBC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Klasa sistema organa</w:t>
            </w:r>
          </w:p>
        </w:tc>
        <w:tc>
          <w:tcPr>
            <w:tcW w:w="1361" w:type="dxa"/>
          </w:tcPr>
          <w:p w14:paraId="61332D6B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Ućestalost</w:t>
            </w:r>
          </w:p>
        </w:tc>
        <w:tc>
          <w:tcPr>
            <w:tcW w:w="4928" w:type="dxa"/>
          </w:tcPr>
          <w:p w14:paraId="03623D96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Neželjeno dejstvo</w:t>
            </w:r>
          </w:p>
        </w:tc>
      </w:tr>
      <w:tr w:rsidR="00FE3ABD" w:rsidRPr="00661C10" w14:paraId="5D6440F0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63B52409" w14:textId="06C5F610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 xml:space="preserve">Infekcije </w:t>
            </w:r>
            <w:r w:rsidR="00DA0786" w:rsidRPr="00ED2C45">
              <w:rPr>
                <w:rFonts w:ascii="Times New Roman" w:hAnsi="Times New Roman"/>
                <w:b/>
                <w:sz w:val="22"/>
                <w:szCs w:val="22"/>
              </w:rPr>
              <w:t xml:space="preserve">i </w:t>
            </w:r>
            <w:r w:rsidRPr="00661C10">
              <w:rPr>
                <w:b/>
                <w:sz w:val="22"/>
                <w:szCs w:val="22"/>
              </w:rPr>
              <w:t>infestacije</w:t>
            </w:r>
          </w:p>
        </w:tc>
        <w:tc>
          <w:tcPr>
            <w:tcW w:w="1361" w:type="dxa"/>
          </w:tcPr>
          <w:p w14:paraId="37346B60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7108103F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pseudomembranozni kolitis, kandidijaza</w:t>
            </w:r>
          </w:p>
        </w:tc>
      </w:tr>
      <w:tr w:rsidR="00FE3ABD" w:rsidRPr="00661C10" w14:paraId="01C854F2" w14:textId="77777777" w:rsidTr="00A40327">
        <w:trPr>
          <w:trHeight w:val="20"/>
        </w:trPr>
        <w:tc>
          <w:tcPr>
            <w:tcW w:w="2779" w:type="dxa"/>
            <w:vMerge/>
          </w:tcPr>
          <w:p w14:paraId="6A1C215C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5438AF05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1D9F4289" w14:textId="1B627479" w:rsidR="00FE3ABD" w:rsidRPr="00661C10" w:rsidRDefault="008A6C83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gastroenteritis</w:t>
            </w:r>
          </w:p>
        </w:tc>
      </w:tr>
      <w:tr w:rsidR="00FE3ABD" w:rsidRPr="00661C10" w14:paraId="48CD5562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7D6F6CDA" w14:textId="77777777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Poremećaji krvi i limfnog sistema</w:t>
            </w:r>
          </w:p>
        </w:tc>
        <w:tc>
          <w:tcPr>
            <w:tcW w:w="1361" w:type="dxa"/>
          </w:tcPr>
          <w:p w14:paraId="36AFD618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928" w:type="dxa"/>
          </w:tcPr>
          <w:p w14:paraId="12B51AAF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eozinofilija</w:t>
            </w:r>
          </w:p>
        </w:tc>
      </w:tr>
      <w:tr w:rsidR="00FE3ABD" w:rsidRPr="00661C10" w14:paraId="5D6DCC68" w14:textId="77777777" w:rsidTr="00A40327">
        <w:trPr>
          <w:trHeight w:val="20"/>
        </w:trPr>
        <w:tc>
          <w:tcPr>
            <w:tcW w:w="2779" w:type="dxa"/>
            <w:vMerge/>
          </w:tcPr>
          <w:p w14:paraId="08517815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38786B30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  <w:p w14:paraId="7EB4D4B2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8" w:type="dxa"/>
          </w:tcPr>
          <w:p w14:paraId="7A509CB5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 xml:space="preserve">pancitopenija, neutropenija, leukopenija, </w:t>
            </w:r>
          </w:p>
          <w:p w14:paraId="0198C943" w14:textId="77777777" w:rsidR="00FE3ABD" w:rsidRPr="00661C10" w:rsidRDefault="00FE3ABD" w:rsidP="00065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trombocitopenija, trombocitoza</w:t>
            </w:r>
          </w:p>
        </w:tc>
      </w:tr>
      <w:tr w:rsidR="00FE3ABD" w:rsidRPr="00661C10" w14:paraId="23736AD5" w14:textId="77777777" w:rsidTr="00A40327">
        <w:trPr>
          <w:trHeight w:val="20"/>
        </w:trPr>
        <w:tc>
          <w:tcPr>
            <w:tcW w:w="2779" w:type="dxa"/>
            <w:vMerge/>
          </w:tcPr>
          <w:p w14:paraId="58478D0B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4BFACD71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6FA837D9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agranulocitoza</w:t>
            </w:r>
          </w:p>
        </w:tc>
      </w:tr>
      <w:tr w:rsidR="00FE3ABD" w:rsidRPr="00661C10" w14:paraId="13F55F9F" w14:textId="77777777" w:rsidTr="00A40327">
        <w:trPr>
          <w:trHeight w:val="20"/>
        </w:trPr>
        <w:tc>
          <w:tcPr>
            <w:tcW w:w="2779" w:type="dxa"/>
            <w:vMerge/>
          </w:tcPr>
          <w:p w14:paraId="1DD62F8B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3CEAA9E2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11841A65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hemolitička anemija, depresija koštane srži</w:t>
            </w:r>
          </w:p>
        </w:tc>
      </w:tr>
      <w:tr w:rsidR="00FE3ABD" w:rsidRPr="00661C10" w14:paraId="5924D94C" w14:textId="77777777" w:rsidTr="00A40327">
        <w:trPr>
          <w:trHeight w:val="20"/>
        </w:trPr>
        <w:tc>
          <w:tcPr>
            <w:tcW w:w="2779" w:type="dxa"/>
          </w:tcPr>
          <w:p w14:paraId="476222D0" w14:textId="77777777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Poremećaji imunskog sistema</w:t>
            </w:r>
          </w:p>
        </w:tc>
        <w:tc>
          <w:tcPr>
            <w:tcW w:w="1361" w:type="dxa"/>
          </w:tcPr>
          <w:p w14:paraId="1ADE6D6A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62184BE7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anafilaktičke reakcije</w:t>
            </w:r>
          </w:p>
        </w:tc>
      </w:tr>
      <w:tr w:rsidR="00FE3ABD" w:rsidRPr="00661C10" w14:paraId="05BF25EF" w14:textId="77777777" w:rsidTr="00A40327">
        <w:trPr>
          <w:trHeight w:val="20"/>
        </w:trPr>
        <w:tc>
          <w:tcPr>
            <w:tcW w:w="2779" w:type="dxa"/>
          </w:tcPr>
          <w:p w14:paraId="75B12687" w14:textId="77777777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Psihijatrijski poremećaji</w:t>
            </w:r>
          </w:p>
        </w:tc>
        <w:tc>
          <w:tcPr>
            <w:tcW w:w="1361" w:type="dxa"/>
          </w:tcPr>
          <w:p w14:paraId="281FF4CB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</w:tc>
        <w:tc>
          <w:tcPr>
            <w:tcW w:w="4928" w:type="dxa"/>
          </w:tcPr>
          <w:p w14:paraId="6CFECB03" w14:textId="153ED67E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psihički poremećaji uključujući halucinacije i stanja konfuzije</w:t>
            </w:r>
          </w:p>
        </w:tc>
      </w:tr>
      <w:tr w:rsidR="00FE3ABD" w:rsidRPr="00661C10" w14:paraId="76765B72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111EEE69" w14:textId="77777777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Poremećaji nervnog sistema</w:t>
            </w:r>
          </w:p>
        </w:tc>
        <w:tc>
          <w:tcPr>
            <w:tcW w:w="1361" w:type="dxa"/>
          </w:tcPr>
          <w:p w14:paraId="6AACE88A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</w:tc>
        <w:tc>
          <w:tcPr>
            <w:tcW w:w="4928" w:type="dxa"/>
          </w:tcPr>
          <w:p w14:paraId="0661F165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epileptični napadi, mioklonična aktivnost, vrtoglavica, pospanost</w:t>
            </w:r>
          </w:p>
        </w:tc>
      </w:tr>
      <w:tr w:rsidR="00FE3ABD" w:rsidRPr="00661C10" w14:paraId="3F5154B0" w14:textId="77777777" w:rsidTr="00A40327">
        <w:trPr>
          <w:trHeight w:val="20"/>
        </w:trPr>
        <w:tc>
          <w:tcPr>
            <w:tcW w:w="2779" w:type="dxa"/>
            <w:vMerge/>
          </w:tcPr>
          <w:p w14:paraId="359F279D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35BF8DF9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10B65E6E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encefalopatija, parestezija, fokalni tremor, izmijenjen osjećaj ukusa</w:t>
            </w:r>
          </w:p>
        </w:tc>
      </w:tr>
      <w:tr w:rsidR="00FE3ABD" w:rsidRPr="00661C10" w14:paraId="2ED2B572" w14:textId="77777777" w:rsidTr="00A40327">
        <w:trPr>
          <w:trHeight w:val="53"/>
        </w:trPr>
        <w:tc>
          <w:tcPr>
            <w:tcW w:w="2779" w:type="dxa"/>
            <w:vMerge/>
          </w:tcPr>
          <w:p w14:paraId="2E2ABCA7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38942EE8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27D844C3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pogoršanje mijastenije gravis, glavobolja</w:t>
            </w:r>
          </w:p>
        </w:tc>
      </w:tr>
      <w:tr w:rsidR="00FE3ABD" w:rsidRPr="00661C10" w14:paraId="309705E3" w14:textId="77777777" w:rsidTr="00A40327">
        <w:trPr>
          <w:trHeight w:val="141"/>
        </w:trPr>
        <w:tc>
          <w:tcPr>
            <w:tcW w:w="2779" w:type="dxa"/>
            <w:vMerge/>
          </w:tcPr>
          <w:p w14:paraId="6487B0A0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448FDEA3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Nepoznato</w:t>
            </w:r>
          </w:p>
        </w:tc>
        <w:tc>
          <w:tcPr>
            <w:tcW w:w="4928" w:type="dxa"/>
          </w:tcPr>
          <w:p w14:paraId="5E5CFE5C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agitacija, diskinezija</w:t>
            </w:r>
          </w:p>
        </w:tc>
      </w:tr>
      <w:tr w:rsidR="00FE3ABD" w:rsidRPr="00661C10" w14:paraId="7944125A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2CC98F9C" w14:textId="77777777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Poremećaji uha i labirinta</w:t>
            </w:r>
          </w:p>
        </w:tc>
        <w:tc>
          <w:tcPr>
            <w:tcW w:w="1361" w:type="dxa"/>
          </w:tcPr>
          <w:p w14:paraId="4B972BB6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0174CF5F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gubitak sluha</w:t>
            </w:r>
          </w:p>
        </w:tc>
      </w:tr>
      <w:tr w:rsidR="00FE3ABD" w:rsidRPr="00661C10" w14:paraId="3809997F" w14:textId="77777777" w:rsidTr="00A40327">
        <w:trPr>
          <w:trHeight w:val="20"/>
        </w:trPr>
        <w:tc>
          <w:tcPr>
            <w:tcW w:w="2779" w:type="dxa"/>
            <w:vMerge/>
          </w:tcPr>
          <w:p w14:paraId="4380F24B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44DC0655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47EBB19C" w14:textId="77777777" w:rsidR="00FE3ABD" w:rsidRPr="00661C10" w:rsidRDefault="00FE3AB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vertigo, tinitus</w:t>
            </w:r>
          </w:p>
        </w:tc>
      </w:tr>
      <w:tr w:rsidR="00FE3ABD" w:rsidRPr="00661C10" w14:paraId="664B8E34" w14:textId="77777777" w:rsidTr="00A40327">
        <w:trPr>
          <w:trHeight w:val="20"/>
        </w:trPr>
        <w:tc>
          <w:tcPr>
            <w:tcW w:w="2779" w:type="dxa"/>
          </w:tcPr>
          <w:p w14:paraId="63525F39" w14:textId="77777777" w:rsidR="00FE3ABD" w:rsidRPr="00ED2C45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 xml:space="preserve">Kardiološki poremećaji </w:t>
            </w:r>
          </w:p>
        </w:tc>
        <w:tc>
          <w:tcPr>
            <w:tcW w:w="1361" w:type="dxa"/>
          </w:tcPr>
          <w:p w14:paraId="6A1BEF7C" w14:textId="77777777" w:rsidR="00FE3ABD" w:rsidRPr="00661C10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4CBF69D2" w14:textId="77777777" w:rsidR="00FE3ABD" w:rsidRPr="00661C10" w:rsidRDefault="001A4A9A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cijanoza, tahikardija, palpitacije</w:t>
            </w:r>
          </w:p>
        </w:tc>
      </w:tr>
      <w:tr w:rsidR="001A4A9A" w:rsidRPr="00661C10" w14:paraId="0704D52A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7B9B56D3" w14:textId="77777777" w:rsidR="001A4A9A" w:rsidRPr="00ED2C45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Vaskularni poremećaji</w:t>
            </w:r>
            <w:r w:rsidRPr="00ED2C4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</w:tcPr>
          <w:p w14:paraId="115ED91D" w14:textId="77777777" w:rsidR="001A4A9A" w:rsidRPr="00661C10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Često</w:t>
            </w:r>
          </w:p>
        </w:tc>
        <w:tc>
          <w:tcPr>
            <w:tcW w:w="4928" w:type="dxa"/>
          </w:tcPr>
          <w:p w14:paraId="7EBBD5C5" w14:textId="77777777" w:rsidR="001A4A9A" w:rsidRPr="00661C10" w:rsidRDefault="001A4A9A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tromboflebitis</w:t>
            </w:r>
          </w:p>
        </w:tc>
      </w:tr>
      <w:tr w:rsidR="001A4A9A" w:rsidRPr="00661C10" w14:paraId="71A844D0" w14:textId="77777777" w:rsidTr="00A40327">
        <w:trPr>
          <w:trHeight w:val="20"/>
        </w:trPr>
        <w:tc>
          <w:tcPr>
            <w:tcW w:w="2779" w:type="dxa"/>
            <w:vMerge/>
          </w:tcPr>
          <w:p w14:paraId="5F7263A1" w14:textId="77777777" w:rsidR="001A4A9A" w:rsidRPr="00661C10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4264FA3E" w14:textId="77777777" w:rsidR="001A4A9A" w:rsidRPr="00661C10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</w:tc>
        <w:tc>
          <w:tcPr>
            <w:tcW w:w="4928" w:type="dxa"/>
          </w:tcPr>
          <w:p w14:paraId="36E105CC" w14:textId="77777777" w:rsidR="001A4A9A" w:rsidRPr="00661C10" w:rsidRDefault="001A4A9A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hipotenzija</w:t>
            </w:r>
          </w:p>
        </w:tc>
      </w:tr>
      <w:tr w:rsidR="001A4A9A" w:rsidRPr="00661C10" w14:paraId="215295B9" w14:textId="77777777" w:rsidTr="00A40327">
        <w:trPr>
          <w:trHeight w:val="80"/>
        </w:trPr>
        <w:tc>
          <w:tcPr>
            <w:tcW w:w="2779" w:type="dxa"/>
            <w:vMerge/>
          </w:tcPr>
          <w:p w14:paraId="5F64DA5E" w14:textId="77777777" w:rsidR="001A4A9A" w:rsidRPr="00661C10" w:rsidRDefault="001A4A9A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3B1A3D43" w14:textId="77777777" w:rsidR="001A4A9A" w:rsidRPr="00661C10" w:rsidRDefault="00867E1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</w:t>
            </w:r>
            <w:r w:rsidR="001A4A9A" w:rsidRPr="00661C10">
              <w:rPr>
                <w:sz w:val="22"/>
                <w:szCs w:val="22"/>
              </w:rPr>
              <w:t>ijetko</w:t>
            </w:r>
          </w:p>
        </w:tc>
        <w:tc>
          <w:tcPr>
            <w:tcW w:w="4928" w:type="dxa"/>
          </w:tcPr>
          <w:p w14:paraId="78AD0981" w14:textId="77777777" w:rsidR="001A4A9A" w:rsidRPr="00661C10" w:rsidRDefault="001A4A9A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naleti crvenila</w:t>
            </w:r>
          </w:p>
        </w:tc>
      </w:tr>
      <w:tr w:rsidR="00867E1D" w:rsidRPr="00661C10" w14:paraId="763C7260" w14:textId="77777777" w:rsidTr="00A40327">
        <w:trPr>
          <w:trHeight w:val="80"/>
        </w:trPr>
        <w:tc>
          <w:tcPr>
            <w:tcW w:w="2779" w:type="dxa"/>
          </w:tcPr>
          <w:p w14:paraId="7846976C" w14:textId="77777777" w:rsidR="00867E1D" w:rsidRPr="00661C10" w:rsidRDefault="00867E1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Respiratorni, torakalni i medijastinalni poremećaji</w:t>
            </w:r>
          </w:p>
        </w:tc>
        <w:tc>
          <w:tcPr>
            <w:tcW w:w="1361" w:type="dxa"/>
          </w:tcPr>
          <w:p w14:paraId="472BF36F" w14:textId="77777777" w:rsidR="00867E1D" w:rsidRPr="00661C10" w:rsidRDefault="00867E1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7C26C40F" w14:textId="77777777" w:rsidR="00867E1D" w:rsidRPr="00661C10" w:rsidRDefault="00867E1D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dispneja, hiperventilacija, bol u grlu</w:t>
            </w:r>
          </w:p>
        </w:tc>
      </w:tr>
      <w:tr w:rsidR="000E4C27" w:rsidRPr="00661C10" w14:paraId="6EC7A80F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07FCC1B1" w14:textId="77777777" w:rsidR="000E4C27" w:rsidRPr="00ED2C45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Gastrointestinalni poremećaji</w:t>
            </w:r>
          </w:p>
        </w:tc>
        <w:tc>
          <w:tcPr>
            <w:tcW w:w="1361" w:type="dxa"/>
          </w:tcPr>
          <w:p w14:paraId="069F5DAC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Često</w:t>
            </w:r>
          </w:p>
        </w:tc>
        <w:tc>
          <w:tcPr>
            <w:tcW w:w="4928" w:type="dxa"/>
          </w:tcPr>
          <w:p w14:paraId="2AD95612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 xml:space="preserve">dijareja, povraćanje, mučnina Izgleda da se mučnina i/ili povraćanje povezani sa uzimanjem ljekova češće javljaju kod pacijenata sa granulocitopenijom nego kod pacijenata koji nemaju granulocitopeniju, a koji se liječe lijekom Imipenem/Cilastatin </w:t>
            </w:r>
            <w:r w:rsidR="00126A4B" w:rsidRPr="00661C10">
              <w:rPr>
                <w:sz w:val="22"/>
                <w:szCs w:val="22"/>
              </w:rPr>
              <w:t>AptaPharma</w:t>
            </w:r>
            <w:r w:rsidRPr="00661C10">
              <w:rPr>
                <w:sz w:val="22"/>
                <w:szCs w:val="22"/>
              </w:rPr>
              <w:t>.</w:t>
            </w:r>
          </w:p>
        </w:tc>
      </w:tr>
      <w:tr w:rsidR="000E4C27" w:rsidRPr="00661C10" w14:paraId="2CBF1FC3" w14:textId="77777777" w:rsidTr="00A40327">
        <w:trPr>
          <w:trHeight w:val="20"/>
        </w:trPr>
        <w:tc>
          <w:tcPr>
            <w:tcW w:w="2779" w:type="dxa"/>
            <w:vMerge/>
          </w:tcPr>
          <w:p w14:paraId="7C873823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6A819E1C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099B7AB5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obojenost zuba i/ili jezika</w:t>
            </w:r>
          </w:p>
        </w:tc>
      </w:tr>
      <w:tr w:rsidR="000E4C27" w:rsidRPr="00661C10" w14:paraId="795F06ED" w14:textId="77777777" w:rsidTr="00A40327">
        <w:trPr>
          <w:trHeight w:val="20"/>
        </w:trPr>
        <w:tc>
          <w:tcPr>
            <w:tcW w:w="2779" w:type="dxa"/>
            <w:vMerge/>
          </w:tcPr>
          <w:p w14:paraId="3B32438C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1256252F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0DDD2EF4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hemoragijski kolitis, abdominalni bol, gorušica, glositis, hipertrofija papila jezika, pojačana salivacija</w:t>
            </w:r>
          </w:p>
        </w:tc>
      </w:tr>
      <w:tr w:rsidR="000E4C27" w:rsidRPr="00661C10" w14:paraId="6BF6D92D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4D99AC74" w14:textId="77777777" w:rsidR="000E4C27" w:rsidRPr="00ED2C45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Hepatobilijarni poremećaji</w:t>
            </w:r>
          </w:p>
        </w:tc>
        <w:tc>
          <w:tcPr>
            <w:tcW w:w="1361" w:type="dxa"/>
          </w:tcPr>
          <w:p w14:paraId="1B79CFCF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2B2600BB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insuficijencija jetre, hepatitis</w:t>
            </w:r>
          </w:p>
        </w:tc>
      </w:tr>
      <w:tr w:rsidR="000E4C27" w:rsidRPr="00661C10" w14:paraId="19EF5487" w14:textId="77777777" w:rsidTr="00A40327">
        <w:trPr>
          <w:trHeight w:val="20"/>
        </w:trPr>
        <w:tc>
          <w:tcPr>
            <w:tcW w:w="2779" w:type="dxa"/>
            <w:vMerge/>
          </w:tcPr>
          <w:p w14:paraId="77F68BFB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4865071B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66CE7870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fulminantni hepatitis</w:t>
            </w:r>
          </w:p>
        </w:tc>
      </w:tr>
      <w:tr w:rsidR="000E4C27" w:rsidRPr="00661C10" w14:paraId="402EF885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0D8A91D8" w14:textId="77777777" w:rsidR="000E4C27" w:rsidRPr="00ED2C45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 xml:space="preserve">Poremećaji kože i potkožnog </w:t>
            </w:r>
          </w:p>
          <w:p w14:paraId="1809B3EF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1C10">
              <w:rPr>
                <w:b/>
                <w:sz w:val="22"/>
                <w:szCs w:val="22"/>
              </w:rPr>
              <w:t>tkiva</w:t>
            </w:r>
          </w:p>
        </w:tc>
        <w:tc>
          <w:tcPr>
            <w:tcW w:w="1361" w:type="dxa"/>
          </w:tcPr>
          <w:p w14:paraId="47488E99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Često</w:t>
            </w:r>
          </w:p>
        </w:tc>
        <w:tc>
          <w:tcPr>
            <w:tcW w:w="4928" w:type="dxa"/>
          </w:tcPr>
          <w:p w14:paraId="459354F4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osip (npr. egzantematozni)</w:t>
            </w:r>
          </w:p>
        </w:tc>
      </w:tr>
      <w:tr w:rsidR="000E4C27" w:rsidRPr="00661C10" w14:paraId="75A939B5" w14:textId="77777777" w:rsidTr="00A40327">
        <w:trPr>
          <w:trHeight w:val="20"/>
        </w:trPr>
        <w:tc>
          <w:tcPr>
            <w:tcW w:w="2779" w:type="dxa"/>
            <w:vMerge/>
          </w:tcPr>
          <w:p w14:paraId="6500E506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6E5F07CB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</w:tc>
        <w:tc>
          <w:tcPr>
            <w:tcW w:w="4928" w:type="dxa"/>
          </w:tcPr>
          <w:p w14:paraId="4EBAF72C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urtikarija, pruritus</w:t>
            </w:r>
          </w:p>
        </w:tc>
      </w:tr>
      <w:tr w:rsidR="000E4C27" w:rsidRPr="00661C10" w14:paraId="2BE3668D" w14:textId="77777777" w:rsidTr="00A40327">
        <w:trPr>
          <w:trHeight w:val="53"/>
        </w:trPr>
        <w:tc>
          <w:tcPr>
            <w:tcW w:w="2779" w:type="dxa"/>
            <w:vMerge/>
          </w:tcPr>
          <w:p w14:paraId="7817D614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457CAAE3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5CFB3314" w14:textId="61818E7C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toksična epidermalna nekroliza, angioedem, Stivens Johnson-ov sindrom, erythema multiforme, eksfolijativni dermatitis</w:t>
            </w:r>
          </w:p>
        </w:tc>
      </w:tr>
      <w:tr w:rsidR="000E4C27" w:rsidRPr="00661C10" w14:paraId="4388FBA0" w14:textId="77777777" w:rsidTr="00A40327">
        <w:trPr>
          <w:trHeight w:val="20"/>
        </w:trPr>
        <w:tc>
          <w:tcPr>
            <w:tcW w:w="2779" w:type="dxa"/>
            <w:vMerge/>
          </w:tcPr>
          <w:p w14:paraId="4DE1F25C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701B83AB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6A972590" w14:textId="77777777" w:rsidR="000E4C27" w:rsidRPr="00661C10" w:rsidRDefault="000E4C27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hiperhidroza, promjene u teksturi kože</w:t>
            </w:r>
          </w:p>
        </w:tc>
      </w:tr>
      <w:tr w:rsidR="000E4C27" w:rsidRPr="00661C10" w14:paraId="6086EA72" w14:textId="77777777" w:rsidTr="00A40327">
        <w:trPr>
          <w:trHeight w:val="20"/>
        </w:trPr>
        <w:tc>
          <w:tcPr>
            <w:tcW w:w="2779" w:type="dxa"/>
          </w:tcPr>
          <w:p w14:paraId="7929FBB1" w14:textId="77777777" w:rsidR="000E4C27" w:rsidRPr="00ED2C45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 xml:space="preserve">Poremećaji mišićno koštanog </w:t>
            </w:r>
          </w:p>
          <w:p w14:paraId="5AA9BBF2" w14:textId="77777777" w:rsidR="000E4C27" w:rsidRPr="00661C10" w:rsidRDefault="000E4C27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1C10">
              <w:rPr>
                <w:b/>
                <w:sz w:val="22"/>
                <w:szCs w:val="22"/>
              </w:rPr>
              <w:t>sistema i vezivnog tkiva</w:t>
            </w:r>
          </w:p>
        </w:tc>
        <w:tc>
          <w:tcPr>
            <w:tcW w:w="1361" w:type="dxa"/>
          </w:tcPr>
          <w:p w14:paraId="3C9C1C7D" w14:textId="77777777" w:rsidR="000E4C27" w:rsidRPr="00661C10" w:rsidRDefault="00A51A76" w:rsidP="00E1507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4BFDBEA0" w14:textId="77777777" w:rsidR="000E4C27" w:rsidRPr="00661C10" w:rsidRDefault="000E4C27" w:rsidP="004A142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poliartralgija, bol u torakalnom d</w:t>
            </w:r>
            <w:r w:rsidR="00A51A76" w:rsidRPr="00661C10">
              <w:rPr>
                <w:sz w:val="22"/>
                <w:szCs w:val="22"/>
              </w:rPr>
              <w:t>ij</w:t>
            </w:r>
            <w:r w:rsidRPr="00661C10">
              <w:rPr>
                <w:sz w:val="22"/>
                <w:szCs w:val="22"/>
              </w:rPr>
              <w:t>elu kičme</w:t>
            </w:r>
          </w:p>
        </w:tc>
      </w:tr>
      <w:tr w:rsidR="00FE3ABD" w:rsidRPr="00661C10" w14:paraId="04206CB1" w14:textId="77777777" w:rsidTr="00A40327">
        <w:trPr>
          <w:trHeight w:val="20"/>
        </w:trPr>
        <w:tc>
          <w:tcPr>
            <w:tcW w:w="2779" w:type="dxa"/>
          </w:tcPr>
          <w:p w14:paraId="32DD0DF4" w14:textId="77777777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 xml:space="preserve">Poremećaji bubrega i urinarnog </w:t>
            </w:r>
          </w:p>
          <w:p w14:paraId="656D0AC0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1C10">
              <w:rPr>
                <w:b/>
                <w:sz w:val="22"/>
                <w:szCs w:val="22"/>
              </w:rPr>
              <w:t>sistema</w:t>
            </w:r>
          </w:p>
        </w:tc>
        <w:tc>
          <w:tcPr>
            <w:tcW w:w="1361" w:type="dxa"/>
          </w:tcPr>
          <w:p w14:paraId="23426209" w14:textId="77777777" w:rsidR="00FE3ABD" w:rsidRPr="00661C10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Rijetko</w:t>
            </w:r>
          </w:p>
        </w:tc>
        <w:tc>
          <w:tcPr>
            <w:tcW w:w="4928" w:type="dxa"/>
          </w:tcPr>
          <w:p w14:paraId="124F37E8" w14:textId="0D7F2380" w:rsidR="00FE3ABD" w:rsidRPr="00661C10" w:rsidRDefault="00A51A76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akutna bubrežna insuficijencija,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oligurija/anurija, poliurija, diskoloracija urina (to je bezazlena pojava i ne treba je miješati sa hematurijom).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 xml:space="preserve">Teško je procijeniti kakva je uloga lijeka Imipenem/Cilastatin </w:t>
            </w:r>
            <w:r w:rsidR="00126A4B" w:rsidRPr="00661C10">
              <w:rPr>
                <w:sz w:val="22"/>
                <w:szCs w:val="22"/>
              </w:rPr>
              <w:lastRenderedPageBreak/>
              <w:t>AptaPharma</w:t>
            </w:r>
            <w:r w:rsidRPr="00661C10">
              <w:rPr>
                <w:sz w:val="22"/>
                <w:szCs w:val="22"/>
              </w:rPr>
              <w:t xml:space="preserve"> u promjenama funkcije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bubrega zbog uobičajenog postojanja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predisponirajućih faktora za prerenalnu azotemiju ili za poremećaj funkcije bubrega.</w:t>
            </w:r>
          </w:p>
        </w:tc>
      </w:tr>
      <w:tr w:rsidR="00A51A76" w:rsidRPr="00661C10" w14:paraId="5D2D7F2F" w14:textId="77777777" w:rsidTr="00A40327">
        <w:trPr>
          <w:trHeight w:val="20"/>
        </w:trPr>
        <w:tc>
          <w:tcPr>
            <w:tcW w:w="2779" w:type="dxa"/>
          </w:tcPr>
          <w:p w14:paraId="6AF6789F" w14:textId="77777777" w:rsidR="00A51A76" w:rsidRPr="00ED2C45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Poremećaji reproduktivnog </w:t>
            </w:r>
          </w:p>
          <w:p w14:paraId="0C7E600E" w14:textId="77777777" w:rsidR="00A51A76" w:rsidRPr="00661C10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1C10">
              <w:rPr>
                <w:b/>
                <w:sz w:val="22"/>
                <w:szCs w:val="22"/>
              </w:rPr>
              <w:t>sistema i dojki</w:t>
            </w:r>
          </w:p>
        </w:tc>
        <w:tc>
          <w:tcPr>
            <w:tcW w:w="1361" w:type="dxa"/>
          </w:tcPr>
          <w:p w14:paraId="6737A8F7" w14:textId="77777777" w:rsidR="00A51A76" w:rsidRPr="00661C10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5D59E831" w14:textId="77777777" w:rsidR="00A51A76" w:rsidRPr="00661C10" w:rsidRDefault="00A51A76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pruritus vulve</w:t>
            </w:r>
          </w:p>
        </w:tc>
      </w:tr>
      <w:tr w:rsidR="00FE3ABD" w:rsidRPr="00661C10" w14:paraId="44D158E9" w14:textId="77777777" w:rsidTr="003D2957">
        <w:trPr>
          <w:trHeight w:val="944"/>
        </w:trPr>
        <w:tc>
          <w:tcPr>
            <w:tcW w:w="2779" w:type="dxa"/>
            <w:vMerge w:val="restart"/>
          </w:tcPr>
          <w:p w14:paraId="670DBE8C" w14:textId="2E0B2A45" w:rsidR="00FE3ABD" w:rsidRPr="00ED2C45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Opšti poremećaji i reakcije na mjestu primjene</w:t>
            </w:r>
          </w:p>
        </w:tc>
        <w:tc>
          <w:tcPr>
            <w:tcW w:w="1361" w:type="dxa"/>
          </w:tcPr>
          <w:p w14:paraId="0C7639BC" w14:textId="77777777" w:rsidR="00E1507B" w:rsidRPr="00661C10" w:rsidRDefault="00E1507B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  <w:p w14:paraId="1553EAD0" w14:textId="45B6C4AE" w:rsidR="00FE3ABD" w:rsidRPr="00661C10" w:rsidRDefault="00FE3ABD" w:rsidP="00E1507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8" w:type="dxa"/>
          </w:tcPr>
          <w:p w14:paraId="4F63DAE5" w14:textId="3023B820" w:rsidR="00FE3ABD" w:rsidRPr="00661C10" w:rsidRDefault="00E1507B" w:rsidP="003D29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zapaljenje,</w:t>
            </w:r>
            <w:r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lokalna bol i induracija na mjestu primjene injekcije, eritem na mjestu primjene injekcije</w:t>
            </w:r>
          </w:p>
        </w:tc>
      </w:tr>
      <w:tr w:rsidR="00FE3ABD" w:rsidRPr="00661C10" w14:paraId="08F8958F" w14:textId="77777777" w:rsidTr="00A40327">
        <w:trPr>
          <w:trHeight w:val="20"/>
        </w:trPr>
        <w:tc>
          <w:tcPr>
            <w:tcW w:w="2779" w:type="dxa"/>
            <w:vMerge/>
          </w:tcPr>
          <w:p w14:paraId="2E4CB4B1" w14:textId="77777777" w:rsidR="00FE3ABD" w:rsidRPr="00661C10" w:rsidRDefault="00FE3ABD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725119B" w14:textId="5252DEA0" w:rsidR="008A6C83" w:rsidRPr="00661C10" w:rsidRDefault="008A6C83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Veoma rijetko</w:t>
            </w:r>
          </w:p>
        </w:tc>
        <w:tc>
          <w:tcPr>
            <w:tcW w:w="4928" w:type="dxa"/>
          </w:tcPr>
          <w:p w14:paraId="042134F0" w14:textId="5C213290" w:rsidR="008A6C83" w:rsidRPr="00661C10" w:rsidRDefault="008A6C83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Osjećaj nelagode u prsima,</w:t>
            </w:r>
            <w:r w:rsidR="00E1507B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astenija/slabost</w:t>
            </w:r>
          </w:p>
        </w:tc>
      </w:tr>
      <w:tr w:rsidR="00A51A76" w:rsidRPr="00661C10" w14:paraId="5A88EBDB" w14:textId="77777777" w:rsidTr="00A40327">
        <w:trPr>
          <w:trHeight w:val="20"/>
        </w:trPr>
        <w:tc>
          <w:tcPr>
            <w:tcW w:w="2779" w:type="dxa"/>
            <w:vMerge w:val="restart"/>
          </w:tcPr>
          <w:p w14:paraId="438E5588" w14:textId="77777777" w:rsidR="00A51A76" w:rsidRPr="00ED2C45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2C45">
              <w:rPr>
                <w:rFonts w:ascii="Times New Roman" w:hAnsi="Times New Roman"/>
                <w:b/>
                <w:sz w:val="22"/>
                <w:szCs w:val="22"/>
              </w:rPr>
              <w:t>Ispitivanja</w:t>
            </w:r>
          </w:p>
        </w:tc>
        <w:tc>
          <w:tcPr>
            <w:tcW w:w="1361" w:type="dxa"/>
          </w:tcPr>
          <w:p w14:paraId="4674204B" w14:textId="77777777" w:rsidR="00A51A76" w:rsidRPr="00661C10" w:rsidRDefault="00A51A76" w:rsidP="00E1507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 xml:space="preserve">Često </w:t>
            </w:r>
          </w:p>
        </w:tc>
        <w:tc>
          <w:tcPr>
            <w:tcW w:w="4928" w:type="dxa"/>
          </w:tcPr>
          <w:p w14:paraId="70B4936F" w14:textId="488A5278" w:rsidR="00A51A76" w:rsidRPr="00661C10" w:rsidRDefault="00A51A76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povećane vrijednosti serumskih transaminaza,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povećane vrijednosti serumske alkalne fosfataze</w:t>
            </w:r>
          </w:p>
        </w:tc>
      </w:tr>
      <w:tr w:rsidR="00A51A76" w:rsidRPr="00661C10" w14:paraId="3C797640" w14:textId="77777777" w:rsidTr="00A40327">
        <w:trPr>
          <w:trHeight w:val="20"/>
        </w:trPr>
        <w:tc>
          <w:tcPr>
            <w:tcW w:w="2779" w:type="dxa"/>
            <w:vMerge/>
          </w:tcPr>
          <w:p w14:paraId="51CD0501" w14:textId="77777777" w:rsidR="00A51A76" w:rsidRPr="00661C10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4145C60A" w14:textId="77777777" w:rsidR="00A51A76" w:rsidRPr="00661C10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Povremeno</w:t>
            </w:r>
          </w:p>
          <w:p w14:paraId="2CCB3CD5" w14:textId="77777777" w:rsidR="00A51A76" w:rsidRPr="00661C10" w:rsidRDefault="00A51A76" w:rsidP="00E1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8" w:type="dxa"/>
          </w:tcPr>
          <w:p w14:paraId="4662AC2C" w14:textId="3F078E28" w:rsidR="00A51A76" w:rsidRPr="00661C10" w:rsidRDefault="00A51A76" w:rsidP="004A1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pozitivan rezultat pri primjeni direktnog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Coombs-ovog testa, produženo protrombinsko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 xml:space="preserve">vreme, snižena vrijednost hemoglobina, povećana </w:t>
            </w:r>
          </w:p>
          <w:p w14:paraId="7E19BD20" w14:textId="47BE2538" w:rsidR="00A51A76" w:rsidRPr="00661C10" w:rsidRDefault="00A51A76" w:rsidP="00065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C10">
              <w:rPr>
                <w:sz w:val="22"/>
                <w:szCs w:val="22"/>
              </w:rPr>
              <w:t>vrijednost bilirubina u serumu, povećana vrijednost</w:t>
            </w:r>
            <w:r w:rsidR="00A40327" w:rsidRPr="00661C10">
              <w:rPr>
                <w:sz w:val="22"/>
                <w:szCs w:val="22"/>
              </w:rPr>
              <w:t xml:space="preserve"> </w:t>
            </w:r>
            <w:r w:rsidRPr="00661C10">
              <w:rPr>
                <w:sz w:val="22"/>
                <w:szCs w:val="22"/>
              </w:rPr>
              <w:t>serumskog kreatinina, rast vrijednosti uree u krvi (engl. blood urea nitrogen, BUN).</w:t>
            </w:r>
          </w:p>
        </w:tc>
      </w:tr>
    </w:tbl>
    <w:p w14:paraId="1ABA5862" w14:textId="77777777" w:rsidR="00FE3ABD" w:rsidRPr="00ED2C45" w:rsidRDefault="00FE3ABD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</w:p>
    <w:p w14:paraId="3DC4EB60" w14:textId="77777777" w:rsidR="00A51A76" w:rsidRPr="00661C10" w:rsidRDefault="00A51A76" w:rsidP="00E1507B">
      <w:pPr>
        <w:tabs>
          <w:tab w:val="left" w:pos="540"/>
          <w:tab w:val="left" w:pos="569"/>
        </w:tabs>
        <w:spacing w:line="276" w:lineRule="auto"/>
        <w:jc w:val="both"/>
        <w:rPr>
          <w:rFonts w:eastAsia="Calibri"/>
          <w:i/>
          <w:sz w:val="22"/>
          <w:szCs w:val="22"/>
          <w:lang w:val="sr-Latn-RS"/>
        </w:rPr>
      </w:pPr>
      <w:r w:rsidRPr="00661C10">
        <w:rPr>
          <w:rFonts w:eastAsia="Calibri"/>
          <w:i/>
          <w:sz w:val="22"/>
          <w:szCs w:val="22"/>
          <w:lang w:val="sr-Latn-RS"/>
        </w:rPr>
        <w:t>Pedijatrijska populacija (≥ 3 mjeseca starosti)</w:t>
      </w:r>
    </w:p>
    <w:p w14:paraId="46869844" w14:textId="77777777" w:rsidR="008059F4" w:rsidRPr="00661C10" w:rsidRDefault="00A51A76" w:rsidP="00E1507B">
      <w:pPr>
        <w:tabs>
          <w:tab w:val="left" w:pos="540"/>
          <w:tab w:val="left" w:pos="569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U ispitivanjima na 178 pedijatrijskih pacijenata uzrasta ≥ 3 mjeseca zabilježene su neželjene reakcije u skladu sa onima kod odraslih pacijenata.</w:t>
      </w:r>
    </w:p>
    <w:p w14:paraId="065CE397" w14:textId="77777777" w:rsidR="00A51A76" w:rsidRPr="00661C10" w:rsidRDefault="00A51A76" w:rsidP="00E1507B">
      <w:pPr>
        <w:tabs>
          <w:tab w:val="left" w:pos="540"/>
          <w:tab w:val="left" w:pos="569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3493D4D9" w14:textId="77777777" w:rsidR="005A23D2" w:rsidRPr="00661C10" w:rsidRDefault="005A23D2" w:rsidP="00E1507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661C10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26595D21" w14:textId="3B6272F3" w:rsidR="005A23D2" w:rsidRPr="00661C10" w:rsidRDefault="005A23D2" w:rsidP="004A1428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Prijavljivanje neželjenih dejstava nakon dobijanja dozvole</w:t>
      </w:r>
      <w:r w:rsidR="00DA0786" w:rsidRPr="00661C10">
        <w:rPr>
          <w:rFonts w:eastAsia="Calibri"/>
          <w:sz w:val="22"/>
          <w:szCs w:val="22"/>
          <w:lang w:val="sr-Latn-RS"/>
        </w:rPr>
        <w:t xml:space="preserve"> za lijek</w:t>
      </w:r>
      <w:r w:rsidRPr="00661C10">
        <w:rPr>
          <w:rFonts w:eastAsia="Calibri"/>
          <w:sz w:val="22"/>
          <w:szCs w:val="22"/>
          <w:lang w:val="sr-Latn-RS"/>
        </w:rPr>
        <w:t xml:space="preserve"> je od velikog značaja jer obezbjeđuje kont</w:t>
      </w:r>
      <w:r w:rsidR="00EA5765" w:rsidRPr="00661C10">
        <w:rPr>
          <w:rFonts w:eastAsia="Calibri"/>
          <w:sz w:val="22"/>
          <w:szCs w:val="22"/>
          <w:lang w:val="sr-Latn-RS"/>
        </w:rPr>
        <w:t>inuirano praćenje odnosa korist</w:t>
      </w:r>
      <w:r w:rsidRPr="00661C10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661C10">
        <w:rPr>
          <w:rFonts w:eastAsia="Calibri"/>
          <w:sz w:val="22"/>
          <w:szCs w:val="22"/>
          <w:lang w:val="sr-Latn-RS"/>
        </w:rPr>
        <w:t xml:space="preserve"> </w:t>
      </w:r>
      <w:r w:rsidRPr="00661C10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661C10">
        <w:rPr>
          <w:rFonts w:eastAsia="Calibri"/>
          <w:sz w:val="22"/>
          <w:szCs w:val="22"/>
          <w:lang w:val="sr-Latn-RS"/>
        </w:rPr>
        <w:t>Institutu</w:t>
      </w:r>
      <w:r w:rsidRPr="00661C10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661C10">
        <w:rPr>
          <w:rFonts w:eastAsia="Calibri"/>
          <w:sz w:val="22"/>
          <w:szCs w:val="22"/>
          <w:lang w:val="sr-Latn-RS"/>
        </w:rPr>
        <w:t xml:space="preserve"> </w:t>
      </w:r>
      <w:r w:rsidRPr="00661C10">
        <w:rPr>
          <w:rFonts w:eastAsia="Calibri"/>
          <w:sz w:val="22"/>
          <w:szCs w:val="22"/>
          <w:lang w:val="sr-Latn-RS"/>
        </w:rPr>
        <w:t>(</w:t>
      </w:r>
      <w:r w:rsidR="004E70AD" w:rsidRPr="00661C10">
        <w:rPr>
          <w:rFonts w:eastAsia="Calibri"/>
          <w:sz w:val="22"/>
          <w:szCs w:val="22"/>
          <w:lang w:val="sr-Latn-RS"/>
        </w:rPr>
        <w:t>CInMED</w:t>
      </w:r>
      <w:r w:rsidRPr="00661C10">
        <w:rPr>
          <w:rFonts w:eastAsia="Calibri"/>
          <w:sz w:val="22"/>
          <w:szCs w:val="22"/>
          <w:lang w:val="sr-Latn-RS"/>
        </w:rPr>
        <w:t>):</w:t>
      </w:r>
    </w:p>
    <w:p w14:paraId="4D567BBA" w14:textId="77777777" w:rsidR="005A23D2" w:rsidRPr="00661C10" w:rsidRDefault="004E70AD" w:rsidP="00065BF7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661C10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09D56604" w14:textId="77777777" w:rsidR="005A23D2" w:rsidRPr="00661C10" w:rsidRDefault="005A23D2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Odjeljenje za farmakovigilancu</w:t>
      </w:r>
    </w:p>
    <w:p w14:paraId="5AB759F4" w14:textId="77777777" w:rsidR="00EA5765" w:rsidRPr="00661C10" w:rsidRDefault="005A23D2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4702CFD0" w14:textId="77777777" w:rsidR="00EA5765" w:rsidRPr="00661C10" w:rsidRDefault="00EA5765" w:rsidP="00E1507B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51EB4729" w14:textId="77777777" w:rsidR="005A23D2" w:rsidRPr="00661C10" w:rsidRDefault="005A23D2" w:rsidP="004A1428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tel: +382 (0) 20 310 280</w:t>
      </w:r>
    </w:p>
    <w:p w14:paraId="4A15DF9D" w14:textId="77777777" w:rsidR="00EA5765" w:rsidRPr="00661C10" w:rsidRDefault="005A23D2" w:rsidP="00065BF7">
      <w:pPr>
        <w:pStyle w:val="NoSpacing"/>
        <w:tabs>
          <w:tab w:val="left" w:pos="6720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fax:</w:t>
      </w:r>
      <w:r w:rsidR="00EA5765" w:rsidRPr="00661C10">
        <w:rPr>
          <w:rFonts w:eastAsia="Calibri"/>
          <w:sz w:val="22"/>
          <w:szCs w:val="22"/>
          <w:lang w:val="sr-Latn-RS"/>
        </w:rPr>
        <w:t xml:space="preserve"> </w:t>
      </w:r>
      <w:r w:rsidRPr="00661C10">
        <w:rPr>
          <w:rFonts w:eastAsia="Calibri"/>
          <w:sz w:val="22"/>
          <w:szCs w:val="22"/>
          <w:lang w:val="sr-Latn-RS"/>
        </w:rPr>
        <w:t>+382 (0) 20 310 581</w:t>
      </w:r>
      <w:r w:rsidR="00FF3EDF" w:rsidRPr="00661C10">
        <w:rPr>
          <w:rFonts w:eastAsia="Calibri"/>
          <w:sz w:val="22"/>
          <w:szCs w:val="22"/>
          <w:lang w:val="sr-Latn-RS"/>
        </w:rPr>
        <w:tab/>
      </w:r>
    </w:p>
    <w:p w14:paraId="44305D35" w14:textId="77777777" w:rsidR="005A23D2" w:rsidRPr="00ED2C45" w:rsidRDefault="00E41265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661C1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0E74858F" w14:textId="77777777" w:rsidR="00EA5765" w:rsidRPr="00ED2C45" w:rsidRDefault="00E41265">
      <w:pPr>
        <w:pStyle w:val="NoSpacing"/>
        <w:spacing w:line="276" w:lineRule="auto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661C1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734877B" w14:textId="77777777" w:rsidR="005A23D2" w:rsidRPr="00661C10" w:rsidRDefault="005A23D2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putem IS zdravstvene zaštite</w:t>
      </w:r>
    </w:p>
    <w:p w14:paraId="253E4CEE" w14:textId="77777777" w:rsidR="007E31E9" w:rsidRPr="00661C10" w:rsidRDefault="007E31E9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>QR kod za online prijavu</w:t>
      </w:r>
      <w:r w:rsidR="00D74CD2" w:rsidRPr="00661C10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661C10">
        <w:rPr>
          <w:rFonts w:eastAsia="Calibri"/>
          <w:sz w:val="22"/>
          <w:szCs w:val="22"/>
          <w:lang w:val="sr-Latn-RS"/>
        </w:rPr>
        <w:t>:</w:t>
      </w:r>
    </w:p>
    <w:p w14:paraId="621A18BB" w14:textId="77777777" w:rsidR="007E31E9" w:rsidRPr="00661C10" w:rsidRDefault="007E31E9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1E33A8B5" w14:textId="77777777" w:rsidR="004F17E2" w:rsidRPr="00ED2C45" w:rsidRDefault="007E31E9" w:rsidP="00E1507B">
      <w:pPr>
        <w:pStyle w:val="NoSpacing"/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E1507B">
        <w:rPr>
          <w:noProof/>
          <w:sz w:val="22"/>
          <w:szCs w:val="22"/>
        </w:rPr>
        <w:drawing>
          <wp:inline distT="0" distB="0" distL="0" distR="0" wp14:anchorId="13380717" wp14:editId="6774B5D9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60A1" w14:textId="77777777" w:rsidR="00CD6F02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lastRenderedPageBreak/>
        <w:t xml:space="preserve">4.9.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Predoziranje</w:t>
      </w:r>
      <w:r w:rsidR="002846DB" w:rsidRPr="00661C10">
        <w:rPr>
          <w:b/>
          <w:bCs/>
          <w:sz w:val="22"/>
          <w:szCs w:val="22"/>
        </w:rPr>
        <w:t xml:space="preserve"> </w:t>
      </w:r>
    </w:p>
    <w:p w14:paraId="0552B04C" w14:textId="77777777" w:rsidR="00CD6F02" w:rsidRPr="00661C10" w:rsidRDefault="00CD6F02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504202BD" w14:textId="77777777" w:rsidR="00227BDB" w:rsidRPr="00661C10" w:rsidRDefault="00A51A76" w:rsidP="004A1428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661C10">
        <w:rPr>
          <w:rFonts w:eastAsia="Calibri"/>
          <w:sz w:val="22"/>
          <w:szCs w:val="22"/>
          <w:lang w:val="sr-Latn-RS"/>
        </w:rPr>
        <w:t xml:space="preserve">Simptomi mogućeg predoziranja su u skladu sa profilom neželjenih reakcija na </w:t>
      </w:r>
      <w:r w:rsidR="00126A4B" w:rsidRPr="00661C10">
        <w:rPr>
          <w:rFonts w:eastAsia="Calibri"/>
          <w:sz w:val="22"/>
          <w:szCs w:val="22"/>
          <w:lang w:val="sr-Latn-RS"/>
        </w:rPr>
        <w:t>lijek</w:t>
      </w:r>
      <w:r w:rsidRPr="00661C10">
        <w:rPr>
          <w:rFonts w:eastAsia="Calibri"/>
          <w:sz w:val="22"/>
          <w:szCs w:val="22"/>
          <w:lang w:val="sr-Latn-RS"/>
        </w:rPr>
        <w:t xml:space="preserve">; mogu uključivati epileptične napade, konfuziju, tremor, mučninu, povraćanje, hipotenziju, bradikardiju. Ne postoje specifične informacije za </w:t>
      </w:r>
      <w:r w:rsidR="00126A4B" w:rsidRPr="00661C10">
        <w:rPr>
          <w:rFonts w:eastAsia="Calibri"/>
          <w:sz w:val="22"/>
          <w:szCs w:val="22"/>
          <w:lang w:val="sr-Latn-RS"/>
        </w:rPr>
        <w:t>liječe</w:t>
      </w:r>
      <w:r w:rsidRPr="00661C10">
        <w:rPr>
          <w:rFonts w:eastAsia="Calibri"/>
          <w:sz w:val="22"/>
          <w:szCs w:val="22"/>
          <w:lang w:val="sr-Latn-RS"/>
        </w:rPr>
        <w:t xml:space="preserve">nje predoziranja </w:t>
      </w:r>
      <w:r w:rsidR="00126A4B" w:rsidRPr="00661C10">
        <w:rPr>
          <w:rFonts w:eastAsia="Calibri"/>
          <w:sz w:val="22"/>
          <w:szCs w:val="22"/>
          <w:lang w:val="sr-Latn-RS"/>
        </w:rPr>
        <w:t>l</w:t>
      </w:r>
      <w:r w:rsidR="00206A9D" w:rsidRPr="00661C10">
        <w:rPr>
          <w:rFonts w:eastAsia="Calibri"/>
          <w:sz w:val="22"/>
          <w:szCs w:val="22"/>
          <w:lang w:val="sr-Latn-RS"/>
        </w:rPr>
        <w:t>i</w:t>
      </w:r>
      <w:r w:rsidR="00126A4B" w:rsidRPr="00661C10">
        <w:rPr>
          <w:rFonts w:eastAsia="Calibri"/>
          <w:sz w:val="22"/>
          <w:szCs w:val="22"/>
          <w:lang w:val="sr-Latn-RS"/>
        </w:rPr>
        <w:t>jeko</w:t>
      </w:r>
      <w:r w:rsidRPr="00661C10">
        <w:rPr>
          <w:rFonts w:eastAsia="Calibri"/>
          <w:sz w:val="22"/>
          <w:szCs w:val="22"/>
          <w:lang w:val="sr-Latn-RS"/>
        </w:rPr>
        <w:t xml:space="preserve">m Imipenem/Cilastatin </w:t>
      </w:r>
      <w:r w:rsidR="00126A4B" w:rsidRPr="00661C10">
        <w:rPr>
          <w:rFonts w:eastAsia="Calibri"/>
          <w:sz w:val="22"/>
          <w:szCs w:val="22"/>
          <w:lang w:val="sr-Latn-RS"/>
        </w:rPr>
        <w:t>AptaPharma</w:t>
      </w:r>
      <w:r w:rsidR="00B07716" w:rsidRPr="00661C10">
        <w:rPr>
          <w:rFonts w:eastAsia="Calibri"/>
          <w:sz w:val="22"/>
          <w:szCs w:val="22"/>
          <w:lang w:val="sr-Latn-RS"/>
        </w:rPr>
        <w:t xml:space="preserve">. Imipenem/cilastatin </w:t>
      </w:r>
      <w:r w:rsidRPr="00661C10">
        <w:rPr>
          <w:rFonts w:eastAsia="Calibri"/>
          <w:sz w:val="22"/>
          <w:szCs w:val="22"/>
          <w:lang w:val="sr-Latn-RS"/>
        </w:rPr>
        <w:t>natrijum može da se ukloni iz organizma hemodijalizom. Međutim, nije poznato kakva je korist ovog postupka u slučajevima predoziranja.</w:t>
      </w:r>
    </w:p>
    <w:p w14:paraId="0F6FF02B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5.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FARMAKOLOŠK</w:t>
      </w:r>
      <w:r w:rsidR="000D425A" w:rsidRPr="00661C10">
        <w:rPr>
          <w:b/>
          <w:bCs/>
          <w:sz w:val="22"/>
          <w:szCs w:val="22"/>
        </w:rPr>
        <w:t>I</w:t>
      </w:r>
      <w:r w:rsidRPr="00661C10">
        <w:rPr>
          <w:b/>
          <w:bCs/>
          <w:sz w:val="22"/>
          <w:szCs w:val="22"/>
        </w:rPr>
        <w:t xml:space="preserve"> PODACI</w:t>
      </w:r>
    </w:p>
    <w:p w14:paraId="545D5D7D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1CD86346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5.1.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Farmakodinamski podaci</w:t>
      </w:r>
      <w:r w:rsidR="003A7059" w:rsidRPr="00661C10">
        <w:rPr>
          <w:b/>
          <w:bCs/>
          <w:sz w:val="22"/>
          <w:szCs w:val="22"/>
        </w:rPr>
        <w:t xml:space="preserve"> </w:t>
      </w:r>
    </w:p>
    <w:p w14:paraId="34652642" w14:textId="77777777" w:rsidR="00F45F77" w:rsidRPr="00661C10" w:rsidRDefault="00F45F77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277983CD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Farmakoterapijska grupa</w:t>
      </w:r>
      <w:r w:rsidRPr="00661C10">
        <w:rPr>
          <w:bCs/>
          <w:sz w:val="22"/>
          <w:szCs w:val="22"/>
        </w:rPr>
        <w:t>:</w:t>
      </w:r>
      <w:r w:rsidR="00A51A76" w:rsidRPr="00E1507B">
        <w:rPr>
          <w:sz w:val="22"/>
          <w:szCs w:val="22"/>
        </w:rPr>
        <w:t xml:space="preserve"> </w:t>
      </w:r>
      <w:r w:rsidR="00A51A76" w:rsidRPr="00ED2C45">
        <w:rPr>
          <w:bCs/>
          <w:sz w:val="22"/>
          <w:szCs w:val="22"/>
        </w:rPr>
        <w:t xml:space="preserve">Antibakterijski </w:t>
      </w:r>
      <w:r w:rsidR="00126A4B" w:rsidRPr="00ED2C45">
        <w:rPr>
          <w:bCs/>
          <w:sz w:val="22"/>
          <w:szCs w:val="22"/>
        </w:rPr>
        <w:t>ljeko</w:t>
      </w:r>
      <w:r w:rsidR="00A51A76" w:rsidRPr="00ED2C45">
        <w:rPr>
          <w:bCs/>
          <w:sz w:val="22"/>
          <w:szCs w:val="22"/>
        </w:rPr>
        <w:t xml:space="preserve">vi za sistemsku </w:t>
      </w:r>
      <w:r w:rsidR="00126A4B" w:rsidRPr="00661C10">
        <w:rPr>
          <w:bCs/>
          <w:sz w:val="22"/>
          <w:szCs w:val="22"/>
        </w:rPr>
        <w:t>primjen</w:t>
      </w:r>
      <w:r w:rsidR="00A51A76" w:rsidRPr="00661C10">
        <w:rPr>
          <w:bCs/>
          <w:sz w:val="22"/>
          <w:szCs w:val="22"/>
        </w:rPr>
        <w:t>u; karbapenemi</w:t>
      </w:r>
    </w:p>
    <w:p w14:paraId="7BC2106F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EFD5EAB" w14:textId="77777777" w:rsidR="0072020E" w:rsidRPr="00ED2C45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ATC kod</w:t>
      </w:r>
      <w:r w:rsidRPr="00661C10">
        <w:rPr>
          <w:bCs/>
          <w:sz w:val="22"/>
          <w:szCs w:val="22"/>
        </w:rPr>
        <w:t>:</w:t>
      </w:r>
      <w:r w:rsidR="00A51A76" w:rsidRPr="00E1507B">
        <w:rPr>
          <w:sz w:val="22"/>
          <w:szCs w:val="22"/>
        </w:rPr>
        <w:t xml:space="preserve"> </w:t>
      </w:r>
      <w:r w:rsidR="00A51A76" w:rsidRPr="00ED2C45">
        <w:rPr>
          <w:bCs/>
          <w:sz w:val="22"/>
          <w:szCs w:val="22"/>
        </w:rPr>
        <w:t>J01DH51</w:t>
      </w:r>
    </w:p>
    <w:p w14:paraId="3925B923" w14:textId="77777777" w:rsidR="00A51A76" w:rsidRPr="00661C10" w:rsidRDefault="00A51A7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73C4695" w14:textId="77777777" w:rsidR="00A51A76" w:rsidRPr="00661C10" w:rsidRDefault="00A51A7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Mehanizam dejstva</w:t>
      </w:r>
    </w:p>
    <w:p w14:paraId="5E6CBE49" w14:textId="77777777" w:rsidR="00A51A76" w:rsidRPr="00661C10" w:rsidRDefault="00126A4B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Lijek</w:t>
      </w:r>
      <w:r w:rsidR="00A51A76" w:rsidRPr="00661C10">
        <w:rPr>
          <w:bCs/>
          <w:sz w:val="22"/>
          <w:szCs w:val="22"/>
        </w:rPr>
        <w:t xml:space="preserve"> Imipenem/Cilastatin se sastoji od dve komponente: imipenema i cilastatin</w:t>
      </w:r>
      <w:r w:rsidR="00B07716" w:rsidRPr="00661C10">
        <w:rPr>
          <w:bCs/>
          <w:sz w:val="22"/>
          <w:szCs w:val="22"/>
        </w:rPr>
        <w:t xml:space="preserve"> </w:t>
      </w:r>
      <w:r w:rsidR="00A51A76" w:rsidRPr="00661C10">
        <w:rPr>
          <w:bCs/>
          <w:sz w:val="22"/>
          <w:szCs w:val="22"/>
        </w:rPr>
        <w:t>natrijuma, koji se nalaze u masenom odnosu 1:1.</w:t>
      </w:r>
    </w:p>
    <w:p w14:paraId="0CCCCF9D" w14:textId="4B8A6276" w:rsidR="00A51A76" w:rsidRPr="00661C10" w:rsidRDefault="00A51A76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Imipenem, takođe poznat kao N-formimidoil-tienamicin, je polusintetski derivat tienamicina, matičnog</w:t>
      </w:r>
      <w:r w:rsidR="00B07716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jedinjenja koje produkuje filamentna bakterija </w:t>
      </w:r>
      <w:r w:rsidRPr="00661C10">
        <w:rPr>
          <w:bCs/>
          <w:i/>
          <w:sz w:val="22"/>
          <w:szCs w:val="22"/>
        </w:rPr>
        <w:t>Streptomyces cattleya</w:t>
      </w:r>
      <w:r w:rsidRPr="00661C10">
        <w:rPr>
          <w:bCs/>
          <w:sz w:val="22"/>
          <w:szCs w:val="22"/>
        </w:rPr>
        <w:t>.</w:t>
      </w:r>
    </w:p>
    <w:p w14:paraId="181F4C85" w14:textId="77777777" w:rsidR="00A40327" w:rsidRPr="00661C10" w:rsidRDefault="00A4032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8456C64" w14:textId="77777777" w:rsidR="00A51A76" w:rsidRPr="00661C10" w:rsidRDefault="00A51A7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Imipenem ispoljava svoju baktericidnu aktivnost tako što inhibira sintezu ćelijskog zida Gram-pozitivnih i Gram-negativnih bakterija vezivanjem za penicilin-vezujuće proteine (PVP).</w:t>
      </w:r>
    </w:p>
    <w:p w14:paraId="0F69319A" w14:textId="77777777" w:rsidR="00A40327" w:rsidRPr="00661C10" w:rsidRDefault="00A4032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A5BEE35" w14:textId="217AC6F7" w:rsidR="00A51A76" w:rsidRPr="00661C10" w:rsidRDefault="00A51A7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Cila</w:t>
      </w:r>
      <w:r w:rsidR="00B07716" w:rsidRPr="00661C10">
        <w:rPr>
          <w:bCs/>
          <w:sz w:val="22"/>
          <w:szCs w:val="22"/>
        </w:rPr>
        <w:t xml:space="preserve">statin </w:t>
      </w:r>
      <w:r w:rsidRPr="00661C10">
        <w:rPr>
          <w:bCs/>
          <w:sz w:val="22"/>
          <w:szCs w:val="22"/>
        </w:rPr>
        <w:t>natrijum je kompetitivni, reverzibilni i specifični inhibitor dehidropeptidaze-I, bubrežnog enzimakoji metaboliše i inaktivira imipenem. On ne pos</w:t>
      </w:r>
      <w:r w:rsidR="00DA0786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>eduje intrinzičku antibakterijsku aktivnost i nema uticaj na</w:t>
      </w:r>
      <w:r w:rsidR="00B07716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antibakterijsko dejstvo imipenema.</w:t>
      </w:r>
    </w:p>
    <w:p w14:paraId="03CE0B60" w14:textId="77777777" w:rsidR="00B07716" w:rsidRPr="00661C10" w:rsidRDefault="00B0771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297041F" w14:textId="77777777" w:rsidR="00A51A76" w:rsidRPr="00661C10" w:rsidRDefault="00A51A7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Odnos farmakokinetike i farmakodinamike (PK/PD)</w:t>
      </w:r>
    </w:p>
    <w:p w14:paraId="4685CD1D" w14:textId="77777777" w:rsidR="00A51A76" w:rsidRPr="00661C10" w:rsidRDefault="00A51A7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Slično drugim beta-laktamskim antibioticima, dokazano je da je vr</w:t>
      </w:r>
      <w:r w:rsidR="00B07716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eme potrebno da koncentracije imipenema postanu veće od minimalne inhibitorne koncentracije (MIK) (T &gt; MIK) u najboljoj korelaciji sa efikasnošću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a.</w:t>
      </w:r>
    </w:p>
    <w:p w14:paraId="161A9FB0" w14:textId="77777777" w:rsidR="00B07716" w:rsidRPr="00661C10" w:rsidRDefault="00B0771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66CE7B9" w14:textId="77777777" w:rsidR="00A51A76" w:rsidRPr="00661C10" w:rsidRDefault="00A51A7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Mehanizam rezistencije</w:t>
      </w:r>
    </w:p>
    <w:p w14:paraId="6B02744E" w14:textId="73C95F61" w:rsidR="00A51A76" w:rsidRPr="00661C10" w:rsidRDefault="00A51A7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Rezistencija na imipenem može da se pojavi zbog nekog od sl</w:t>
      </w:r>
      <w:r w:rsidR="00DA0786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>edećih razloga:</w:t>
      </w:r>
    </w:p>
    <w:p w14:paraId="5834B4D8" w14:textId="77777777" w:rsidR="00B07716" w:rsidRPr="00661C10" w:rsidRDefault="00B07716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</w:t>
      </w:r>
      <w:r w:rsidR="00A51A76" w:rsidRPr="00661C10">
        <w:rPr>
          <w:bCs/>
          <w:sz w:val="22"/>
          <w:szCs w:val="22"/>
        </w:rPr>
        <w:t>manjena permeabilnost spoljašnje membrane Gram-nega</w:t>
      </w:r>
      <w:r w:rsidRPr="00661C10">
        <w:rPr>
          <w:bCs/>
          <w:sz w:val="22"/>
          <w:szCs w:val="22"/>
        </w:rPr>
        <w:t xml:space="preserve">tivnih bakterija (zbog smanjene </w:t>
      </w:r>
      <w:r w:rsidR="00A51A76" w:rsidRPr="00661C10">
        <w:rPr>
          <w:bCs/>
          <w:sz w:val="22"/>
          <w:szCs w:val="22"/>
        </w:rPr>
        <w:t>produkcije</w:t>
      </w:r>
      <w:r w:rsidRPr="00661C10">
        <w:rPr>
          <w:bCs/>
          <w:sz w:val="22"/>
          <w:szCs w:val="22"/>
        </w:rPr>
        <w:t xml:space="preserve"> </w:t>
      </w:r>
      <w:r w:rsidR="00A51A76" w:rsidRPr="00661C10">
        <w:rPr>
          <w:bCs/>
          <w:sz w:val="22"/>
          <w:szCs w:val="22"/>
        </w:rPr>
        <w:t>porina).</w:t>
      </w:r>
    </w:p>
    <w:p w14:paraId="790A9A82" w14:textId="77777777" w:rsidR="00B07716" w:rsidRPr="00661C10" w:rsidRDefault="00B07716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I</w:t>
      </w:r>
      <w:r w:rsidR="00A51A76" w:rsidRPr="00661C10">
        <w:rPr>
          <w:bCs/>
          <w:sz w:val="22"/>
          <w:szCs w:val="22"/>
        </w:rPr>
        <w:t>mipenem može aktivno da se ukloni iz ćelije efluks pumpom.</w:t>
      </w:r>
    </w:p>
    <w:p w14:paraId="26D6577A" w14:textId="77777777" w:rsidR="00B07716" w:rsidRPr="00661C10" w:rsidRDefault="00B07716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</w:t>
      </w:r>
      <w:r w:rsidR="00A51A76" w:rsidRPr="00661C10">
        <w:rPr>
          <w:bCs/>
          <w:sz w:val="22"/>
          <w:szCs w:val="22"/>
        </w:rPr>
        <w:t>manjen afinitet penicilin-vezujućih proteina za imipenem.</w:t>
      </w:r>
    </w:p>
    <w:p w14:paraId="07E6ACAE" w14:textId="77777777" w:rsidR="00A51A76" w:rsidRPr="00661C10" w:rsidRDefault="00B07716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I</w:t>
      </w:r>
      <w:r w:rsidR="00A51A76" w:rsidRPr="00661C10">
        <w:rPr>
          <w:bCs/>
          <w:sz w:val="22"/>
          <w:szCs w:val="22"/>
        </w:rPr>
        <w:t>mipenem je stabilan prema hidrolitičkom dejstvu većine beta-lakt</w:t>
      </w:r>
      <w:r w:rsidRPr="00661C10">
        <w:rPr>
          <w:bCs/>
          <w:sz w:val="22"/>
          <w:szCs w:val="22"/>
        </w:rPr>
        <w:t xml:space="preserve">amaza, uključujući penicilinaze </w:t>
      </w:r>
      <w:r w:rsidR="00A51A76" w:rsidRPr="00661C10">
        <w:rPr>
          <w:bCs/>
          <w:sz w:val="22"/>
          <w:szCs w:val="22"/>
        </w:rPr>
        <w:t>i cefalosporinaze, koje produkuju Gram-pozitivne i Gram-negativne bakterije, sa izuzetkom relativno r</w:t>
      </w:r>
      <w:r w:rsidRPr="00661C10">
        <w:rPr>
          <w:bCs/>
          <w:sz w:val="22"/>
          <w:szCs w:val="22"/>
        </w:rPr>
        <w:t>ij</w:t>
      </w:r>
      <w:r w:rsidR="00A51A76" w:rsidRPr="00661C10">
        <w:rPr>
          <w:bCs/>
          <w:sz w:val="22"/>
          <w:szCs w:val="22"/>
        </w:rPr>
        <w:t xml:space="preserve">etkih beta-laktamaza koje hidrolizuju karbapeneme. Bakterije koje su rezistentne na ostale karbapeneme obično su istovremeno rezistentne i na imipenem. Ne postoji unakrsna rezistencija između imipenema i </w:t>
      </w:r>
      <w:r w:rsidR="00126A4B" w:rsidRPr="00661C10">
        <w:rPr>
          <w:bCs/>
          <w:sz w:val="22"/>
          <w:szCs w:val="22"/>
        </w:rPr>
        <w:t>ljeko</w:t>
      </w:r>
      <w:r w:rsidR="00A51A76" w:rsidRPr="00661C10">
        <w:rPr>
          <w:bCs/>
          <w:sz w:val="22"/>
          <w:szCs w:val="22"/>
        </w:rPr>
        <w:t xml:space="preserve">va iz grupe hinolona, aminoglikozida, makrolida i tetraciklina zasnovana </w:t>
      </w:r>
      <w:r w:rsidR="00206A9D" w:rsidRPr="00661C10">
        <w:rPr>
          <w:bCs/>
          <w:sz w:val="22"/>
          <w:szCs w:val="22"/>
        </w:rPr>
        <w:t>na ciljnom</w:t>
      </w:r>
      <w:r w:rsidR="00A51A76" w:rsidRPr="00661C10">
        <w:rPr>
          <w:bCs/>
          <w:sz w:val="22"/>
          <w:szCs w:val="22"/>
        </w:rPr>
        <w:t xml:space="preserve"> mestu.</w:t>
      </w:r>
    </w:p>
    <w:p w14:paraId="377B3C05" w14:textId="77777777" w:rsidR="00B07716" w:rsidRPr="00661C10" w:rsidRDefault="00B0771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</w:p>
    <w:p w14:paraId="0DBA571F" w14:textId="77777777" w:rsidR="00A51A76" w:rsidRPr="00661C10" w:rsidRDefault="00A51A76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 xml:space="preserve">Granične </w:t>
      </w:r>
      <w:r w:rsidR="00126A4B" w:rsidRPr="00661C10">
        <w:rPr>
          <w:bCs/>
          <w:sz w:val="22"/>
          <w:szCs w:val="22"/>
          <w:u w:val="single"/>
        </w:rPr>
        <w:t>vrijednost</w:t>
      </w:r>
      <w:r w:rsidR="00B07716" w:rsidRPr="00661C10">
        <w:rPr>
          <w:bCs/>
          <w:sz w:val="22"/>
          <w:szCs w:val="22"/>
          <w:u w:val="single"/>
        </w:rPr>
        <w:t>i</w:t>
      </w:r>
    </w:p>
    <w:p w14:paraId="493726FE" w14:textId="0A9A9C6D" w:rsidR="00A51A76" w:rsidRPr="00661C10" w:rsidRDefault="00A51A76" w:rsidP="00DA078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EUCAST (engl. European Committee on Antimicrobial Susceptibility Testing) MIK granične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>i za imipenem su sl</w:t>
      </w:r>
      <w:r w:rsidR="00DA0786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>edeće</w:t>
      </w:r>
      <w:r w:rsidR="00CA31F2" w:rsidRPr="00661C10">
        <w:rPr>
          <w:bCs/>
          <w:sz w:val="22"/>
          <w:szCs w:val="22"/>
        </w:rPr>
        <w:t xml:space="preserve"> (v 12.0, valid from 2022-01-01)</w:t>
      </w:r>
      <w:r w:rsidRPr="00661C10">
        <w:rPr>
          <w:bCs/>
          <w:sz w:val="22"/>
          <w:szCs w:val="22"/>
        </w:rPr>
        <w:t>:</w:t>
      </w:r>
    </w:p>
    <w:p w14:paraId="63DFB08B" w14:textId="77777777" w:rsidR="00A51A76" w:rsidRPr="00661C10" w:rsidRDefault="00A51A7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6"/>
        <w:gridCol w:w="2266"/>
      </w:tblGrid>
      <w:tr w:rsidR="00A51A76" w:rsidRPr="00661C10" w14:paraId="602DD7AF" w14:textId="77777777" w:rsidTr="00A40327">
        <w:trPr>
          <w:tblHeader/>
        </w:trPr>
        <w:tc>
          <w:tcPr>
            <w:tcW w:w="4531" w:type="dxa"/>
            <w:vMerge w:val="restart"/>
          </w:tcPr>
          <w:p w14:paraId="1784AF46" w14:textId="77777777" w:rsidR="00A51A76" w:rsidRPr="00661C10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Organism Group</w:t>
            </w:r>
          </w:p>
        </w:tc>
        <w:tc>
          <w:tcPr>
            <w:tcW w:w="4532" w:type="dxa"/>
            <w:gridSpan w:val="2"/>
          </w:tcPr>
          <w:p w14:paraId="5844BDAF" w14:textId="77777777" w:rsidR="00A51A76" w:rsidRPr="00661C10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Minimalne inhibitorne  koncentracije (mg/L)</w:t>
            </w:r>
          </w:p>
        </w:tc>
      </w:tr>
      <w:tr w:rsidR="00A51A76" w:rsidRPr="00661C10" w14:paraId="2B6C018E" w14:textId="77777777" w:rsidTr="00A40327">
        <w:trPr>
          <w:tblHeader/>
        </w:trPr>
        <w:tc>
          <w:tcPr>
            <w:tcW w:w="4531" w:type="dxa"/>
            <w:vMerge/>
          </w:tcPr>
          <w:p w14:paraId="59B8511B" w14:textId="77777777" w:rsidR="00A51A76" w:rsidRPr="00661C10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F0C4E4E" w14:textId="77777777" w:rsidR="00A51A76" w:rsidRPr="00661C10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osjetljiv ≤</w:t>
            </w:r>
          </w:p>
        </w:tc>
        <w:tc>
          <w:tcPr>
            <w:tcW w:w="2266" w:type="dxa"/>
          </w:tcPr>
          <w:p w14:paraId="6624C37A" w14:textId="77777777" w:rsidR="00A51A76" w:rsidRPr="00661C10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61C10">
              <w:rPr>
                <w:b/>
                <w:bCs/>
                <w:sz w:val="22"/>
                <w:szCs w:val="22"/>
              </w:rPr>
              <w:t>otporan&gt;</w:t>
            </w:r>
          </w:p>
        </w:tc>
      </w:tr>
      <w:tr w:rsidR="00A51A76" w:rsidRPr="00661C10" w14:paraId="7CB8717F" w14:textId="77777777" w:rsidTr="00126A4B">
        <w:tc>
          <w:tcPr>
            <w:tcW w:w="4531" w:type="dxa"/>
          </w:tcPr>
          <w:p w14:paraId="69845D14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Enterobacterales (izuzev Morganellaceae)</w:t>
            </w:r>
          </w:p>
        </w:tc>
        <w:tc>
          <w:tcPr>
            <w:tcW w:w="2266" w:type="dxa"/>
          </w:tcPr>
          <w:p w14:paraId="15F3C6D3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441F381C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  <w:tr w:rsidR="00A51A76" w:rsidRPr="00661C10" w14:paraId="729F6C58" w14:textId="77777777" w:rsidTr="00126A4B">
        <w:tc>
          <w:tcPr>
            <w:tcW w:w="4531" w:type="dxa"/>
          </w:tcPr>
          <w:p w14:paraId="4AE7017C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Enterobacterales</w:t>
            </w:r>
            <w:r w:rsidRPr="00E1507B">
              <w:rPr>
                <w:bCs/>
                <w:i/>
                <w:sz w:val="22"/>
                <w:szCs w:val="22"/>
                <w:vertAlign w:val="superscript"/>
              </w:rPr>
              <w:t>1</w:t>
            </w:r>
            <w:r w:rsidRPr="00E1507B">
              <w:rPr>
                <w:bCs/>
                <w:i/>
                <w:sz w:val="22"/>
                <w:szCs w:val="22"/>
              </w:rPr>
              <w:t xml:space="preserve"> (Morganellaceae)</w:t>
            </w:r>
          </w:p>
        </w:tc>
        <w:tc>
          <w:tcPr>
            <w:tcW w:w="2266" w:type="dxa"/>
          </w:tcPr>
          <w:p w14:paraId="1B30BEB3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0,001</w:t>
            </w:r>
          </w:p>
        </w:tc>
        <w:tc>
          <w:tcPr>
            <w:tcW w:w="2266" w:type="dxa"/>
          </w:tcPr>
          <w:p w14:paraId="3810ABE6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  <w:tr w:rsidR="00A51A76" w:rsidRPr="00661C10" w14:paraId="2BEA463B" w14:textId="77777777" w:rsidTr="00126A4B">
        <w:tc>
          <w:tcPr>
            <w:tcW w:w="4531" w:type="dxa"/>
          </w:tcPr>
          <w:p w14:paraId="690C6B58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Pseudomonas spp.</w:t>
            </w:r>
          </w:p>
        </w:tc>
        <w:tc>
          <w:tcPr>
            <w:tcW w:w="2266" w:type="dxa"/>
          </w:tcPr>
          <w:p w14:paraId="1C7F0715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0,001</w:t>
            </w:r>
          </w:p>
        </w:tc>
        <w:tc>
          <w:tcPr>
            <w:tcW w:w="2266" w:type="dxa"/>
          </w:tcPr>
          <w:p w14:paraId="503F6A9F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  <w:tr w:rsidR="00A51A76" w:rsidRPr="00661C10" w14:paraId="35AA32DD" w14:textId="77777777" w:rsidTr="00126A4B">
        <w:tc>
          <w:tcPr>
            <w:tcW w:w="4531" w:type="dxa"/>
          </w:tcPr>
          <w:p w14:paraId="5595118F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Acinetobacter spp.</w:t>
            </w:r>
          </w:p>
        </w:tc>
        <w:tc>
          <w:tcPr>
            <w:tcW w:w="2266" w:type="dxa"/>
          </w:tcPr>
          <w:p w14:paraId="52CF89C4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7EE516D7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  <w:tr w:rsidR="00A51A76" w:rsidRPr="00661C10" w14:paraId="2A9B03B5" w14:textId="77777777" w:rsidTr="00126A4B">
        <w:tc>
          <w:tcPr>
            <w:tcW w:w="4531" w:type="dxa"/>
          </w:tcPr>
          <w:p w14:paraId="5D6E0C65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Staphylococcus spp.</w:t>
            </w:r>
          </w:p>
        </w:tc>
        <w:tc>
          <w:tcPr>
            <w:tcW w:w="4532" w:type="dxa"/>
            <w:gridSpan w:val="2"/>
          </w:tcPr>
          <w:p w14:paraId="61DE5CCD" w14:textId="77777777" w:rsidR="00A51A76" w:rsidRPr="00E1507B" w:rsidRDefault="00A51A76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Zaključak se izvodi na osnovu osjetljivosti na cefoksitin</w:t>
            </w:r>
          </w:p>
        </w:tc>
      </w:tr>
      <w:tr w:rsidR="00324EB5" w:rsidRPr="00661C10" w14:paraId="146CB095" w14:textId="77777777" w:rsidTr="00126A4B">
        <w:tc>
          <w:tcPr>
            <w:tcW w:w="4531" w:type="dxa"/>
          </w:tcPr>
          <w:p w14:paraId="17EA0B6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Enterococcus spp.</w:t>
            </w:r>
          </w:p>
        </w:tc>
        <w:tc>
          <w:tcPr>
            <w:tcW w:w="2266" w:type="dxa"/>
          </w:tcPr>
          <w:p w14:paraId="08C511D1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0,001</w:t>
            </w:r>
          </w:p>
        </w:tc>
        <w:tc>
          <w:tcPr>
            <w:tcW w:w="2266" w:type="dxa"/>
          </w:tcPr>
          <w:p w14:paraId="0B4941C4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  <w:tr w:rsidR="00324EB5" w:rsidRPr="00661C10" w14:paraId="418A5C6F" w14:textId="77777777" w:rsidTr="00126A4B">
        <w:tc>
          <w:tcPr>
            <w:tcW w:w="4531" w:type="dxa"/>
          </w:tcPr>
          <w:p w14:paraId="28BEF655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Streptococcus A, B, C, G</w:t>
            </w:r>
          </w:p>
        </w:tc>
        <w:tc>
          <w:tcPr>
            <w:tcW w:w="4532" w:type="dxa"/>
            <w:gridSpan w:val="2"/>
          </w:tcPr>
          <w:p w14:paraId="40FCE92E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Zaključak se izvodi na osnovu osjetljivosti na benzilpenicilin</w:t>
            </w:r>
          </w:p>
        </w:tc>
      </w:tr>
      <w:tr w:rsidR="00324EB5" w:rsidRPr="00661C10" w14:paraId="4AD3237F" w14:textId="77777777" w:rsidTr="00126A4B">
        <w:tc>
          <w:tcPr>
            <w:tcW w:w="4531" w:type="dxa"/>
          </w:tcPr>
          <w:p w14:paraId="7408D62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Streptococcus pneumoniae</w:t>
            </w:r>
          </w:p>
        </w:tc>
        <w:tc>
          <w:tcPr>
            <w:tcW w:w="2266" w:type="dxa"/>
          </w:tcPr>
          <w:p w14:paraId="120D83F9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2B8C923E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</w:tr>
      <w:tr w:rsidR="00324EB5" w:rsidRPr="00661C10" w14:paraId="1F6A9732" w14:textId="77777777" w:rsidTr="00126A4B">
        <w:tc>
          <w:tcPr>
            <w:tcW w:w="4531" w:type="dxa"/>
          </w:tcPr>
          <w:p w14:paraId="2105AA36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Viridans grupa streptokoka</w:t>
            </w:r>
          </w:p>
        </w:tc>
        <w:tc>
          <w:tcPr>
            <w:tcW w:w="2266" w:type="dxa"/>
          </w:tcPr>
          <w:p w14:paraId="715FA2BF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7CF35E03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</w:tr>
      <w:tr w:rsidR="00324EB5" w:rsidRPr="00661C10" w14:paraId="4A9D63E0" w14:textId="77777777" w:rsidTr="00126A4B">
        <w:tc>
          <w:tcPr>
            <w:tcW w:w="4531" w:type="dxa"/>
          </w:tcPr>
          <w:p w14:paraId="5737279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i/>
                <w:sz w:val="22"/>
                <w:szCs w:val="22"/>
              </w:rPr>
              <w:t>Haemophilus influenzae</w:t>
            </w:r>
          </w:p>
        </w:tc>
        <w:tc>
          <w:tcPr>
            <w:tcW w:w="2266" w:type="dxa"/>
          </w:tcPr>
          <w:p w14:paraId="79F792B0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29C37648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</w:tr>
      <w:tr w:rsidR="00324EB5" w:rsidRPr="00661C10" w14:paraId="066198B2" w14:textId="77777777" w:rsidTr="00126A4B">
        <w:tc>
          <w:tcPr>
            <w:tcW w:w="4531" w:type="dxa"/>
          </w:tcPr>
          <w:p w14:paraId="130D594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1507B">
              <w:rPr>
                <w:b/>
                <w:bCs/>
                <w:sz w:val="22"/>
                <w:szCs w:val="22"/>
              </w:rPr>
              <w:t>Moraxella catarrhalis</w:t>
            </w:r>
            <w:r w:rsidRPr="00E1507B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0227990C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266" w:type="dxa"/>
          </w:tcPr>
          <w:p w14:paraId="44270C12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2906D68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</w:tr>
      <w:tr w:rsidR="00324EB5" w:rsidRPr="00661C10" w14:paraId="2226655B" w14:textId="77777777" w:rsidTr="00126A4B">
        <w:tc>
          <w:tcPr>
            <w:tcW w:w="4531" w:type="dxa"/>
          </w:tcPr>
          <w:p w14:paraId="692BA45A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Gram-pozitivni anaerobi osim</w:t>
            </w:r>
            <w:r w:rsidRPr="00E1507B">
              <w:rPr>
                <w:bCs/>
                <w:i/>
                <w:sz w:val="22"/>
                <w:szCs w:val="22"/>
              </w:rPr>
              <w:t xml:space="preserve"> Clostridioides difficile</w:t>
            </w:r>
          </w:p>
        </w:tc>
        <w:tc>
          <w:tcPr>
            <w:tcW w:w="2266" w:type="dxa"/>
          </w:tcPr>
          <w:p w14:paraId="4A4CF9AB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06130152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  <w:tr w:rsidR="00324EB5" w:rsidRPr="00661C10" w14:paraId="0F71DED4" w14:textId="77777777" w:rsidTr="00126A4B">
        <w:tc>
          <w:tcPr>
            <w:tcW w:w="4531" w:type="dxa"/>
          </w:tcPr>
          <w:p w14:paraId="7BB3BBDC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 xml:space="preserve">Gram-negativni anaerobi </w:t>
            </w:r>
          </w:p>
          <w:p w14:paraId="346D0716" w14:textId="2AAB3B43" w:rsidR="00CA31F2" w:rsidRPr="00E1507B" w:rsidRDefault="00CA31F2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Bacillus spp. (not anthracis)</w:t>
            </w:r>
          </w:p>
          <w:p w14:paraId="4D82AC22" w14:textId="77777777" w:rsidR="00CA31F2" w:rsidRPr="00E1507B" w:rsidRDefault="00CA31F2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60B213C" w14:textId="4ABCF152" w:rsidR="00CA31F2" w:rsidRPr="00E1507B" w:rsidRDefault="00CA31F2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5F602FC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  <w:p w14:paraId="6406D815" w14:textId="0D847A4A" w:rsidR="00CA31F2" w:rsidRPr="00E1507B" w:rsidRDefault="00CA31F2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2266" w:type="dxa"/>
          </w:tcPr>
          <w:p w14:paraId="551B919C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  <w:p w14:paraId="759C7CEF" w14:textId="3EFFF358" w:rsidR="00CA31F2" w:rsidRPr="00E1507B" w:rsidRDefault="00CA31F2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0,5</w:t>
            </w:r>
          </w:p>
        </w:tc>
      </w:tr>
      <w:tr w:rsidR="00324EB5" w:rsidRPr="00661C10" w14:paraId="7AF81378" w14:textId="77777777" w:rsidTr="00126A4B">
        <w:tc>
          <w:tcPr>
            <w:tcW w:w="4531" w:type="dxa"/>
          </w:tcPr>
          <w:p w14:paraId="1E7E2430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E1507B">
              <w:rPr>
                <w:i/>
                <w:sz w:val="22"/>
                <w:szCs w:val="22"/>
              </w:rPr>
              <w:t>Burkholderia pseudomallei</w:t>
            </w:r>
          </w:p>
        </w:tc>
        <w:tc>
          <w:tcPr>
            <w:tcW w:w="2266" w:type="dxa"/>
          </w:tcPr>
          <w:p w14:paraId="683F0F9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5646F37E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</w:tr>
      <w:tr w:rsidR="00324EB5" w:rsidRPr="00661C10" w14:paraId="699F4FF0" w14:textId="77777777" w:rsidTr="00126A4B">
        <w:tc>
          <w:tcPr>
            <w:tcW w:w="4531" w:type="dxa"/>
          </w:tcPr>
          <w:p w14:paraId="1A0FD59C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1507B">
              <w:rPr>
                <w:sz w:val="22"/>
                <w:szCs w:val="22"/>
              </w:rPr>
              <w:t>Granične vrijednosti nepovezane sa vrstom bakterije</w:t>
            </w:r>
            <w:r w:rsidRPr="00E1507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</w:tcPr>
          <w:p w14:paraId="6C82949D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6" w:type="dxa"/>
          </w:tcPr>
          <w:p w14:paraId="688C4E28" w14:textId="77777777" w:rsidR="00324EB5" w:rsidRPr="00E1507B" w:rsidRDefault="00324EB5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1507B">
              <w:rPr>
                <w:bCs/>
                <w:sz w:val="22"/>
                <w:szCs w:val="22"/>
              </w:rPr>
              <w:t>4</w:t>
            </w:r>
          </w:p>
        </w:tc>
      </w:tr>
    </w:tbl>
    <w:p w14:paraId="1FCA8A3F" w14:textId="77777777" w:rsidR="00324EB5" w:rsidRPr="00E1507B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E1507B">
        <w:rPr>
          <w:bCs/>
          <w:sz w:val="22"/>
          <w:szCs w:val="22"/>
          <w:vertAlign w:val="superscript"/>
        </w:rPr>
        <w:t>1</w:t>
      </w:r>
      <w:r w:rsidRPr="00E1507B">
        <w:rPr>
          <w:bCs/>
          <w:sz w:val="22"/>
          <w:szCs w:val="22"/>
        </w:rPr>
        <w:t xml:space="preserve"> Niska aktivnost imipenema protiv </w:t>
      </w:r>
      <w:r w:rsidRPr="00E1507B">
        <w:rPr>
          <w:bCs/>
          <w:i/>
          <w:sz w:val="22"/>
          <w:szCs w:val="22"/>
        </w:rPr>
        <w:t>Morganella morganii</w:t>
      </w:r>
      <w:r w:rsidRPr="00E1507B">
        <w:rPr>
          <w:bCs/>
          <w:sz w:val="22"/>
          <w:szCs w:val="22"/>
        </w:rPr>
        <w:t xml:space="preserve">, </w:t>
      </w:r>
      <w:r w:rsidRPr="00E1507B">
        <w:rPr>
          <w:bCs/>
          <w:i/>
          <w:sz w:val="22"/>
          <w:szCs w:val="22"/>
        </w:rPr>
        <w:t>Proteus spp. i Providencia spp</w:t>
      </w:r>
      <w:r w:rsidRPr="00E1507B">
        <w:rPr>
          <w:bCs/>
          <w:sz w:val="22"/>
          <w:szCs w:val="22"/>
        </w:rPr>
        <w:t xml:space="preserve">. </w:t>
      </w:r>
      <w:r w:rsidR="00206A9D" w:rsidRPr="00E1507B">
        <w:rPr>
          <w:bCs/>
          <w:sz w:val="22"/>
          <w:szCs w:val="22"/>
        </w:rPr>
        <w:t>z</w:t>
      </w:r>
      <w:r w:rsidRPr="00E1507B">
        <w:rPr>
          <w:bCs/>
          <w:sz w:val="22"/>
          <w:szCs w:val="22"/>
        </w:rPr>
        <w:t>ahtjeva</w:t>
      </w:r>
      <w:r w:rsidR="00206A9D" w:rsidRPr="00E1507B">
        <w:rPr>
          <w:bCs/>
          <w:sz w:val="22"/>
          <w:szCs w:val="22"/>
        </w:rPr>
        <w:t xml:space="preserve"> </w:t>
      </w:r>
      <w:r w:rsidRPr="00E1507B">
        <w:rPr>
          <w:bCs/>
          <w:sz w:val="22"/>
          <w:szCs w:val="22"/>
        </w:rPr>
        <w:t>visoku izloženost imipenemu.</w:t>
      </w:r>
    </w:p>
    <w:p w14:paraId="3826677B" w14:textId="3A7D770D" w:rsidR="00324EB5" w:rsidRPr="00E1507B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E1507B">
        <w:rPr>
          <w:bCs/>
          <w:sz w:val="22"/>
          <w:szCs w:val="22"/>
        </w:rPr>
        <w:t>2 Neosjetljivi izolati su rijetki ili ni</w:t>
      </w:r>
      <w:r w:rsidR="004A1428" w:rsidRPr="00E1507B">
        <w:rPr>
          <w:bCs/>
          <w:sz w:val="22"/>
          <w:szCs w:val="22"/>
        </w:rPr>
        <w:t>je</w:t>
      </w:r>
      <w:r w:rsidRPr="00E1507B">
        <w:rPr>
          <w:bCs/>
          <w:sz w:val="22"/>
          <w:szCs w:val="22"/>
        </w:rPr>
        <w:t>su prijavljeni. Identifikacija i rezultat testa antimikrobne</w:t>
      </w:r>
      <w:r w:rsidR="006B0662" w:rsidRPr="00E1507B">
        <w:rPr>
          <w:bCs/>
          <w:sz w:val="22"/>
          <w:szCs w:val="22"/>
        </w:rPr>
        <w:t xml:space="preserve"> </w:t>
      </w:r>
      <w:r w:rsidRPr="00E1507B">
        <w:rPr>
          <w:bCs/>
          <w:sz w:val="22"/>
          <w:szCs w:val="22"/>
        </w:rPr>
        <w:t>osjetljivosti na bilo kom od ovih izolata moraju biti potvrđeni i izolat treba poslati u referentnu</w:t>
      </w:r>
      <w:r w:rsidR="006B0662" w:rsidRPr="00E1507B">
        <w:rPr>
          <w:bCs/>
          <w:sz w:val="22"/>
          <w:szCs w:val="22"/>
        </w:rPr>
        <w:t xml:space="preserve"> </w:t>
      </w:r>
      <w:r w:rsidRPr="00E1507B">
        <w:rPr>
          <w:bCs/>
          <w:sz w:val="22"/>
          <w:szCs w:val="22"/>
        </w:rPr>
        <w:t>laboratoriju.</w:t>
      </w:r>
    </w:p>
    <w:p w14:paraId="345CB64C" w14:textId="38C52D1F" w:rsidR="00324EB5" w:rsidRPr="00E1507B" w:rsidRDefault="00324EB5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E1507B">
        <w:rPr>
          <w:bCs/>
          <w:sz w:val="22"/>
          <w:szCs w:val="22"/>
        </w:rPr>
        <w:t xml:space="preserve">3 Granične vrijednosti nepovezane sa vrstom bakterije uglavnom se utvrđuju na osnovu podataka </w:t>
      </w:r>
      <w:r w:rsidR="00206A9D" w:rsidRPr="00E1507B">
        <w:rPr>
          <w:bCs/>
          <w:sz w:val="22"/>
          <w:szCs w:val="22"/>
        </w:rPr>
        <w:t>iz odnosa</w:t>
      </w:r>
      <w:r w:rsidRPr="00E1507B">
        <w:rPr>
          <w:bCs/>
          <w:sz w:val="22"/>
          <w:szCs w:val="22"/>
        </w:rPr>
        <w:t xml:space="preserve"> farmakokinetike i farmakodinamike (PK/PD), i ne zavise od rasporeda MIK za </w:t>
      </w:r>
      <w:r w:rsidR="00206A9D" w:rsidRPr="00E1507B">
        <w:rPr>
          <w:bCs/>
          <w:sz w:val="22"/>
          <w:szCs w:val="22"/>
        </w:rPr>
        <w:t>određene vrste</w:t>
      </w:r>
      <w:r w:rsidRPr="00E1507B">
        <w:rPr>
          <w:bCs/>
          <w:sz w:val="22"/>
          <w:szCs w:val="22"/>
        </w:rPr>
        <w:t>. Ove prelomne tačke se koriste samo za one vrste koje ni</w:t>
      </w:r>
      <w:r w:rsidR="004A1428" w:rsidRPr="00E1507B">
        <w:rPr>
          <w:bCs/>
          <w:sz w:val="22"/>
          <w:szCs w:val="22"/>
        </w:rPr>
        <w:t>je</w:t>
      </w:r>
      <w:r w:rsidRPr="00E1507B">
        <w:rPr>
          <w:bCs/>
          <w:sz w:val="22"/>
          <w:szCs w:val="22"/>
        </w:rPr>
        <w:t xml:space="preserve">su navedene u pregledu </w:t>
      </w:r>
      <w:r w:rsidR="00206A9D" w:rsidRPr="00E1507B">
        <w:rPr>
          <w:bCs/>
          <w:sz w:val="22"/>
          <w:szCs w:val="22"/>
        </w:rPr>
        <w:t>graničnih vrijednosti</w:t>
      </w:r>
      <w:r w:rsidRPr="00E1507B">
        <w:rPr>
          <w:bCs/>
          <w:sz w:val="22"/>
          <w:szCs w:val="22"/>
        </w:rPr>
        <w:t xml:space="preserve"> za određene vrste ili u beleškama na dnu strane (fusnotama).</w:t>
      </w:r>
    </w:p>
    <w:p w14:paraId="624EBD0A" w14:textId="77777777" w:rsidR="006B0662" w:rsidRPr="00661C10" w:rsidRDefault="006B0662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</w:p>
    <w:p w14:paraId="01B704B9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Osjetljivost</w:t>
      </w:r>
    </w:p>
    <w:p w14:paraId="653CE9BF" w14:textId="57038443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Prevalenca stečene rezistencije može da varira za </w:t>
      </w:r>
      <w:r w:rsidR="00DA0786" w:rsidRPr="00661C10">
        <w:rPr>
          <w:bCs/>
          <w:sz w:val="22"/>
          <w:szCs w:val="22"/>
        </w:rPr>
        <w:t>odre</w:t>
      </w:r>
      <w:r w:rsidR="00E1507B">
        <w:rPr>
          <w:bCs/>
          <w:sz w:val="22"/>
          <w:szCs w:val="22"/>
        </w:rPr>
        <w:t>đ</w:t>
      </w:r>
      <w:r w:rsidR="00DA0786" w:rsidRPr="00661C10">
        <w:rPr>
          <w:bCs/>
          <w:sz w:val="22"/>
          <w:szCs w:val="22"/>
        </w:rPr>
        <w:t xml:space="preserve">ene </w:t>
      </w:r>
      <w:r w:rsidRPr="00661C10">
        <w:rPr>
          <w:bCs/>
          <w:sz w:val="22"/>
          <w:szCs w:val="22"/>
        </w:rPr>
        <w:t xml:space="preserve">vrste mikroorganizama prema geografskom području i vremenu i </w:t>
      </w:r>
      <w:r w:rsidR="00DA0786" w:rsidRPr="00661C10">
        <w:rPr>
          <w:bCs/>
          <w:sz w:val="22"/>
          <w:szCs w:val="22"/>
        </w:rPr>
        <w:t xml:space="preserve">-zbog </w:t>
      </w:r>
      <w:r w:rsidRPr="00661C10">
        <w:rPr>
          <w:bCs/>
          <w:sz w:val="22"/>
          <w:szCs w:val="22"/>
        </w:rPr>
        <w:t xml:space="preserve">toga je poželjno da se dobiju lokalne informacije o rezistenciji, a posebno kada je </w:t>
      </w:r>
      <w:r w:rsidR="006B0662" w:rsidRPr="00661C10">
        <w:rPr>
          <w:bCs/>
          <w:sz w:val="22"/>
          <w:szCs w:val="22"/>
        </w:rPr>
        <w:t>u pitanju</w:t>
      </w:r>
      <w:r w:rsidRPr="00661C10">
        <w:rPr>
          <w:bCs/>
          <w:sz w:val="22"/>
          <w:szCs w:val="22"/>
        </w:rPr>
        <w:t xml:space="preserve"> liječenje teških infekcija. Ako je potrebno, treba potražiti stručni sav</w:t>
      </w:r>
      <w:r w:rsidR="006B0662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 xml:space="preserve">et u slučajevima kada je lokalna prevalenca rezistencije takva da je korišćenje datog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a, makar kod nekih vrsta infekcija, pod znakom pitanja.</w:t>
      </w:r>
    </w:p>
    <w:p w14:paraId="6CE03B99" w14:textId="77777777" w:rsidR="006B0662" w:rsidRPr="00661C10" w:rsidRDefault="006B0662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15B4D0C" w14:textId="77777777" w:rsidR="00324EB5" w:rsidRPr="00661C10" w:rsidRDefault="00324EB5" w:rsidP="00E1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Uobičajeno osetljive vrste:</w:t>
      </w:r>
    </w:p>
    <w:p w14:paraId="56A7B7EC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Gram-pozitivni aerobi:</w:t>
      </w:r>
    </w:p>
    <w:p w14:paraId="7B47CE98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Enterococcus faecalis</w:t>
      </w:r>
    </w:p>
    <w:p w14:paraId="0CCD92B6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Staphylococcus aureus (</w:t>
      </w:r>
      <w:r w:rsidRPr="00661C10">
        <w:rPr>
          <w:bCs/>
          <w:sz w:val="22"/>
          <w:szCs w:val="22"/>
        </w:rPr>
        <w:t xml:space="preserve">meticilin </w:t>
      </w:r>
      <w:proofErr w:type="gramStart"/>
      <w:r w:rsidRPr="00661C10">
        <w:rPr>
          <w:bCs/>
          <w:sz w:val="22"/>
          <w:szCs w:val="22"/>
        </w:rPr>
        <w:t>osetljivi</w:t>
      </w:r>
      <w:r w:rsidRPr="00661C10">
        <w:rPr>
          <w:bCs/>
          <w:i/>
          <w:sz w:val="22"/>
          <w:szCs w:val="22"/>
        </w:rPr>
        <w:t>)*</w:t>
      </w:r>
      <w:proofErr w:type="gramEnd"/>
    </w:p>
    <w:p w14:paraId="4581FC66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Staphylococcus koagulaza negativni (</w:t>
      </w:r>
      <w:r w:rsidRPr="00661C10">
        <w:rPr>
          <w:bCs/>
          <w:sz w:val="22"/>
          <w:szCs w:val="22"/>
        </w:rPr>
        <w:t>meticilin osetljivi</w:t>
      </w:r>
      <w:r w:rsidRPr="00661C10">
        <w:rPr>
          <w:bCs/>
          <w:i/>
          <w:sz w:val="22"/>
          <w:szCs w:val="22"/>
        </w:rPr>
        <w:t>)</w:t>
      </w:r>
    </w:p>
    <w:p w14:paraId="26BCBC4F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Streptococcus agalactiae</w:t>
      </w:r>
    </w:p>
    <w:p w14:paraId="3190E1B7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lastRenderedPageBreak/>
        <w:t>Streptococcus pneumoniae</w:t>
      </w:r>
    </w:p>
    <w:p w14:paraId="1E2FFA1B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Streptococcus pyogenes</w:t>
      </w:r>
    </w:p>
    <w:p w14:paraId="319AA25F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i/>
          <w:sz w:val="22"/>
          <w:szCs w:val="22"/>
        </w:rPr>
        <w:t>Streptococcus viridans grupa</w:t>
      </w:r>
    </w:p>
    <w:p w14:paraId="1453D1B5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6EA0D342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Gram-negativni aerobi:</w:t>
      </w:r>
    </w:p>
    <w:p w14:paraId="2AD58842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Citrobacter freundii</w:t>
      </w:r>
    </w:p>
    <w:p w14:paraId="5CD91A6D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Enterobacter aerogenes</w:t>
      </w:r>
    </w:p>
    <w:p w14:paraId="0FD7A842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Enterobacter cloacae</w:t>
      </w:r>
    </w:p>
    <w:p w14:paraId="5F5EAB97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Eschericia coli</w:t>
      </w:r>
    </w:p>
    <w:p w14:paraId="4DE9A1DC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Haemophilus influenzae</w:t>
      </w:r>
    </w:p>
    <w:p w14:paraId="16F3653E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Klebsiella oxytoca</w:t>
      </w:r>
    </w:p>
    <w:p w14:paraId="127FB9B8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Klebsiella pneumoniae</w:t>
      </w:r>
    </w:p>
    <w:p w14:paraId="4904722E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Moraxella catarrhalis</w:t>
      </w:r>
    </w:p>
    <w:p w14:paraId="4A9D1A3D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Serratia marcescens</w:t>
      </w:r>
    </w:p>
    <w:p w14:paraId="08047399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</w:p>
    <w:p w14:paraId="2DD37B77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Gram-pozitivni anaerobi:</w:t>
      </w:r>
    </w:p>
    <w:p w14:paraId="253457A1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Clostridium perfringens**</w:t>
      </w:r>
    </w:p>
    <w:p w14:paraId="417B51E0" w14:textId="77777777" w:rsidR="00A40327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Peptostreptococcus spp.**</w:t>
      </w:r>
    </w:p>
    <w:p w14:paraId="3EE43084" w14:textId="31E1E0D6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/>
          <w:bCs/>
          <w:sz w:val="22"/>
          <w:szCs w:val="22"/>
        </w:rPr>
        <w:t>Gram-negativni anaerobi:</w:t>
      </w:r>
    </w:p>
    <w:p w14:paraId="5325FFA9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Bacteroides fragilis</w:t>
      </w:r>
    </w:p>
    <w:p w14:paraId="73CDC9B6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Bacteroides fragilis grupa</w:t>
      </w:r>
    </w:p>
    <w:p w14:paraId="38C04AB9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Fusobacterium spp.</w:t>
      </w:r>
    </w:p>
    <w:p w14:paraId="43FF5B92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Porphyromonas asaccharolytica</w:t>
      </w:r>
    </w:p>
    <w:p w14:paraId="3668CB01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Prevotella spp.</w:t>
      </w:r>
    </w:p>
    <w:p w14:paraId="6D40AC78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Cs/>
          <w:i/>
          <w:sz w:val="22"/>
          <w:szCs w:val="22"/>
        </w:rPr>
        <w:t>Veillonella spp</w:t>
      </w:r>
      <w:r w:rsidRPr="00661C10">
        <w:rPr>
          <w:b/>
          <w:bCs/>
          <w:sz w:val="22"/>
          <w:szCs w:val="22"/>
        </w:rPr>
        <w:t>.</w:t>
      </w:r>
    </w:p>
    <w:p w14:paraId="65255FE4" w14:textId="77777777" w:rsidR="00324EB5" w:rsidRPr="00661C10" w:rsidRDefault="00324EB5" w:rsidP="00E1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Vrste za koje stečena rezistencija može da predstavlja problem:</w:t>
      </w:r>
    </w:p>
    <w:p w14:paraId="65DCA809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Gram-negativni aerobi:</w:t>
      </w:r>
    </w:p>
    <w:p w14:paraId="5D2744EC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Acinetobacter calcoaceticus baumannii komp</w:t>
      </w:r>
      <w:r w:rsidR="00126A4B" w:rsidRPr="00661C10">
        <w:rPr>
          <w:bCs/>
          <w:i/>
          <w:sz w:val="22"/>
          <w:szCs w:val="22"/>
        </w:rPr>
        <w:t>lijek</w:t>
      </w:r>
      <w:r w:rsidRPr="00661C10">
        <w:rPr>
          <w:bCs/>
          <w:i/>
          <w:sz w:val="22"/>
          <w:szCs w:val="22"/>
        </w:rPr>
        <w:t>s</w:t>
      </w:r>
    </w:p>
    <w:p w14:paraId="468C01E7" w14:textId="3300D9F0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Pseudomonas aeruginosa</w:t>
      </w:r>
    </w:p>
    <w:p w14:paraId="134CA157" w14:textId="77777777" w:rsidR="00A40327" w:rsidRPr="00661C10" w:rsidRDefault="00A4032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40327" w:rsidRPr="00661C10" w14:paraId="5B1E3CE2" w14:textId="77777777" w:rsidTr="00A40327">
        <w:tc>
          <w:tcPr>
            <w:tcW w:w="9063" w:type="dxa"/>
          </w:tcPr>
          <w:p w14:paraId="7071DC53" w14:textId="02FB48D0" w:rsidR="00A40327" w:rsidRPr="00661C10" w:rsidRDefault="00A40327" w:rsidP="00E1507B">
            <w:pPr>
              <w:tabs>
                <w:tab w:val="left" w:pos="540"/>
                <w:tab w:val="left" w:pos="569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661C10">
              <w:rPr>
                <w:b/>
                <w:iCs/>
                <w:sz w:val="22"/>
                <w:szCs w:val="22"/>
              </w:rPr>
              <w:t>Prirodno rezistentne vrste:</w:t>
            </w:r>
          </w:p>
        </w:tc>
      </w:tr>
    </w:tbl>
    <w:p w14:paraId="06404DB7" w14:textId="77777777" w:rsidR="00324EB5" w:rsidRPr="00ED2C45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iCs/>
          <w:sz w:val="22"/>
          <w:szCs w:val="22"/>
        </w:rPr>
      </w:pPr>
      <w:r w:rsidRPr="00ED2C45">
        <w:rPr>
          <w:b/>
          <w:iCs/>
          <w:sz w:val="22"/>
          <w:szCs w:val="22"/>
        </w:rPr>
        <w:t>Gram-pozitivni aerobi:</w:t>
      </w:r>
    </w:p>
    <w:p w14:paraId="6BF209E5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Enterococcus faecium</w:t>
      </w:r>
    </w:p>
    <w:p w14:paraId="25D8E24A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Gram-negativni aerobi:</w:t>
      </w:r>
    </w:p>
    <w:p w14:paraId="0C6E0781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sz w:val="22"/>
          <w:szCs w:val="22"/>
        </w:rPr>
        <w:t>Neki sojevi</w:t>
      </w:r>
      <w:r w:rsidRPr="00661C10">
        <w:rPr>
          <w:bCs/>
          <w:i/>
          <w:sz w:val="22"/>
          <w:szCs w:val="22"/>
        </w:rPr>
        <w:t xml:space="preserve"> Burkholderia cepacia-</w:t>
      </w:r>
      <w:r w:rsidRPr="00661C10">
        <w:rPr>
          <w:bCs/>
          <w:sz w:val="22"/>
          <w:szCs w:val="22"/>
        </w:rPr>
        <w:t>komp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s</w:t>
      </w:r>
    </w:p>
    <w:p w14:paraId="74229270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Legionella spp.</w:t>
      </w:r>
    </w:p>
    <w:p w14:paraId="6D58C3D4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Stenotrophomonas maltophilia (ranije Xanthomonas maltophilia, prethodno Pseudomonas maltophilia)</w:t>
      </w:r>
    </w:p>
    <w:p w14:paraId="015D80A6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</w:p>
    <w:p w14:paraId="7B1D11AE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Ostali:</w:t>
      </w:r>
    </w:p>
    <w:p w14:paraId="253C34F4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Chlamydia spp.</w:t>
      </w:r>
    </w:p>
    <w:p w14:paraId="11C83382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Chlamydophila spp.</w:t>
      </w:r>
    </w:p>
    <w:p w14:paraId="486CC4EA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Mycoplasma spp.</w:t>
      </w:r>
    </w:p>
    <w:p w14:paraId="0FCB11D0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Ureoplasma urealyticum</w:t>
      </w:r>
    </w:p>
    <w:p w14:paraId="7C771301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*Sve meticilin rezistentne stafilokoke su rezistentne na imipenem/cilastatin.</w:t>
      </w:r>
    </w:p>
    <w:p w14:paraId="7F210146" w14:textId="03374BDA" w:rsidR="00324EB5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**Korišćena je EUCAST granična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nepovezana sa vrstom bakterije</w:t>
      </w:r>
      <w:r w:rsidRPr="00661C10">
        <w:rPr>
          <w:bCs/>
          <w:sz w:val="22"/>
          <w:szCs w:val="22"/>
        </w:rPr>
        <w:cr/>
      </w:r>
    </w:p>
    <w:p w14:paraId="7B65A0AA" w14:textId="78AF6816" w:rsidR="006F28B7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C38FA0B" w14:textId="3CFE68D3" w:rsidR="006F28B7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70843B8" w14:textId="77777777" w:rsidR="006F28B7" w:rsidRPr="00ED2C45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CE24A99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lastRenderedPageBreak/>
        <w:t xml:space="preserve">5.2.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Farmakokinetički podaci</w:t>
      </w:r>
      <w:r w:rsidR="003A7059" w:rsidRPr="00661C10">
        <w:rPr>
          <w:b/>
          <w:bCs/>
          <w:sz w:val="22"/>
          <w:szCs w:val="22"/>
        </w:rPr>
        <w:t xml:space="preserve"> </w:t>
      </w:r>
    </w:p>
    <w:p w14:paraId="7054AFF0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BEE7AA7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Imipenem</w:t>
      </w:r>
    </w:p>
    <w:p w14:paraId="06E44B3D" w14:textId="77777777" w:rsidR="004F7A48" w:rsidRPr="00661C10" w:rsidRDefault="004F7A48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F270C4B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Resorpcija</w:t>
      </w:r>
    </w:p>
    <w:p w14:paraId="27E394F2" w14:textId="3CF5DE66" w:rsidR="00324EB5" w:rsidRPr="00661C10" w:rsidRDefault="00324EB5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Intravenska infuzija imipenema/cilastatina, u trajanju od 20 minuta, </w:t>
      </w:r>
      <w:r w:rsidR="00126A4B" w:rsidRPr="00661C10">
        <w:rPr>
          <w:bCs/>
          <w:sz w:val="22"/>
          <w:szCs w:val="22"/>
        </w:rPr>
        <w:t>prim</w:t>
      </w:r>
      <w:r w:rsidR="00065BF7" w:rsidRPr="00661C10">
        <w:rPr>
          <w:bCs/>
          <w:sz w:val="22"/>
          <w:szCs w:val="22"/>
        </w:rPr>
        <w:t>i</w:t>
      </w:r>
      <w:r w:rsidR="00126A4B" w:rsidRPr="00661C10">
        <w:rPr>
          <w:bCs/>
          <w:sz w:val="22"/>
          <w:szCs w:val="22"/>
        </w:rPr>
        <w:t>jen</w:t>
      </w:r>
      <w:r w:rsidRPr="00661C10">
        <w:rPr>
          <w:bCs/>
          <w:sz w:val="22"/>
          <w:szCs w:val="22"/>
        </w:rPr>
        <w:t>jena zdravim dobrovoljcima dovela je do maksimalnih koncentracija imipenema u plazmi, koje su se kretale u opsegu od 12 do 20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kada je </w:t>
      </w:r>
      <w:r w:rsidR="00126A4B" w:rsidRPr="00661C10">
        <w:rPr>
          <w:bCs/>
          <w:sz w:val="22"/>
          <w:szCs w:val="22"/>
        </w:rPr>
        <w:t>prim</w:t>
      </w:r>
      <w:r w:rsidR="00065BF7" w:rsidRPr="00661C10">
        <w:rPr>
          <w:bCs/>
          <w:sz w:val="22"/>
          <w:szCs w:val="22"/>
        </w:rPr>
        <w:t>i</w:t>
      </w:r>
      <w:r w:rsidR="00126A4B" w:rsidRPr="00661C10">
        <w:rPr>
          <w:bCs/>
          <w:sz w:val="22"/>
          <w:szCs w:val="22"/>
        </w:rPr>
        <w:t>jen</w:t>
      </w:r>
      <w:r w:rsidRPr="00661C10">
        <w:rPr>
          <w:bCs/>
          <w:sz w:val="22"/>
          <w:szCs w:val="22"/>
        </w:rPr>
        <w:t>jena doza od 250 mg/250 mg, od 21 do 58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kada je </w:t>
      </w:r>
      <w:r w:rsidR="00126A4B" w:rsidRPr="00661C10">
        <w:rPr>
          <w:bCs/>
          <w:sz w:val="22"/>
          <w:szCs w:val="22"/>
        </w:rPr>
        <w:t>prim</w:t>
      </w:r>
      <w:r w:rsidR="00065BF7" w:rsidRPr="00661C10">
        <w:rPr>
          <w:bCs/>
          <w:sz w:val="22"/>
          <w:szCs w:val="22"/>
        </w:rPr>
        <w:t>i</w:t>
      </w:r>
      <w:r w:rsidR="00126A4B" w:rsidRPr="00661C10">
        <w:rPr>
          <w:bCs/>
          <w:sz w:val="22"/>
          <w:szCs w:val="22"/>
        </w:rPr>
        <w:t>jen</w:t>
      </w:r>
      <w:r w:rsidRPr="00661C10">
        <w:rPr>
          <w:bCs/>
          <w:sz w:val="22"/>
          <w:szCs w:val="22"/>
        </w:rPr>
        <w:t>jena doza od 500 mg/500 mg i od 41 do 83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kada je </w:t>
      </w:r>
      <w:r w:rsidR="00126A4B" w:rsidRPr="00661C10">
        <w:rPr>
          <w:bCs/>
          <w:sz w:val="22"/>
          <w:szCs w:val="22"/>
        </w:rPr>
        <w:t>prim</w:t>
      </w:r>
      <w:r w:rsidR="00065BF7" w:rsidRPr="00661C10">
        <w:rPr>
          <w:bCs/>
          <w:sz w:val="22"/>
          <w:szCs w:val="22"/>
        </w:rPr>
        <w:t>i</w:t>
      </w:r>
      <w:r w:rsidR="00126A4B" w:rsidRPr="00661C10">
        <w:rPr>
          <w:bCs/>
          <w:sz w:val="22"/>
          <w:szCs w:val="22"/>
        </w:rPr>
        <w:t>jen</w:t>
      </w:r>
      <w:r w:rsidRPr="00661C10">
        <w:rPr>
          <w:bCs/>
          <w:sz w:val="22"/>
          <w:szCs w:val="22"/>
        </w:rPr>
        <w:t>jena doza od 1000</w:t>
      </w:r>
      <w:r w:rsidR="00E1507B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mg/1000 mg. Srednja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maksimalne koncentracije imipenema u plazmi, posle </w:t>
      </w:r>
      <w:r w:rsidR="00126A4B" w:rsidRPr="00661C10">
        <w:rPr>
          <w:bCs/>
          <w:sz w:val="22"/>
          <w:szCs w:val="22"/>
        </w:rPr>
        <w:t>prim</w:t>
      </w:r>
      <w:r w:rsidR="00065BF7" w:rsidRPr="00661C10">
        <w:rPr>
          <w:bCs/>
          <w:sz w:val="22"/>
          <w:szCs w:val="22"/>
        </w:rPr>
        <w:t>i</w:t>
      </w:r>
      <w:r w:rsidR="00126A4B" w:rsidRPr="00661C10">
        <w:rPr>
          <w:bCs/>
          <w:sz w:val="22"/>
          <w:szCs w:val="22"/>
        </w:rPr>
        <w:t>jen</w:t>
      </w:r>
      <w:r w:rsidRPr="00661C10">
        <w:rPr>
          <w:bCs/>
          <w:sz w:val="22"/>
          <w:szCs w:val="22"/>
        </w:rPr>
        <w:t>e doze od 250 mg/250 mg, iznosila je 17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, posl</w:t>
      </w:r>
      <w:r w:rsidR="00065BF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doze od 500 mg/500 mg ta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je bila 39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, a posl</w:t>
      </w:r>
      <w:r w:rsidR="00065BF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doze od 1000 mg/1000 mg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je bila 66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. Pri ovim dozama, nakon četiri do šest sati, koncentracije imipenema u plazmi opadaju na 1 mikrogram/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 ili manje.</w:t>
      </w:r>
    </w:p>
    <w:p w14:paraId="60D5C8CD" w14:textId="77777777" w:rsidR="004F7A48" w:rsidRPr="00661C10" w:rsidRDefault="004F7A48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48545DB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Distribucija</w:t>
      </w:r>
    </w:p>
    <w:p w14:paraId="07D58CD2" w14:textId="77777777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Vezivanje imipenema za serumske proteine iznosi približno 20%.</w:t>
      </w:r>
    </w:p>
    <w:p w14:paraId="268818DA" w14:textId="77777777" w:rsidR="00053287" w:rsidRPr="00661C10" w:rsidRDefault="00053287" w:rsidP="00DA0786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0A14D9B" w14:textId="77777777" w:rsidR="00012718" w:rsidRPr="00661C10" w:rsidRDefault="00324EB5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Biotransformacija</w:t>
      </w:r>
    </w:p>
    <w:p w14:paraId="5A50A8D6" w14:textId="691A4A4D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Kada se </w:t>
      </w:r>
      <w:r w:rsidR="00126A4B" w:rsidRPr="00661C10">
        <w:rPr>
          <w:bCs/>
          <w:sz w:val="22"/>
          <w:szCs w:val="22"/>
        </w:rPr>
        <w:t>primjenjuje</w:t>
      </w:r>
      <w:r w:rsidRPr="00661C10">
        <w:rPr>
          <w:bCs/>
          <w:sz w:val="22"/>
          <w:szCs w:val="22"/>
        </w:rPr>
        <w:t xml:space="preserve"> u monoterapiji, imipenem se metaboliše u bubrezima preko enzima dihidropeptidaze-I. </w:t>
      </w:r>
    </w:p>
    <w:p w14:paraId="6369F0A8" w14:textId="1F8300EF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Prema podacima iz nekoliko studija, izlučivanje prisustvo imipenema urinom bilo je u opsegu od 5% do</w:t>
      </w:r>
    </w:p>
    <w:p w14:paraId="724251D7" w14:textId="77777777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40%, a srednja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iznosila je 15-20%.</w:t>
      </w:r>
    </w:p>
    <w:p w14:paraId="27D1859E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54AAC20" w14:textId="7FC79CA6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Cilastatin je specifični inhibitor enzima dihidropeptidaza-I i efikasno inhibira metabolizam imipenema, tako da istovremena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a imipenema i cilastatina omogućava da se dostignu terapijske antibakterijske koncentracije imipenema i u urinu i u plazmi.</w:t>
      </w:r>
    </w:p>
    <w:p w14:paraId="4CBA2DC0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D7A0EC5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Eliminacija</w:t>
      </w:r>
    </w:p>
    <w:p w14:paraId="6E95643F" w14:textId="785EAAAB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Poluvr</w:t>
      </w:r>
      <w:r w:rsidR="0005328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eme eliminacije imipenema iz plazme je jedan sat. Približno 70% un</w:t>
      </w:r>
      <w:r w:rsidR="0005328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etog antibiotika se izluči urinom u</w:t>
      </w:r>
      <w:r w:rsidR="00065BF7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neprom</w:t>
      </w:r>
      <w:r w:rsidR="0005328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enjenom obliku, u roku od deset sati, posl</w:t>
      </w:r>
      <w:r w:rsidR="00065BF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 čega nije uočeno dalje izlučivanje imipenema urinom. </w:t>
      </w:r>
    </w:p>
    <w:p w14:paraId="7433A611" w14:textId="77777777" w:rsidR="00324EB5" w:rsidRPr="00661C10" w:rsidRDefault="00324EB5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Tokom perioda do osam sati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imipenema/cilastatina u dozi od 500 mg/500 mg, koncentracije imipenema u urinu bile su veće od 10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. Ostatak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jene doze izluči se putem urina u obliku antibakterijski inaktivnih metabolita, a izlučivanje imipenema putem fecesa je zanemarljivo.</w:t>
      </w:r>
    </w:p>
    <w:p w14:paraId="7448E824" w14:textId="2BFFB4DF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Kada se imipenem/cilastatin davao u režimima doziranja na svakih 6 sati pacijentima sa normalnom funkcijom bubrega, nije uočena akumulacija imipenema u plazmi ili u urinu.</w:t>
      </w:r>
    </w:p>
    <w:p w14:paraId="2BFEA2F1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62BDC6C0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Cilastatin</w:t>
      </w:r>
    </w:p>
    <w:p w14:paraId="257E8D5E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</w:p>
    <w:p w14:paraId="03020BEB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Resorpcija</w:t>
      </w:r>
    </w:p>
    <w:p w14:paraId="008FF5C4" w14:textId="77777777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Intravenska infuzija imipenema/cilastatina , u trajanju od 20 minuta, dovela je do maksimalnih koncentracija cilastatina u plazmi koje su se kretale u opsegu od 21 do 26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kada je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jena doza od 250 mg/250 mg, odnosno od 21 do 55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kada je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jena doza od 500 mg/500 mg, i od 56 do 88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kada je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jena doza od 1000 mg/1000 mg. Srednja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maksimalne koncentracije cilastatina u plazmi posle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doze od 250 mg/250 mg iznosila je 22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, posle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doze od 500 mg/500 mg ta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je bila 42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, a 72 mikrograma/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 xml:space="preserve">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doze od 1000 mg/1000 mg.</w:t>
      </w:r>
    </w:p>
    <w:p w14:paraId="2DD406F2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A1B38DE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lastRenderedPageBreak/>
        <w:t>Distribucija</w:t>
      </w:r>
    </w:p>
    <w:p w14:paraId="416163DE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Vezivanje cilastatina za serumske proteine iznosi približno 40%.</w:t>
      </w:r>
    </w:p>
    <w:p w14:paraId="50411B42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6CBF841F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i/>
          <w:sz w:val="22"/>
          <w:szCs w:val="22"/>
        </w:rPr>
      </w:pPr>
      <w:r w:rsidRPr="00661C10">
        <w:rPr>
          <w:bCs/>
          <w:i/>
          <w:sz w:val="22"/>
          <w:szCs w:val="22"/>
        </w:rPr>
        <w:t>Biotransformacija i eliminacija</w:t>
      </w:r>
    </w:p>
    <w:p w14:paraId="0A3C8E9A" w14:textId="77777777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Poluvr</w:t>
      </w:r>
      <w:r w:rsidR="0005328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eme eliminacije cilastatina iz plazme je oko jedan sat. Približno 70-80% un</w:t>
      </w:r>
      <w:r w:rsidR="0005328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ete doze cilastatina se izluči urinom u neprom</w:t>
      </w:r>
      <w:r w:rsidR="00053287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 xml:space="preserve">enjenom obliku, kao cilastatin, u periodu od deset sati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imipenema/cilastatina. Nakon toga nije uočeno dalje izlučivanje cilastatina urinom. Približno 10% cilastatina je pronađeno u obliku N-acetil metabolita koji poseduje inhibitornu aktivno</w:t>
      </w:r>
      <w:r w:rsidR="00053287" w:rsidRPr="00661C10">
        <w:rPr>
          <w:bCs/>
          <w:sz w:val="22"/>
          <w:szCs w:val="22"/>
        </w:rPr>
        <w:t xml:space="preserve">st prema dihidropeptidazi, isto </w:t>
      </w:r>
      <w:r w:rsidRPr="00661C10">
        <w:rPr>
          <w:bCs/>
          <w:sz w:val="22"/>
          <w:szCs w:val="22"/>
        </w:rPr>
        <w:t>kao i cilastatin. Aktivnost dihidropeptidaze-I u bubrezima vraća se na normalan nivo ubrzo nakon eliminacije cilastatina iz cirkulacije.</w:t>
      </w:r>
    </w:p>
    <w:p w14:paraId="3EB6F997" w14:textId="77777777" w:rsidR="00065BF7" w:rsidRPr="00661C10" w:rsidRDefault="00065BF7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9A2ABE6" w14:textId="3D691108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Farmakokinetika kod posebnih populacija</w:t>
      </w:r>
    </w:p>
    <w:p w14:paraId="70A9994D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56B1DD4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Oštećenje funkcije bubrega</w:t>
      </w:r>
    </w:p>
    <w:p w14:paraId="3F96AE0C" w14:textId="4883DA4D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U poređenju sa pacijentima sa normalnom funkcijom bubrega (klirens kreatinina (CrCL) &gt; 80 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/min/1,73 m</w:t>
      </w:r>
      <w:r w:rsidRPr="00661C10">
        <w:rPr>
          <w:bCs/>
          <w:sz w:val="22"/>
          <w:szCs w:val="22"/>
          <w:vertAlign w:val="superscript"/>
        </w:rPr>
        <w:t>2</w:t>
      </w:r>
      <w:r w:rsidRPr="00661C10">
        <w:rPr>
          <w:bCs/>
          <w:sz w:val="22"/>
          <w:szCs w:val="22"/>
        </w:rPr>
        <w:t xml:space="preserve">), nakon intravenske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pojedinačne doze imipenema/cilastatina od 250 mg/250 mg kod pacijenatasa blagim oštećenjem funkcije bubrega (CrCL 50-80 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/min/1,73 m</w:t>
      </w:r>
      <w:r w:rsidRPr="00661C10">
        <w:rPr>
          <w:bCs/>
          <w:sz w:val="22"/>
          <w:szCs w:val="22"/>
          <w:vertAlign w:val="superscript"/>
        </w:rPr>
        <w:t>2</w:t>
      </w:r>
      <w:r w:rsidRPr="00661C10">
        <w:rPr>
          <w:bCs/>
          <w:sz w:val="22"/>
          <w:szCs w:val="22"/>
        </w:rPr>
        <w:t xml:space="preserve">), površina ispod krive (PIK) imipenema povećala se 1,1 puta;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iste doze pacijentima sa um</w:t>
      </w:r>
      <w:r w:rsidR="00053287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 xml:space="preserve">erenim oštećenjem funkcije bubrega (CrCL 30 - &lt;50 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/min/1,73 m</w:t>
      </w:r>
      <w:r w:rsidRPr="00661C10">
        <w:rPr>
          <w:bCs/>
          <w:sz w:val="22"/>
          <w:szCs w:val="22"/>
          <w:vertAlign w:val="superscript"/>
        </w:rPr>
        <w:t>2</w:t>
      </w:r>
      <w:r w:rsidRPr="00661C10">
        <w:rPr>
          <w:bCs/>
          <w:sz w:val="22"/>
          <w:szCs w:val="22"/>
        </w:rPr>
        <w:t xml:space="preserve">) PIK imipenema se povećao 1,9 puta, a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kod</w:t>
      </w:r>
      <w:r w:rsidR="00053287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pacijenata sa teškim oštećenjem funkcije bubrega (CrCL &lt;30 </w:t>
      </w:r>
      <w:r w:rsidR="00126A4B" w:rsidRPr="00661C10">
        <w:rPr>
          <w:bCs/>
          <w:sz w:val="22"/>
          <w:szCs w:val="22"/>
        </w:rPr>
        <w:t>ml</w:t>
      </w:r>
      <w:r w:rsidRPr="00661C10">
        <w:rPr>
          <w:bCs/>
          <w:sz w:val="22"/>
          <w:szCs w:val="22"/>
        </w:rPr>
        <w:t>/min/1,73 m</w:t>
      </w:r>
      <w:r w:rsidRPr="00661C10">
        <w:rPr>
          <w:bCs/>
          <w:sz w:val="22"/>
          <w:szCs w:val="22"/>
          <w:vertAlign w:val="superscript"/>
        </w:rPr>
        <w:t>2</w:t>
      </w:r>
      <w:r w:rsidRPr="00661C10">
        <w:rPr>
          <w:bCs/>
          <w:sz w:val="22"/>
          <w:szCs w:val="22"/>
        </w:rPr>
        <w:t>)</w:t>
      </w:r>
      <w:r w:rsidR="00012718" w:rsidRPr="00661C10">
        <w:rPr>
          <w:bCs/>
          <w:sz w:val="22"/>
          <w:szCs w:val="22"/>
        </w:rPr>
        <w:t xml:space="preserve">, </w:t>
      </w:r>
      <w:r w:rsidRPr="00661C10">
        <w:rPr>
          <w:bCs/>
          <w:sz w:val="22"/>
          <w:szCs w:val="22"/>
        </w:rPr>
        <w:t xml:space="preserve">to povećanje je bilo 2,7 puta. </w:t>
      </w:r>
    </w:p>
    <w:p w14:paraId="129FC5B9" w14:textId="165E2E72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PIK cilastatina povećao se 1,6 puta kod pacijenata sa blagim oštećenjem funkcije bubrega, 2,0 puta kod pacijenata sa um</w:t>
      </w:r>
      <w:r w:rsidR="00053287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 xml:space="preserve">erenim oštećenjem funkcije bubrega i 6,2 puta kod pacijenata sa teškim oštećenjem funkcije bubrega u poređenju sa pacijentima sa normalnom funkcijom bubrega. Nakon intravenske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pojedinačne doze imipenema/cilastatina od 250 mg/250 mg, 24 sata nakon hemodijalize, PIK imipenema bio je 3,7 puta veći, a PIK cilastatina se povećao 16,4 puta u poređenju sa pacijentima sa normalnom funkcijom</w:t>
      </w:r>
      <w:r w:rsidR="00065BF7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bubrega. Nakon intravenske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imipenema/cilastatina, izlučivanje urinom, bubrežni klirens i plazma klirens imipenema i cilastatina se smanjuju </w:t>
      </w:r>
      <w:r w:rsidR="00053287" w:rsidRPr="00661C10">
        <w:rPr>
          <w:bCs/>
          <w:sz w:val="22"/>
          <w:szCs w:val="22"/>
        </w:rPr>
        <w:t>sa smanjenjem funkcije bubrega.</w:t>
      </w:r>
      <w:r w:rsidR="0001271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Prilagođavanje doze je neophodno kod pacijenata sa oštećenom funkcijom bubrega (</w:t>
      </w:r>
      <w:proofErr w:type="gramStart"/>
      <w:r w:rsidR="0001527F" w:rsidRPr="00661C10">
        <w:rPr>
          <w:bCs/>
          <w:sz w:val="22"/>
          <w:szCs w:val="22"/>
        </w:rPr>
        <w:t xml:space="preserve">vidjeti 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proofErr w:type="gramEnd"/>
      <w:r w:rsidRPr="00661C10">
        <w:rPr>
          <w:bCs/>
          <w:sz w:val="22"/>
          <w:szCs w:val="22"/>
        </w:rPr>
        <w:t xml:space="preserve"> 4.2).</w:t>
      </w:r>
    </w:p>
    <w:p w14:paraId="16710900" w14:textId="77777777" w:rsidR="00053287" w:rsidRPr="00661C10" w:rsidRDefault="00053287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97300B9" w14:textId="77777777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Oštećenje funkcije jetre</w:t>
      </w:r>
    </w:p>
    <w:p w14:paraId="1BEF63C5" w14:textId="4F2F564E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Farmakokinetika imipenema kod pacijenata sa oštećenjem funkcije jetre nije ustanovljena. Usled ograničenog metabolizma imipenema u jetri, ne očekuje se izm</w:t>
      </w:r>
      <w:r w:rsidR="00053287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>ena farmakokinetike kod oštećenja</w:t>
      </w:r>
      <w:r w:rsidR="00053287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funkcije jetre. </w:t>
      </w:r>
      <w:r w:rsidR="00065BF7" w:rsidRPr="00661C10">
        <w:rPr>
          <w:bCs/>
          <w:sz w:val="22"/>
          <w:szCs w:val="22"/>
        </w:rPr>
        <w:t xml:space="preserve">Zbog </w:t>
      </w:r>
      <w:r w:rsidRPr="00661C10">
        <w:rPr>
          <w:bCs/>
          <w:sz w:val="22"/>
          <w:szCs w:val="22"/>
        </w:rPr>
        <w:t xml:space="preserve">toga se ne preporučuje prilagođavanje doze kod pacijenata sa oštećenjem funkcije jetre </w:t>
      </w:r>
    </w:p>
    <w:p w14:paraId="49D336A3" w14:textId="7D9DC4F9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(</w:t>
      </w:r>
      <w:r w:rsidR="0001527F" w:rsidRPr="00661C10">
        <w:rPr>
          <w:bCs/>
          <w:sz w:val="22"/>
          <w:szCs w:val="22"/>
        </w:rPr>
        <w:t xml:space="preserve">vidjeti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4.2).</w:t>
      </w:r>
    </w:p>
    <w:p w14:paraId="46E3DC4A" w14:textId="77777777" w:rsidR="00053287" w:rsidRPr="00661C10" w:rsidRDefault="0005328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E86CAE4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Pedijatrijska populacija</w:t>
      </w:r>
    </w:p>
    <w:p w14:paraId="042255AA" w14:textId="6BE197A7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Srednja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klirensa (CL) i volumena distribucije (Vdss) imipenema bila je približno 45% veća kod pedijatrijskih pacijenata (uzrasta od 3 m</w:t>
      </w:r>
      <w:r w:rsidR="00D30436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 xml:space="preserve">eseca do 14 godina) u poređenju sa odraslim pacijentima. PIK imipenema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imipenema/cilastatina kod pedijatrijskih pacijenata u dozi od 15/15 mg/kg </w:t>
      </w:r>
      <w:r w:rsidR="00D30436" w:rsidRPr="00661C10">
        <w:rPr>
          <w:bCs/>
          <w:sz w:val="22"/>
          <w:szCs w:val="22"/>
        </w:rPr>
        <w:t xml:space="preserve">tjelesne </w:t>
      </w:r>
      <w:r w:rsidRPr="00661C10">
        <w:rPr>
          <w:bCs/>
          <w:sz w:val="22"/>
          <w:szCs w:val="22"/>
        </w:rPr>
        <w:t xml:space="preserve">mase, bio je približno 30% veći nego kod odraslih pacijenata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doze od 500 mg/500 mg. Kada su u pitanju veće doze, izloženost kod </w:t>
      </w:r>
      <w:r w:rsidR="00126A4B" w:rsidRPr="00661C10">
        <w:rPr>
          <w:bCs/>
          <w:sz w:val="22"/>
          <w:szCs w:val="22"/>
        </w:rPr>
        <w:t>djece</w:t>
      </w:r>
      <w:r w:rsidRPr="00661C10">
        <w:rPr>
          <w:bCs/>
          <w:sz w:val="22"/>
          <w:szCs w:val="22"/>
        </w:rPr>
        <w:t xml:space="preserve">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doze imipenema/cilastatina od 25/25 mg/kg </w:t>
      </w:r>
      <w:r w:rsidR="00D30436" w:rsidRPr="00661C10">
        <w:rPr>
          <w:bCs/>
          <w:sz w:val="22"/>
          <w:szCs w:val="22"/>
        </w:rPr>
        <w:t>tjelesne</w:t>
      </w:r>
      <w:r w:rsidRPr="00661C10">
        <w:rPr>
          <w:bCs/>
          <w:sz w:val="22"/>
          <w:szCs w:val="22"/>
        </w:rPr>
        <w:t xml:space="preserve"> mase bila je 9% veća nego izloženost kod odraslih pacijenata nakon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e doze od 1000 mg/1000 mg.</w:t>
      </w:r>
    </w:p>
    <w:p w14:paraId="343CFD27" w14:textId="77777777" w:rsidR="00D30436" w:rsidRPr="00661C10" w:rsidRDefault="00D30436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2C882F5" w14:textId="77777777" w:rsidR="00324EB5" w:rsidRPr="00661C10" w:rsidRDefault="00324EB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u w:val="single"/>
        </w:rPr>
      </w:pPr>
      <w:r w:rsidRPr="00661C10">
        <w:rPr>
          <w:bCs/>
          <w:sz w:val="22"/>
          <w:szCs w:val="22"/>
          <w:u w:val="single"/>
        </w:rPr>
        <w:t>Stariji pacijenti</w:t>
      </w:r>
    </w:p>
    <w:p w14:paraId="0154B6EB" w14:textId="571B0C67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Kod zdravih starijih dobrovoljaca (starosti od 65 do 75 godina i sa normalnom funkcijom bubrega u odnosu na godine starosti), farmakokinetika pojedinačne doze imipenema/cilastatina od 500 mg/500 mg,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jene</w:t>
      </w:r>
      <w:r w:rsidR="00065BF7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u obliku intravenske infuzije u trajanju od</w:t>
      </w:r>
      <w:r w:rsidR="00D30436" w:rsidRPr="00661C10">
        <w:rPr>
          <w:bCs/>
          <w:sz w:val="22"/>
          <w:szCs w:val="22"/>
        </w:rPr>
        <w:t xml:space="preserve"> 20 minuta, bila je u skladu sa </w:t>
      </w:r>
      <w:r w:rsidRPr="00661C10">
        <w:rPr>
          <w:bCs/>
          <w:sz w:val="22"/>
          <w:szCs w:val="22"/>
        </w:rPr>
        <w:lastRenderedPageBreak/>
        <w:t xml:space="preserve">farmakokinetikom koja se očekuje kod pacijenata sa blagim oštećenjem funkcije bubrega, kod kojih nije potrebno prilagođavati dozu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a. </w:t>
      </w:r>
    </w:p>
    <w:p w14:paraId="29F9F48B" w14:textId="276A4F79" w:rsidR="00324EB5" w:rsidRPr="00661C10" w:rsidRDefault="00324EB5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Srednja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poluvremena eliminacije imipenema iz plazme bila je 91 ± 7,0 minuta, a za cilastatin ta </w:t>
      </w:r>
      <w:r w:rsidR="00126A4B" w:rsidRPr="00661C10">
        <w:rPr>
          <w:bCs/>
          <w:sz w:val="22"/>
          <w:szCs w:val="22"/>
        </w:rPr>
        <w:t>vrijednost</w:t>
      </w:r>
      <w:r w:rsidRPr="00661C10">
        <w:rPr>
          <w:bCs/>
          <w:sz w:val="22"/>
          <w:szCs w:val="22"/>
        </w:rPr>
        <w:t xml:space="preserve"> je bila 69 ± 15 minuta. Višekratno doziranje nije uticalo na farmakokinetiku ni imipenema ni cilastatina i nije uočena akumulacija imipenema/cilastatina (</w:t>
      </w:r>
      <w:r w:rsidR="0001527F" w:rsidRPr="00661C10">
        <w:rPr>
          <w:bCs/>
          <w:sz w:val="22"/>
          <w:szCs w:val="22"/>
        </w:rPr>
        <w:t>vidjeti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4.2)</w:t>
      </w:r>
    </w:p>
    <w:p w14:paraId="4CF10158" w14:textId="77777777" w:rsidR="00012718" w:rsidRPr="00661C10" w:rsidRDefault="00012718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4F9460A8" w14:textId="289A9273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5.3.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 xml:space="preserve">Pretklinički podaci o bezbjednosti </w:t>
      </w:r>
    </w:p>
    <w:p w14:paraId="0A4CF3D6" w14:textId="77777777" w:rsidR="00836B35" w:rsidRPr="00661C10" w:rsidRDefault="00836B3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39F040C" w14:textId="29030C53" w:rsidR="00324EB5" w:rsidRPr="00661C10" w:rsidRDefault="00324EB5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Na osnovu konvencionalnih studija bezb</w:t>
      </w:r>
      <w:r w:rsidR="00FA3638" w:rsidRPr="00661C10">
        <w:rPr>
          <w:bCs/>
          <w:sz w:val="22"/>
          <w:szCs w:val="22"/>
        </w:rPr>
        <w:t>j</w:t>
      </w:r>
      <w:r w:rsidRPr="00661C10">
        <w:rPr>
          <w:bCs/>
          <w:sz w:val="22"/>
          <w:szCs w:val="22"/>
        </w:rPr>
        <w:t>ednosne farmakologije, studija toksičnosti ponovljenih doza</w:t>
      </w:r>
      <w:r w:rsidR="0001271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genotoksičnosti, pretklinički podaci ne pokazuju postojanje posebne opasnosti za ljude.</w:t>
      </w:r>
    </w:p>
    <w:p w14:paraId="1AACBC21" w14:textId="77777777" w:rsidR="00012718" w:rsidRPr="00661C10" w:rsidRDefault="00012718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7C6AC44" w14:textId="44BFFE62" w:rsidR="00324EB5" w:rsidRPr="00661C10" w:rsidRDefault="00324EB5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Ispitivanja na životinjama su pokazala da je toksičnost koju produkuje imipenem, kao pojedinačno</w:t>
      </w:r>
      <w:r w:rsidR="0001271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jedinjenje, ograničena na bubrege. Istovremena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a cilastatina sa imipenemom u odnosu 1:1 na</w:t>
      </w:r>
      <w:r w:rsidR="0001271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zečevima i majmunima sprečila je nefrotoksična dejstva imipenema. Raspoloživi dokazi ukazuju na to da</w:t>
      </w:r>
      <w:r w:rsidR="00FA363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cilastatin sprečava nefrotoksičnost tako što sprečava ulazak imipenema u tubularne ćelije.</w:t>
      </w:r>
    </w:p>
    <w:p w14:paraId="6940EA19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BCB9EBE" w14:textId="05D0AC28" w:rsidR="00324EB5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Studije teratogenosti sprovedene na trudnim ženkama cinomolgus majmuna kod kojih je</w:t>
      </w:r>
      <w:r w:rsidR="00FA3638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imipenem/cilastatin-natrijum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jivan u dozama od 40/40 mg/kg dnevno (bolus intravenska injekcija) imale su za rezultat pojavu toksičnog dejstva kod majke, uključujući povraćanje, gubitak apetita, gubitak </w:t>
      </w:r>
      <w:r w:rsidR="00D30436" w:rsidRPr="00661C10">
        <w:rPr>
          <w:bCs/>
          <w:sz w:val="22"/>
          <w:szCs w:val="22"/>
        </w:rPr>
        <w:t>tjelesne</w:t>
      </w:r>
      <w:r w:rsidRPr="00661C10">
        <w:rPr>
          <w:bCs/>
          <w:sz w:val="22"/>
          <w:szCs w:val="22"/>
        </w:rPr>
        <w:t xml:space="preserve"> mase, dijareju, pobačaj i u nekim slučajevima, smrtni ishod. Kada je imipenem/cilastatin</w:t>
      </w:r>
      <w:r w:rsidR="00206A9D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natrijum (u dozama od približno 100/100 mg/kg dnevno ili približno 3 puta većim od uobičajene preporučene dnevne intravenske doze za ljude),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>jivan na trudnim ženkama cinomolgus majmuna u obliku intravenske</w:t>
      </w:r>
      <w:r w:rsidR="00206A9D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 xml:space="preserve">infuzije čija je brzina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imitirala brzinu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kod ljudi prilikom kliničke </w:t>
      </w:r>
      <w:r w:rsidR="00126A4B" w:rsidRPr="00661C10">
        <w:rPr>
          <w:bCs/>
          <w:sz w:val="22"/>
          <w:szCs w:val="22"/>
        </w:rPr>
        <w:t>primjen</w:t>
      </w:r>
      <w:r w:rsidRPr="00661C10">
        <w:rPr>
          <w:bCs/>
          <w:sz w:val="22"/>
          <w:szCs w:val="22"/>
        </w:rPr>
        <w:t xml:space="preserve">e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 xml:space="preserve">a, uočeno je minimalno nepodnošenje </w:t>
      </w:r>
      <w:r w:rsidR="00126A4B" w:rsidRPr="00661C10">
        <w:rPr>
          <w:bCs/>
          <w:sz w:val="22"/>
          <w:szCs w:val="22"/>
        </w:rPr>
        <w:t>lijek</w:t>
      </w:r>
      <w:r w:rsidRPr="00661C10">
        <w:rPr>
          <w:bCs/>
          <w:sz w:val="22"/>
          <w:szCs w:val="22"/>
        </w:rPr>
        <w:t>a kod majke (povremeno povraćanje), nije bilo smrtnog ishoda kod majke niti znakova teratogenosti, ali je uočen veći gubitak embriona u odnosu na kontrolne grupe (</w:t>
      </w:r>
      <w:r w:rsidR="0001527F" w:rsidRPr="00661C10">
        <w:rPr>
          <w:bCs/>
          <w:sz w:val="22"/>
          <w:szCs w:val="22"/>
        </w:rPr>
        <w:t xml:space="preserve">vidjeti </w:t>
      </w:r>
      <w:r w:rsidRPr="00661C10">
        <w:rPr>
          <w:bCs/>
          <w:sz w:val="22"/>
          <w:szCs w:val="22"/>
        </w:rPr>
        <w:t xml:space="preserve"> </w:t>
      </w:r>
      <w:r w:rsidR="00126A4B" w:rsidRPr="00661C10">
        <w:rPr>
          <w:bCs/>
          <w:sz w:val="22"/>
          <w:szCs w:val="22"/>
        </w:rPr>
        <w:t>dio</w:t>
      </w:r>
      <w:r w:rsidRPr="00661C10">
        <w:rPr>
          <w:bCs/>
          <w:sz w:val="22"/>
          <w:szCs w:val="22"/>
        </w:rPr>
        <w:t xml:space="preserve"> 4.6).</w:t>
      </w:r>
    </w:p>
    <w:p w14:paraId="4D95CA65" w14:textId="50931859" w:rsidR="00396DFD" w:rsidRPr="00661C10" w:rsidRDefault="00324EB5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Ni</w:t>
      </w:r>
      <w:r w:rsidR="004A1428" w:rsidRPr="00661C10">
        <w:rPr>
          <w:bCs/>
          <w:sz w:val="22"/>
          <w:szCs w:val="22"/>
        </w:rPr>
        <w:t>je</w:t>
      </w:r>
      <w:r w:rsidRPr="00661C10">
        <w:rPr>
          <w:bCs/>
          <w:sz w:val="22"/>
          <w:szCs w:val="22"/>
        </w:rPr>
        <w:t>su sprovedene dugoročne studije na životinjama u cilju utvrđivanja kancerogenog potencijala</w:t>
      </w:r>
      <w:r w:rsidR="00206A9D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imipenema/cilastatina.</w:t>
      </w:r>
      <w:r w:rsidRPr="00661C10">
        <w:rPr>
          <w:bCs/>
          <w:sz w:val="22"/>
          <w:szCs w:val="22"/>
        </w:rPr>
        <w:cr/>
      </w:r>
    </w:p>
    <w:p w14:paraId="068269C6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6.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FARMACEUTSKI PODACI</w:t>
      </w:r>
    </w:p>
    <w:p w14:paraId="542085AE" w14:textId="77777777" w:rsidR="00206A9D" w:rsidRPr="00661C10" w:rsidRDefault="00206A9D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EB53940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6.1.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Lista pomoćnih supstanci</w:t>
      </w:r>
      <w:r w:rsidR="002E0135" w:rsidRPr="00661C10">
        <w:rPr>
          <w:b/>
          <w:bCs/>
          <w:sz w:val="22"/>
          <w:szCs w:val="22"/>
        </w:rPr>
        <w:t xml:space="preserve"> (ekscipijenasa)</w:t>
      </w:r>
    </w:p>
    <w:p w14:paraId="096252AD" w14:textId="77777777" w:rsidR="00206A9D" w:rsidRPr="00661C10" w:rsidRDefault="00206A9D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C0A653B" w14:textId="77777777" w:rsidR="00206A9D" w:rsidRPr="00661C10" w:rsidRDefault="00206A9D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Natrijum hidrogenkarbonat.</w:t>
      </w:r>
    </w:p>
    <w:p w14:paraId="55DA4C9E" w14:textId="77777777" w:rsidR="00206A9D" w:rsidRPr="00661C10" w:rsidRDefault="00206A9D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2BA2E7A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6.2.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Inkompatibilnost</w:t>
      </w:r>
      <w:r w:rsidR="002846DB" w:rsidRPr="00661C10">
        <w:rPr>
          <w:b/>
          <w:bCs/>
          <w:sz w:val="22"/>
          <w:szCs w:val="22"/>
        </w:rPr>
        <w:t>i</w:t>
      </w:r>
    </w:p>
    <w:p w14:paraId="2B95D96F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EC34C5F" w14:textId="77777777" w:rsidR="00206A9D" w:rsidRPr="00661C10" w:rsidRDefault="00206A9D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bookmarkStart w:id="0" w:name="_Hlk160519717"/>
      <w:r w:rsidRPr="00661C10">
        <w:rPr>
          <w:bCs/>
          <w:sz w:val="22"/>
          <w:szCs w:val="22"/>
        </w:rPr>
        <w:t>Ovaj lijek je hemijski inkompatibilan sa laktatima i ne treba ga rekonstituisati rastvaračima koji sadrže laktate.</w:t>
      </w:r>
      <w:r w:rsidR="001F1A04" w:rsidRPr="00661C10">
        <w:rPr>
          <w:bCs/>
          <w:sz w:val="22"/>
          <w:szCs w:val="22"/>
        </w:rPr>
        <w:t xml:space="preserve"> </w:t>
      </w:r>
      <w:r w:rsidRPr="00661C10">
        <w:rPr>
          <w:bCs/>
          <w:sz w:val="22"/>
          <w:szCs w:val="22"/>
        </w:rPr>
        <w:t>Ipak, može se primjenjivati putem istog i.v. infuzionog sistema kroz koji je dat rastvor laktata.</w:t>
      </w:r>
    </w:p>
    <w:p w14:paraId="5D39B8FA" w14:textId="77777777" w:rsidR="00012718" w:rsidRPr="00661C10" w:rsidRDefault="00012718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5559236" w14:textId="0C82010B" w:rsidR="00206A9D" w:rsidRPr="00661C10" w:rsidRDefault="00206A9D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Ovaj lijek se ne smije m</w:t>
      </w:r>
      <w:r w:rsidR="00012718" w:rsidRPr="00661C10">
        <w:rPr>
          <w:bCs/>
          <w:sz w:val="22"/>
          <w:szCs w:val="22"/>
        </w:rPr>
        <w:t>ij</w:t>
      </w:r>
      <w:r w:rsidRPr="00661C10">
        <w:rPr>
          <w:bCs/>
          <w:sz w:val="22"/>
          <w:szCs w:val="22"/>
        </w:rPr>
        <w:t>ešati sa drugim ljekovima, osim onih navedenih u dijelu 6.6.</w:t>
      </w:r>
    </w:p>
    <w:bookmarkEnd w:id="0"/>
    <w:p w14:paraId="0ED6CFDA" w14:textId="77777777" w:rsidR="00206A9D" w:rsidRPr="00661C10" w:rsidRDefault="00206A9D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61F09471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>6.3.</w:t>
      </w:r>
      <w:r w:rsidR="00C05DF8" w:rsidRPr="00661C10">
        <w:rPr>
          <w:b/>
          <w:bCs/>
          <w:sz w:val="22"/>
          <w:szCs w:val="22"/>
        </w:rPr>
        <w:t xml:space="preserve">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Rok upotrebe</w:t>
      </w:r>
    </w:p>
    <w:p w14:paraId="657BA05F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52C436E0" w14:textId="77777777" w:rsidR="00421B40" w:rsidRPr="00661C10" w:rsidRDefault="00421B40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Prije rekonstitucije lijeka: 3 godine.</w:t>
      </w:r>
    </w:p>
    <w:p w14:paraId="1C5831C3" w14:textId="77777777" w:rsidR="00012718" w:rsidRPr="00661C10" w:rsidRDefault="00012718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4C7A0B76" w14:textId="77777777" w:rsidR="00421B40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bookmarkStart w:id="1" w:name="_Hlk160519775"/>
      <w:r w:rsidRPr="00661C10">
        <w:rPr>
          <w:bCs/>
          <w:sz w:val="22"/>
          <w:szCs w:val="22"/>
          <w:u w:val="single"/>
        </w:rPr>
        <w:t>Nakon rekonstitucije lijeka:</w:t>
      </w:r>
      <w:r w:rsidRPr="00661C10">
        <w:rPr>
          <w:bCs/>
          <w:sz w:val="22"/>
          <w:szCs w:val="22"/>
        </w:rPr>
        <w:t xml:space="preserve"> </w:t>
      </w:r>
    </w:p>
    <w:p w14:paraId="59BCCCC7" w14:textId="6DEAB798" w:rsidR="00421B4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Rekonstituisani rastvor treba odmah upotrijebiti. Vremenski interval između početka rekonstitucije i kraja intravenske infuzije ne smije biti duži od 2 sata.</w:t>
      </w:r>
      <w:bookmarkEnd w:id="1"/>
    </w:p>
    <w:p w14:paraId="3EF7F475" w14:textId="77777777" w:rsidR="00E1507B" w:rsidRPr="00661C10" w:rsidRDefault="00E1507B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B08C7C2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lastRenderedPageBreak/>
        <w:t xml:space="preserve">6.4.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Posebne mjere upozorenja pri čuvanju</w:t>
      </w:r>
      <w:r w:rsidR="00F8570A" w:rsidRPr="00661C10">
        <w:rPr>
          <w:b/>
          <w:bCs/>
          <w:sz w:val="22"/>
          <w:szCs w:val="22"/>
        </w:rPr>
        <w:t xml:space="preserve"> lijeka</w:t>
      </w:r>
    </w:p>
    <w:p w14:paraId="5AE43E22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</w:p>
    <w:p w14:paraId="01308455" w14:textId="77777777" w:rsidR="00421B40" w:rsidRPr="00E1507B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</w:rPr>
      </w:pPr>
      <w:r w:rsidRPr="00661C10">
        <w:rPr>
          <w:bCs/>
          <w:sz w:val="22"/>
          <w:szCs w:val="22"/>
        </w:rPr>
        <w:t>Čuvati lijek na temperaturi do 25 °C.</w:t>
      </w:r>
      <w:r w:rsidRPr="00E1507B">
        <w:rPr>
          <w:sz w:val="22"/>
          <w:szCs w:val="22"/>
        </w:rPr>
        <w:t xml:space="preserve"> </w:t>
      </w:r>
    </w:p>
    <w:p w14:paraId="63678901" w14:textId="77777777" w:rsidR="00012718" w:rsidRPr="00ED2C45" w:rsidRDefault="00012718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D516C86" w14:textId="1F56E3A2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Nemojte zamrzavati rekonstituisani rastvor.</w:t>
      </w:r>
    </w:p>
    <w:p w14:paraId="114E4148" w14:textId="77777777" w:rsidR="00012718" w:rsidRPr="00661C10" w:rsidRDefault="00012718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7BD1AA2" w14:textId="15FFCC53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Za uslove čuvanja nakon rekonstitucije, vidjeti dio 6.3.</w:t>
      </w:r>
    </w:p>
    <w:p w14:paraId="2CB3A8DF" w14:textId="77777777" w:rsidR="00EC2532" w:rsidRPr="00661C10" w:rsidRDefault="00EC2532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3623BC5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6.5. </w:t>
      </w:r>
      <w:r w:rsidR="00480FB1" w:rsidRPr="00661C10">
        <w:rPr>
          <w:b/>
          <w:bCs/>
          <w:sz w:val="22"/>
          <w:szCs w:val="22"/>
        </w:rPr>
        <w:tab/>
      </w:r>
      <w:r w:rsidR="002846DB" w:rsidRPr="00661C10">
        <w:rPr>
          <w:b/>
          <w:bCs/>
          <w:sz w:val="22"/>
          <w:szCs w:val="22"/>
        </w:rPr>
        <w:t xml:space="preserve">Vrsta i sadržaj </w:t>
      </w:r>
      <w:r w:rsidR="00F8570A" w:rsidRPr="00661C10">
        <w:rPr>
          <w:b/>
          <w:bCs/>
          <w:sz w:val="22"/>
          <w:szCs w:val="22"/>
        </w:rPr>
        <w:t>pakovanja</w:t>
      </w:r>
      <w:r w:rsidR="00C06864" w:rsidRPr="00661C10">
        <w:rPr>
          <w:b/>
          <w:bCs/>
          <w:sz w:val="22"/>
          <w:szCs w:val="22"/>
        </w:rPr>
        <w:t xml:space="preserve"> </w:t>
      </w:r>
    </w:p>
    <w:p w14:paraId="6A9BB65A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2AF86F7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Bezbojna staklena bočica (tip III) zapremine 20 ml, sa čepom od brombutil gume, i </w:t>
      </w:r>
      <w:r w:rsidRPr="00661C10">
        <w:rPr>
          <w:bCs/>
          <w:i/>
          <w:sz w:val="22"/>
          <w:szCs w:val="22"/>
        </w:rPr>
        <w:t>flip-off</w:t>
      </w:r>
      <w:r w:rsidRPr="00661C10">
        <w:rPr>
          <w:bCs/>
          <w:sz w:val="22"/>
          <w:szCs w:val="22"/>
        </w:rPr>
        <w:t xml:space="preserve"> poklopcem.</w:t>
      </w:r>
    </w:p>
    <w:p w14:paraId="496A78E1" w14:textId="77777777" w:rsidR="00012718" w:rsidRPr="00661C10" w:rsidRDefault="00012718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2D99DA0" w14:textId="022B1252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Spoljašnje pakovanje je složiva kartonska kutija u kojoj se nalazi 10 staklenih bočica sa praškom i Uputstvom za lijek.</w:t>
      </w:r>
    </w:p>
    <w:p w14:paraId="0180F28C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53867F4" w14:textId="77777777" w:rsidR="002846DB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6.6.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661C10">
        <w:rPr>
          <w:b/>
          <w:bCs/>
          <w:sz w:val="22"/>
          <w:szCs w:val="22"/>
        </w:rPr>
        <w:t xml:space="preserve"> </w:t>
      </w:r>
      <w:r w:rsidR="00310F03" w:rsidRPr="00661C10">
        <w:rPr>
          <w:b/>
          <w:bCs/>
          <w:sz w:val="22"/>
          <w:szCs w:val="22"/>
        </w:rPr>
        <w:t>(i druga uputs</w:t>
      </w:r>
      <w:r w:rsidR="004109FA" w:rsidRPr="00661C10">
        <w:rPr>
          <w:b/>
          <w:bCs/>
          <w:sz w:val="22"/>
          <w:szCs w:val="22"/>
        </w:rPr>
        <w:t>t</w:t>
      </w:r>
      <w:r w:rsidR="00310F03" w:rsidRPr="00661C10">
        <w:rPr>
          <w:b/>
          <w:bCs/>
          <w:sz w:val="22"/>
          <w:szCs w:val="22"/>
        </w:rPr>
        <w:t xml:space="preserve">va za rukovanje lijekom) </w:t>
      </w:r>
    </w:p>
    <w:p w14:paraId="2FF8A7DA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14C101D" w14:textId="77777777" w:rsidR="00421B40" w:rsidRPr="00661C10" w:rsidRDefault="00421B40" w:rsidP="004A142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bookmarkStart w:id="2" w:name="_Hlk160519619"/>
      <w:r w:rsidRPr="00661C10">
        <w:rPr>
          <w:bCs/>
          <w:sz w:val="22"/>
          <w:szCs w:val="22"/>
        </w:rPr>
        <w:t>Bočica je namijenjena samo za jednokratnu upotrebu.</w:t>
      </w:r>
    </w:p>
    <w:p w14:paraId="0E13120A" w14:textId="77777777" w:rsidR="00421B40" w:rsidRPr="00661C10" w:rsidRDefault="00421B40" w:rsidP="00065BF7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  <w:u w:val="single"/>
        </w:rPr>
        <w:t>Rekonstitucija</w:t>
      </w:r>
      <w:r w:rsidRPr="00661C10">
        <w:rPr>
          <w:bCs/>
          <w:sz w:val="22"/>
          <w:szCs w:val="22"/>
        </w:rPr>
        <w:t xml:space="preserve"> </w:t>
      </w:r>
    </w:p>
    <w:p w14:paraId="1D088ECD" w14:textId="77777777" w:rsidR="00012718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Sadržaj bočice treba da se prenese u 100 ml odgovarajućeg rastvora za infuziju (vidjeti djelove 6.2 i 6.3): 0,9%-ni rastvor natrijum-hlorida. U izuzetnim situacijama kada, iz kliničkih razloga, ne može da se koristi 0,9%-ni rastvor natrijum-hlorida, umesto njega može da se upotrijebi 5% rastvor glukoze.</w:t>
      </w:r>
      <w:r w:rsidR="00012718" w:rsidRPr="00661C10">
        <w:rPr>
          <w:bCs/>
          <w:sz w:val="22"/>
          <w:szCs w:val="22"/>
        </w:rPr>
        <w:t xml:space="preserve"> </w:t>
      </w:r>
    </w:p>
    <w:p w14:paraId="7EC7A682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CA7B385" w14:textId="67AADFF5" w:rsidR="00421B40" w:rsidRPr="00ED2C45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Preporučeni postupak je da se u bočicu </w:t>
      </w:r>
      <w:r w:rsidR="00ED2C45">
        <w:rPr>
          <w:bCs/>
          <w:sz w:val="22"/>
          <w:szCs w:val="22"/>
        </w:rPr>
        <w:t xml:space="preserve">sa praškom </w:t>
      </w:r>
      <w:r w:rsidRPr="00ED2C45">
        <w:rPr>
          <w:bCs/>
          <w:sz w:val="22"/>
          <w:szCs w:val="22"/>
        </w:rPr>
        <w:t xml:space="preserve">doda oko 10 ml </w:t>
      </w:r>
      <w:r w:rsidR="00012718" w:rsidRPr="00ED2C45">
        <w:rPr>
          <w:bCs/>
          <w:sz w:val="22"/>
          <w:szCs w:val="22"/>
        </w:rPr>
        <w:t xml:space="preserve">od ukupno 100 ml </w:t>
      </w:r>
      <w:r w:rsidRPr="00ED2C45">
        <w:rPr>
          <w:bCs/>
          <w:sz w:val="22"/>
          <w:szCs w:val="22"/>
        </w:rPr>
        <w:t>odgovarajućeg rastvora za infuziju. Dobro promućkati i prebaciti tako dobijenu mješavinu u kontejner sa rastvorom za infuziju.</w:t>
      </w:r>
    </w:p>
    <w:p w14:paraId="189EBD66" w14:textId="77777777" w:rsidR="00421B40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CD4C1DB" w14:textId="5B5BC427" w:rsidR="00421B40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 xml:space="preserve">UPOZORENJE: </w:t>
      </w:r>
      <w:r w:rsidR="007B7A52">
        <w:rPr>
          <w:bCs/>
          <w:sz w:val="22"/>
          <w:szCs w:val="22"/>
        </w:rPr>
        <w:t xml:space="preserve">PRIPREMLJENA </w:t>
      </w:r>
      <w:r w:rsidRPr="00661C10">
        <w:rPr>
          <w:bCs/>
          <w:sz w:val="22"/>
          <w:szCs w:val="22"/>
        </w:rPr>
        <w:t>MJEŠAVINA NIJE NAMIJENJENA ZA DIREKTNU INFUZIJU</w:t>
      </w:r>
      <w:r w:rsidR="007B7A52">
        <w:rPr>
          <w:bCs/>
          <w:sz w:val="22"/>
          <w:szCs w:val="22"/>
        </w:rPr>
        <w:t xml:space="preserve"> U VENU</w:t>
      </w:r>
      <w:r w:rsidRPr="00661C10">
        <w:rPr>
          <w:bCs/>
          <w:sz w:val="22"/>
          <w:szCs w:val="22"/>
        </w:rPr>
        <w:t>.</w:t>
      </w:r>
    </w:p>
    <w:p w14:paraId="4749587B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91DB332" w14:textId="76FA67B6" w:rsidR="00421B40" w:rsidRPr="000D31E5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Postupak ponoviti sa dodatnih 10 ml rastvora za infuziju da bi se obezb</w:t>
      </w:r>
      <w:r w:rsidR="000D31E5">
        <w:rPr>
          <w:bCs/>
          <w:sz w:val="22"/>
          <w:szCs w:val="22"/>
        </w:rPr>
        <w:t>ij</w:t>
      </w:r>
      <w:r w:rsidRPr="000D31E5">
        <w:rPr>
          <w:bCs/>
          <w:sz w:val="22"/>
          <w:szCs w:val="22"/>
        </w:rPr>
        <w:t>edio prenos cjelokupnog sadržaja bočice u rastvor za infuziju. Tako dobijen rastvor treba da se protrese i izm</w:t>
      </w:r>
      <w:r w:rsidR="00012718" w:rsidRPr="000D31E5">
        <w:rPr>
          <w:bCs/>
          <w:sz w:val="22"/>
          <w:szCs w:val="22"/>
        </w:rPr>
        <w:t>i</w:t>
      </w:r>
      <w:r w:rsidRPr="000D31E5">
        <w:rPr>
          <w:bCs/>
          <w:sz w:val="22"/>
          <w:szCs w:val="22"/>
        </w:rPr>
        <w:t>ješa sve dok ne postane bistar.</w:t>
      </w:r>
    </w:p>
    <w:p w14:paraId="7C359E4F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76E9F3D" w14:textId="77777777" w:rsidR="00012718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bookmarkStart w:id="3" w:name="_Hlk160520284"/>
      <w:r w:rsidRPr="00661C10">
        <w:rPr>
          <w:bCs/>
          <w:sz w:val="22"/>
          <w:szCs w:val="22"/>
        </w:rPr>
        <w:t>Koncentracija rekonstituisanog rastvora, nakon sprovođenja gore opisanog postupka je približno 5 mg/ml i za imipenem i za cilastatin.</w:t>
      </w:r>
      <w:r w:rsidR="00012718" w:rsidRPr="00661C10">
        <w:rPr>
          <w:bCs/>
          <w:sz w:val="22"/>
          <w:szCs w:val="22"/>
        </w:rPr>
        <w:t xml:space="preserve"> </w:t>
      </w:r>
    </w:p>
    <w:bookmarkEnd w:id="3"/>
    <w:p w14:paraId="083B2BD5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73704753" w14:textId="29DFC2A6" w:rsidR="00421B40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Različita boja, od bezbojne do svjetložute boje, ne utiče na efikasnost lijeka.</w:t>
      </w:r>
    </w:p>
    <w:p w14:paraId="51E2E50F" w14:textId="77777777" w:rsidR="00012718" w:rsidRPr="00661C10" w:rsidRDefault="00012718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56D23E7" w14:textId="77777777" w:rsidR="0072020E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Svu neiskorišćenu količinu lijeka ili otpadnog materijala nakon njegove upotrebe treba ukloniti, u skladu sa važećim propisima.</w:t>
      </w:r>
    </w:p>
    <w:bookmarkEnd w:id="2"/>
    <w:p w14:paraId="37072C5C" w14:textId="77777777" w:rsidR="00421B40" w:rsidRPr="00661C10" w:rsidRDefault="00421B40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93D9E4A" w14:textId="77777777" w:rsidR="00F8570A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7.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NOSILAC DOZVOLE</w:t>
      </w:r>
      <w:r w:rsidR="00483928" w:rsidRPr="00661C10">
        <w:rPr>
          <w:b/>
          <w:bCs/>
          <w:sz w:val="22"/>
          <w:szCs w:val="22"/>
        </w:rPr>
        <w:t xml:space="preserve"> </w:t>
      </w:r>
    </w:p>
    <w:p w14:paraId="3BEE40B2" w14:textId="77777777" w:rsidR="00C61BE0" w:rsidRPr="00661C10" w:rsidRDefault="00C61BE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E34AEE7" w14:textId="19180D12" w:rsidR="00421B40" w:rsidRPr="007146E4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Evropa Lek Pharma d.o.o</w:t>
      </w:r>
      <w:r w:rsidR="007146E4">
        <w:rPr>
          <w:bCs/>
          <w:sz w:val="22"/>
          <w:szCs w:val="22"/>
        </w:rPr>
        <w:t>.</w:t>
      </w:r>
      <w:r w:rsidRPr="007146E4">
        <w:rPr>
          <w:bCs/>
          <w:sz w:val="22"/>
          <w:szCs w:val="22"/>
        </w:rPr>
        <w:t xml:space="preserve"> Podgorica</w:t>
      </w:r>
    </w:p>
    <w:p w14:paraId="06269D47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Kritskog odreda 4/1</w:t>
      </w:r>
    </w:p>
    <w:p w14:paraId="126C599A" w14:textId="77777777" w:rsidR="00421B40" w:rsidRPr="00661C10" w:rsidRDefault="00421B40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661C10">
        <w:rPr>
          <w:bCs/>
          <w:sz w:val="22"/>
          <w:szCs w:val="22"/>
        </w:rPr>
        <w:t>Podgorica, Crna Gora</w:t>
      </w:r>
    </w:p>
    <w:p w14:paraId="61B6343F" w14:textId="43C3C427" w:rsidR="00C37FD7" w:rsidRDefault="00C37FD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3D78CDC2" w14:textId="31835A7B" w:rsidR="006F28B7" w:rsidRDefault="006F28B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732F834" w14:textId="77777777" w:rsidR="000D31E5" w:rsidRPr="00ED2C45" w:rsidRDefault="000D31E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5FF43C8" w14:textId="77777777" w:rsidR="0072020E" w:rsidRPr="00661C10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661C10">
        <w:rPr>
          <w:b/>
          <w:bCs/>
          <w:sz w:val="22"/>
          <w:szCs w:val="22"/>
        </w:rPr>
        <w:t xml:space="preserve">8. </w:t>
      </w:r>
      <w:r w:rsidR="00480FB1" w:rsidRPr="00661C10">
        <w:rPr>
          <w:b/>
          <w:bCs/>
          <w:sz w:val="22"/>
          <w:szCs w:val="22"/>
        </w:rPr>
        <w:tab/>
      </w:r>
      <w:r w:rsidRPr="00661C10">
        <w:rPr>
          <w:b/>
          <w:bCs/>
          <w:sz w:val="22"/>
          <w:szCs w:val="22"/>
        </w:rPr>
        <w:t>BROJ DOZVOLE</w:t>
      </w:r>
      <w:r w:rsidR="008A6D43" w:rsidRPr="00661C10">
        <w:rPr>
          <w:b/>
          <w:bCs/>
          <w:sz w:val="22"/>
          <w:szCs w:val="22"/>
        </w:rPr>
        <w:t xml:space="preserve"> ZA STAVLJANJE LIJEKA U PROMET</w:t>
      </w:r>
    </w:p>
    <w:p w14:paraId="70F56F66" w14:textId="77777777" w:rsidR="00C463D9" w:rsidRDefault="00C463D9" w:rsidP="00E1507B">
      <w:pPr>
        <w:tabs>
          <w:tab w:val="left" w:pos="540"/>
          <w:tab w:val="left" w:pos="569"/>
        </w:tabs>
        <w:spacing w:line="276" w:lineRule="auto"/>
        <w:jc w:val="both"/>
        <w:rPr>
          <w:rFonts w:ascii="TimesNewRoman" w:hAnsi="TimesNewRoman" w:cs="TimesNewRoman"/>
          <w:sz w:val="22"/>
          <w:szCs w:val="22"/>
          <w:lang w:eastAsia="sr-Latn-ME"/>
        </w:rPr>
      </w:pPr>
    </w:p>
    <w:p w14:paraId="4CD822E7" w14:textId="55B7383D" w:rsidR="0072020E" w:rsidRPr="00C463D9" w:rsidRDefault="00C463D9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C463D9">
        <w:rPr>
          <w:sz w:val="22"/>
          <w:szCs w:val="22"/>
          <w:lang w:eastAsia="sr-Latn-ME"/>
        </w:rPr>
        <w:t>2030/24/1960 - 4906</w:t>
      </w:r>
    </w:p>
    <w:p w14:paraId="1ABFCA31" w14:textId="77777777" w:rsidR="00F45F77" w:rsidRPr="00C463D9" w:rsidRDefault="00F45F77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4ABC7E36" w14:textId="77777777" w:rsidR="0072020E" w:rsidRPr="00C463D9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/>
          <w:bCs/>
          <w:sz w:val="22"/>
          <w:szCs w:val="22"/>
        </w:rPr>
      </w:pPr>
      <w:r w:rsidRPr="00C463D9">
        <w:rPr>
          <w:b/>
          <w:bCs/>
          <w:sz w:val="22"/>
          <w:szCs w:val="22"/>
        </w:rPr>
        <w:t xml:space="preserve">9. </w:t>
      </w:r>
      <w:r w:rsidR="00480FB1" w:rsidRPr="00C463D9">
        <w:rPr>
          <w:b/>
          <w:bCs/>
          <w:sz w:val="22"/>
          <w:szCs w:val="22"/>
        </w:rPr>
        <w:tab/>
      </w:r>
      <w:r w:rsidRPr="00C463D9">
        <w:rPr>
          <w:b/>
          <w:bCs/>
          <w:sz w:val="22"/>
          <w:szCs w:val="22"/>
        </w:rPr>
        <w:t xml:space="preserve">DATUM </w:t>
      </w:r>
      <w:r w:rsidR="00C05DF8" w:rsidRPr="00C463D9">
        <w:rPr>
          <w:b/>
          <w:bCs/>
          <w:sz w:val="22"/>
          <w:szCs w:val="22"/>
        </w:rPr>
        <w:t xml:space="preserve">PRVE </w:t>
      </w:r>
      <w:r w:rsidR="008A6D43" w:rsidRPr="00C463D9">
        <w:rPr>
          <w:b/>
          <w:bCs/>
          <w:sz w:val="22"/>
          <w:szCs w:val="22"/>
        </w:rPr>
        <w:t>DOZVOLE</w:t>
      </w:r>
      <w:r w:rsidR="00C05DF8" w:rsidRPr="00C463D9">
        <w:rPr>
          <w:b/>
          <w:bCs/>
          <w:sz w:val="22"/>
          <w:szCs w:val="22"/>
        </w:rPr>
        <w:t>/OBNOVE DOZVOLE</w:t>
      </w:r>
      <w:r w:rsidR="008A6D43" w:rsidRPr="00C463D9">
        <w:rPr>
          <w:b/>
          <w:bCs/>
          <w:sz w:val="22"/>
          <w:szCs w:val="22"/>
        </w:rPr>
        <w:t xml:space="preserve"> ZA STAVLJANJE LIJEKA U PROMET</w:t>
      </w:r>
    </w:p>
    <w:p w14:paraId="3C42B13D" w14:textId="08255FF9" w:rsidR="0072020E" w:rsidRPr="00C463D9" w:rsidRDefault="0072020E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1CDF92EC" w14:textId="34919133" w:rsidR="00C463D9" w:rsidRPr="00C463D9" w:rsidRDefault="00C463D9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C463D9">
        <w:rPr>
          <w:bCs/>
          <w:sz w:val="22"/>
          <w:szCs w:val="22"/>
        </w:rPr>
        <w:t>08.04.2024. godine</w:t>
      </w:r>
    </w:p>
    <w:p w14:paraId="65963FE8" w14:textId="77777777" w:rsidR="00836B35" w:rsidRPr="00C463D9" w:rsidRDefault="00836B35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bookmarkStart w:id="4" w:name="_GoBack"/>
      <w:bookmarkEnd w:id="4"/>
    </w:p>
    <w:p w14:paraId="501EA3D0" w14:textId="77777777" w:rsidR="003F6A59" w:rsidRPr="00C463D9" w:rsidRDefault="0072020E" w:rsidP="00E1507B">
      <w:pPr>
        <w:tabs>
          <w:tab w:val="left" w:pos="540"/>
          <w:tab w:val="left" w:pos="569"/>
        </w:tabs>
        <w:spacing w:line="276" w:lineRule="auto"/>
        <w:ind w:left="540" w:hanging="540"/>
        <w:jc w:val="both"/>
        <w:rPr>
          <w:bCs/>
          <w:sz w:val="22"/>
          <w:szCs w:val="22"/>
        </w:rPr>
      </w:pPr>
      <w:r w:rsidRPr="00C463D9">
        <w:rPr>
          <w:b/>
          <w:bCs/>
          <w:sz w:val="22"/>
          <w:szCs w:val="22"/>
        </w:rPr>
        <w:t xml:space="preserve">10. </w:t>
      </w:r>
      <w:r w:rsidR="00480FB1" w:rsidRPr="00C463D9">
        <w:rPr>
          <w:b/>
          <w:bCs/>
          <w:sz w:val="22"/>
          <w:szCs w:val="22"/>
        </w:rPr>
        <w:tab/>
      </w:r>
      <w:r w:rsidR="002846DB" w:rsidRPr="00C463D9">
        <w:rPr>
          <w:b/>
          <w:bCs/>
          <w:sz w:val="22"/>
          <w:szCs w:val="22"/>
        </w:rPr>
        <w:t>D</w:t>
      </w:r>
      <w:r w:rsidR="00EC2532" w:rsidRPr="00C463D9">
        <w:rPr>
          <w:b/>
          <w:bCs/>
          <w:sz w:val="22"/>
          <w:szCs w:val="22"/>
        </w:rPr>
        <w:t xml:space="preserve">ATUM REVIZIJE TEKSTA </w:t>
      </w:r>
    </w:p>
    <w:p w14:paraId="427F380E" w14:textId="77777777" w:rsidR="003F6A59" w:rsidRPr="00C463D9" w:rsidRDefault="003F6A59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5965498" w14:textId="35F3F673" w:rsidR="008A6D43" w:rsidRPr="00C463D9" w:rsidRDefault="00C463D9" w:rsidP="00E1507B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C463D9">
        <w:rPr>
          <w:bCs/>
          <w:sz w:val="22"/>
          <w:szCs w:val="22"/>
        </w:rPr>
        <w:t>April, 2024. godine</w:t>
      </w:r>
    </w:p>
    <w:sectPr w:rsidR="008A6D43" w:rsidRPr="00C463D9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DFD97" w14:textId="77777777" w:rsidR="00E41265" w:rsidRDefault="00E41265">
      <w:r>
        <w:separator/>
      </w:r>
    </w:p>
  </w:endnote>
  <w:endnote w:type="continuationSeparator" w:id="0">
    <w:p w14:paraId="07BAE428" w14:textId="77777777" w:rsidR="00E41265" w:rsidRDefault="00E4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A889" w14:textId="3BFAA322" w:rsidR="00661C10" w:rsidRPr="00B23F69" w:rsidRDefault="00661C1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463D9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463D9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F6A9C" w14:textId="77777777" w:rsidR="00E41265" w:rsidRDefault="00E41265">
      <w:r>
        <w:separator/>
      </w:r>
    </w:p>
  </w:footnote>
  <w:footnote w:type="continuationSeparator" w:id="0">
    <w:p w14:paraId="3D0597E4" w14:textId="77777777" w:rsidR="00E41265" w:rsidRDefault="00E4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815079F"/>
    <w:multiLevelType w:val="hybridMultilevel"/>
    <w:tmpl w:val="26B8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5AB41C3"/>
    <w:multiLevelType w:val="hybridMultilevel"/>
    <w:tmpl w:val="A3CE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86735"/>
    <w:multiLevelType w:val="hybridMultilevel"/>
    <w:tmpl w:val="458C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2718"/>
    <w:rsid w:val="0001527F"/>
    <w:rsid w:val="000176CA"/>
    <w:rsid w:val="00033469"/>
    <w:rsid w:val="00036FA0"/>
    <w:rsid w:val="0003793F"/>
    <w:rsid w:val="00045130"/>
    <w:rsid w:val="00053287"/>
    <w:rsid w:val="00057E35"/>
    <w:rsid w:val="00065BF7"/>
    <w:rsid w:val="00075E28"/>
    <w:rsid w:val="00076726"/>
    <w:rsid w:val="00080303"/>
    <w:rsid w:val="00083D02"/>
    <w:rsid w:val="000A3F58"/>
    <w:rsid w:val="000C535C"/>
    <w:rsid w:val="000D2343"/>
    <w:rsid w:val="000D31E5"/>
    <w:rsid w:val="000D3449"/>
    <w:rsid w:val="000D425A"/>
    <w:rsid w:val="000D60CC"/>
    <w:rsid w:val="000E2084"/>
    <w:rsid w:val="000E4C27"/>
    <w:rsid w:val="000E6F55"/>
    <w:rsid w:val="000F77FA"/>
    <w:rsid w:val="00107BF7"/>
    <w:rsid w:val="00126A4B"/>
    <w:rsid w:val="00126F53"/>
    <w:rsid w:val="00136871"/>
    <w:rsid w:val="0014766D"/>
    <w:rsid w:val="001536CC"/>
    <w:rsid w:val="001A3FBA"/>
    <w:rsid w:val="001A4A9A"/>
    <w:rsid w:val="001A5518"/>
    <w:rsid w:val="001B1C6A"/>
    <w:rsid w:val="001C1263"/>
    <w:rsid w:val="001C1417"/>
    <w:rsid w:val="001E390B"/>
    <w:rsid w:val="001F1A04"/>
    <w:rsid w:val="001F42FB"/>
    <w:rsid w:val="001F719A"/>
    <w:rsid w:val="002031B3"/>
    <w:rsid w:val="00206A9D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2F5820"/>
    <w:rsid w:val="00310F03"/>
    <w:rsid w:val="003247D2"/>
    <w:rsid w:val="00324EB5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D2957"/>
    <w:rsid w:val="003E1DCC"/>
    <w:rsid w:val="003F11A1"/>
    <w:rsid w:val="003F6A59"/>
    <w:rsid w:val="00403AE2"/>
    <w:rsid w:val="004065C8"/>
    <w:rsid w:val="004109FA"/>
    <w:rsid w:val="00411B4B"/>
    <w:rsid w:val="00415BEE"/>
    <w:rsid w:val="00421B40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A1428"/>
    <w:rsid w:val="004C331F"/>
    <w:rsid w:val="004D6103"/>
    <w:rsid w:val="004E3BCE"/>
    <w:rsid w:val="004E70AD"/>
    <w:rsid w:val="004F0E97"/>
    <w:rsid w:val="004F17E2"/>
    <w:rsid w:val="004F7A48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552"/>
    <w:rsid w:val="005B49B8"/>
    <w:rsid w:val="005C0741"/>
    <w:rsid w:val="005C3CD9"/>
    <w:rsid w:val="005C5EF4"/>
    <w:rsid w:val="005E2E0B"/>
    <w:rsid w:val="005E67AD"/>
    <w:rsid w:val="005E7A7D"/>
    <w:rsid w:val="00602457"/>
    <w:rsid w:val="00644FC3"/>
    <w:rsid w:val="00646BD1"/>
    <w:rsid w:val="006561C2"/>
    <w:rsid w:val="00661C10"/>
    <w:rsid w:val="00671CB3"/>
    <w:rsid w:val="00674BAF"/>
    <w:rsid w:val="00682200"/>
    <w:rsid w:val="00692BF6"/>
    <w:rsid w:val="006A1351"/>
    <w:rsid w:val="006A1497"/>
    <w:rsid w:val="006B0662"/>
    <w:rsid w:val="006B0BD1"/>
    <w:rsid w:val="006B5404"/>
    <w:rsid w:val="006D20A5"/>
    <w:rsid w:val="006D37BF"/>
    <w:rsid w:val="006F28B7"/>
    <w:rsid w:val="00702E22"/>
    <w:rsid w:val="007146E4"/>
    <w:rsid w:val="0072020E"/>
    <w:rsid w:val="00742E1B"/>
    <w:rsid w:val="00754902"/>
    <w:rsid w:val="007613E1"/>
    <w:rsid w:val="00786071"/>
    <w:rsid w:val="007A3ECB"/>
    <w:rsid w:val="007B7A52"/>
    <w:rsid w:val="007D7BB3"/>
    <w:rsid w:val="007E31E9"/>
    <w:rsid w:val="007F05E3"/>
    <w:rsid w:val="00803236"/>
    <w:rsid w:val="008059F4"/>
    <w:rsid w:val="00824AB9"/>
    <w:rsid w:val="00836B35"/>
    <w:rsid w:val="00843BDE"/>
    <w:rsid w:val="00867E1D"/>
    <w:rsid w:val="0087588C"/>
    <w:rsid w:val="0089705C"/>
    <w:rsid w:val="008A6C83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0327"/>
    <w:rsid w:val="00A46C9A"/>
    <w:rsid w:val="00A51A76"/>
    <w:rsid w:val="00A619F3"/>
    <w:rsid w:val="00A62A73"/>
    <w:rsid w:val="00A87FF6"/>
    <w:rsid w:val="00A96EFE"/>
    <w:rsid w:val="00AA0A3B"/>
    <w:rsid w:val="00AA2763"/>
    <w:rsid w:val="00AA33B6"/>
    <w:rsid w:val="00AB50CA"/>
    <w:rsid w:val="00AB6D64"/>
    <w:rsid w:val="00AC030E"/>
    <w:rsid w:val="00AC53CE"/>
    <w:rsid w:val="00AD2193"/>
    <w:rsid w:val="00AF19F4"/>
    <w:rsid w:val="00AF2AC7"/>
    <w:rsid w:val="00AF74CE"/>
    <w:rsid w:val="00B07716"/>
    <w:rsid w:val="00B208DB"/>
    <w:rsid w:val="00B23F69"/>
    <w:rsid w:val="00B26C42"/>
    <w:rsid w:val="00B60619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463D9"/>
    <w:rsid w:val="00C61BE0"/>
    <w:rsid w:val="00C6707E"/>
    <w:rsid w:val="00C70B0E"/>
    <w:rsid w:val="00C773CA"/>
    <w:rsid w:val="00C83785"/>
    <w:rsid w:val="00C87FA8"/>
    <w:rsid w:val="00C94C0D"/>
    <w:rsid w:val="00CA1FEB"/>
    <w:rsid w:val="00CA31F2"/>
    <w:rsid w:val="00CD3526"/>
    <w:rsid w:val="00CD4F85"/>
    <w:rsid w:val="00CD6F02"/>
    <w:rsid w:val="00CE246D"/>
    <w:rsid w:val="00CF07A0"/>
    <w:rsid w:val="00CF3E03"/>
    <w:rsid w:val="00D0082A"/>
    <w:rsid w:val="00D21455"/>
    <w:rsid w:val="00D30436"/>
    <w:rsid w:val="00D47634"/>
    <w:rsid w:val="00D709B3"/>
    <w:rsid w:val="00D74CD2"/>
    <w:rsid w:val="00DA0786"/>
    <w:rsid w:val="00DA2ED6"/>
    <w:rsid w:val="00DB1D55"/>
    <w:rsid w:val="00DB74A0"/>
    <w:rsid w:val="00DB76B8"/>
    <w:rsid w:val="00DC2EA1"/>
    <w:rsid w:val="00DD6AAF"/>
    <w:rsid w:val="00DE3F5C"/>
    <w:rsid w:val="00DF1D20"/>
    <w:rsid w:val="00E1507B"/>
    <w:rsid w:val="00E21324"/>
    <w:rsid w:val="00E246B9"/>
    <w:rsid w:val="00E31FEA"/>
    <w:rsid w:val="00E41265"/>
    <w:rsid w:val="00E45169"/>
    <w:rsid w:val="00E453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C2532"/>
    <w:rsid w:val="00ED2C45"/>
    <w:rsid w:val="00ED7812"/>
    <w:rsid w:val="00EF3B86"/>
    <w:rsid w:val="00F05022"/>
    <w:rsid w:val="00F25D6A"/>
    <w:rsid w:val="00F317E9"/>
    <w:rsid w:val="00F34554"/>
    <w:rsid w:val="00F35B68"/>
    <w:rsid w:val="00F45F77"/>
    <w:rsid w:val="00F5167F"/>
    <w:rsid w:val="00F52258"/>
    <w:rsid w:val="00F8570A"/>
    <w:rsid w:val="00F91C7B"/>
    <w:rsid w:val="00FA1378"/>
    <w:rsid w:val="00FA3638"/>
    <w:rsid w:val="00FE3ABD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31ED5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80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E3ABD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236"/>
    <w:pPr>
      <w:ind w:left="720"/>
      <w:contextualSpacing/>
    </w:pPr>
  </w:style>
  <w:style w:type="paragraph" w:styleId="Revision">
    <w:name w:val="Revision"/>
    <w:hidden/>
    <w:uiPriority w:val="99"/>
    <w:semiHidden/>
    <w:rsid w:val="00E150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041C-5D4B-42FD-9957-04466DFD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39548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5</cp:revision>
  <cp:lastPrinted>2023-02-09T08:16:00Z</cp:lastPrinted>
  <dcterms:created xsi:type="dcterms:W3CDTF">2024-04-05T13:10:00Z</dcterms:created>
  <dcterms:modified xsi:type="dcterms:W3CDTF">2024-04-08T11:25:00Z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