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4B87" w14:textId="3EEE05BE" w:rsidR="002510A5" w:rsidRPr="00815C87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815C87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93F433F" w14:textId="77777777" w:rsidR="002510A5" w:rsidRPr="00815C87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B03B37C" w14:textId="77777777" w:rsidR="003C17AB" w:rsidRPr="00815C87" w:rsidRDefault="003C17AB" w:rsidP="00CA1FEB">
      <w:pPr>
        <w:rPr>
          <w:sz w:val="22"/>
          <w:szCs w:val="22"/>
          <w:lang w:val="sr-Latn-ME"/>
        </w:rPr>
      </w:pPr>
    </w:p>
    <w:p w14:paraId="78096F97" w14:textId="77777777" w:rsidR="003F34B0" w:rsidRPr="00815C87" w:rsidRDefault="003F34B0" w:rsidP="00CA1FEB">
      <w:pPr>
        <w:rPr>
          <w:sz w:val="22"/>
          <w:szCs w:val="22"/>
          <w:lang w:val="sr-Latn-ME"/>
        </w:rPr>
      </w:pPr>
    </w:p>
    <w:p w14:paraId="1D0AE201" w14:textId="77777777" w:rsidR="00411B4B" w:rsidRPr="00815C87" w:rsidRDefault="00704C00" w:rsidP="00704C00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 </w:t>
      </w:r>
      <w:r w:rsidR="002846DB" w:rsidRPr="00815C87">
        <w:rPr>
          <w:b/>
          <w:bCs/>
          <w:sz w:val="22"/>
          <w:szCs w:val="22"/>
          <w:lang w:val="sr-Latn-ME"/>
        </w:rPr>
        <w:t xml:space="preserve">NAZIV </w:t>
      </w:r>
      <w:r w:rsidR="00411B4B" w:rsidRPr="00815C87">
        <w:rPr>
          <w:b/>
          <w:bCs/>
          <w:sz w:val="22"/>
          <w:szCs w:val="22"/>
          <w:lang w:val="sr-Latn-ME"/>
        </w:rPr>
        <w:t>LIJEKA</w:t>
      </w:r>
    </w:p>
    <w:p w14:paraId="458CF470" w14:textId="77777777" w:rsidR="00704C00" w:rsidRPr="00815C87" w:rsidRDefault="00704C00" w:rsidP="00704C00">
      <w:pPr>
        <w:pStyle w:val="ListParagraph"/>
        <w:tabs>
          <w:tab w:val="left" w:pos="540"/>
          <w:tab w:val="left" w:pos="569"/>
        </w:tabs>
        <w:ind w:left="900"/>
        <w:rPr>
          <w:b/>
          <w:bCs/>
          <w:sz w:val="22"/>
          <w:szCs w:val="22"/>
          <w:lang w:val="sr-Latn-ME"/>
        </w:rPr>
      </w:pPr>
    </w:p>
    <w:p w14:paraId="61E99D2D" w14:textId="133F56A6" w:rsidR="00704C00" w:rsidRPr="00815C87" w:rsidRDefault="00704C00" w:rsidP="00704C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C87">
        <w:rPr>
          <w:sz w:val="22"/>
          <w:szCs w:val="22"/>
          <w:lang w:val="sr-Latn-ME"/>
        </w:rPr>
        <w:t>RotaTeq</w:t>
      </w:r>
      <w:proofErr w:type="spellEnd"/>
      <w:r w:rsidR="006A347C" w:rsidRPr="00815C87">
        <w:rPr>
          <w:sz w:val="22"/>
          <w:szCs w:val="22"/>
          <w:lang w:val="sr-Latn-ME"/>
        </w:rPr>
        <w:t>, oralni rastvor</w:t>
      </w:r>
    </w:p>
    <w:p w14:paraId="42EBB311" w14:textId="77777777" w:rsidR="00852481" w:rsidRPr="00815C87" w:rsidRDefault="00852481" w:rsidP="00704C00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5A3FAE5F" w14:textId="2158DB61" w:rsidR="00704C00" w:rsidRPr="00815C87" w:rsidRDefault="00704C00" w:rsidP="00704C0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C87">
        <w:rPr>
          <w:sz w:val="22"/>
          <w:szCs w:val="22"/>
          <w:lang w:val="sr-Latn-ME"/>
        </w:rPr>
        <w:t>INN</w:t>
      </w:r>
      <w:proofErr w:type="spellEnd"/>
      <w:r w:rsidRPr="00815C87">
        <w:rPr>
          <w:sz w:val="22"/>
          <w:szCs w:val="22"/>
          <w:lang w:val="sr-Latn-ME"/>
        </w:rPr>
        <w:t xml:space="preserve">: </w:t>
      </w:r>
      <w:r w:rsidR="00597C55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vakcina protiv </w:t>
      </w:r>
      <w:proofErr w:type="spellStart"/>
      <w:r w:rsidR="00597C55">
        <w:rPr>
          <w:rFonts w:ascii="TimesNewRoman" w:hAnsi="TimesNewRoman" w:cs="TimesNewRoman"/>
          <w:sz w:val="22"/>
          <w:szCs w:val="22"/>
          <w:lang w:val="sr-Latn-ME" w:eastAsia="sr-Latn-ME"/>
        </w:rPr>
        <w:t>rotavirusa</w:t>
      </w:r>
      <w:proofErr w:type="spellEnd"/>
      <w:r w:rsidR="00597C55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, </w:t>
      </w:r>
      <w:proofErr w:type="spellStart"/>
      <w:r w:rsidR="00597C55">
        <w:rPr>
          <w:rFonts w:ascii="TimesNewRoman" w:hAnsi="TimesNewRoman" w:cs="TimesNewRoman"/>
          <w:sz w:val="22"/>
          <w:szCs w:val="22"/>
          <w:lang w:val="sr-Latn-ME" w:eastAsia="sr-Latn-ME"/>
        </w:rPr>
        <w:t>pentavalentna</w:t>
      </w:r>
      <w:proofErr w:type="spellEnd"/>
      <w:r w:rsidR="00597C55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, živa, </w:t>
      </w:r>
      <w:proofErr w:type="spellStart"/>
      <w:r w:rsidR="00597C55">
        <w:rPr>
          <w:rFonts w:ascii="TimesNewRoman" w:hAnsi="TimesNewRoman" w:cs="TimesNewRoman"/>
          <w:sz w:val="22"/>
          <w:szCs w:val="22"/>
          <w:lang w:val="sr-Latn-ME" w:eastAsia="sr-Latn-ME"/>
        </w:rPr>
        <w:t>reasortirana</w:t>
      </w:r>
      <w:proofErr w:type="spellEnd"/>
    </w:p>
    <w:p w14:paraId="58116959" w14:textId="77777777" w:rsidR="00EC2532" w:rsidRPr="00815C87" w:rsidRDefault="00EC2532">
      <w:pPr>
        <w:rPr>
          <w:sz w:val="22"/>
          <w:szCs w:val="22"/>
          <w:lang w:val="sr-Latn-ME"/>
        </w:rPr>
      </w:pPr>
    </w:p>
    <w:p w14:paraId="2F035852" w14:textId="77777777" w:rsidR="00530BD7" w:rsidRPr="00815C87" w:rsidRDefault="00530BD7">
      <w:pPr>
        <w:rPr>
          <w:bCs/>
          <w:sz w:val="22"/>
          <w:szCs w:val="22"/>
          <w:lang w:val="sr-Latn-ME"/>
        </w:rPr>
      </w:pPr>
    </w:p>
    <w:p w14:paraId="2E60053A" w14:textId="77777777" w:rsidR="00411B4B" w:rsidRPr="00815C8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2. </w:t>
      </w:r>
      <w:r w:rsidR="00F5167F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KVALITATIVNI I KVANTITATIVNI SASTAV</w:t>
      </w:r>
    </w:p>
    <w:p w14:paraId="34B547D4" w14:textId="77777777" w:rsidR="005A0B2E" w:rsidRPr="00815C87" w:rsidRDefault="005A0B2E">
      <w:pPr>
        <w:rPr>
          <w:sz w:val="22"/>
          <w:szCs w:val="22"/>
          <w:lang w:val="sr-Latn-ME"/>
        </w:rPr>
      </w:pPr>
    </w:p>
    <w:p w14:paraId="29916DFA" w14:textId="4D66CE26" w:rsidR="000E7F54" w:rsidRPr="00815C87" w:rsidRDefault="000E7F54" w:rsidP="000E7F54">
      <w:pPr>
        <w:widowControl w:val="0"/>
        <w:autoSpaceDE w:val="0"/>
        <w:autoSpaceDN w:val="0"/>
        <w:spacing w:before="122"/>
        <w:ind w:left="-6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Jedna doza </w:t>
      </w:r>
      <w:r w:rsidR="006A347C" w:rsidRPr="00815C87">
        <w:rPr>
          <w:sz w:val="22"/>
          <w:szCs w:val="22"/>
          <w:lang w:val="sr-Latn-ME" w:bidi="en-US"/>
        </w:rPr>
        <w:t>(</w:t>
      </w:r>
      <w:r w:rsidRPr="00815C87">
        <w:rPr>
          <w:sz w:val="22"/>
          <w:szCs w:val="22"/>
          <w:lang w:val="sr-Latn-ME" w:bidi="en-US"/>
        </w:rPr>
        <w:t>2 ml</w:t>
      </w:r>
      <w:r w:rsidR="006A347C" w:rsidRPr="00815C87">
        <w:rPr>
          <w:sz w:val="22"/>
          <w:szCs w:val="22"/>
          <w:lang w:val="sr-Latn-ME" w:bidi="en-US"/>
        </w:rPr>
        <w:t>)</w:t>
      </w:r>
      <w:r w:rsidRPr="00815C87">
        <w:rPr>
          <w:sz w:val="22"/>
          <w:szCs w:val="22"/>
          <w:lang w:val="sr-Latn-ME" w:bidi="en-US"/>
        </w:rPr>
        <w:t xml:space="preserve"> sadrži:</w:t>
      </w:r>
    </w:p>
    <w:p w14:paraId="6D5C9748" w14:textId="2B509FBB" w:rsidR="006A347C" w:rsidRPr="00815C87" w:rsidRDefault="006A347C" w:rsidP="000E7F54">
      <w:pPr>
        <w:widowControl w:val="0"/>
        <w:autoSpaceDE w:val="0"/>
        <w:autoSpaceDN w:val="0"/>
        <w:spacing w:before="122"/>
        <w:ind w:left="-6"/>
        <w:rPr>
          <w:sz w:val="22"/>
          <w:szCs w:val="22"/>
          <w:lang w:val="sr-Latn-ME" w:bidi="en-US"/>
        </w:rPr>
      </w:pPr>
    </w:p>
    <w:p w14:paraId="4E7B7544" w14:textId="77777777" w:rsidR="006A347C" w:rsidRPr="00815C87" w:rsidRDefault="006A347C" w:rsidP="006A347C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815C87">
        <w:rPr>
          <w:sz w:val="22"/>
          <w:szCs w:val="22"/>
          <w:lang w:val="sr-Latn-ME"/>
        </w:rPr>
        <w:t>rotavirus</w:t>
      </w:r>
      <w:proofErr w:type="spellEnd"/>
      <w:r w:rsidRPr="00815C87">
        <w:rPr>
          <w:sz w:val="22"/>
          <w:szCs w:val="22"/>
          <w:lang w:val="sr-Latn-ME"/>
        </w:rPr>
        <w:t xml:space="preserve">, tip * </w:t>
      </w:r>
      <w:proofErr w:type="spellStart"/>
      <w:r w:rsidRPr="00815C87">
        <w:rPr>
          <w:sz w:val="22"/>
          <w:szCs w:val="22"/>
          <w:lang w:val="sr-Latn-ME"/>
        </w:rPr>
        <w:t>G1</w:t>
      </w:r>
      <w:proofErr w:type="spellEnd"/>
      <w:r w:rsidRPr="00815C87">
        <w:rPr>
          <w:sz w:val="22"/>
          <w:szCs w:val="22"/>
          <w:lang w:val="sr-Latn-ME"/>
        </w:rPr>
        <w:tab/>
        <w:t>najmanje 2,2 x 10</w:t>
      </w:r>
      <w:r w:rsidRPr="00815C87">
        <w:rPr>
          <w:sz w:val="22"/>
          <w:szCs w:val="22"/>
          <w:vertAlign w:val="superscript"/>
          <w:lang w:val="sr-Latn-ME"/>
        </w:rPr>
        <w:t>6</w:t>
      </w:r>
      <w:r w:rsidRPr="00815C87">
        <w:rPr>
          <w:sz w:val="22"/>
          <w:szCs w:val="22"/>
          <w:lang w:val="sr-Latn-ME"/>
        </w:rPr>
        <w:t xml:space="preserve"> </w:t>
      </w:r>
      <w:proofErr w:type="spellStart"/>
      <w:r w:rsidRPr="00815C87">
        <w:rPr>
          <w:sz w:val="22"/>
          <w:szCs w:val="22"/>
          <w:lang w:val="sr-Latn-ME"/>
        </w:rPr>
        <w:t>i.j</w:t>
      </w:r>
      <w:proofErr w:type="spellEnd"/>
      <w:r w:rsidRPr="00815C87">
        <w:rPr>
          <w:sz w:val="22"/>
          <w:szCs w:val="22"/>
          <w:lang w:val="sr-Latn-ME"/>
        </w:rPr>
        <w:t>.</w:t>
      </w:r>
      <w:r w:rsidRPr="00815C87" w:rsidDel="00B53FE2">
        <w:rPr>
          <w:sz w:val="22"/>
          <w:szCs w:val="22"/>
          <w:lang w:val="sr-Latn-ME"/>
        </w:rPr>
        <w:t xml:space="preserve"> </w:t>
      </w:r>
      <w:r w:rsidRPr="00815C87">
        <w:rPr>
          <w:sz w:val="22"/>
          <w:szCs w:val="22"/>
          <w:vertAlign w:val="superscript"/>
          <w:lang w:val="sr-Latn-ME"/>
        </w:rPr>
        <w:t>1,2</w:t>
      </w:r>
    </w:p>
    <w:p w14:paraId="714E9D4C" w14:textId="77777777" w:rsidR="006A347C" w:rsidRPr="00815C87" w:rsidRDefault="006A347C" w:rsidP="006A347C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815C87">
        <w:rPr>
          <w:sz w:val="22"/>
          <w:szCs w:val="22"/>
          <w:lang w:val="sr-Latn-ME"/>
        </w:rPr>
        <w:t>rotavirus</w:t>
      </w:r>
      <w:proofErr w:type="spellEnd"/>
      <w:r w:rsidRPr="00815C87">
        <w:rPr>
          <w:sz w:val="22"/>
          <w:szCs w:val="22"/>
          <w:lang w:val="sr-Latn-ME"/>
        </w:rPr>
        <w:t xml:space="preserve">, tip * </w:t>
      </w:r>
      <w:proofErr w:type="spellStart"/>
      <w:r w:rsidRPr="00815C87">
        <w:rPr>
          <w:sz w:val="22"/>
          <w:szCs w:val="22"/>
          <w:lang w:val="sr-Latn-ME"/>
        </w:rPr>
        <w:t>G2</w:t>
      </w:r>
      <w:proofErr w:type="spellEnd"/>
      <w:r w:rsidRPr="00815C87">
        <w:rPr>
          <w:sz w:val="22"/>
          <w:szCs w:val="22"/>
          <w:lang w:val="sr-Latn-ME"/>
        </w:rPr>
        <w:tab/>
        <w:t>najmanje 2,8 x 10</w:t>
      </w:r>
      <w:r w:rsidRPr="00815C87">
        <w:rPr>
          <w:sz w:val="22"/>
          <w:szCs w:val="22"/>
          <w:vertAlign w:val="superscript"/>
          <w:lang w:val="sr-Latn-ME"/>
        </w:rPr>
        <w:t>6</w:t>
      </w:r>
      <w:r w:rsidRPr="00815C87">
        <w:rPr>
          <w:sz w:val="22"/>
          <w:szCs w:val="22"/>
          <w:lang w:val="sr-Latn-ME"/>
        </w:rPr>
        <w:t xml:space="preserve"> </w:t>
      </w:r>
      <w:proofErr w:type="spellStart"/>
      <w:r w:rsidRPr="00815C87">
        <w:rPr>
          <w:sz w:val="22"/>
          <w:szCs w:val="22"/>
          <w:lang w:val="sr-Latn-ME"/>
        </w:rPr>
        <w:t>i.j</w:t>
      </w:r>
      <w:proofErr w:type="spellEnd"/>
      <w:r w:rsidRPr="00815C87">
        <w:rPr>
          <w:sz w:val="22"/>
          <w:szCs w:val="22"/>
          <w:lang w:val="sr-Latn-ME"/>
        </w:rPr>
        <w:t>.</w:t>
      </w:r>
      <w:r w:rsidRPr="00815C87" w:rsidDel="00B53FE2">
        <w:rPr>
          <w:sz w:val="22"/>
          <w:szCs w:val="22"/>
          <w:lang w:val="sr-Latn-ME"/>
        </w:rPr>
        <w:t xml:space="preserve"> </w:t>
      </w:r>
      <w:r w:rsidRPr="00815C87">
        <w:rPr>
          <w:sz w:val="22"/>
          <w:szCs w:val="22"/>
          <w:vertAlign w:val="superscript"/>
          <w:lang w:val="sr-Latn-ME"/>
        </w:rPr>
        <w:t>1,2</w:t>
      </w:r>
    </w:p>
    <w:p w14:paraId="6FF56684" w14:textId="77777777" w:rsidR="006A347C" w:rsidRPr="00815C87" w:rsidRDefault="006A347C" w:rsidP="006A347C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815C87">
        <w:rPr>
          <w:sz w:val="22"/>
          <w:szCs w:val="22"/>
          <w:lang w:val="sr-Latn-ME"/>
        </w:rPr>
        <w:t>rotavirus</w:t>
      </w:r>
      <w:proofErr w:type="spellEnd"/>
      <w:r w:rsidRPr="00815C87">
        <w:rPr>
          <w:sz w:val="22"/>
          <w:szCs w:val="22"/>
          <w:lang w:val="sr-Latn-ME"/>
        </w:rPr>
        <w:t xml:space="preserve">, tip * </w:t>
      </w:r>
      <w:proofErr w:type="spellStart"/>
      <w:r w:rsidRPr="00815C87">
        <w:rPr>
          <w:sz w:val="22"/>
          <w:szCs w:val="22"/>
          <w:lang w:val="sr-Latn-ME"/>
        </w:rPr>
        <w:t>G3</w:t>
      </w:r>
      <w:proofErr w:type="spellEnd"/>
      <w:r w:rsidRPr="00815C87">
        <w:rPr>
          <w:sz w:val="22"/>
          <w:szCs w:val="22"/>
          <w:lang w:val="sr-Latn-ME"/>
        </w:rPr>
        <w:tab/>
        <w:t>najmanje 2,2 x 10</w:t>
      </w:r>
      <w:r w:rsidRPr="00815C87">
        <w:rPr>
          <w:sz w:val="22"/>
          <w:szCs w:val="22"/>
          <w:vertAlign w:val="superscript"/>
          <w:lang w:val="sr-Latn-ME"/>
        </w:rPr>
        <w:t>6</w:t>
      </w:r>
      <w:r w:rsidRPr="00815C87">
        <w:rPr>
          <w:sz w:val="22"/>
          <w:szCs w:val="22"/>
          <w:lang w:val="sr-Latn-ME"/>
        </w:rPr>
        <w:t xml:space="preserve"> </w:t>
      </w:r>
      <w:proofErr w:type="spellStart"/>
      <w:r w:rsidRPr="00815C87">
        <w:rPr>
          <w:sz w:val="22"/>
          <w:szCs w:val="22"/>
          <w:lang w:val="sr-Latn-ME"/>
        </w:rPr>
        <w:t>i.j</w:t>
      </w:r>
      <w:proofErr w:type="spellEnd"/>
      <w:r w:rsidRPr="00815C87">
        <w:rPr>
          <w:sz w:val="22"/>
          <w:szCs w:val="22"/>
          <w:lang w:val="sr-Latn-ME"/>
        </w:rPr>
        <w:t>.</w:t>
      </w:r>
      <w:r w:rsidRPr="00815C87" w:rsidDel="00B53FE2">
        <w:rPr>
          <w:sz w:val="22"/>
          <w:szCs w:val="22"/>
          <w:lang w:val="sr-Latn-ME"/>
        </w:rPr>
        <w:t xml:space="preserve"> </w:t>
      </w:r>
      <w:r w:rsidRPr="00815C87">
        <w:rPr>
          <w:sz w:val="22"/>
          <w:szCs w:val="22"/>
          <w:vertAlign w:val="superscript"/>
          <w:lang w:val="sr-Latn-ME"/>
        </w:rPr>
        <w:t>1,2</w:t>
      </w:r>
    </w:p>
    <w:p w14:paraId="346AC42C" w14:textId="77777777" w:rsidR="006A347C" w:rsidRPr="00815C87" w:rsidRDefault="006A347C" w:rsidP="006A347C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815C87">
        <w:rPr>
          <w:sz w:val="22"/>
          <w:szCs w:val="22"/>
          <w:lang w:val="sr-Latn-ME"/>
        </w:rPr>
        <w:t>rotavirus</w:t>
      </w:r>
      <w:proofErr w:type="spellEnd"/>
      <w:r w:rsidRPr="00815C87">
        <w:rPr>
          <w:sz w:val="22"/>
          <w:szCs w:val="22"/>
          <w:lang w:val="sr-Latn-ME"/>
        </w:rPr>
        <w:t xml:space="preserve">, tip * </w:t>
      </w:r>
      <w:proofErr w:type="spellStart"/>
      <w:r w:rsidRPr="00815C87">
        <w:rPr>
          <w:sz w:val="22"/>
          <w:szCs w:val="22"/>
          <w:lang w:val="sr-Latn-ME"/>
        </w:rPr>
        <w:t>G4</w:t>
      </w:r>
      <w:proofErr w:type="spellEnd"/>
      <w:r w:rsidRPr="00815C87">
        <w:rPr>
          <w:sz w:val="22"/>
          <w:szCs w:val="22"/>
          <w:lang w:val="sr-Latn-ME"/>
        </w:rPr>
        <w:tab/>
        <w:t>najmanje 2,0 x 10</w:t>
      </w:r>
      <w:r w:rsidRPr="00815C87">
        <w:rPr>
          <w:sz w:val="22"/>
          <w:szCs w:val="22"/>
          <w:vertAlign w:val="superscript"/>
          <w:lang w:val="sr-Latn-ME"/>
        </w:rPr>
        <w:t>6</w:t>
      </w:r>
      <w:r w:rsidRPr="00815C87">
        <w:rPr>
          <w:sz w:val="22"/>
          <w:szCs w:val="22"/>
          <w:lang w:val="sr-Latn-ME"/>
        </w:rPr>
        <w:t xml:space="preserve"> </w:t>
      </w:r>
      <w:proofErr w:type="spellStart"/>
      <w:r w:rsidRPr="00815C87">
        <w:rPr>
          <w:sz w:val="22"/>
          <w:szCs w:val="22"/>
          <w:lang w:val="sr-Latn-ME"/>
        </w:rPr>
        <w:t>i.j</w:t>
      </w:r>
      <w:proofErr w:type="spellEnd"/>
      <w:r w:rsidRPr="00815C87">
        <w:rPr>
          <w:sz w:val="22"/>
          <w:szCs w:val="22"/>
          <w:lang w:val="sr-Latn-ME"/>
        </w:rPr>
        <w:t>.</w:t>
      </w:r>
      <w:r w:rsidRPr="00815C87" w:rsidDel="00B53FE2">
        <w:rPr>
          <w:sz w:val="22"/>
          <w:szCs w:val="22"/>
          <w:lang w:val="sr-Latn-ME"/>
        </w:rPr>
        <w:t xml:space="preserve"> </w:t>
      </w:r>
      <w:r w:rsidRPr="00815C87">
        <w:rPr>
          <w:sz w:val="22"/>
          <w:szCs w:val="22"/>
          <w:vertAlign w:val="superscript"/>
          <w:lang w:val="sr-Latn-ME"/>
        </w:rPr>
        <w:t>1,2</w:t>
      </w:r>
    </w:p>
    <w:p w14:paraId="7EF4AD50" w14:textId="77777777" w:rsidR="006A347C" w:rsidRPr="00815C87" w:rsidRDefault="006A347C" w:rsidP="006A347C">
      <w:pPr>
        <w:tabs>
          <w:tab w:val="left" w:pos="284"/>
        </w:tabs>
        <w:rPr>
          <w:sz w:val="22"/>
          <w:szCs w:val="22"/>
          <w:vertAlign w:val="superscript"/>
          <w:lang w:val="sr-Latn-ME"/>
        </w:rPr>
      </w:pPr>
      <w:proofErr w:type="spellStart"/>
      <w:r w:rsidRPr="00815C87">
        <w:rPr>
          <w:sz w:val="22"/>
          <w:szCs w:val="22"/>
          <w:lang w:val="sr-Latn-ME"/>
        </w:rPr>
        <w:t>rotavirus</w:t>
      </w:r>
      <w:proofErr w:type="spellEnd"/>
      <w:r w:rsidRPr="00815C87">
        <w:rPr>
          <w:sz w:val="22"/>
          <w:szCs w:val="22"/>
          <w:lang w:val="sr-Latn-ME"/>
        </w:rPr>
        <w:t xml:space="preserve">, tip * </w:t>
      </w:r>
      <w:proofErr w:type="spellStart"/>
      <w:r w:rsidRPr="00815C87">
        <w:rPr>
          <w:sz w:val="22"/>
          <w:szCs w:val="22"/>
          <w:lang w:val="sr-Latn-ME"/>
        </w:rPr>
        <w:t>P1A</w:t>
      </w:r>
      <w:proofErr w:type="spellEnd"/>
      <w:r w:rsidRPr="00815C87">
        <w:rPr>
          <w:sz w:val="22"/>
          <w:szCs w:val="22"/>
          <w:lang w:val="sr-Latn-ME"/>
        </w:rPr>
        <w:t>[8]</w:t>
      </w:r>
      <w:r w:rsidRPr="00815C87">
        <w:rPr>
          <w:sz w:val="22"/>
          <w:szCs w:val="22"/>
          <w:lang w:val="sr-Latn-ME"/>
        </w:rPr>
        <w:tab/>
        <w:t>najmanje 2,3 x 10</w:t>
      </w:r>
      <w:r w:rsidRPr="00815C87">
        <w:rPr>
          <w:sz w:val="22"/>
          <w:szCs w:val="22"/>
          <w:vertAlign w:val="superscript"/>
          <w:lang w:val="sr-Latn-ME"/>
        </w:rPr>
        <w:t>6</w:t>
      </w:r>
      <w:r w:rsidRPr="00815C87">
        <w:rPr>
          <w:sz w:val="22"/>
          <w:szCs w:val="22"/>
          <w:lang w:val="sr-Latn-ME"/>
        </w:rPr>
        <w:t xml:space="preserve"> </w:t>
      </w:r>
      <w:proofErr w:type="spellStart"/>
      <w:r w:rsidRPr="00815C87">
        <w:rPr>
          <w:sz w:val="22"/>
          <w:szCs w:val="22"/>
          <w:lang w:val="sr-Latn-ME"/>
        </w:rPr>
        <w:t>i.j</w:t>
      </w:r>
      <w:proofErr w:type="spellEnd"/>
      <w:r w:rsidRPr="00815C87">
        <w:rPr>
          <w:sz w:val="22"/>
          <w:szCs w:val="22"/>
          <w:lang w:val="sr-Latn-ME"/>
        </w:rPr>
        <w:t>.</w:t>
      </w:r>
      <w:r w:rsidRPr="00815C87" w:rsidDel="00B53FE2">
        <w:rPr>
          <w:sz w:val="22"/>
          <w:szCs w:val="22"/>
          <w:lang w:val="sr-Latn-ME"/>
        </w:rPr>
        <w:t xml:space="preserve"> </w:t>
      </w:r>
      <w:r w:rsidRPr="00815C87">
        <w:rPr>
          <w:sz w:val="22"/>
          <w:szCs w:val="22"/>
          <w:vertAlign w:val="superscript"/>
          <w:lang w:val="sr-Latn-ME"/>
        </w:rPr>
        <w:t>1,2</w:t>
      </w:r>
    </w:p>
    <w:p w14:paraId="75A2E48A" w14:textId="063F68EC" w:rsidR="006A347C" w:rsidRPr="00815C87" w:rsidRDefault="006A347C" w:rsidP="00765C3E">
      <w:pPr>
        <w:widowControl w:val="0"/>
        <w:autoSpaceDE w:val="0"/>
        <w:autoSpaceDN w:val="0"/>
        <w:ind w:left="-6"/>
        <w:rPr>
          <w:sz w:val="22"/>
          <w:szCs w:val="22"/>
          <w:lang w:val="sr-Latn-ME" w:bidi="en-US"/>
        </w:rPr>
      </w:pPr>
    </w:p>
    <w:p w14:paraId="554A56DE" w14:textId="77777777" w:rsidR="000E7F54" w:rsidRPr="00815C87" w:rsidRDefault="000E7F54" w:rsidP="00765C3E">
      <w:pPr>
        <w:widowControl w:val="0"/>
        <w:autoSpaceDE w:val="0"/>
        <w:autoSpaceDN w:val="0"/>
        <w:ind w:left="-6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* </w:t>
      </w:r>
      <w:proofErr w:type="spellStart"/>
      <w:r w:rsidRPr="00815C87">
        <w:rPr>
          <w:sz w:val="22"/>
          <w:szCs w:val="22"/>
          <w:lang w:val="sr-Latn-ME" w:bidi="en-US"/>
        </w:rPr>
        <w:t>reasortirani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rotavirus</w:t>
      </w:r>
      <w:proofErr w:type="spellEnd"/>
      <w:r w:rsidRPr="00815C87">
        <w:rPr>
          <w:sz w:val="22"/>
          <w:szCs w:val="22"/>
          <w:lang w:val="sr-Latn-ME" w:bidi="en-US"/>
        </w:rPr>
        <w:t xml:space="preserve"> humano-goveđeg porijekla (živi), proizveden u </w:t>
      </w:r>
      <w:proofErr w:type="spellStart"/>
      <w:r w:rsidRPr="00815C87">
        <w:rPr>
          <w:sz w:val="22"/>
          <w:szCs w:val="22"/>
          <w:lang w:val="sr-Latn-ME" w:bidi="en-US"/>
        </w:rPr>
        <w:t>Vero</w:t>
      </w:r>
      <w:proofErr w:type="spellEnd"/>
      <w:r w:rsidRPr="00815C87">
        <w:rPr>
          <w:sz w:val="22"/>
          <w:szCs w:val="22"/>
          <w:lang w:val="sr-Latn-ME" w:bidi="en-US"/>
        </w:rPr>
        <w:t xml:space="preserve"> ćelijama.</w:t>
      </w:r>
    </w:p>
    <w:p w14:paraId="4A8984A4" w14:textId="77777777" w:rsidR="00281113" w:rsidRDefault="00281113" w:rsidP="00127C66">
      <w:pPr>
        <w:widowControl w:val="0"/>
        <w:autoSpaceDE w:val="0"/>
        <w:autoSpaceDN w:val="0"/>
        <w:spacing w:line="256" w:lineRule="exact"/>
        <w:rPr>
          <w:sz w:val="22"/>
          <w:szCs w:val="22"/>
          <w:lang w:val="sr-Latn-ME" w:bidi="en-US"/>
        </w:rPr>
      </w:pPr>
    </w:p>
    <w:p w14:paraId="58801E71" w14:textId="16A30A61" w:rsidR="000E7F54" w:rsidRPr="00815C87" w:rsidRDefault="00281113" w:rsidP="00127C66">
      <w:pPr>
        <w:widowControl w:val="0"/>
        <w:autoSpaceDE w:val="0"/>
        <w:autoSpaceDN w:val="0"/>
        <w:spacing w:line="256" w:lineRule="exact"/>
        <w:rPr>
          <w:sz w:val="22"/>
          <w:szCs w:val="22"/>
          <w:lang w:val="sr-Latn-ME" w:bidi="en-US"/>
        </w:rPr>
      </w:pPr>
      <w:proofErr w:type="spellStart"/>
      <w:r w:rsidRPr="00281113">
        <w:rPr>
          <w:sz w:val="22"/>
          <w:szCs w:val="22"/>
          <w:vertAlign w:val="superscript"/>
          <w:lang w:val="sr-Latn-ME" w:bidi="en-US"/>
        </w:rPr>
        <w:t>1</w:t>
      </w:r>
      <w:r w:rsidR="000E7F54" w:rsidRPr="00815C87">
        <w:rPr>
          <w:sz w:val="22"/>
          <w:szCs w:val="22"/>
          <w:lang w:val="sr-Latn-ME" w:bidi="en-US"/>
        </w:rPr>
        <w:t>Infektivne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jedinice</w:t>
      </w:r>
    </w:p>
    <w:p w14:paraId="461CA97F" w14:textId="4DEB9863" w:rsidR="000E7F54" w:rsidRPr="00815C87" w:rsidRDefault="00281113" w:rsidP="00127C66">
      <w:pPr>
        <w:widowControl w:val="0"/>
        <w:autoSpaceDE w:val="0"/>
        <w:autoSpaceDN w:val="0"/>
        <w:spacing w:line="256" w:lineRule="exact"/>
        <w:rPr>
          <w:sz w:val="22"/>
          <w:szCs w:val="22"/>
          <w:lang w:val="sr-Latn-ME" w:bidi="en-US"/>
        </w:rPr>
      </w:pPr>
      <w:proofErr w:type="spellStart"/>
      <w:r w:rsidRPr="00281113">
        <w:rPr>
          <w:sz w:val="22"/>
          <w:szCs w:val="22"/>
          <w:vertAlign w:val="superscript"/>
          <w:lang w:val="sr-Latn-ME" w:bidi="en-US"/>
        </w:rPr>
        <w:t>2</w:t>
      </w:r>
      <w:r w:rsidR="000E7F54" w:rsidRPr="00815C87">
        <w:rPr>
          <w:sz w:val="22"/>
          <w:szCs w:val="22"/>
          <w:lang w:val="sr-Latn-ME" w:bidi="en-US"/>
        </w:rPr>
        <w:t>Kao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donja granica pouzdanosti (p</w:t>
      </w:r>
      <w:r w:rsidR="00F80F98" w:rsidRPr="00815C87">
        <w:rPr>
          <w:sz w:val="22"/>
          <w:szCs w:val="22"/>
          <w:lang w:val="sr-Latn-ME" w:bidi="en-US"/>
        </w:rPr>
        <w:t xml:space="preserve"> = </w:t>
      </w:r>
      <w:r w:rsidR="000E7F54" w:rsidRPr="00815C87">
        <w:rPr>
          <w:sz w:val="22"/>
          <w:szCs w:val="22"/>
          <w:lang w:val="sr-Latn-ME" w:bidi="en-US"/>
        </w:rPr>
        <w:t>0,95).</w:t>
      </w:r>
    </w:p>
    <w:p w14:paraId="549F3BCF" w14:textId="77777777" w:rsidR="000E7F54" w:rsidRPr="00815C87" w:rsidRDefault="000E7F54" w:rsidP="000E7F54">
      <w:pPr>
        <w:widowControl w:val="0"/>
        <w:autoSpaceDE w:val="0"/>
        <w:autoSpaceDN w:val="0"/>
        <w:spacing w:before="10"/>
        <w:rPr>
          <w:sz w:val="22"/>
          <w:szCs w:val="22"/>
          <w:lang w:val="sr-Latn-ME" w:bidi="en-US"/>
        </w:rPr>
      </w:pPr>
    </w:p>
    <w:p w14:paraId="7BC669C2" w14:textId="2783D745" w:rsidR="000E7F54" w:rsidRPr="00815C87" w:rsidRDefault="00815C87" w:rsidP="000E7F54">
      <w:pPr>
        <w:widowControl w:val="0"/>
        <w:autoSpaceDE w:val="0"/>
        <w:autoSpaceDN w:val="0"/>
        <w:ind w:left="-6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u w:val="single"/>
          <w:lang w:val="sr-Latn-ME" w:bidi="en-US"/>
        </w:rPr>
        <w:t>Pomoćne</w:t>
      </w:r>
      <w:r w:rsidR="000E7F54" w:rsidRPr="00815C87">
        <w:rPr>
          <w:sz w:val="22"/>
          <w:szCs w:val="22"/>
          <w:u w:val="single"/>
          <w:lang w:val="sr-Latn-ME" w:bidi="en-US"/>
        </w:rPr>
        <w:t xml:space="preserve"> supstanc</w:t>
      </w:r>
      <w:r w:rsidRPr="00815C87">
        <w:rPr>
          <w:sz w:val="22"/>
          <w:szCs w:val="22"/>
          <w:u w:val="single"/>
          <w:lang w:val="sr-Latn-ME" w:bidi="en-US"/>
        </w:rPr>
        <w:t>e</w:t>
      </w:r>
      <w:r w:rsidR="000E7F54" w:rsidRPr="00815C87">
        <w:rPr>
          <w:sz w:val="22"/>
          <w:szCs w:val="22"/>
          <w:u w:val="single"/>
          <w:lang w:val="sr-Latn-ME" w:bidi="en-US"/>
        </w:rPr>
        <w:t xml:space="preserve"> sa poznatim dejstvom:</w:t>
      </w:r>
    </w:p>
    <w:p w14:paraId="05D43775" w14:textId="1E2C11DE" w:rsidR="000E7F54" w:rsidRPr="00815C87" w:rsidRDefault="000E7F54" w:rsidP="000E7F54">
      <w:pPr>
        <w:widowControl w:val="0"/>
        <w:autoSpaceDE w:val="0"/>
        <w:autoSpaceDN w:val="0"/>
        <w:spacing w:before="1"/>
        <w:ind w:left="-6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Ovaj proizvod sadrži</w:t>
      </w:r>
      <w:r w:rsidR="006A347C" w:rsidRPr="00815C87">
        <w:rPr>
          <w:sz w:val="22"/>
          <w:szCs w:val="22"/>
          <w:lang w:val="sr-Latn-ME" w:bidi="en-US"/>
        </w:rPr>
        <w:t xml:space="preserve"> </w:t>
      </w:r>
      <w:r w:rsidR="00704C00" w:rsidRPr="00815C87">
        <w:rPr>
          <w:sz w:val="22"/>
          <w:szCs w:val="22"/>
          <w:lang w:val="sr-Latn-ME" w:bidi="en-US"/>
        </w:rPr>
        <w:t xml:space="preserve">1080 miligrama saharoze i 37,6 miligrama natrijuma </w:t>
      </w:r>
      <w:r w:rsidRPr="00815C87">
        <w:rPr>
          <w:sz w:val="22"/>
          <w:szCs w:val="22"/>
          <w:lang w:val="sr-Latn-ME" w:bidi="en-US"/>
        </w:rPr>
        <w:t>(vidjeti dio 4.4).</w:t>
      </w:r>
    </w:p>
    <w:p w14:paraId="3C8E7CD2" w14:textId="77777777" w:rsidR="000E7F54" w:rsidRPr="00815C87" w:rsidRDefault="000E7F54">
      <w:pPr>
        <w:rPr>
          <w:sz w:val="22"/>
          <w:szCs w:val="22"/>
          <w:lang w:val="sr-Latn-ME"/>
        </w:rPr>
      </w:pPr>
    </w:p>
    <w:p w14:paraId="41575164" w14:textId="77777777" w:rsidR="0003793F" w:rsidRPr="00815C87" w:rsidRDefault="0003793F">
      <w:pPr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 xml:space="preserve">Za spisak svih </w:t>
      </w:r>
      <w:proofErr w:type="spellStart"/>
      <w:r w:rsidRPr="00815C87">
        <w:rPr>
          <w:sz w:val="22"/>
          <w:szCs w:val="22"/>
          <w:lang w:val="sr-Latn-ME"/>
        </w:rPr>
        <w:t>ekscipijenasa</w:t>
      </w:r>
      <w:proofErr w:type="spellEnd"/>
      <w:r w:rsidRPr="00815C87">
        <w:rPr>
          <w:sz w:val="22"/>
          <w:szCs w:val="22"/>
          <w:lang w:val="sr-Latn-ME"/>
        </w:rPr>
        <w:t>, pogledati dio 6.1.</w:t>
      </w:r>
    </w:p>
    <w:p w14:paraId="4DDA3FA5" w14:textId="287142F2" w:rsidR="00C37FD7" w:rsidRPr="00815C87" w:rsidRDefault="00C37FD7">
      <w:pPr>
        <w:rPr>
          <w:sz w:val="22"/>
          <w:szCs w:val="22"/>
          <w:lang w:val="sr-Latn-ME"/>
        </w:rPr>
      </w:pPr>
    </w:p>
    <w:p w14:paraId="1C220ACB" w14:textId="77777777" w:rsidR="00852481" w:rsidRPr="00815C87" w:rsidRDefault="00852481">
      <w:pPr>
        <w:rPr>
          <w:sz w:val="22"/>
          <w:szCs w:val="22"/>
          <w:lang w:val="sr-Latn-ME"/>
        </w:rPr>
      </w:pPr>
    </w:p>
    <w:p w14:paraId="48C8805F" w14:textId="089F035A" w:rsidR="00411B4B" w:rsidRPr="00815C87" w:rsidRDefault="007E0995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3. </w:t>
      </w:r>
      <w:r w:rsidRPr="00815C87">
        <w:rPr>
          <w:b/>
          <w:bCs/>
          <w:sz w:val="22"/>
          <w:szCs w:val="22"/>
          <w:lang w:val="sr-Latn-ME"/>
        </w:rPr>
        <w:tab/>
      </w:r>
      <w:r w:rsidR="00411B4B" w:rsidRPr="00815C87">
        <w:rPr>
          <w:b/>
          <w:bCs/>
          <w:sz w:val="22"/>
          <w:szCs w:val="22"/>
          <w:lang w:val="sr-Latn-ME"/>
        </w:rPr>
        <w:t>FARMACEUTSKI OBLIK</w:t>
      </w:r>
      <w:r w:rsidR="009F2D23" w:rsidRPr="00815C87">
        <w:rPr>
          <w:b/>
          <w:bCs/>
          <w:sz w:val="22"/>
          <w:szCs w:val="22"/>
          <w:lang w:val="sr-Latn-ME"/>
        </w:rPr>
        <w:t xml:space="preserve"> </w:t>
      </w:r>
    </w:p>
    <w:p w14:paraId="0A152A7F" w14:textId="77777777" w:rsidR="007E0995" w:rsidRPr="00815C87" w:rsidRDefault="007E0995" w:rsidP="00765C3E">
      <w:pPr>
        <w:rPr>
          <w:sz w:val="22"/>
          <w:szCs w:val="22"/>
          <w:lang w:val="sr-Latn-ME"/>
        </w:rPr>
      </w:pPr>
    </w:p>
    <w:p w14:paraId="4EF197C6" w14:textId="77777777" w:rsidR="000E7F54" w:rsidRPr="00815C87" w:rsidRDefault="000E7F54" w:rsidP="000E7F54">
      <w:pPr>
        <w:widowControl w:val="0"/>
        <w:autoSpaceDE w:val="0"/>
        <w:autoSpaceDN w:val="0"/>
        <w:spacing w:before="92"/>
        <w:ind w:left="-1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Oralni rastvor.</w:t>
      </w:r>
    </w:p>
    <w:p w14:paraId="255869E9" w14:textId="77777777" w:rsidR="000E7F54" w:rsidRPr="00815C87" w:rsidRDefault="000E7F54" w:rsidP="000E7F54">
      <w:pPr>
        <w:widowControl w:val="0"/>
        <w:autoSpaceDE w:val="0"/>
        <w:autoSpaceDN w:val="0"/>
        <w:spacing w:before="1"/>
        <w:rPr>
          <w:sz w:val="22"/>
          <w:szCs w:val="22"/>
          <w:lang w:val="sr-Latn-ME" w:bidi="en-US"/>
        </w:rPr>
      </w:pPr>
    </w:p>
    <w:p w14:paraId="4BE3E776" w14:textId="659A8E10" w:rsidR="00411B4B" w:rsidRPr="00815C87" w:rsidRDefault="000E7F54" w:rsidP="000E7F54">
      <w:pPr>
        <w:rPr>
          <w:bCs/>
          <w:sz w:val="22"/>
          <w:szCs w:val="22"/>
          <w:lang w:val="sr-Latn-ME"/>
        </w:rPr>
      </w:pPr>
      <w:r w:rsidRPr="00815C87">
        <w:rPr>
          <w:sz w:val="22"/>
          <w:szCs w:val="22"/>
          <w:lang w:val="sr-Latn-ME" w:bidi="en-US"/>
        </w:rPr>
        <w:t xml:space="preserve">Bistra tečnost, </w:t>
      </w:r>
      <w:proofErr w:type="spellStart"/>
      <w:r w:rsidRPr="00815C87">
        <w:rPr>
          <w:sz w:val="22"/>
          <w:szCs w:val="22"/>
          <w:lang w:val="sr-Latn-ME" w:bidi="en-US"/>
        </w:rPr>
        <w:t>blijedožute</w:t>
      </w:r>
      <w:proofErr w:type="spellEnd"/>
      <w:r w:rsidRPr="00815C87">
        <w:rPr>
          <w:sz w:val="22"/>
          <w:szCs w:val="22"/>
          <w:lang w:val="sr-Latn-ME" w:bidi="en-US"/>
        </w:rPr>
        <w:t xml:space="preserve"> boje sa mogućom ružičastom nijansom.</w:t>
      </w:r>
    </w:p>
    <w:p w14:paraId="01336F37" w14:textId="6A59A8EE" w:rsidR="00EC2532" w:rsidRPr="00815C87" w:rsidRDefault="00EC2532">
      <w:pPr>
        <w:rPr>
          <w:bCs/>
          <w:sz w:val="22"/>
          <w:szCs w:val="22"/>
          <w:lang w:val="sr-Latn-ME"/>
        </w:rPr>
      </w:pPr>
    </w:p>
    <w:p w14:paraId="0CB29B5D" w14:textId="77777777" w:rsidR="00852481" w:rsidRPr="00815C87" w:rsidRDefault="00852481">
      <w:pPr>
        <w:rPr>
          <w:bCs/>
          <w:sz w:val="22"/>
          <w:szCs w:val="22"/>
          <w:lang w:val="sr-Latn-ME"/>
        </w:rPr>
      </w:pPr>
    </w:p>
    <w:p w14:paraId="2D3E4030" w14:textId="77777777" w:rsidR="00411B4B" w:rsidRPr="00815C87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KLINIČKI PODACI</w:t>
      </w:r>
    </w:p>
    <w:p w14:paraId="4831358C" w14:textId="77777777" w:rsidR="00CD6F02" w:rsidRPr="00815C87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E02579" w14:textId="77777777" w:rsidR="00411B4B" w:rsidRPr="00815C8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4.1.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Terapijske indikacije</w:t>
      </w:r>
    </w:p>
    <w:p w14:paraId="0C0A5A71" w14:textId="35DAACE0" w:rsidR="000E7F54" w:rsidRPr="00815C87" w:rsidRDefault="006A347C" w:rsidP="00281113">
      <w:pPr>
        <w:widowControl w:val="0"/>
        <w:autoSpaceDE w:val="0"/>
        <w:autoSpaceDN w:val="0"/>
        <w:spacing w:before="162"/>
        <w:ind w:left="-1" w:right="176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Vakcina </w:t>
      </w:r>
      <w:proofErr w:type="spellStart"/>
      <w:r w:rsidR="000E7F54" w:rsidRPr="00815C87">
        <w:rPr>
          <w:sz w:val="22"/>
          <w:szCs w:val="22"/>
          <w:lang w:val="sr-Latn-ME" w:bidi="en-US"/>
        </w:rPr>
        <w:t>RotaTeq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je </w:t>
      </w:r>
      <w:proofErr w:type="spellStart"/>
      <w:r w:rsidR="000E7F54" w:rsidRPr="00815C87">
        <w:rPr>
          <w:sz w:val="22"/>
          <w:szCs w:val="22"/>
          <w:lang w:val="sr-Latn-ME" w:bidi="en-US"/>
        </w:rPr>
        <w:t>indikovana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za aktivnu imunizaciju odojčadi uzrasta od 6 do 32 nedjelje, a u cilju prevencije </w:t>
      </w:r>
      <w:proofErr w:type="spellStart"/>
      <w:r w:rsidR="000E7F54" w:rsidRPr="00815C87">
        <w:rPr>
          <w:sz w:val="22"/>
          <w:szCs w:val="22"/>
          <w:lang w:val="sr-Latn-ME" w:bidi="en-US"/>
        </w:rPr>
        <w:t>gastroenteritisa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uzrokovanog infekcijom </w:t>
      </w:r>
      <w:proofErr w:type="spellStart"/>
      <w:r w:rsidR="000E7F54" w:rsidRPr="00815C87">
        <w:rPr>
          <w:sz w:val="22"/>
          <w:szCs w:val="22"/>
          <w:lang w:val="sr-Latn-ME" w:bidi="en-US"/>
        </w:rPr>
        <w:t>rotavirusom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(vidjeti djelove 4.2, 4.4 i 5.1).</w:t>
      </w:r>
    </w:p>
    <w:p w14:paraId="043C5F78" w14:textId="77777777" w:rsidR="000E7F54" w:rsidRPr="00815C87" w:rsidRDefault="000E7F54" w:rsidP="00281113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val="sr-Latn-ME" w:bidi="en-US"/>
        </w:rPr>
      </w:pPr>
    </w:p>
    <w:p w14:paraId="1B273DD6" w14:textId="57505B53" w:rsidR="00411B4B" w:rsidRPr="00815C87" w:rsidRDefault="006A347C" w:rsidP="002811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Vakcinu </w:t>
      </w:r>
      <w:proofErr w:type="spellStart"/>
      <w:r w:rsidR="000E7F54" w:rsidRPr="00815C87">
        <w:rPr>
          <w:sz w:val="22"/>
          <w:szCs w:val="22"/>
          <w:lang w:val="sr-Latn-ME" w:bidi="en-US"/>
        </w:rPr>
        <w:t>RotaTeq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treba primjenj</w:t>
      </w:r>
      <w:r w:rsidRPr="00815C87">
        <w:rPr>
          <w:sz w:val="22"/>
          <w:szCs w:val="22"/>
          <w:lang w:val="sr-Latn-ME" w:bidi="en-US"/>
        </w:rPr>
        <w:t>ivati</w:t>
      </w:r>
      <w:r w:rsidR="000E7F54" w:rsidRPr="00815C87">
        <w:rPr>
          <w:sz w:val="22"/>
          <w:szCs w:val="22"/>
          <w:lang w:val="sr-Latn-ME" w:bidi="en-US"/>
        </w:rPr>
        <w:t xml:space="preserve"> u skladu sa zvaničnim preporukama.</w:t>
      </w:r>
    </w:p>
    <w:p w14:paraId="4B7BF9E8" w14:textId="77777777" w:rsidR="000E7F54" w:rsidRPr="00815C87" w:rsidRDefault="000E7F54" w:rsidP="000E7F5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2F17D7" w14:textId="77777777" w:rsidR="00411B4B" w:rsidRPr="00815C8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4.2.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Doziranje i način primjene</w:t>
      </w:r>
    </w:p>
    <w:p w14:paraId="1FB275CA" w14:textId="77777777" w:rsidR="0072020E" w:rsidRPr="00815C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5D8267" w14:textId="77777777" w:rsidR="00452E9D" w:rsidRPr="00815C87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815C87">
        <w:rPr>
          <w:bCs/>
          <w:sz w:val="22"/>
          <w:szCs w:val="22"/>
          <w:u w:val="single"/>
          <w:lang w:val="sr-Latn-ME"/>
        </w:rPr>
        <w:t>Doziranje</w:t>
      </w:r>
    </w:p>
    <w:p w14:paraId="4A606FDA" w14:textId="77777777" w:rsidR="000E7F54" w:rsidRPr="00815C87" w:rsidRDefault="000E7F54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70AFCE24" w14:textId="40FAFE63" w:rsidR="000E7F54" w:rsidRPr="00815C87" w:rsidRDefault="000E7F54" w:rsidP="000E7F54">
      <w:pPr>
        <w:pStyle w:val="TableParagraph"/>
        <w:spacing w:line="252" w:lineRule="exact"/>
        <w:ind w:left="-1"/>
        <w:rPr>
          <w:b/>
          <w:lang w:val="sr-Latn-ME"/>
        </w:rPr>
      </w:pPr>
      <w:r w:rsidRPr="00815C87">
        <w:rPr>
          <w:b/>
          <w:lang w:val="sr-Latn-ME"/>
        </w:rPr>
        <w:t>Od rođenja do uzrasta od 6 nedjelja:</w:t>
      </w:r>
    </w:p>
    <w:p w14:paraId="77FDEFBB" w14:textId="77777777" w:rsidR="00852481" w:rsidRPr="00815C87" w:rsidRDefault="00852481" w:rsidP="000E7F54">
      <w:pPr>
        <w:pStyle w:val="TableParagraph"/>
        <w:spacing w:line="252" w:lineRule="exact"/>
        <w:ind w:left="-1"/>
        <w:rPr>
          <w:b/>
          <w:lang w:val="sr-Latn-ME"/>
        </w:rPr>
      </w:pPr>
    </w:p>
    <w:p w14:paraId="23843404" w14:textId="7250A9CF" w:rsidR="00452E9D" w:rsidRPr="00815C87" w:rsidRDefault="006A347C" w:rsidP="000E7F5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 xml:space="preserve">Vakcina </w:t>
      </w:r>
      <w:proofErr w:type="spellStart"/>
      <w:r w:rsidR="000E7F54" w:rsidRPr="00815C87">
        <w:rPr>
          <w:sz w:val="22"/>
          <w:szCs w:val="22"/>
          <w:lang w:val="sr-Latn-ME"/>
        </w:rPr>
        <w:t>RotaTeq</w:t>
      </w:r>
      <w:proofErr w:type="spellEnd"/>
      <w:r w:rsidR="000E7F54" w:rsidRPr="00815C87">
        <w:rPr>
          <w:sz w:val="22"/>
          <w:szCs w:val="22"/>
          <w:lang w:val="sr-Latn-ME"/>
        </w:rPr>
        <w:t xml:space="preserve"> nije </w:t>
      </w:r>
      <w:proofErr w:type="spellStart"/>
      <w:r w:rsidR="000E7F54" w:rsidRPr="00815C87">
        <w:rPr>
          <w:sz w:val="22"/>
          <w:szCs w:val="22"/>
          <w:lang w:val="sr-Latn-ME"/>
        </w:rPr>
        <w:t>indikovana</w:t>
      </w:r>
      <w:proofErr w:type="spellEnd"/>
      <w:r w:rsidR="000E7F54" w:rsidRPr="00815C87">
        <w:rPr>
          <w:sz w:val="22"/>
          <w:szCs w:val="22"/>
          <w:lang w:val="sr-Latn-ME"/>
        </w:rPr>
        <w:t xml:space="preserve"> za primjenu u </w:t>
      </w:r>
      <w:r w:rsidRPr="00815C87">
        <w:rPr>
          <w:sz w:val="22"/>
          <w:szCs w:val="22"/>
          <w:lang w:val="sr-Latn-ME"/>
        </w:rPr>
        <w:t>ovoj podgrupi pedijatrijske populacije</w:t>
      </w:r>
      <w:r w:rsidR="000E7F54" w:rsidRPr="00815C87">
        <w:rPr>
          <w:sz w:val="22"/>
          <w:szCs w:val="22"/>
          <w:lang w:val="sr-Latn-ME"/>
        </w:rPr>
        <w:t>.</w:t>
      </w:r>
    </w:p>
    <w:p w14:paraId="21CC3786" w14:textId="368E0AAD" w:rsidR="00704C00" w:rsidRDefault="00704C00" w:rsidP="000E7F54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023C63BF" w14:textId="77777777" w:rsidR="00281113" w:rsidRPr="00815C87" w:rsidRDefault="00281113" w:rsidP="000E7F54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327AE0C1" w14:textId="65A19DCE" w:rsidR="000E7F54" w:rsidRPr="00815C87" w:rsidRDefault="000E7F54" w:rsidP="00281113">
      <w:pPr>
        <w:pStyle w:val="TableParagraph"/>
        <w:ind w:right="219"/>
        <w:jc w:val="both"/>
        <w:rPr>
          <w:lang w:val="sr-Latn-ME"/>
        </w:rPr>
      </w:pPr>
      <w:r w:rsidRPr="00815C87">
        <w:rPr>
          <w:lang w:val="sr-Latn-ME"/>
        </w:rPr>
        <w:lastRenderedPageBreak/>
        <w:t xml:space="preserve">Bezbjednost i efikasnost primjene </w:t>
      </w:r>
      <w:r w:rsidR="006A347C" w:rsidRPr="00815C87">
        <w:rPr>
          <w:lang w:val="sr-Latn-ME"/>
        </w:rPr>
        <w:t xml:space="preserve">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kod </w:t>
      </w:r>
      <w:r w:rsidR="006A347C" w:rsidRPr="00815C87">
        <w:rPr>
          <w:lang w:val="sr-Latn-ME"/>
        </w:rPr>
        <w:t xml:space="preserve">osoba </w:t>
      </w:r>
      <w:r w:rsidRPr="00815C87">
        <w:rPr>
          <w:lang w:val="sr-Latn-ME"/>
        </w:rPr>
        <w:t>uzrasta od rođenja do 6 nedjelja nijesu utvrđeni.</w:t>
      </w:r>
    </w:p>
    <w:p w14:paraId="40F38461" w14:textId="77777777" w:rsidR="00281113" w:rsidRDefault="00281113" w:rsidP="000E7F54">
      <w:pPr>
        <w:pStyle w:val="TableParagraph"/>
        <w:rPr>
          <w:b/>
          <w:lang w:val="sr-Latn-ME"/>
        </w:rPr>
      </w:pPr>
    </w:p>
    <w:p w14:paraId="23C9B218" w14:textId="56D192A4" w:rsidR="000E7F54" w:rsidRPr="00815C87" w:rsidRDefault="000E7F54" w:rsidP="000E7F54">
      <w:pPr>
        <w:pStyle w:val="TableParagraph"/>
        <w:rPr>
          <w:b/>
          <w:lang w:val="sr-Latn-ME"/>
        </w:rPr>
      </w:pPr>
      <w:r w:rsidRPr="00815C87">
        <w:rPr>
          <w:b/>
          <w:lang w:val="sr-Latn-ME"/>
        </w:rPr>
        <w:t>Uzrast</w:t>
      </w:r>
      <w:r w:rsidR="006A347C" w:rsidRPr="00815C87">
        <w:rPr>
          <w:b/>
          <w:lang w:val="sr-Latn-ME"/>
        </w:rPr>
        <w:t xml:space="preserve"> od</w:t>
      </w:r>
      <w:r w:rsidRPr="00815C87">
        <w:rPr>
          <w:b/>
          <w:lang w:val="sr-Latn-ME"/>
        </w:rPr>
        <w:t xml:space="preserve"> 6</w:t>
      </w:r>
      <w:r w:rsidR="006A347C" w:rsidRPr="00815C87">
        <w:rPr>
          <w:b/>
          <w:lang w:val="sr-Latn-ME"/>
        </w:rPr>
        <w:t xml:space="preserve"> </w:t>
      </w:r>
      <w:proofErr w:type="spellStart"/>
      <w:r w:rsidR="006A347C" w:rsidRPr="00815C87">
        <w:rPr>
          <w:b/>
          <w:lang w:val="sr-Latn-ME"/>
        </w:rPr>
        <w:t>nedelja</w:t>
      </w:r>
      <w:proofErr w:type="spellEnd"/>
      <w:r w:rsidRPr="00815C87">
        <w:rPr>
          <w:b/>
          <w:lang w:val="sr-Latn-ME"/>
        </w:rPr>
        <w:t xml:space="preserve"> do 32 nedjelje:</w:t>
      </w:r>
    </w:p>
    <w:p w14:paraId="607F9280" w14:textId="77777777" w:rsidR="00852481" w:rsidRPr="00815C87" w:rsidRDefault="00852481" w:rsidP="000E7F54">
      <w:pPr>
        <w:pStyle w:val="TableParagraph"/>
        <w:spacing w:before="1"/>
        <w:rPr>
          <w:lang w:val="sr-Latn-ME"/>
        </w:rPr>
      </w:pPr>
    </w:p>
    <w:p w14:paraId="0BC20B7A" w14:textId="6D293267" w:rsidR="000E7F54" w:rsidRPr="00815C87" w:rsidRDefault="000E7F54" w:rsidP="00281113">
      <w:pPr>
        <w:pStyle w:val="TableParagraph"/>
        <w:spacing w:before="1"/>
        <w:jc w:val="both"/>
        <w:rPr>
          <w:lang w:val="sr-Latn-ME"/>
        </w:rPr>
      </w:pPr>
      <w:r w:rsidRPr="00815C87">
        <w:rPr>
          <w:lang w:val="sr-Latn-ME"/>
        </w:rPr>
        <w:t xml:space="preserve">Vakcinacija vakcinom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se sastoji od tri doze.</w:t>
      </w:r>
    </w:p>
    <w:p w14:paraId="2E3F091C" w14:textId="77777777" w:rsidR="000E7F54" w:rsidRPr="00815C87" w:rsidRDefault="000E7F54" w:rsidP="00281113">
      <w:pPr>
        <w:pStyle w:val="TableParagraph"/>
        <w:spacing w:before="10"/>
        <w:jc w:val="both"/>
        <w:rPr>
          <w:lang w:val="sr-Latn-ME"/>
        </w:rPr>
      </w:pPr>
    </w:p>
    <w:p w14:paraId="434D3D15" w14:textId="042FCD25" w:rsidR="000E7F54" w:rsidRPr="00815C87" w:rsidRDefault="000E7F54" w:rsidP="00281113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>Prva doza vakcine se može dati djeci uzrasta od 6 nedjelja</w:t>
      </w:r>
      <w:r w:rsidR="00EE2AE7" w:rsidRPr="00815C87">
        <w:rPr>
          <w:lang w:val="sr-Latn-ME"/>
        </w:rPr>
        <w:t xml:space="preserve">, ali ne kasnije od 12 nedjelja starosti </w:t>
      </w:r>
      <w:proofErr w:type="spellStart"/>
      <w:r w:rsidR="00EE2AE7" w:rsidRPr="00815C87">
        <w:rPr>
          <w:lang w:val="sr-Latn-ME"/>
        </w:rPr>
        <w:t>djeteta</w:t>
      </w:r>
      <w:proofErr w:type="spellEnd"/>
      <w:r w:rsidRPr="00815C87">
        <w:rPr>
          <w:lang w:val="sr-Latn-ME"/>
        </w:rPr>
        <w:t>.</w:t>
      </w:r>
    </w:p>
    <w:p w14:paraId="052D142B" w14:textId="77777777" w:rsidR="000E7F54" w:rsidRPr="00815C87" w:rsidRDefault="000E7F54" w:rsidP="00281113">
      <w:pPr>
        <w:pStyle w:val="TableParagraph"/>
        <w:jc w:val="both"/>
        <w:rPr>
          <w:lang w:val="sr-Latn-ME"/>
        </w:rPr>
      </w:pPr>
    </w:p>
    <w:p w14:paraId="2D6B5850" w14:textId="7E392F01" w:rsidR="000E7F54" w:rsidRPr="00815C87" w:rsidRDefault="000E7F54" w:rsidP="00281113">
      <w:pPr>
        <w:pStyle w:val="TableParagraph"/>
        <w:ind w:right="219"/>
        <w:jc w:val="both"/>
        <w:rPr>
          <w:lang w:val="sr-Latn-ME"/>
        </w:rPr>
      </w:pPr>
      <w:r w:rsidRPr="00815C87">
        <w:rPr>
          <w:lang w:val="sr-Latn-ME"/>
        </w:rPr>
        <w:t xml:space="preserve">Vakcina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može da se da prijevremeno rođenoj odojčadi koja su rođena </w:t>
      </w:r>
      <w:r w:rsidR="00852481" w:rsidRPr="00815C87">
        <w:rPr>
          <w:lang w:val="sr-Latn-ME"/>
        </w:rPr>
        <w:t>nakon navršene</w:t>
      </w:r>
      <w:r w:rsidRPr="00815C87">
        <w:rPr>
          <w:lang w:val="sr-Latn-ME"/>
        </w:rPr>
        <w:t xml:space="preserve"> 25. nedjelj</w:t>
      </w:r>
      <w:r w:rsidR="00852481" w:rsidRPr="00815C87">
        <w:rPr>
          <w:lang w:val="sr-Latn-ME"/>
        </w:rPr>
        <w:t>e</w:t>
      </w:r>
      <w:r w:rsidRPr="00815C87">
        <w:rPr>
          <w:lang w:val="sr-Latn-ME"/>
        </w:rPr>
        <w:t xml:space="preserve"> trudnoće. Ova odojčad treba da prime prvu dozu 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naj</w:t>
      </w:r>
      <w:r w:rsidR="006A347C" w:rsidRPr="00815C87">
        <w:rPr>
          <w:lang w:val="sr-Latn-ME"/>
        </w:rPr>
        <w:t>ranije</w:t>
      </w:r>
      <w:r w:rsidRPr="00815C87">
        <w:rPr>
          <w:lang w:val="sr-Latn-ME"/>
        </w:rPr>
        <w:t xml:space="preserve"> šest nedjelja nakon rođenja </w:t>
      </w:r>
      <w:r w:rsidR="002811EA" w:rsidRPr="00815C87">
        <w:rPr>
          <w:lang w:val="sr-Latn-ME"/>
        </w:rPr>
        <w:t>(</w:t>
      </w:r>
      <w:r w:rsidR="006A347C" w:rsidRPr="00815C87">
        <w:rPr>
          <w:lang w:val="sr-Latn-ME"/>
        </w:rPr>
        <w:t>v</w:t>
      </w:r>
      <w:r w:rsidRPr="00815C87">
        <w:rPr>
          <w:lang w:val="sr-Latn-ME"/>
        </w:rPr>
        <w:t>idjeti djelove 4.4 i 5.1.</w:t>
      </w:r>
      <w:r w:rsidR="002811EA" w:rsidRPr="00815C87">
        <w:rPr>
          <w:lang w:val="sr-Latn-ME"/>
        </w:rPr>
        <w:t>)</w:t>
      </w:r>
      <w:r w:rsidR="006A347C" w:rsidRPr="00815C87">
        <w:rPr>
          <w:lang w:val="sr-Latn-ME"/>
        </w:rPr>
        <w:t>.</w:t>
      </w:r>
    </w:p>
    <w:p w14:paraId="0A27D2BA" w14:textId="77777777" w:rsidR="000E7F54" w:rsidRPr="00815C87" w:rsidRDefault="000E7F54" w:rsidP="00281113">
      <w:pPr>
        <w:pStyle w:val="TableParagraph"/>
        <w:spacing w:before="2"/>
        <w:jc w:val="both"/>
        <w:rPr>
          <w:lang w:val="sr-Latn-ME"/>
        </w:rPr>
      </w:pPr>
    </w:p>
    <w:p w14:paraId="34CBDEFF" w14:textId="77777777" w:rsidR="000E7F54" w:rsidRPr="00815C87" w:rsidRDefault="000E7F54" w:rsidP="00281113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>Razmaci između doza moraju da budu najmanje 4 nedjelje.</w:t>
      </w:r>
    </w:p>
    <w:p w14:paraId="0C36A3AC" w14:textId="77777777" w:rsidR="000E7F54" w:rsidRPr="00815C87" w:rsidRDefault="000E7F54" w:rsidP="00281113">
      <w:pPr>
        <w:pStyle w:val="TableParagraph"/>
        <w:jc w:val="both"/>
        <w:rPr>
          <w:lang w:val="sr-Latn-ME"/>
        </w:rPr>
      </w:pPr>
    </w:p>
    <w:p w14:paraId="2731B874" w14:textId="72CD4600" w:rsidR="000E7F54" w:rsidRPr="00815C87" w:rsidRDefault="000E7F54" w:rsidP="00281113">
      <w:pPr>
        <w:pStyle w:val="TableParagraph"/>
        <w:ind w:right="433"/>
        <w:jc w:val="both"/>
        <w:rPr>
          <w:lang w:val="sr-Latn-ME"/>
        </w:rPr>
      </w:pPr>
      <w:r w:rsidRPr="00815C87">
        <w:rPr>
          <w:lang w:val="sr-Latn-ME"/>
        </w:rPr>
        <w:t>Poželjno je da se sve tri doze daju prije uzrasta od 20</w:t>
      </w:r>
      <w:r w:rsidR="00072109" w:rsidRPr="00815C87">
        <w:rPr>
          <w:lang w:val="sr-Latn-ME"/>
        </w:rPr>
        <w:t xml:space="preserve">. do </w:t>
      </w:r>
      <w:r w:rsidRPr="00815C87">
        <w:rPr>
          <w:lang w:val="sr-Latn-ME"/>
        </w:rPr>
        <w:t>22</w:t>
      </w:r>
      <w:r w:rsidR="00072109" w:rsidRPr="00815C87">
        <w:rPr>
          <w:lang w:val="sr-Latn-ME"/>
        </w:rPr>
        <w:t>.</w:t>
      </w:r>
      <w:r w:rsidRPr="00815C87">
        <w:rPr>
          <w:lang w:val="sr-Latn-ME"/>
        </w:rPr>
        <w:t xml:space="preserve"> nedjelje. Ukoliko je potrebno, treća (posljednja) doza može se primijeniti do uzrasta od 32 nedjelje (vidjeti dio 5.1).</w:t>
      </w:r>
    </w:p>
    <w:p w14:paraId="397E121B" w14:textId="77777777" w:rsidR="000E7F54" w:rsidRPr="00815C87" w:rsidRDefault="000E7F54" w:rsidP="00281113">
      <w:pPr>
        <w:pStyle w:val="TableParagraph"/>
        <w:jc w:val="both"/>
        <w:rPr>
          <w:lang w:val="sr-Latn-ME"/>
        </w:rPr>
      </w:pPr>
    </w:p>
    <w:p w14:paraId="34897917" w14:textId="051D91C2" w:rsidR="000E7F54" w:rsidRPr="00815C87" w:rsidRDefault="000E7F54" w:rsidP="00281113">
      <w:pPr>
        <w:pStyle w:val="TableParagraph"/>
        <w:ind w:right="249"/>
        <w:jc w:val="both"/>
        <w:rPr>
          <w:lang w:val="sr-Latn-ME"/>
        </w:rPr>
      </w:pPr>
      <w:r w:rsidRPr="00815C87">
        <w:rPr>
          <w:lang w:val="sr-Latn-ME"/>
        </w:rPr>
        <w:t xml:space="preserve">Pošto ne postoje podaci o </w:t>
      </w:r>
      <w:proofErr w:type="spellStart"/>
      <w:r w:rsidRPr="00815C87">
        <w:rPr>
          <w:lang w:val="sr-Latn-ME"/>
        </w:rPr>
        <w:t>zamjenljivosti</w:t>
      </w:r>
      <w:proofErr w:type="spellEnd"/>
      <w:r w:rsidRPr="00815C87">
        <w:rPr>
          <w:lang w:val="sr-Latn-ME"/>
        </w:rPr>
        <w:t xml:space="preserve"> 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sa drugim vakcinama protiv </w:t>
      </w:r>
      <w:proofErr w:type="spellStart"/>
      <w:r w:rsidRPr="00815C87">
        <w:rPr>
          <w:lang w:val="sr-Latn-ME"/>
        </w:rPr>
        <w:t>rotavirusa</w:t>
      </w:r>
      <w:proofErr w:type="spellEnd"/>
      <w:r w:rsidR="00072109" w:rsidRPr="00815C87">
        <w:rPr>
          <w:lang w:val="sr-Latn-ME"/>
        </w:rPr>
        <w:t>,</w:t>
      </w:r>
      <w:r w:rsidRPr="00815C87">
        <w:rPr>
          <w:lang w:val="sr-Latn-ME"/>
        </w:rPr>
        <w:t xml:space="preserve"> preporučuje se da odojčad koja prime </w:t>
      </w:r>
      <w:r w:rsidR="00072109" w:rsidRPr="00815C87">
        <w:rPr>
          <w:lang w:val="sr-Latn-ME"/>
        </w:rPr>
        <w:t xml:space="preserve">vakcinu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kao prvu dozu za imunizaciju protiv </w:t>
      </w:r>
      <w:proofErr w:type="spellStart"/>
      <w:r w:rsidRPr="00815C87">
        <w:rPr>
          <w:lang w:val="sr-Latn-ME"/>
        </w:rPr>
        <w:t>rotavirusa</w:t>
      </w:r>
      <w:proofErr w:type="spellEnd"/>
      <w:r w:rsidRPr="00815C87">
        <w:rPr>
          <w:lang w:val="sr-Latn-ME"/>
        </w:rPr>
        <w:t xml:space="preserve"> nastave sa primanjem iste vakcine i za naredne doze.</w:t>
      </w:r>
    </w:p>
    <w:p w14:paraId="18F734AF" w14:textId="77777777" w:rsidR="000E7F54" w:rsidRPr="00815C87" w:rsidRDefault="000E7F54" w:rsidP="00281113">
      <w:pPr>
        <w:pStyle w:val="TableParagraph"/>
        <w:spacing w:before="1"/>
        <w:jc w:val="both"/>
        <w:rPr>
          <w:lang w:val="sr-Latn-ME"/>
        </w:rPr>
      </w:pPr>
    </w:p>
    <w:p w14:paraId="5EACE26F" w14:textId="5680ACB4" w:rsidR="000E7F54" w:rsidRPr="00815C87" w:rsidRDefault="000E7F54" w:rsidP="00281113">
      <w:pPr>
        <w:pStyle w:val="TableParagraph"/>
        <w:ind w:right="262"/>
        <w:jc w:val="both"/>
        <w:rPr>
          <w:lang w:val="sr-Latn-ME"/>
        </w:rPr>
      </w:pPr>
      <w:r w:rsidRPr="00815C87">
        <w:rPr>
          <w:lang w:val="sr-Latn-ME"/>
        </w:rPr>
        <w:t xml:space="preserve">Ukoliko se uoči ili postoji izražena sumnja da odojče nije progutalo cjelokupnu dozu vakcine (na primjer odojče je ispljunulo vakcinu ili je izbacilo </w:t>
      </w:r>
      <w:proofErr w:type="spellStart"/>
      <w:r w:rsidRPr="00815C87">
        <w:rPr>
          <w:lang w:val="sr-Latn-ME"/>
        </w:rPr>
        <w:t>regurgitacijom</w:t>
      </w:r>
      <w:proofErr w:type="spellEnd"/>
      <w:r w:rsidRPr="00815C87">
        <w:rPr>
          <w:lang w:val="sr-Latn-ME"/>
        </w:rPr>
        <w:t xml:space="preserve">) može se odmah dati pojedinačna doza </w:t>
      </w:r>
      <w:r w:rsidR="00072109" w:rsidRPr="00815C87">
        <w:rPr>
          <w:lang w:val="sr-Latn-ME"/>
        </w:rPr>
        <w:t xml:space="preserve">za vrijeme iste </w:t>
      </w:r>
      <w:proofErr w:type="spellStart"/>
      <w:r w:rsidR="00072109" w:rsidRPr="00815C87">
        <w:rPr>
          <w:lang w:val="sr-Latn-ME"/>
        </w:rPr>
        <w:t>posete</w:t>
      </w:r>
      <w:proofErr w:type="spellEnd"/>
      <w:r w:rsidR="00072109" w:rsidRPr="00815C87">
        <w:rPr>
          <w:lang w:val="sr-Latn-ME"/>
        </w:rPr>
        <w:t xml:space="preserve"> ljekaru</w:t>
      </w:r>
      <w:r w:rsidRPr="00815C87">
        <w:rPr>
          <w:lang w:val="sr-Latn-ME"/>
        </w:rPr>
        <w:t>. Međutim, ovakav slučaj nije ispitivan u kliničkim studijama. Ukoliko se problem opet javi, ne treba davati dodatne doze u cilju nadoknade.</w:t>
      </w:r>
    </w:p>
    <w:p w14:paraId="29779365" w14:textId="77777777" w:rsidR="000E7F54" w:rsidRPr="00815C87" w:rsidRDefault="000E7F54" w:rsidP="00281113">
      <w:pPr>
        <w:pStyle w:val="TableParagraph"/>
        <w:jc w:val="both"/>
        <w:rPr>
          <w:lang w:val="sr-Latn-ME"/>
        </w:rPr>
      </w:pPr>
    </w:p>
    <w:p w14:paraId="6B5E3FB6" w14:textId="216E4B56" w:rsidR="000E7F54" w:rsidRPr="00815C87" w:rsidRDefault="000E7F54" w:rsidP="00281113">
      <w:pPr>
        <w:pStyle w:val="TableParagraph"/>
        <w:ind w:right="696"/>
        <w:jc w:val="both"/>
        <w:rPr>
          <w:lang w:val="sr-Latn-ME"/>
        </w:rPr>
      </w:pPr>
      <w:r w:rsidRPr="00815C87">
        <w:rPr>
          <w:lang w:val="sr-Latn-ME"/>
        </w:rPr>
        <w:t xml:space="preserve">Nakon </w:t>
      </w:r>
      <w:r w:rsidR="00D168B6" w:rsidRPr="00815C87">
        <w:rPr>
          <w:lang w:val="sr-Latn-ME"/>
        </w:rPr>
        <w:t>završetka ciklusa vakcinacije od</w:t>
      </w:r>
      <w:r w:rsidRPr="00815C87">
        <w:rPr>
          <w:lang w:val="sr-Latn-ME"/>
        </w:rPr>
        <w:t xml:space="preserve"> tri doze ne preporučuje se primjena daljih doza (vidjeti djelove 4.4 i 5.1 za raspoložive informacije o trajanju zaštite).</w:t>
      </w:r>
    </w:p>
    <w:p w14:paraId="19BF27E6" w14:textId="77777777" w:rsidR="000E7F54" w:rsidRPr="00815C87" w:rsidRDefault="000E7F54" w:rsidP="000E7F54">
      <w:pPr>
        <w:pStyle w:val="TableParagraph"/>
        <w:spacing w:before="11"/>
        <w:rPr>
          <w:lang w:val="sr-Latn-ME"/>
        </w:rPr>
      </w:pPr>
    </w:p>
    <w:p w14:paraId="556A62EB" w14:textId="78926DB6" w:rsidR="000E7F54" w:rsidRPr="00815C87" w:rsidRDefault="000E7F54" w:rsidP="00281113">
      <w:pPr>
        <w:pStyle w:val="TableParagraph"/>
        <w:spacing w:line="252" w:lineRule="exact"/>
        <w:jc w:val="both"/>
        <w:rPr>
          <w:b/>
          <w:lang w:val="sr-Latn-ME"/>
        </w:rPr>
      </w:pPr>
      <w:r w:rsidRPr="00815C87">
        <w:rPr>
          <w:b/>
          <w:lang w:val="sr-Latn-ME"/>
        </w:rPr>
        <w:t>Od 33 nedjelje do 18 godina</w:t>
      </w:r>
    </w:p>
    <w:p w14:paraId="2487D6C8" w14:textId="77777777" w:rsidR="000C1E22" w:rsidRPr="00815C87" w:rsidRDefault="000C1E22" w:rsidP="00281113">
      <w:pPr>
        <w:pStyle w:val="TableParagraph"/>
        <w:spacing w:line="252" w:lineRule="exact"/>
        <w:jc w:val="both"/>
        <w:rPr>
          <w:b/>
          <w:lang w:val="sr-Latn-ME"/>
        </w:rPr>
      </w:pPr>
    </w:p>
    <w:p w14:paraId="14550CB6" w14:textId="397A7724" w:rsidR="000E7F54" w:rsidRDefault="00D168B6" w:rsidP="002811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 xml:space="preserve">Vakcina </w:t>
      </w:r>
      <w:proofErr w:type="spellStart"/>
      <w:r w:rsidR="000E7F54" w:rsidRPr="00815C87">
        <w:rPr>
          <w:sz w:val="22"/>
          <w:szCs w:val="22"/>
          <w:lang w:val="sr-Latn-ME"/>
        </w:rPr>
        <w:t>RotaTeq</w:t>
      </w:r>
      <w:proofErr w:type="spellEnd"/>
      <w:r w:rsidR="000E7F54" w:rsidRPr="00815C87">
        <w:rPr>
          <w:sz w:val="22"/>
          <w:szCs w:val="22"/>
          <w:lang w:val="sr-Latn-ME"/>
        </w:rPr>
        <w:t xml:space="preserve"> nije </w:t>
      </w:r>
      <w:proofErr w:type="spellStart"/>
      <w:r w:rsidR="000E7F54" w:rsidRPr="00815C87">
        <w:rPr>
          <w:sz w:val="22"/>
          <w:szCs w:val="22"/>
          <w:lang w:val="sr-Latn-ME"/>
        </w:rPr>
        <w:t>indikovana</w:t>
      </w:r>
      <w:proofErr w:type="spellEnd"/>
      <w:r w:rsidR="000E7F54" w:rsidRPr="00815C87">
        <w:rPr>
          <w:sz w:val="22"/>
          <w:szCs w:val="22"/>
          <w:lang w:val="sr-Latn-ME"/>
        </w:rPr>
        <w:t xml:space="preserve"> za primjenu u ovo</w:t>
      </w:r>
      <w:r w:rsidRPr="00815C87">
        <w:rPr>
          <w:sz w:val="22"/>
          <w:szCs w:val="22"/>
          <w:lang w:val="sr-Latn-ME"/>
        </w:rPr>
        <w:t>j podgrupi pedijatrijske populacije</w:t>
      </w:r>
      <w:r w:rsidR="000E7F54" w:rsidRPr="00815C87">
        <w:rPr>
          <w:sz w:val="22"/>
          <w:szCs w:val="22"/>
          <w:lang w:val="sr-Latn-ME"/>
        </w:rPr>
        <w:t>.</w:t>
      </w:r>
    </w:p>
    <w:p w14:paraId="2A397EDD" w14:textId="77777777" w:rsidR="00281113" w:rsidRPr="00815C87" w:rsidRDefault="00281113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DD55692" w14:textId="635C5C88" w:rsidR="00452E9D" w:rsidRPr="00815C87" w:rsidRDefault="00452E9D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15C87">
        <w:rPr>
          <w:bCs/>
          <w:sz w:val="22"/>
          <w:szCs w:val="22"/>
          <w:u w:val="single"/>
          <w:lang w:val="sr-Latn-ME"/>
        </w:rPr>
        <w:t>Način primjene</w:t>
      </w:r>
    </w:p>
    <w:p w14:paraId="6956CAD6" w14:textId="77777777" w:rsidR="000C1E22" w:rsidRPr="00815C87" w:rsidRDefault="000C1E22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C66D836" w14:textId="72FF0B7D" w:rsidR="000E7F54" w:rsidRPr="00815C87" w:rsidRDefault="00D168B6" w:rsidP="00281113">
      <w:pPr>
        <w:pStyle w:val="TableParagraph"/>
        <w:spacing w:line="252" w:lineRule="exact"/>
        <w:jc w:val="both"/>
        <w:rPr>
          <w:lang w:val="sr-Latn-ME"/>
        </w:rPr>
      </w:pPr>
      <w:r w:rsidRPr="00815C87">
        <w:rPr>
          <w:lang w:val="sr-Latn-ME"/>
        </w:rPr>
        <w:t xml:space="preserve">Vakcina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je s</w:t>
      </w:r>
      <w:r w:rsidR="000E7F54" w:rsidRPr="00815C87">
        <w:rPr>
          <w:lang w:val="sr-Latn-ME"/>
        </w:rPr>
        <w:t xml:space="preserve">amo za </w:t>
      </w:r>
      <w:r w:rsidR="000E7F54" w:rsidRPr="00815C87">
        <w:rPr>
          <w:b/>
          <w:bCs/>
          <w:lang w:val="sr-Latn-ME"/>
        </w:rPr>
        <w:t>oralnu</w:t>
      </w:r>
      <w:r w:rsidR="00FD366A" w:rsidRPr="00815C87">
        <w:rPr>
          <w:b/>
          <w:bCs/>
          <w:lang w:val="sr-Latn-ME"/>
        </w:rPr>
        <w:t xml:space="preserve"> </w:t>
      </w:r>
      <w:r w:rsidRPr="00815C87">
        <w:rPr>
          <w:lang w:val="sr-Latn-ME"/>
        </w:rPr>
        <w:t>upotrebu</w:t>
      </w:r>
      <w:r w:rsidR="000E7F54" w:rsidRPr="00815C87">
        <w:rPr>
          <w:lang w:val="sr-Latn-ME"/>
        </w:rPr>
        <w:t>.</w:t>
      </w:r>
    </w:p>
    <w:p w14:paraId="308159CC" w14:textId="77777777" w:rsidR="000E7F54" w:rsidRPr="00815C87" w:rsidRDefault="000E7F54" w:rsidP="00281113">
      <w:pPr>
        <w:pStyle w:val="TableParagraph"/>
        <w:spacing w:before="1"/>
        <w:jc w:val="both"/>
        <w:rPr>
          <w:lang w:val="sr-Latn-ME"/>
        </w:rPr>
      </w:pPr>
    </w:p>
    <w:p w14:paraId="6D5EBA34" w14:textId="3D68ACFA" w:rsidR="000E7F54" w:rsidRPr="00815C87" w:rsidRDefault="00D168B6" w:rsidP="00281113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Vakcina </w:t>
      </w:r>
      <w:proofErr w:type="spellStart"/>
      <w:r w:rsidR="000E7F54" w:rsidRPr="00815C87">
        <w:rPr>
          <w:lang w:val="sr-Latn-ME"/>
        </w:rPr>
        <w:t>RotaTeq</w:t>
      </w:r>
      <w:proofErr w:type="spellEnd"/>
      <w:r w:rsidR="000E7F54" w:rsidRPr="00815C87">
        <w:rPr>
          <w:lang w:val="sr-Latn-ME"/>
        </w:rPr>
        <w:t xml:space="preserve"> NE SMIJE DA SE UBRIZGA NI POD KOJIM USLOVIMA.</w:t>
      </w:r>
    </w:p>
    <w:p w14:paraId="661A4796" w14:textId="77777777" w:rsidR="000E7F54" w:rsidRPr="00815C87" w:rsidRDefault="000E7F54" w:rsidP="00281113">
      <w:pPr>
        <w:pStyle w:val="TableParagraph"/>
        <w:jc w:val="both"/>
        <w:rPr>
          <w:lang w:val="sr-Latn-ME"/>
        </w:rPr>
      </w:pPr>
    </w:p>
    <w:p w14:paraId="19393883" w14:textId="72CBA0F7" w:rsidR="000E7F54" w:rsidRPr="00815C87" w:rsidRDefault="00D168B6" w:rsidP="002811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 xml:space="preserve">Vakcina </w:t>
      </w:r>
      <w:proofErr w:type="spellStart"/>
      <w:r w:rsidR="000E7F54" w:rsidRPr="00815C87">
        <w:rPr>
          <w:sz w:val="22"/>
          <w:szCs w:val="22"/>
          <w:lang w:val="sr-Latn-ME"/>
        </w:rPr>
        <w:t>RotaTeq</w:t>
      </w:r>
      <w:proofErr w:type="spellEnd"/>
      <w:r w:rsidR="000E7F54" w:rsidRPr="00815C87">
        <w:rPr>
          <w:sz w:val="22"/>
          <w:szCs w:val="22"/>
          <w:lang w:val="sr-Latn-ME"/>
        </w:rPr>
        <w:t xml:space="preserve"> se </w:t>
      </w:r>
      <w:r w:rsidRPr="00815C87">
        <w:rPr>
          <w:sz w:val="22"/>
          <w:szCs w:val="22"/>
          <w:lang w:val="sr-Latn-ME"/>
        </w:rPr>
        <w:t xml:space="preserve">može dati </w:t>
      </w:r>
      <w:r w:rsidR="000E7F54" w:rsidRPr="00815C87">
        <w:rPr>
          <w:sz w:val="22"/>
          <w:szCs w:val="22"/>
          <w:lang w:val="sr-Latn-ME"/>
        </w:rPr>
        <w:t xml:space="preserve">bez obzira </w:t>
      </w:r>
      <w:r w:rsidRPr="00815C87">
        <w:rPr>
          <w:sz w:val="22"/>
          <w:szCs w:val="22"/>
          <w:lang w:val="sr-Latn-ME"/>
        </w:rPr>
        <w:t>na hranu, piće ili majčino mlijeko</w:t>
      </w:r>
      <w:r w:rsidR="000E7F54" w:rsidRPr="00815C87">
        <w:rPr>
          <w:sz w:val="22"/>
          <w:szCs w:val="22"/>
          <w:lang w:val="sr-Latn-ME"/>
        </w:rPr>
        <w:t xml:space="preserve">. </w:t>
      </w:r>
    </w:p>
    <w:p w14:paraId="4339A619" w14:textId="77777777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5A5E2E1" w14:textId="3B4DAD82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15C87">
        <w:rPr>
          <w:sz w:val="22"/>
          <w:szCs w:val="22"/>
          <w:lang w:val="sr-Latn-ME"/>
        </w:rPr>
        <w:t xml:space="preserve">Vidjeti dio 6.6 za uputstvo </w:t>
      </w:r>
      <w:r w:rsidR="006E08AB" w:rsidRPr="00815C87">
        <w:rPr>
          <w:sz w:val="22"/>
          <w:szCs w:val="22"/>
          <w:lang w:val="sr-Latn-ME"/>
        </w:rPr>
        <w:t xml:space="preserve">o </w:t>
      </w:r>
      <w:r w:rsidRPr="00815C87">
        <w:rPr>
          <w:sz w:val="22"/>
          <w:szCs w:val="22"/>
          <w:lang w:val="sr-Latn-ME"/>
        </w:rPr>
        <w:t>primjen</w:t>
      </w:r>
      <w:r w:rsidR="006E08AB" w:rsidRPr="00815C87">
        <w:rPr>
          <w:sz w:val="22"/>
          <w:szCs w:val="22"/>
          <w:lang w:val="sr-Latn-ME"/>
        </w:rPr>
        <w:t>i.</w:t>
      </w:r>
    </w:p>
    <w:p w14:paraId="17FD8465" w14:textId="77777777" w:rsidR="00452E9D" w:rsidRPr="00815C87" w:rsidRDefault="00452E9D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CCC212" w14:textId="1B63DA61" w:rsidR="00411B4B" w:rsidRPr="00815C87" w:rsidRDefault="00411B4B" w:rsidP="00281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4.3.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proofErr w:type="spellStart"/>
      <w:r w:rsidRPr="00815C87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60BD6E0A" w14:textId="77777777" w:rsidR="00FD366A" w:rsidRPr="00815C87" w:rsidRDefault="00FD366A" w:rsidP="00281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5CC5BC" w14:textId="77777777" w:rsidR="00281113" w:rsidRDefault="00FD366A" w:rsidP="00281113">
      <w:pPr>
        <w:pStyle w:val="TableParagraph"/>
        <w:spacing w:before="34"/>
        <w:jc w:val="both"/>
        <w:rPr>
          <w:lang w:val="sr-Latn-ME"/>
        </w:rPr>
      </w:pPr>
      <w:r w:rsidRPr="00815C87">
        <w:rPr>
          <w:lang w:val="sr-Latn-ME"/>
        </w:rPr>
        <w:t xml:space="preserve">Preosjetljivost na aktivnu supstancu ili na bilo koji drugi sastojak lijeka naveden u dijelu 6.1. </w:t>
      </w:r>
    </w:p>
    <w:p w14:paraId="6C890CF3" w14:textId="77777777" w:rsidR="00281113" w:rsidRDefault="00281113" w:rsidP="00281113">
      <w:pPr>
        <w:pStyle w:val="TableParagraph"/>
        <w:spacing w:before="34"/>
        <w:jc w:val="both"/>
        <w:rPr>
          <w:lang w:val="sr-Latn-ME"/>
        </w:rPr>
      </w:pPr>
    </w:p>
    <w:p w14:paraId="751D4851" w14:textId="7DB6E556" w:rsidR="00FD366A" w:rsidRPr="00815C87" w:rsidRDefault="00FD366A" w:rsidP="00281113">
      <w:pPr>
        <w:pStyle w:val="TableParagraph"/>
        <w:spacing w:before="34"/>
        <w:jc w:val="both"/>
        <w:rPr>
          <w:lang w:val="sr-Latn-ME"/>
        </w:rPr>
      </w:pPr>
      <w:r w:rsidRPr="00815C87">
        <w:rPr>
          <w:lang w:val="sr-Latn-ME"/>
        </w:rPr>
        <w:t xml:space="preserve">Preosjetljivost ispoljena nakon prethodnog davanja vakcine protiv </w:t>
      </w:r>
      <w:proofErr w:type="spellStart"/>
      <w:r w:rsidRPr="00815C87">
        <w:rPr>
          <w:lang w:val="sr-Latn-ME"/>
        </w:rPr>
        <w:t>rotavirusa</w:t>
      </w:r>
      <w:proofErr w:type="spellEnd"/>
      <w:r w:rsidRPr="00815C87">
        <w:rPr>
          <w:lang w:val="sr-Latn-ME"/>
        </w:rPr>
        <w:t>.</w:t>
      </w:r>
    </w:p>
    <w:p w14:paraId="519287D3" w14:textId="77777777" w:rsidR="00281113" w:rsidRDefault="00281113" w:rsidP="00281113">
      <w:pPr>
        <w:pStyle w:val="TableParagraph"/>
        <w:spacing w:line="252" w:lineRule="exact"/>
        <w:jc w:val="both"/>
        <w:rPr>
          <w:lang w:val="sr-Latn-ME"/>
        </w:rPr>
      </w:pPr>
    </w:p>
    <w:p w14:paraId="7F6C5165" w14:textId="1E482A7C" w:rsidR="00FD366A" w:rsidRPr="00815C87" w:rsidRDefault="00FD366A" w:rsidP="00281113">
      <w:pPr>
        <w:pStyle w:val="TableParagraph"/>
        <w:spacing w:line="252" w:lineRule="exact"/>
        <w:jc w:val="both"/>
        <w:rPr>
          <w:lang w:val="sr-Latn-ME"/>
        </w:rPr>
      </w:pPr>
      <w:proofErr w:type="spellStart"/>
      <w:r w:rsidRPr="00815C87">
        <w:rPr>
          <w:lang w:val="sr-Latn-ME"/>
        </w:rPr>
        <w:t>Invaginacija</w:t>
      </w:r>
      <w:proofErr w:type="spellEnd"/>
      <w:r w:rsidRPr="00815C87">
        <w:rPr>
          <w:lang w:val="sr-Latn-ME"/>
        </w:rPr>
        <w:t xml:space="preserve"> crijeva u anamnezi.</w:t>
      </w:r>
    </w:p>
    <w:p w14:paraId="797B8733" w14:textId="77777777" w:rsidR="00FD366A" w:rsidRPr="00815C87" w:rsidRDefault="00FD366A" w:rsidP="00281113">
      <w:pPr>
        <w:pStyle w:val="TableParagraph"/>
        <w:spacing w:before="1"/>
        <w:jc w:val="both"/>
        <w:rPr>
          <w:lang w:val="sr-Latn-ME"/>
        </w:rPr>
      </w:pPr>
    </w:p>
    <w:p w14:paraId="7B9A34F0" w14:textId="7E384FA4" w:rsidR="00FD366A" w:rsidRPr="00815C87" w:rsidRDefault="00FD366A" w:rsidP="002811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 xml:space="preserve">Odojčad sa </w:t>
      </w:r>
      <w:proofErr w:type="spellStart"/>
      <w:r w:rsidRPr="00815C87">
        <w:rPr>
          <w:sz w:val="22"/>
          <w:szCs w:val="22"/>
          <w:lang w:val="sr-Latn-ME"/>
        </w:rPr>
        <w:t>kongenitalnom</w:t>
      </w:r>
      <w:proofErr w:type="spellEnd"/>
      <w:r w:rsidRPr="00815C87">
        <w:rPr>
          <w:sz w:val="22"/>
          <w:szCs w:val="22"/>
          <w:lang w:val="sr-Latn-ME"/>
        </w:rPr>
        <w:t xml:space="preserve"> </w:t>
      </w:r>
      <w:proofErr w:type="spellStart"/>
      <w:r w:rsidRPr="00815C87">
        <w:rPr>
          <w:sz w:val="22"/>
          <w:szCs w:val="22"/>
          <w:lang w:val="sr-Latn-ME"/>
        </w:rPr>
        <w:t>malformacijom</w:t>
      </w:r>
      <w:proofErr w:type="spellEnd"/>
      <w:r w:rsidRPr="00815C87">
        <w:rPr>
          <w:sz w:val="22"/>
          <w:szCs w:val="22"/>
          <w:lang w:val="sr-Latn-ME"/>
        </w:rPr>
        <w:t xml:space="preserve"> gastrointestinalnog trakta koja može da bude </w:t>
      </w:r>
      <w:proofErr w:type="spellStart"/>
      <w:r w:rsidRPr="00815C87">
        <w:rPr>
          <w:sz w:val="22"/>
          <w:szCs w:val="22"/>
          <w:lang w:val="sr-Latn-ME"/>
        </w:rPr>
        <w:t>predisponirajući</w:t>
      </w:r>
      <w:proofErr w:type="spellEnd"/>
      <w:r w:rsidRPr="00815C87">
        <w:rPr>
          <w:sz w:val="22"/>
          <w:szCs w:val="22"/>
          <w:lang w:val="sr-Latn-ME"/>
        </w:rPr>
        <w:t xml:space="preserve"> faktor za </w:t>
      </w:r>
      <w:proofErr w:type="spellStart"/>
      <w:r w:rsidRPr="00815C87">
        <w:rPr>
          <w:sz w:val="22"/>
          <w:szCs w:val="22"/>
          <w:lang w:val="sr-Latn-ME"/>
        </w:rPr>
        <w:t>invaginaciju</w:t>
      </w:r>
      <w:proofErr w:type="spellEnd"/>
      <w:r w:rsidRPr="00815C87">
        <w:rPr>
          <w:sz w:val="22"/>
          <w:szCs w:val="22"/>
          <w:lang w:val="sr-Latn-ME"/>
        </w:rPr>
        <w:t xml:space="preserve"> crijeva.</w:t>
      </w:r>
    </w:p>
    <w:p w14:paraId="5154492D" w14:textId="40162343" w:rsidR="00FD366A" w:rsidRPr="00815C87" w:rsidRDefault="00FD366A" w:rsidP="002811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B19F2F6" w14:textId="77777777" w:rsidR="00FD366A" w:rsidRPr="00815C87" w:rsidRDefault="00FD366A" w:rsidP="00281113">
      <w:pPr>
        <w:pStyle w:val="TableParagraph"/>
        <w:framePr w:hSpace="180" w:wrap="around" w:vAnchor="text" w:hAnchor="margin" w:xAlign="right" w:y="42"/>
        <w:spacing w:before="11"/>
        <w:jc w:val="both"/>
        <w:rPr>
          <w:lang w:val="sr-Latn-ME"/>
        </w:rPr>
      </w:pPr>
    </w:p>
    <w:p w14:paraId="1E9DF26B" w14:textId="77777777" w:rsidR="00413413" w:rsidRPr="00815C87" w:rsidRDefault="00413413" w:rsidP="00281113">
      <w:pPr>
        <w:pStyle w:val="TableParagraph"/>
        <w:spacing w:line="244" w:lineRule="exact"/>
        <w:jc w:val="both"/>
        <w:rPr>
          <w:lang w:val="sr-Latn-ME"/>
        </w:rPr>
      </w:pPr>
      <w:r w:rsidRPr="00815C87">
        <w:rPr>
          <w:lang w:val="sr-Latn-ME"/>
        </w:rPr>
        <w:t xml:space="preserve">Odojčad sa poznatom ili </w:t>
      </w:r>
      <w:proofErr w:type="spellStart"/>
      <w:r w:rsidRPr="00815C87">
        <w:rPr>
          <w:lang w:val="sr-Latn-ME"/>
        </w:rPr>
        <w:t>suspektnom</w:t>
      </w:r>
      <w:proofErr w:type="spellEnd"/>
      <w:r w:rsidRPr="00815C87">
        <w:rPr>
          <w:lang w:val="sr-Latn-ME"/>
        </w:rPr>
        <w:t xml:space="preserve"> </w:t>
      </w:r>
      <w:proofErr w:type="spellStart"/>
      <w:r w:rsidRPr="00815C87">
        <w:rPr>
          <w:lang w:val="sr-Latn-ME"/>
        </w:rPr>
        <w:t>imunodeficijencijom</w:t>
      </w:r>
      <w:proofErr w:type="spellEnd"/>
      <w:r w:rsidRPr="00815C87">
        <w:rPr>
          <w:lang w:val="sr-Latn-ME"/>
        </w:rPr>
        <w:t xml:space="preserve"> (vidjeti djelove 4.4 i 4.8).</w:t>
      </w:r>
    </w:p>
    <w:p w14:paraId="2C69AB38" w14:textId="26C754D5" w:rsidR="00413413" w:rsidRDefault="00413413" w:rsidP="00281113">
      <w:pPr>
        <w:pStyle w:val="TableParagraph"/>
        <w:jc w:val="both"/>
        <w:rPr>
          <w:lang w:val="sr-Latn-ME"/>
        </w:rPr>
      </w:pPr>
    </w:p>
    <w:p w14:paraId="480E36EF" w14:textId="77777777" w:rsidR="00281113" w:rsidRPr="00815C87" w:rsidRDefault="00281113" w:rsidP="00281113">
      <w:pPr>
        <w:pStyle w:val="TableParagraph"/>
        <w:jc w:val="both"/>
        <w:rPr>
          <w:lang w:val="sr-Latn-ME"/>
        </w:rPr>
      </w:pPr>
    </w:p>
    <w:p w14:paraId="6CDA4D98" w14:textId="77777777" w:rsidR="00413413" w:rsidRPr="00815C87" w:rsidRDefault="00413413" w:rsidP="00281113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lastRenderedPageBreak/>
        <w:t xml:space="preserve">Davanje 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treba da se odloži ukoliko odojče ima neko teško akutno oboljenje sa povišenom tjelesnom temperaturom. Prisustvo blage infekcije nije </w:t>
      </w:r>
      <w:proofErr w:type="spellStart"/>
      <w:r w:rsidRPr="00815C87">
        <w:rPr>
          <w:lang w:val="sr-Latn-ME"/>
        </w:rPr>
        <w:t>kontraindikacija</w:t>
      </w:r>
      <w:proofErr w:type="spellEnd"/>
      <w:r w:rsidRPr="00815C87">
        <w:rPr>
          <w:lang w:val="sr-Latn-ME"/>
        </w:rPr>
        <w:t xml:space="preserve"> za vakcinaciju.</w:t>
      </w:r>
    </w:p>
    <w:p w14:paraId="66E86260" w14:textId="77777777" w:rsidR="00413413" w:rsidRPr="00815C87" w:rsidRDefault="00413413" w:rsidP="00FD366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C538680" w14:textId="4B17B0D9" w:rsidR="00FD366A" w:rsidRPr="00815C87" w:rsidRDefault="00FD366A" w:rsidP="00FD366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 xml:space="preserve">Davanje </w:t>
      </w:r>
      <w:r w:rsidR="00975632" w:rsidRPr="00815C87">
        <w:rPr>
          <w:sz w:val="22"/>
          <w:szCs w:val="22"/>
          <w:lang w:val="sr-Latn-ME"/>
        </w:rPr>
        <w:t xml:space="preserve">vakcine </w:t>
      </w:r>
      <w:proofErr w:type="spellStart"/>
      <w:r w:rsidRPr="00815C87">
        <w:rPr>
          <w:sz w:val="22"/>
          <w:szCs w:val="22"/>
          <w:lang w:val="sr-Latn-ME"/>
        </w:rPr>
        <w:t>RotaTeq</w:t>
      </w:r>
      <w:proofErr w:type="spellEnd"/>
      <w:r w:rsidRPr="00815C87">
        <w:rPr>
          <w:sz w:val="22"/>
          <w:szCs w:val="22"/>
          <w:lang w:val="sr-Latn-ME"/>
        </w:rPr>
        <w:t xml:space="preserve"> treba da se odloži ukoliko odojče ima akutnu dijareju ili povraća.</w:t>
      </w:r>
    </w:p>
    <w:p w14:paraId="7BC7A05F" w14:textId="77777777" w:rsidR="000E7F54" w:rsidRPr="00815C87" w:rsidRDefault="000E7F54" w:rsidP="000E7F54">
      <w:pPr>
        <w:pStyle w:val="BodyText"/>
        <w:spacing w:before="6"/>
        <w:rPr>
          <w:lang w:val="sr-Latn-ME"/>
        </w:rPr>
      </w:pPr>
    </w:p>
    <w:p w14:paraId="34606961" w14:textId="77777777" w:rsidR="00411B4B" w:rsidRPr="00815C87" w:rsidRDefault="00411B4B" w:rsidP="00A8113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4.4.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1B7744B" w14:textId="77777777" w:rsidR="007D124E" w:rsidRPr="00815C87" w:rsidRDefault="007D124E" w:rsidP="007D124E">
      <w:pPr>
        <w:tabs>
          <w:tab w:val="left" w:pos="284"/>
        </w:tabs>
        <w:rPr>
          <w:sz w:val="22"/>
          <w:szCs w:val="22"/>
          <w:lang w:val="sr-Latn-ME"/>
        </w:rPr>
      </w:pPr>
    </w:p>
    <w:p w14:paraId="25F55B15" w14:textId="7C724275" w:rsidR="007D124E" w:rsidRPr="00815C87" w:rsidRDefault="007D124E" w:rsidP="007D124E">
      <w:pPr>
        <w:tabs>
          <w:tab w:val="left" w:pos="284"/>
        </w:tabs>
        <w:rPr>
          <w:sz w:val="22"/>
          <w:szCs w:val="22"/>
          <w:u w:val="single"/>
          <w:lang w:val="sr-Latn-ME"/>
        </w:rPr>
      </w:pPr>
      <w:proofErr w:type="spellStart"/>
      <w:r w:rsidRPr="00815C87">
        <w:rPr>
          <w:sz w:val="22"/>
          <w:szCs w:val="22"/>
          <w:u w:val="single"/>
          <w:lang w:val="sr-Latn-ME"/>
        </w:rPr>
        <w:t>Sled</w:t>
      </w:r>
      <w:r w:rsidR="00C2077B" w:rsidRPr="00815C87">
        <w:rPr>
          <w:sz w:val="22"/>
          <w:szCs w:val="22"/>
          <w:u w:val="single"/>
          <w:lang w:val="sr-Latn-ME"/>
        </w:rPr>
        <w:t>lj</w:t>
      </w:r>
      <w:r w:rsidRPr="00815C87">
        <w:rPr>
          <w:sz w:val="22"/>
          <w:szCs w:val="22"/>
          <w:u w:val="single"/>
          <w:lang w:val="sr-Latn-ME"/>
        </w:rPr>
        <w:t>ivost</w:t>
      </w:r>
      <w:proofErr w:type="spellEnd"/>
    </w:p>
    <w:p w14:paraId="50B3F597" w14:textId="77777777" w:rsidR="007D124E" w:rsidRPr="00815C87" w:rsidRDefault="007D124E" w:rsidP="007D124E">
      <w:pPr>
        <w:tabs>
          <w:tab w:val="left" w:pos="284"/>
        </w:tabs>
        <w:rPr>
          <w:sz w:val="22"/>
          <w:szCs w:val="22"/>
          <w:lang w:val="sr-Latn-ME"/>
        </w:rPr>
      </w:pPr>
    </w:p>
    <w:p w14:paraId="22E18E34" w14:textId="466C8328" w:rsidR="007D124E" w:rsidRPr="00815C87" w:rsidRDefault="007D124E" w:rsidP="002811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 xml:space="preserve">Kako bi se poboljšala </w:t>
      </w:r>
      <w:proofErr w:type="spellStart"/>
      <w:r w:rsidRPr="00815C87">
        <w:rPr>
          <w:sz w:val="22"/>
          <w:szCs w:val="22"/>
          <w:lang w:val="sr-Latn-ME"/>
        </w:rPr>
        <w:t>sled</w:t>
      </w:r>
      <w:r w:rsidR="00C2077B" w:rsidRPr="00815C87">
        <w:rPr>
          <w:sz w:val="22"/>
          <w:szCs w:val="22"/>
          <w:lang w:val="sr-Latn-ME"/>
        </w:rPr>
        <w:t>lj</w:t>
      </w:r>
      <w:r w:rsidRPr="00815C87">
        <w:rPr>
          <w:sz w:val="22"/>
          <w:szCs w:val="22"/>
          <w:lang w:val="sr-Latn-ME"/>
        </w:rPr>
        <w:t>ivost</w:t>
      </w:r>
      <w:proofErr w:type="spellEnd"/>
      <w:r w:rsidRPr="00815C87">
        <w:rPr>
          <w:sz w:val="22"/>
          <w:szCs w:val="22"/>
          <w:lang w:val="sr-Latn-ME"/>
        </w:rPr>
        <w:t xml:space="preserve"> u primjeni bioloških l</w:t>
      </w:r>
      <w:r w:rsidR="007F1C44" w:rsidRPr="00815C87">
        <w:rPr>
          <w:sz w:val="22"/>
          <w:szCs w:val="22"/>
          <w:lang w:val="sr-Latn-ME"/>
        </w:rPr>
        <w:t>j</w:t>
      </w:r>
      <w:r w:rsidRPr="00815C87">
        <w:rPr>
          <w:sz w:val="22"/>
          <w:szCs w:val="22"/>
          <w:lang w:val="sr-Latn-ME"/>
        </w:rPr>
        <w:t>ekova, naziv lijeka i broj serije prim</w:t>
      </w:r>
      <w:r w:rsidR="007F1C44" w:rsidRPr="00815C87">
        <w:rPr>
          <w:sz w:val="22"/>
          <w:szCs w:val="22"/>
          <w:lang w:val="sr-Latn-ME"/>
        </w:rPr>
        <w:t>i</w:t>
      </w:r>
      <w:r w:rsidRPr="00815C87">
        <w:rPr>
          <w:sz w:val="22"/>
          <w:szCs w:val="22"/>
          <w:lang w:val="sr-Latn-ME"/>
        </w:rPr>
        <w:t>jenjenog lijeka treba da budu jasno zabilježeni.</w:t>
      </w:r>
    </w:p>
    <w:p w14:paraId="5AEF40A0" w14:textId="77777777" w:rsidR="000E7F54" w:rsidRPr="00815C87" w:rsidRDefault="000E7F54" w:rsidP="00281113">
      <w:pPr>
        <w:pStyle w:val="TableParagraph"/>
        <w:spacing w:before="161"/>
        <w:jc w:val="both"/>
        <w:rPr>
          <w:lang w:val="sr-Latn-ME"/>
        </w:rPr>
      </w:pPr>
      <w:r w:rsidRPr="00815C87">
        <w:rPr>
          <w:lang w:val="sr-Latn-ME"/>
        </w:rPr>
        <w:t xml:space="preserve">Kao i kod svih vakcina, odgovarajući medicinski tretman treba uvijek biti dostupan u slučaju pojave </w:t>
      </w:r>
      <w:proofErr w:type="spellStart"/>
      <w:r w:rsidRPr="00815C87">
        <w:rPr>
          <w:lang w:val="sr-Latn-ME"/>
        </w:rPr>
        <w:t>anafilaktičkog</w:t>
      </w:r>
      <w:proofErr w:type="spellEnd"/>
      <w:r w:rsidRPr="00815C87">
        <w:rPr>
          <w:lang w:val="sr-Latn-ME"/>
        </w:rPr>
        <w:t xml:space="preserve"> događaja nakon primjene vakcine (vidjeti dio 4.8).</w:t>
      </w:r>
    </w:p>
    <w:p w14:paraId="278F1829" w14:textId="77777777" w:rsidR="000E7F54" w:rsidRPr="00815C87" w:rsidRDefault="000E7F54" w:rsidP="00A81139">
      <w:pPr>
        <w:pStyle w:val="TableParagraph"/>
        <w:spacing w:before="10"/>
        <w:rPr>
          <w:lang w:val="sr-Latn-ME"/>
        </w:rPr>
      </w:pPr>
    </w:p>
    <w:p w14:paraId="645247FD" w14:textId="3D10F3C1" w:rsidR="00F20C7C" w:rsidRPr="00815C87" w:rsidRDefault="000E7F54" w:rsidP="00281113">
      <w:pPr>
        <w:pStyle w:val="TableParagraph"/>
        <w:tabs>
          <w:tab w:val="left" w:pos="9214"/>
        </w:tabs>
        <w:spacing w:before="1"/>
        <w:jc w:val="both"/>
        <w:rPr>
          <w:lang w:val="sr-Latn-ME"/>
        </w:rPr>
      </w:pPr>
      <w:r w:rsidRPr="00815C87">
        <w:rPr>
          <w:lang w:val="sr-Latn-ME"/>
        </w:rPr>
        <w:t xml:space="preserve">Nema dostupnih podataka iz kliničkih studija o bezbjednosti i efikasnosti primjene </w:t>
      </w:r>
      <w:r w:rsidR="000F4F63" w:rsidRPr="00815C87">
        <w:rPr>
          <w:lang w:val="sr-Latn-ME"/>
        </w:rPr>
        <w:t xml:space="preserve">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kod </w:t>
      </w:r>
      <w:proofErr w:type="spellStart"/>
      <w:r w:rsidRPr="00815C87">
        <w:rPr>
          <w:lang w:val="sr-Latn-ME"/>
        </w:rPr>
        <w:t>imunokompromitovane</w:t>
      </w:r>
      <w:proofErr w:type="spellEnd"/>
      <w:r w:rsidRPr="00815C87">
        <w:rPr>
          <w:lang w:val="sr-Latn-ME"/>
        </w:rPr>
        <w:t xml:space="preserve"> odojčadi, </w:t>
      </w:r>
      <w:r w:rsidR="00F20C7C" w:rsidRPr="00815C87">
        <w:rPr>
          <w:lang w:val="sr-Latn-ME"/>
        </w:rPr>
        <w:t xml:space="preserve">odojčadi koja su </w:t>
      </w:r>
      <w:r w:rsidR="00F20C7C" w:rsidRPr="00815C87">
        <w:rPr>
          <w:i/>
          <w:iCs/>
          <w:lang w:val="sr-Latn-ME"/>
        </w:rPr>
        <w:t xml:space="preserve">in </w:t>
      </w:r>
      <w:proofErr w:type="spellStart"/>
      <w:r w:rsidR="00F20C7C" w:rsidRPr="00815C87">
        <w:rPr>
          <w:i/>
          <w:iCs/>
          <w:lang w:val="sr-Latn-ME"/>
        </w:rPr>
        <w:t>utero</w:t>
      </w:r>
      <w:proofErr w:type="spellEnd"/>
      <w:r w:rsidR="00F20C7C" w:rsidRPr="00815C87">
        <w:rPr>
          <w:lang w:val="sr-Latn-ME"/>
        </w:rPr>
        <w:t xml:space="preserve"> bila izložena </w:t>
      </w:r>
      <w:proofErr w:type="spellStart"/>
      <w:r w:rsidR="00F20C7C" w:rsidRPr="00815C87">
        <w:rPr>
          <w:lang w:val="sr-Latn-ME"/>
        </w:rPr>
        <w:t>imunosupresivnoj</w:t>
      </w:r>
      <w:proofErr w:type="spellEnd"/>
      <w:r w:rsidR="00F20C7C" w:rsidRPr="00815C87">
        <w:rPr>
          <w:lang w:val="sr-Latn-ME"/>
        </w:rPr>
        <w:t xml:space="preserve"> terapiji, </w:t>
      </w:r>
      <w:r w:rsidRPr="00815C87">
        <w:rPr>
          <w:lang w:val="sr-Latn-ME"/>
        </w:rPr>
        <w:t xml:space="preserve">odojčadi inficirane HIV virusom ili odojčadi koja su dobila transfuziju krvi ili </w:t>
      </w:r>
      <w:proofErr w:type="spellStart"/>
      <w:r w:rsidRPr="00815C87">
        <w:rPr>
          <w:lang w:val="sr-Latn-ME"/>
        </w:rPr>
        <w:t>imunoglobulina</w:t>
      </w:r>
      <w:proofErr w:type="spellEnd"/>
      <w:r w:rsidRPr="00815C87">
        <w:rPr>
          <w:lang w:val="sr-Latn-ME"/>
        </w:rPr>
        <w:t xml:space="preserve"> u </w:t>
      </w:r>
      <w:proofErr w:type="spellStart"/>
      <w:r w:rsidRPr="00815C87">
        <w:rPr>
          <w:lang w:val="sr-Latn-ME"/>
        </w:rPr>
        <w:t>vremenu</w:t>
      </w:r>
      <w:proofErr w:type="spellEnd"/>
      <w:r w:rsidRPr="00815C87">
        <w:rPr>
          <w:lang w:val="sr-Latn-ME"/>
        </w:rPr>
        <w:t xml:space="preserve"> od 42 dana prije doziranja. Ne očekuje se da će </w:t>
      </w:r>
      <w:proofErr w:type="spellStart"/>
      <w:r w:rsidRPr="00815C87">
        <w:rPr>
          <w:lang w:val="sr-Latn-ME"/>
        </w:rPr>
        <w:t>asimptomatska</w:t>
      </w:r>
      <w:proofErr w:type="spellEnd"/>
      <w:r w:rsidRPr="00815C87">
        <w:rPr>
          <w:lang w:val="sr-Latn-ME"/>
        </w:rPr>
        <w:t xml:space="preserve"> infekcija HIV-om uticati na bezbjednost ili efikasnost </w:t>
      </w:r>
      <w:r w:rsidR="00CB5645" w:rsidRPr="00815C87">
        <w:rPr>
          <w:lang w:val="sr-Latn-ME"/>
        </w:rPr>
        <w:t xml:space="preserve">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. Međutim, budući da na raspolaganju nema dovoljno podataka, ne preporučuje se davanje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vakcine odojčadi sa </w:t>
      </w:r>
      <w:proofErr w:type="spellStart"/>
      <w:r w:rsidRPr="00815C87">
        <w:rPr>
          <w:lang w:val="sr-Latn-ME"/>
        </w:rPr>
        <w:t>asimptomatskom</w:t>
      </w:r>
      <w:proofErr w:type="spellEnd"/>
      <w:r w:rsidRPr="00815C87">
        <w:rPr>
          <w:lang w:val="sr-Latn-ME"/>
        </w:rPr>
        <w:t xml:space="preserve"> infekcijom HIV </w:t>
      </w:r>
      <w:proofErr w:type="spellStart"/>
      <w:r w:rsidRPr="00815C87">
        <w:rPr>
          <w:lang w:val="sr-Latn-ME"/>
        </w:rPr>
        <w:t>virusom.</w:t>
      </w:r>
      <w:r w:rsidR="00F20C7C" w:rsidRPr="00815C87">
        <w:rPr>
          <w:lang w:val="sr-Latn-ME"/>
        </w:rPr>
        <w:t>Prim</w:t>
      </w:r>
      <w:r w:rsidR="00C2077B" w:rsidRPr="00815C87">
        <w:rPr>
          <w:lang w:val="sr-Latn-ME"/>
        </w:rPr>
        <w:t>j</w:t>
      </w:r>
      <w:r w:rsidR="00F20C7C" w:rsidRPr="00815C87">
        <w:rPr>
          <w:lang w:val="sr-Latn-ME"/>
        </w:rPr>
        <w:t>enu</w:t>
      </w:r>
      <w:proofErr w:type="spellEnd"/>
      <w:r w:rsidR="00F20C7C" w:rsidRPr="00815C87">
        <w:rPr>
          <w:lang w:val="sr-Latn-ME"/>
        </w:rPr>
        <w:t xml:space="preserve"> vakcine </w:t>
      </w:r>
      <w:proofErr w:type="spellStart"/>
      <w:r w:rsidR="00F20C7C" w:rsidRPr="00815C87">
        <w:rPr>
          <w:lang w:val="sr-Latn-ME"/>
        </w:rPr>
        <w:t>RotaTeq</w:t>
      </w:r>
      <w:proofErr w:type="spellEnd"/>
      <w:r w:rsidR="00F20C7C" w:rsidRPr="00815C87">
        <w:rPr>
          <w:lang w:val="sr-Latn-ME"/>
        </w:rPr>
        <w:t xml:space="preserve"> kod odojčadi koja su </w:t>
      </w:r>
      <w:r w:rsidR="00F20C7C" w:rsidRPr="00815C87">
        <w:rPr>
          <w:i/>
          <w:iCs/>
          <w:lang w:val="sr-Latn-ME"/>
        </w:rPr>
        <w:t xml:space="preserve">in </w:t>
      </w:r>
      <w:proofErr w:type="spellStart"/>
      <w:r w:rsidR="00F20C7C" w:rsidRPr="00815C87">
        <w:rPr>
          <w:i/>
          <w:iCs/>
          <w:lang w:val="sr-Latn-ME"/>
        </w:rPr>
        <w:t>utero</w:t>
      </w:r>
      <w:proofErr w:type="spellEnd"/>
      <w:r w:rsidR="00F20C7C" w:rsidRPr="00815C87">
        <w:rPr>
          <w:lang w:val="sr-Latn-ME"/>
        </w:rPr>
        <w:t xml:space="preserve"> bila izložena </w:t>
      </w:r>
      <w:proofErr w:type="spellStart"/>
      <w:r w:rsidR="00F20C7C" w:rsidRPr="00815C87">
        <w:rPr>
          <w:lang w:val="sr-Latn-ME"/>
        </w:rPr>
        <w:t>imunosupresivnoj</w:t>
      </w:r>
      <w:proofErr w:type="spellEnd"/>
      <w:r w:rsidR="00F20C7C" w:rsidRPr="00815C87">
        <w:rPr>
          <w:lang w:val="sr-Latn-ME"/>
        </w:rPr>
        <w:t xml:space="preserve"> terapiji potrebno je bazirati na pažljivoj proc</w:t>
      </w:r>
      <w:r w:rsidR="00C2077B" w:rsidRPr="00815C87">
        <w:rPr>
          <w:lang w:val="sr-Latn-ME"/>
        </w:rPr>
        <w:t>j</w:t>
      </w:r>
      <w:r w:rsidR="00F20C7C" w:rsidRPr="00815C87">
        <w:rPr>
          <w:lang w:val="sr-Latn-ME"/>
        </w:rPr>
        <w:t>eni potencijalnih koristi i rizika.</w:t>
      </w:r>
    </w:p>
    <w:p w14:paraId="5E98BEAF" w14:textId="77777777" w:rsidR="000E7F54" w:rsidRPr="00815C87" w:rsidRDefault="000E7F54" w:rsidP="00A81139">
      <w:pPr>
        <w:pStyle w:val="TableParagraph"/>
        <w:spacing w:before="1"/>
        <w:rPr>
          <w:lang w:val="sr-Latn-ME"/>
        </w:rPr>
      </w:pPr>
    </w:p>
    <w:p w14:paraId="24D822C8" w14:textId="1BB333E3" w:rsidR="000E7F54" w:rsidRPr="00815C87" w:rsidRDefault="000E7F54" w:rsidP="00281113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Slučajevi </w:t>
      </w:r>
      <w:proofErr w:type="spellStart"/>
      <w:r w:rsidRPr="00815C87">
        <w:rPr>
          <w:lang w:val="sr-Latn-ME"/>
        </w:rPr>
        <w:t>gastroenteritisa</w:t>
      </w:r>
      <w:proofErr w:type="spellEnd"/>
      <w:r w:rsidRPr="00815C87">
        <w:rPr>
          <w:lang w:val="sr-Latn-ME"/>
        </w:rPr>
        <w:t xml:space="preserve"> povezani sa vakcinom bili su prijavljeni </w:t>
      </w:r>
      <w:r w:rsidR="00CB5645" w:rsidRPr="00815C87">
        <w:rPr>
          <w:lang w:val="sr-Latn-ME"/>
        </w:rPr>
        <w:t xml:space="preserve">nakon stavljanja vakcine u promet </w:t>
      </w:r>
      <w:r w:rsidRPr="00815C87">
        <w:rPr>
          <w:lang w:val="sr-Latn-ME"/>
        </w:rPr>
        <w:t xml:space="preserve">kod odojčadi sa </w:t>
      </w:r>
      <w:r w:rsidR="00CB5645" w:rsidRPr="00815C87">
        <w:rPr>
          <w:lang w:val="sr-Latn-ME"/>
        </w:rPr>
        <w:t xml:space="preserve">teškom </w:t>
      </w:r>
      <w:r w:rsidRPr="00815C87">
        <w:rPr>
          <w:lang w:val="sr-Latn-ME"/>
        </w:rPr>
        <w:t xml:space="preserve">kombinovanom </w:t>
      </w:r>
      <w:proofErr w:type="spellStart"/>
      <w:r w:rsidRPr="00815C87">
        <w:rPr>
          <w:lang w:val="sr-Latn-ME"/>
        </w:rPr>
        <w:t>imunodeficijencijom</w:t>
      </w:r>
      <w:proofErr w:type="spellEnd"/>
      <w:r w:rsidRPr="00815C87">
        <w:rPr>
          <w:lang w:val="sr-Latn-ME"/>
        </w:rPr>
        <w:t xml:space="preserve"> (</w:t>
      </w:r>
      <w:r w:rsidR="00CB5645" w:rsidRPr="00815C87">
        <w:rPr>
          <w:lang w:val="sr-Latn-ME"/>
        </w:rPr>
        <w:t xml:space="preserve">engl. </w:t>
      </w:r>
      <w:proofErr w:type="spellStart"/>
      <w:r w:rsidR="00CB5645" w:rsidRPr="00815C87">
        <w:rPr>
          <w:i/>
          <w:lang w:val="sr-Latn-ME"/>
        </w:rPr>
        <w:t>severe</w:t>
      </w:r>
      <w:proofErr w:type="spellEnd"/>
      <w:r w:rsidR="00CB5645" w:rsidRPr="00815C87">
        <w:rPr>
          <w:i/>
          <w:lang w:val="sr-Latn-ME"/>
        </w:rPr>
        <w:t xml:space="preserve"> </w:t>
      </w:r>
      <w:proofErr w:type="spellStart"/>
      <w:r w:rsidR="00CB5645" w:rsidRPr="00815C87">
        <w:rPr>
          <w:i/>
          <w:lang w:val="sr-Latn-ME"/>
        </w:rPr>
        <w:t>combined</w:t>
      </w:r>
      <w:proofErr w:type="spellEnd"/>
      <w:r w:rsidR="00CB5645" w:rsidRPr="00815C87">
        <w:rPr>
          <w:i/>
          <w:lang w:val="sr-Latn-ME"/>
        </w:rPr>
        <w:t xml:space="preserve"> </w:t>
      </w:r>
      <w:proofErr w:type="spellStart"/>
      <w:r w:rsidR="00CB5645" w:rsidRPr="00815C87">
        <w:rPr>
          <w:i/>
          <w:lang w:val="sr-Latn-ME"/>
        </w:rPr>
        <w:t>immunodeficiency</w:t>
      </w:r>
      <w:proofErr w:type="spellEnd"/>
      <w:r w:rsidR="00CB5645" w:rsidRPr="00815C87">
        <w:rPr>
          <w:i/>
          <w:lang w:val="sr-Latn-ME"/>
        </w:rPr>
        <w:t>,</w:t>
      </w:r>
      <w:r w:rsidR="00CB5645" w:rsidRPr="00815C87">
        <w:rPr>
          <w:lang w:val="sr-Latn-ME"/>
        </w:rPr>
        <w:t xml:space="preserve"> </w:t>
      </w:r>
      <w:proofErr w:type="spellStart"/>
      <w:r w:rsidRPr="00815C87">
        <w:rPr>
          <w:lang w:val="sr-Latn-ME"/>
        </w:rPr>
        <w:t>SCID</w:t>
      </w:r>
      <w:proofErr w:type="spellEnd"/>
      <w:r w:rsidRPr="00815C87">
        <w:rPr>
          <w:lang w:val="sr-Latn-ME"/>
        </w:rPr>
        <w:t>, vidjeti dio 4.3).</w:t>
      </w:r>
    </w:p>
    <w:p w14:paraId="12BB1904" w14:textId="77777777" w:rsidR="000E7F54" w:rsidRPr="00815C87" w:rsidRDefault="000E7F54" w:rsidP="00A81139">
      <w:pPr>
        <w:pStyle w:val="TableParagraph"/>
        <w:rPr>
          <w:lang w:val="sr-Latn-ME"/>
        </w:rPr>
      </w:pPr>
    </w:p>
    <w:p w14:paraId="2EBB776F" w14:textId="4E63F832" w:rsidR="000E7F54" w:rsidRPr="00815C87" w:rsidRDefault="000E7F54" w:rsidP="00281113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U kliničkim ispitivanjima uočeno je da je vakcina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izlučena u stolici kod 8,9% vakcinisanih, a to se skoro u svim slučajevima dogodilo u nedjelji nakon primanja prve doze, a samo kod jednog vakcinisanog odojčeta (0,3%)</w:t>
      </w:r>
      <w:r w:rsidR="000C1E22" w:rsidRPr="00815C87">
        <w:rPr>
          <w:lang w:val="sr-Latn-ME"/>
        </w:rPr>
        <w:t>.</w:t>
      </w:r>
      <w:r w:rsidRPr="00815C87">
        <w:rPr>
          <w:lang w:val="sr-Latn-ME"/>
        </w:rPr>
        <w:t xml:space="preserve"> </w:t>
      </w:r>
      <w:r w:rsidR="000C1E22" w:rsidRPr="00815C87">
        <w:rPr>
          <w:lang w:val="sr-Latn-ME"/>
        </w:rPr>
        <w:t>O</w:t>
      </w:r>
      <w:r w:rsidRPr="00815C87">
        <w:rPr>
          <w:lang w:val="sr-Latn-ME"/>
        </w:rPr>
        <w:t xml:space="preserve">vo je uočeno nakon primanja </w:t>
      </w:r>
      <w:r w:rsidR="002811EA" w:rsidRPr="00815C87">
        <w:rPr>
          <w:lang w:val="sr-Latn-ME"/>
        </w:rPr>
        <w:t xml:space="preserve">3. </w:t>
      </w:r>
      <w:r w:rsidRPr="00815C87">
        <w:rPr>
          <w:lang w:val="sr-Latn-ME"/>
        </w:rPr>
        <w:t xml:space="preserve">doze. Maksimalno izlučivanje uočeno je u prvih 7 dana nakon doziranja. U </w:t>
      </w:r>
      <w:proofErr w:type="spellStart"/>
      <w:r w:rsidRPr="00815C87">
        <w:rPr>
          <w:lang w:val="sr-Latn-ME"/>
        </w:rPr>
        <w:t>postmarketinškom</w:t>
      </w:r>
      <w:proofErr w:type="spellEnd"/>
      <w:r w:rsidRPr="00815C87">
        <w:rPr>
          <w:lang w:val="sr-Latn-ME"/>
        </w:rPr>
        <w:t xml:space="preserve"> periodu zabilježen je </w:t>
      </w:r>
      <w:proofErr w:type="spellStart"/>
      <w:r w:rsidRPr="00815C87">
        <w:rPr>
          <w:lang w:val="sr-Latn-ME"/>
        </w:rPr>
        <w:t>prenos</w:t>
      </w:r>
      <w:proofErr w:type="spellEnd"/>
      <w:r w:rsidRPr="00815C87">
        <w:rPr>
          <w:lang w:val="sr-Latn-ME"/>
        </w:rPr>
        <w:t xml:space="preserve"> sojeva virusa iz vakcine na </w:t>
      </w:r>
      <w:proofErr w:type="spellStart"/>
      <w:r w:rsidRPr="00815C87">
        <w:rPr>
          <w:lang w:val="sr-Latn-ME"/>
        </w:rPr>
        <w:t>nevakcinisane</w:t>
      </w:r>
      <w:proofErr w:type="spellEnd"/>
      <w:r w:rsidRPr="00815C87">
        <w:rPr>
          <w:lang w:val="sr-Latn-ME"/>
        </w:rPr>
        <w:t xml:space="preserve"> osobe sa kojima je odojče bilo u kontaktu. Vakcinu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treba oprezno davati odojčadi koja su u bliskom kontaktu sa </w:t>
      </w:r>
      <w:proofErr w:type="spellStart"/>
      <w:r w:rsidRPr="00815C87">
        <w:rPr>
          <w:lang w:val="sr-Latn-ME"/>
        </w:rPr>
        <w:t>imunodeficijentnim</w:t>
      </w:r>
      <w:proofErr w:type="spellEnd"/>
      <w:r w:rsidRPr="00815C87">
        <w:rPr>
          <w:lang w:val="sr-Latn-ME"/>
        </w:rPr>
        <w:t xml:space="preserve"> osobama (na primjer sa osobama koje boluju od malignih bolesti, ili imaju na neki drugi način oslabljen imuni sistem, ili sa osobama koje primaju </w:t>
      </w:r>
      <w:proofErr w:type="spellStart"/>
      <w:r w:rsidRPr="00815C87">
        <w:rPr>
          <w:lang w:val="sr-Latn-ME"/>
        </w:rPr>
        <w:t>imunosupresivnu</w:t>
      </w:r>
      <w:proofErr w:type="spellEnd"/>
      <w:r w:rsidRPr="00815C87">
        <w:rPr>
          <w:lang w:val="sr-Latn-ME"/>
        </w:rPr>
        <w:t xml:space="preserve"> terapiju). Takođe, osobe koje se brinu o nedavno vakcinisanom odojčetu treba da sprovode stroge higijenske mjere, a posebno kada su u kontaktu i rukuju sa izlučevinama odojčeta.</w:t>
      </w:r>
    </w:p>
    <w:p w14:paraId="68E1B404" w14:textId="77777777" w:rsidR="000E7F54" w:rsidRPr="00815C87" w:rsidRDefault="000E7F54" w:rsidP="00852481">
      <w:pPr>
        <w:pStyle w:val="TableParagraph"/>
        <w:spacing w:before="11"/>
        <w:jc w:val="both"/>
        <w:rPr>
          <w:lang w:val="sr-Latn-ME"/>
        </w:rPr>
      </w:pPr>
    </w:p>
    <w:p w14:paraId="35C3DD5D" w14:textId="321F8EF3" w:rsidR="000E7F54" w:rsidRPr="00815C87" w:rsidRDefault="000E7F54" w:rsidP="00281113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U kliničkoj studiji, oko 1000 odojčadi, koja su rođena u periodu od 25. do 36. nedjelje trudnoće, primilo je </w:t>
      </w:r>
      <w:r w:rsidR="002A66F1" w:rsidRPr="00815C87">
        <w:rPr>
          <w:lang w:val="sr-Latn-ME"/>
        </w:rPr>
        <w:t xml:space="preserve">vakcinu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. Prva doza vakcine data je počevši od 6 nedjelja nakon rođenja. Bezbjednost i efikasnost 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bili su uporedivi između ove podgrupe odojčadi i odojčadi koja su rođena na vrijeme.</w:t>
      </w:r>
    </w:p>
    <w:p w14:paraId="360FFF72" w14:textId="77777777" w:rsidR="000E7F54" w:rsidRPr="00815C87" w:rsidRDefault="000E7F54" w:rsidP="00281113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>Međutim, 19 od oko 1000 odojčadi je bilo rođeno u periodu od 25. do 28. nedjelje trudnoće, 55 od 29. do 31. nedjelje trudnoće, a ostali su bili rođeni u periodu od 32. do 36. nedjelje trudnoće. Vidjeti djelove 4.2 i 5.1.</w:t>
      </w:r>
    </w:p>
    <w:p w14:paraId="1EC776E8" w14:textId="77777777" w:rsidR="000E7F54" w:rsidRPr="00815C87" w:rsidRDefault="000E7F54" w:rsidP="00A8113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529687D" w14:textId="77777777" w:rsidR="000E7F54" w:rsidRPr="00815C87" w:rsidRDefault="000E7F54" w:rsidP="007D124E">
      <w:pPr>
        <w:pStyle w:val="TableParagraph"/>
        <w:rPr>
          <w:lang w:val="sr-Latn-ME"/>
        </w:rPr>
      </w:pPr>
      <w:proofErr w:type="spellStart"/>
      <w:r w:rsidRPr="00815C87">
        <w:rPr>
          <w:lang w:val="sr-Latn-ME"/>
        </w:rPr>
        <w:t>Intususcepcija</w:t>
      </w:r>
      <w:proofErr w:type="spellEnd"/>
    </w:p>
    <w:p w14:paraId="009A64D2" w14:textId="77777777" w:rsidR="000E7F54" w:rsidRPr="00815C87" w:rsidRDefault="000E7F54" w:rsidP="00A81139">
      <w:pPr>
        <w:pStyle w:val="TableParagraph"/>
        <w:rPr>
          <w:lang w:val="sr-Latn-ME"/>
        </w:rPr>
      </w:pPr>
    </w:p>
    <w:p w14:paraId="3E1A84DC" w14:textId="77777777" w:rsidR="000E7F54" w:rsidRPr="00815C87" w:rsidRDefault="000E7F54" w:rsidP="00281113">
      <w:pPr>
        <w:pStyle w:val="TableParagraph"/>
        <w:spacing w:before="1"/>
        <w:jc w:val="both"/>
        <w:rPr>
          <w:lang w:val="sr-Latn-ME"/>
        </w:rPr>
      </w:pPr>
      <w:r w:rsidRPr="00815C87">
        <w:rPr>
          <w:lang w:val="sr-Latn-ME"/>
        </w:rPr>
        <w:t xml:space="preserve">Zdravstveni stručnjaci treba da, kao mjeru opreza, prate sve simptome koji ukazuju na prisustvo </w:t>
      </w:r>
      <w:proofErr w:type="spellStart"/>
      <w:r w:rsidRPr="00815C87">
        <w:rPr>
          <w:lang w:val="sr-Latn-ME"/>
        </w:rPr>
        <w:t>intususcepcije</w:t>
      </w:r>
      <w:proofErr w:type="spellEnd"/>
      <w:r w:rsidRPr="00815C87">
        <w:rPr>
          <w:lang w:val="sr-Latn-ME"/>
        </w:rPr>
        <w:t xml:space="preserve"> (jak abdominalni bol, </w:t>
      </w:r>
      <w:proofErr w:type="spellStart"/>
      <w:r w:rsidRPr="00815C87">
        <w:rPr>
          <w:lang w:val="sr-Latn-ME"/>
        </w:rPr>
        <w:t>perzistentno</w:t>
      </w:r>
      <w:proofErr w:type="spellEnd"/>
      <w:r w:rsidRPr="00815C87">
        <w:rPr>
          <w:lang w:val="sr-Latn-ME"/>
        </w:rPr>
        <w:t xml:space="preserve"> povraćanje, krvava stolica, nadutost abdomena i/ili izrazito povišena tjelesna temperatura), s obzirom da podaci iz opservacionih studija ukazuju na povećan rizik za nastanak </w:t>
      </w:r>
      <w:proofErr w:type="spellStart"/>
      <w:r w:rsidRPr="00815C87">
        <w:rPr>
          <w:lang w:val="sr-Latn-ME"/>
        </w:rPr>
        <w:t>intususcepcije</w:t>
      </w:r>
      <w:proofErr w:type="spellEnd"/>
      <w:r w:rsidRPr="00815C87">
        <w:rPr>
          <w:lang w:val="sr-Latn-ME"/>
        </w:rPr>
        <w:t xml:space="preserve">, najčešće u roku od 7 dana nakon primjene vakcine protiv </w:t>
      </w:r>
      <w:proofErr w:type="spellStart"/>
      <w:r w:rsidRPr="00815C87">
        <w:rPr>
          <w:lang w:val="sr-Latn-ME"/>
        </w:rPr>
        <w:t>rotavirusa</w:t>
      </w:r>
      <w:proofErr w:type="spellEnd"/>
      <w:r w:rsidRPr="00815C87">
        <w:rPr>
          <w:lang w:val="sr-Latn-ME"/>
        </w:rPr>
        <w:t xml:space="preserve"> (vidjeti dio 4.8). Potrebno je da se roditelji/staratelji obavijeste da treba odmah da prijave svaku pojavu ovih simptoma zdravstvenom radniku.</w:t>
      </w:r>
    </w:p>
    <w:p w14:paraId="1A67CB16" w14:textId="77777777" w:rsidR="000E7F54" w:rsidRPr="00815C87" w:rsidRDefault="000E7F54" w:rsidP="00A81139">
      <w:pPr>
        <w:pStyle w:val="TableParagraph"/>
        <w:spacing w:before="10"/>
        <w:rPr>
          <w:lang w:val="sr-Latn-ME"/>
        </w:rPr>
      </w:pPr>
    </w:p>
    <w:p w14:paraId="1AE6BDCC" w14:textId="77777777" w:rsidR="000E7F54" w:rsidRPr="00815C87" w:rsidRDefault="000E7F54" w:rsidP="007D124E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Za osobe sa predispozicijom za pojavu </w:t>
      </w:r>
      <w:proofErr w:type="spellStart"/>
      <w:r w:rsidRPr="00815C87">
        <w:rPr>
          <w:lang w:val="sr-Latn-ME"/>
        </w:rPr>
        <w:t>intususcepcije</w:t>
      </w:r>
      <w:proofErr w:type="spellEnd"/>
      <w:r w:rsidRPr="00815C87">
        <w:rPr>
          <w:lang w:val="sr-Latn-ME"/>
        </w:rPr>
        <w:t xml:space="preserve"> vidjeti dio 4.3.</w:t>
      </w:r>
    </w:p>
    <w:p w14:paraId="210BF46F" w14:textId="77777777" w:rsidR="009212E3" w:rsidRPr="00815C87" w:rsidRDefault="009212E3" w:rsidP="00281113">
      <w:pPr>
        <w:pStyle w:val="TableParagraph"/>
        <w:jc w:val="both"/>
        <w:rPr>
          <w:lang w:val="sr-Latn-ME"/>
        </w:rPr>
      </w:pPr>
    </w:p>
    <w:p w14:paraId="62ACF813" w14:textId="77777777" w:rsidR="009212E3" w:rsidRPr="00815C87" w:rsidRDefault="009212E3" w:rsidP="007D124E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Nema podataka o bezbjednosti ili efikasnosti kod odojčadi sa aktivnim oboljenjem gastrointestinalnog trakta (uključujući i hroničnu dijareju) ili zaostatkom u rastu. Davanje 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ovoj odojčadi je potrebno pažljivo razmotriti u kojim slučajevima, po mišljenju ljekara, izostanak vakcinacije predstavlja mnogo veći </w:t>
      </w:r>
      <w:r w:rsidRPr="00815C87">
        <w:rPr>
          <w:lang w:val="sr-Latn-ME"/>
        </w:rPr>
        <w:lastRenderedPageBreak/>
        <w:t>rizik za ovu grupu odojčadi.</w:t>
      </w:r>
    </w:p>
    <w:p w14:paraId="20B5E21F" w14:textId="77777777" w:rsidR="009212E3" w:rsidRPr="00815C87" w:rsidRDefault="009212E3" w:rsidP="009212E3">
      <w:pPr>
        <w:pStyle w:val="TableParagraph"/>
        <w:ind w:left="200"/>
        <w:jc w:val="both"/>
        <w:rPr>
          <w:lang w:val="sr-Latn-ME"/>
        </w:rPr>
      </w:pPr>
    </w:p>
    <w:p w14:paraId="7CB08458" w14:textId="4CBE98A9" w:rsidR="009212E3" w:rsidRPr="00815C87" w:rsidRDefault="009212E3" w:rsidP="007D124E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Nivo zaštite koji obezbjeđuje vakcina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se zasniva na primanju sve tri doze. Kao i kod svih drugih vakcina, vakcinacija vakcinom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ne mora da ima za rezultat i totalnu zaštitu svih vakcinisanih. </w:t>
      </w:r>
      <w:r w:rsidR="00595E18" w:rsidRPr="00815C87">
        <w:rPr>
          <w:lang w:val="sr-Latn-ME"/>
        </w:rPr>
        <w:t xml:space="preserve">Vakcina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ne pruža zaštitu od </w:t>
      </w:r>
      <w:proofErr w:type="spellStart"/>
      <w:r w:rsidRPr="00815C87">
        <w:rPr>
          <w:lang w:val="sr-Latn-ME"/>
        </w:rPr>
        <w:t>gastroenteritisa</w:t>
      </w:r>
      <w:proofErr w:type="spellEnd"/>
      <w:r w:rsidRPr="00815C87">
        <w:rPr>
          <w:lang w:val="sr-Latn-ME"/>
        </w:rPr>
        <w:t xml:space="preserve"> koga izazivaju drugi </w:t>
      </w:r>
      <w:r w:rsidR="00595E18" w:rsidRPr="00815C87">
        <w:rPr>
          <w:lang w:val="sr-Latn-ME"/>
        </w:rPr>
        <w:t xml:space="preserve">patogeni koji nisu </w:t>
      </w:r>
      <w:proofErr w:type="spellStart"/>
      <w:r w:rsidRPr="00815C87">
        <w:rPr>
          <w:lang w:val="sr-Latn-ME"/>
        </w:rPr>
        <w:t>rotavirusni</w:t>
      </w:r>
      <w:proofErr w:type="spellEnd"/>
      <w:r w:rsidRPr="00815C87">
        <w:rPr>
          <w:lang w:val="sr-Latn-ME"/>
        </w:rPr>
        <w:t>.</w:t>
      </w:r>
    </w:p>
    <w:p w14:paraId="1AD20FF1" w14:textId="77777777" w:rsidR="009212E3" w:rsidRPr="00815C87" w:rsidRDefault="009212E3" w:rsidP="00281113">
      <w:pPr>
        <w:pStyle w:val="TableParagraph"/>
        <w:jc w:val="both"/>
        <w:rPr>
          <w:lang w:val="sr-Latn-ME"/>
        </w:rPr>
      </w:pPr>
    </w:p>
    <w:p w14:paraId="07BA60A7" w14:textId="181EB555" w:rsidR="009212E3" w:rsidRPr="00815C87" w:rsidRDefault="009212E3" w:rsidP="007D124E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Klinička ispitivanja efikasnosti protiv </w:t>
      </w:r>
      <w:proofErr w:type="spellStart"/>
      <w:r w:rsidRPr="00815C87">
        <w:rPr>
          <w:lang w:val="sr-Latn-ME"/>
        </w:rPr>
        <w:t>gastroenteritisa</w:t>
      </w:r>
      <w:proofErr w:type="spellEnd"/>
      <w:r w:rsidRPr="00815C87">
        <w:rPr>
          <w:lang w:val="sr-Latn-ME"/>
        </w:rPr>
        <w:t xml:space="preserve"> izazvanog </w:t>
      </w:r>
      <w:proofErr w:type="spellStart"/>
      <w:r w:rsidRPr="00815C87">
        <w:rPr>
          <w:lang w:val="sr-Latn-ME"/>
        </w:rPr>
        <w:t>rotavirusom</w:t>
      </w:r>
      <w:proofErr w:type="spellEnd"/>
      <w:r w:rsidRPr="00815C87">
        <w:rPr>
          <w:lang w:val="sr-Latn-ME"/>
        </w:rPr>
        <w:t xml:space="preserve"> sprovedena su u Evropi, Sjedinjenim Američkim Državama, Latinskoj Americi i Aziji. Tokom ovih ispitivanja uočeno je najčešće kruženje </w:t>
      </w:r>
      <w:proofErr w:type="spellStart"/>
      <w:r w:rsidRPr="00815C87">
        <w:rPr>
          <w:lang w:val="sr-Latn-ME"/>
        </w:rPr>
        <w:t>serotipa</w:t>
      </w:r>
      <w:proofErr w:type="spellEnd"/>
      <w:r w:rsidRPr="00815C87">
        <w:rPr>
          <w:lang w:val="sr-Latn-ME"/>
        </w:rPr>
        <w:t xml:space="preserve"> </w:t>
      </w:r>
      <w:proofErr w:type="spellStart"/>
      <w:r w:rsidRPr="00815C87">
        <w:rPr>
          <w:lang w:val="sr-Latn-ME"/>
        </w:rPr>
        <w:t>rotavirusa</w:t>
      </w:r>
      <w:proofErr w:type="spellEnd"/>
      <w:r w:rsidRPr="00815C87">
        <w:rPr>
          <w:lang w:val="sr-Latn-ME"/>
        </w:rPr>
        <w:t xml:space="preserve"> </w:t>
      </w:r>
      <w:proofErr w:type="spellStart"/>
      <w:r w:rsidRPr="00815C87">
        <w:rPr>
          <w:lang w:val="sr-Latn-ME"/>
        </w:rPr>
        <w:t>G1P</w:t>
      </w:r>
      <w:proofErr w:type="spellEnd"/>
      <w:r w:rsidR="00122C6F" w:rsidRPr="00815C87">
        <w:rPr>
          <w:lang w:val="sr-Latn-ME"/>
        </w:rPr>
        <w:t>[</w:t>
      </w:r>
      <w:r w:rsidRPr="00815C87">
        <w:rPr>
          <w:lang w:val="sr-Latn-ME"/>
        </w:rPr>
        <w:t>8</w:t>
      </w:r>
      <w:r w:rsidR="00122C6F" w:rsidRPr="00815C87">
        <w:rPr>
          <w:lang w:val="sr-Latn-ME"/>
        </w:rPr>
        <w:t>]</w:t>
      </w:r>
      <w:r w:rsidRPr="00815C87">
        <w:rPr>
          <w:lang w:val="sr-Latn-ME"/>
        </w:rPr>
        <w:t xml:space="preserve">, dok su rjeđe identifikovani </w:t>
      </w:r>
      <w:proofErr w:type="spellStart"/>
      <w:r w:rsidRPr="00815C87">
        <w:rPr>
          <w:lang w:val="sr-Latn-ME"/>
        </w:rPr>
        <w:t>serotipovi</w:t>
      </w:r>
      <w:proofErr w:type="spellEnd"/>
      <w:r w:rsidRPr="00815C87">
        <w:rPr>
          <w:lang w:val="sr-Latn-ME"/>
        </w:rPr>
        <w:t xml:space="preserve"> </w:t>
      </w:r>
      <w:proofErr w:type="spellStart"/>
      <w:r w:rsidRPr="00815C87">
        <w:rPr>
          <w:lang w:val="sr-Latn-ME"/>
        </w:rPr>
        <w:t>rotavirusa</w:t>
      </w:r>
      <w:proofErr w:type="spellEnd"/>
      <w:r w:rsidRPr="00815C87">
        <w:rPr>
          <w:lang w:val="sr-Latn-ME"/>
        </w:rPr>
        <w:t xml:space="preserve"> </w:t>
      </w:r>
      <w:proofErr w:type="spellStart"/>
      <w:r w:rsidRPr="00815C87">
        <w:rPr>
          <w:lang w:val="sr-Latn-ME"/>
        </w:rPr>
        <w:t>G2P</w:t>
      </w:r>
      <w:proofErr w:type="spellEnd"/>
      <w:r w:rsidR="00122C6F" w:rsidRPr="00815C87">
        <w:rPr>
          <w:lang w:val="sr-Latn-ME"/>
        </w:rPr>
        <w:t>[</w:t>
      </w:r>
      <w:r w:rsidRPr="00815C87">
        <w:rPr>
          <w:lang w:val="sr-Latn-ME"/>
        </w:rPr>
        <w:t>4</w:t>
      </w:r>
      <w:r w:rsidR="00122C6F" w:rsidRPr="00815C87">
        <w:rPr>
          <w:lang w:val="sr-Latn-ME"/>
        </w:rPr>
        <w:t>]</w:t>
      </w:r>
      <w:r w:rsidRPr="00815C87">
        <w:rPr>
          <w:lang w:val="sr-Latn-ME"/>
        </w:rPr>
        <w:t xml:space="preserve">, </w:t>
      </w:r>
      <w:proofErr w:type="spellStart"/>
      <w:r w:rsidRPr="00815C87">
        <w:rPr>
          <w:lang w:val="sr-Latn-ME"/>
        </w:rPr>
        <w:t>G3P</w:t>
      </w:r>
      <w:proofErr w:type="spellEnd"/>
      <w:r w:rsidR="00122C6F" w:rsidRPr="00815C87">
        <w:rPr>
          <w:lang w:val="sr-Latn-ME"/>
        </w:rPr>
        <w:t>[</w:t>
      </w:r>
      <w:r w:rsidRPr="00815C87">
        <w:rPr>
          <w:lang w:val="sr-Latn-ME"/>
        </w:rPr>
        <w:t>8</w:t>
      </w:r>
      <w:r w:rsidR="00122C6F" w:rsidRPr="00815C87">
        <w:rPr>
          <w:lang w:val="sr-Latn-ME"/>
        </w:rPr>
        <w:t>]</w:t>
      </w:r>
      <w:r w:rsidRPr="00815C87">
        <w:rPr>
          <w:lang w:val="sr-Latn-ME"/>
        </w:rPr>
        <w:t>, G4P</w:t>
      </w:r>
      <w:r w:rsidR="00122C6F" w:rsidRPr="00815C87">
        <w:rPr>
          <w:lang w:val="sr-Latn-ME"/>
        </w:rPr>
        <w:t>[</w:t>
      </w:r>
      <w:r w:rsidRPr="00815C87">
        <w:rPr>
          <w:lang w:val="sr-Latn-ME"/>
        </w:rPr>
        <w:t>8</w:t>
      </w:r>
      <w:r w:rsidR="00122C6F" w:rsidRPr="00815C87">
        <w:rPr>
          <w:lang w:val="sr-Latn-ME"/>
        </w:rPr>
        <w:t>]</w:t>
      </w:r>
      <w:r w:rsidRPr="00815C87">
        <w:rPr>
          <w:lang w:val="sr-Latn-ME"/>
        </w:rPr>
        <w:t xml:space="preserve"> i G9P</w:t>
      </w:r>
      <w:r w:rsidR="00122C6F" w:rsidRPr="00815C87">
        <w:rPr>
          <w:lang w:val="sr-Latn-ME"/>
        </w:rPr>
        <w:t>[</w:t>
      </w:r>
      <w:r w:rsidRPr="00815C87">
        <w:rPr>
          <w:lang w:val="sr-Latn-ME"/>
        </w:rPr>
        <w:t>8</w:t>
      </w:r>
      <w:r w:rsidR="00122C6F" w:rsidRPr="00815C87">
        <w:rPr>
          <w:lang w:val="sr-Latn-ME"/>
        </w:rPr>
        <w:t>]</w:t>
      </w:r>
      <w:r w:rsidRPr="00815C87">
        <w:rPr>
          <w:lang w:val="sr-Latn-ME"/>
        </w:rPr>
        <w:t xml:space="preserve">. Stepen zaštite koji se postiže vakcinom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protiv drugih </w:t>
      </w:r>
      <w:proofErr w:type="spellStart"/>
      <w:r w:rsidRPr="00815C87">
        <w:rPr>
          <w:lang w:val="sr-Latn-ME"/>
        </w:rPr>
        <w:t>serotipova</w:t>
      </w:r>
      <w:proofErr w:type="spellEnd"/>
      <w:r w:rsidRPr="00815C87">
        <w:rPr>
          <w:lang w:val="sr-Latn-ME"/>
        </w:rPr>
        <w:t xml:space="preserve"> </w:t>
      </w:r>
      <w:proofErr w:type="spellStart"/>
      <w:r w:rsidRPr="00815C87">
        <w:rPr>
          <w:lang w:val="sr-Latn-ME"/>
        </w:rPr>
        <w:t>rotavirusa</w:t>
      </w:r>
      <w:proofErr w:type="spellEnd"/>
      <w:r w:rsidRPr="00815C87">
        <w:rPr>
          <w:lang w:val="sr-Latn-ME"/>
        </w:rPr>
        <w:t xml:space="preserve"> i u drugim populacijama nije poznat.</w:t>
      </w:r>
    </w:p>
    <w:p w14:paraId="141AA0D1" w14:textId="77777777" w:rsidR="009212E3" w:rsidRPr="00815C87" w:rsidRDefault="009212E3" w:rsidP="00281113">
      <w:pPr>
        <w:pStyle w:val="TableParagraph"/>
        <w:jc w:val="both"/>
        <w:rPr>
          <w:lang w:val="sr-Latn-ME"/>
        </w:rPr>
      </w:pPr>
    </w:p>
    <w:p w14:paraId="5C98239A" w14:textId="77777777" w:rsidR="009212E3" w:rsidRPr="00815C87" w:rsidRDefault="009212E3" w:rsidP="007D124E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Na raspolaganju nema kliničkih podataka o primjeni vakcine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u </w:t>
      </w:r>
      <w:proofErr w:type="spellStart"/>
      <w:r w:rsidRPr="00815C87">
        <w:rPr>
          <w:lang w:val="sr-Latn-ME"/>
        </w:rPr>
        <w:t>postekspozicijskoj</w:t>
      </w:r>
      <w:proofErr w:type="spellEnd"/>
      <w:r w:rsidRPr="00815C87">
        <w:rPr>
          <w:lang w:val="sr-Latn-ME"/>
        </w:rPr>
        <w:t xml:space="preserve"> profilaksi.</w:t>
      </w:r>
    </w:p>
    <w:p w14:paraId="539AB531" w14:textId="77777777" w:rsidR="009212E3" w:rsidRPr="00815C87" w:rsidRDefault="009212E3" w:rsidP="00281113">
      <w:pPr>
        <w:pStyle w:val="TableParagraph"/>
        <w:jc w:val="both"/>
        <w:rPr>
          <w:lang w:val="sr-Latn-ME"/>
        </w:rPr>
      </w:pPr>
    </w:p>
    <w:p w14:paraId="58E317EE" w14:textId="033A515B" w:rsidR="009212E3" w:rsidRPr="00815C87" w:rsidRDefault="009212E3" w:rsidP="00852481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Treba uzeti u obzir mogući rizik za pojavu </w:t>
      </w:r>
      <w:proofErr w:type="spellStart"/>
      <w:r w:rsidRPr="00815C87">
        <w:rPr>
          <w:lang w:val="sr-Latn-ME"/>
        </w:rPr>
        <w:t>apne</w:t>
      </w:r>
      <w:r w:rsidR="005E6D5D" w:rsidRPr="00815C87">
        <w:rPr>
          <w:lang w:val="sr-Latn-ME"/>
        </w:rPr>
        <w:t>j</w:t>
      </w:r>
      <w:r w:rsidRPr="00815C87">
        <w:rPr>
          <w:lang w:val="sr-Latn-ME"/>
        </w:rPr>
        <w:t>e</w:t>
      </w:r>
      <w:proofErr w:type="spellEnd"/>
      <w:r w:rsidRPr="00815C87">
        <w:rPr>
          <w:lang w:val="sr-Latn-ME"/>
        </w:rPr>
        <w:t xml:space="preserve"> i potrebu za praćenjem respiratorne funkcije tokom 48 do 72 sata pri administraciji doza primarne imunizacije kod odojčadi rođene značajno prije </w:t>
      </w:r>
      <w:proofErr w:type="spellStart"/>
      <w:r w:rsidRPr="00815C87">
        <w:rPr>
          <w:lang w:val="sr-Latn-ME"/>
        </w:rPr>
        <w:t>vremena</w:t>
      </w:r>
      <w:proofErr w:type="spellEnd"/>
      <w:r w:rsidRPr="00815C87">
        <w:rPr>
          <w:lang w:val="sr-Latn-ME"/>
        </w:rPr>
        <w:t xml:space="preserve"> (koja su rođena prije ili u 28.</w:t>
      </w:r>
      <w:r w:rsidR="005E6D5D" w:rsidRPr="00815C87">
        <w:rPr>
          <w:lang w:val="sr-Latn-ME"/>
        </w:rPr>
        <w:t xml:space="preserve"> </w:t>
      </w:r>
      <w:r w:rsidRPr="00815C87">
        <w:rPr>
          <w:lang w:val="sr-Latn-ME"/>
        </w:rPr>
        <w:t>nedjelji trudnoće), a posebno kod one djece koja u anamnezi imaju nepotpunu razvijenost respiratornog sistema. Budući da je korist od vakcinacije veoma velika kod ove grupe odojčadi, vakcinacija ne smije da se odloži ili propusti.</w:t>
      </w:r>
    </w:p>
    <w:p w14:paraId="1B19F39C" w14:textId="77777777" w:rsidR="009212E3" w:rsidRPr="00815C87" w:rsidRDefault="009212E3" w:rsidP="00852481">
      <w:pPr>
        <w:pStyle w:val="TableParagraph"/>
        <w:jc w:val="both"/>
        <w:rPr>
          <w:lang w:val="sr-Latn-ME"/>
        </w:rPr>
      </w:pPr>
    </w:p>
    <w:p w14:paraId="4DA35B99" w14:textId="52D8D2FB" w:rsidR="009212E3" w:rsidRPr="00815C87" w:rsidRDefault="005E6D5D" w:rsidP="00122C6F">
      <w:pPr>
        <w:pStyle w:val="TableParagraph"/>
        <w:jc w:val="both"/>
        <w:rPr>
          <w:lang w:val="sr-Latn-ME"/>
        </w:rPr>
      </w:pPr>
      <w:r w:rsidRPr="00815C87">
        <w:rPr>
          <w:lang w:val="sr-Latn-ME"/>
        </w:rPr>
        <w:t xml:space="preserve">Vakcina </w:t>
      </w:r>
      <w:proofErr w:type="spellStart"/>
      <w:r w:rsidRPr="00815C87">
        <w:rPr>
          <w:lang w:val="sr-Latn-ME"/>
        </w:rPr>
        <w:t>RotaTeq</w:t>
      </w:r>
      <w:proofErr w:type="spellEnd"/>
      <w:r w:rsidRPr="00815C87">
        <w:rPr>
          <w:lang w:val="sr-Latn-ME"/>
        </w:rPr>
        <w:t xml:space="preserve"> NE SMIJE DA SE UBRIZGA NI POD KOJIM USLOVIMA.</w:t>
      </w:r>
    </w:p>
    <w:p w14:paraId="0EFDD1B4" w14:textId="77777777" w:rsidR="00122C6F" w:rsidRPr="00815C87" w:rsidRDefault="00122C6F" w:rsidP="00122C6F">
      <w:pPr>
        <w:pStyle w:val="TableParagraph"/>
        <w:jc w:val="both"/>
        <w:rPr>
          <w:lang w:val="sr-Latn-ME"/>
        </w:rPr>
      </w:pPr>
    </w:p>
    <w:p w14:paraId="3A62A70E" w14:textId="77777777" w:rsidR="00122C6F" w:rsidRPr="00815C87" w:rsidRDefault="00122C6F" w:rsidP="00122C6F">
      <w:pPr>
        <w:rPr>
          <w:sz w:val="22"/>
          <w:szCs w:val="22"/>
          <w:u w:val="single"/>
          <w:lang w:val="sr-Latn-ME"/>
        </w:rPr>
      </w:pPr>
      <w:r w:rsidRPr="00815C87">
        <w:rPr>
          <w:sz w:val="22"/>
          <w:szCs w:val="22"/>
          <w:u w:val="single"/>
          <w:lang w:val="sr-Latn-ME"/>
        </w:rPr>
        <w:t>Saharoza</w:t>
      </w:r>
    </w:p>
    <w:p w14:paraId="75AF948E" w14:textId="77777777" w:rsidR="00122C6F" w:rsidRPr="00815C87" w:rsidRDefault="00122C6F" w:rsidP="00122C6F">
      <w:pPr>
        <w:rPr>
          <w:sz w:val="22"/>
          <w:szCs w:val="22"/>
          <w:u w:val="single"/>
          <w:lang w:val="sr-Latn-ME"/>
        </w:rPr>
      </w:pPr>
    </w:p>
    <w:p w14:paraId="6BE30EEF" w14:textId="6322D5A0" w:rsidR="00122C6F" w:rsidRPr="00815C87" w:rsidRDefault="00122C6F" w:rsidP="00281113">
      <w:pPr>
        <w:jc w:val="both"/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>Vakcina</w:t>
      </w:r>
      <w:r w:rsidRPr="00815C87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sz w:val="22"/>
          <w:szCs w:val="22"/>
          <w:lang w:val="sr-Latn-ME"/>
        </w:rPr>
        <w:t xml:space="preserve"> sadrži saharozu. Pacijenti sa rijetkim </w:t>
      </w:r>
      <w:proofErr w:type="spellStart"/>
      <w:r w:rsidRPr="00815C87">
        <w:rPr>
          <w:sz w:val="22"/>
          <w:szCs w:val="22"/>
          <w:lang w:val="sr-Latn-ME"/>
        </w:rPr>
        <w:t>nasl</w:t>
      </w:r>
      <w:r w:rsidR="00845A8D" w:rsidRPr="00815C87">
        <w:rPr>
          <w:sz w:val="22"/>
          <w:szCs w:val="22"/>
          <w:lang w:val="sr-Latn-ME"/>
        </w:rPr>
        <w:t>j</w:t>
      </w:r>
      <w:r w:rsidRPr="00815C87">
        <w:rPr>
          <w:sz w:val="22"/>
          <w:szCs w:val="22"/>
          <w:lang w:val="sr-Latn-ME"/>
        </w:rPr>
        <w:t>ednim</w:t>
      </w:r>
      <w:proofErr w:type="spellEnd"/>
      <w:r w:rsidRPr="00815C87">
        <w:rPr>
          <w:sz w:val="22"/>
          <w:szCs w:val="22"/>
          <w:lang w:val="sr-Latn-ME"/>
        </w:rPr>
        <w:t xml:space="preserve"> oboljenjem intolerancije na </w:t>
      </w:r>
      <w:proofErr w:type="spellStart"/>
      <w:r w:rsidRPr="00815C87">
        <w:rPr>
          <w:sz w:val="22"/>
          <w:szCs w:val="22"/>
          <w:lang w:val="sr-Latn-ME"/>
        </w:rPr>
        <w:t>fruktozu</w:t>
      </w:r>
      <w:proofErr w:type="spellEnd"/>
      <w:r w:rsidRPr="00815C87">
        <w:rPr>
          <w:sz w:val="22"/>
          <w:szCs w:val="22"/>
          <w:lang w:val="sr-Latn-ME"/>
        </w:rPr>
        <w:t xml:space="preserve">, </w:t>
      </w:r>
      <w:proofErr w:type="spellStart"/>
      <w:r w:rsidRPr="00815C87">
        <w:rPr>
          <w:sz w:val="22"/>
          <w:szCs w:val="22"/>
          <w:lang w:val="sr-Latn-ME"/>
        </w:rPr>
        <w:t>glukozno-galaktoznom</w:t>
      </w:r>
      <w:proofErr w:type="spellEnd"/>
      <w:r w:rsidRPr="00815C87">
        <w:rPr>
          <w:sz w:val="22"/>
          <w:szCs w:val="22"/>
          <w:lang w:val="sr-Latn-ME"/>
        </w:rPr>
        <w:t xml:space="preserve"> </w:t>
      </w:r>
      <w:proofErr w:type="spellStart"/>
      <w:r w:rsidRPr="00815C87">
        <w:rPr>
          <w:sz w:val="22"/>
          <w:szCs w:val="22"/>
          <w:lang w:val="sr-Latn-ME"/>
        </w:rPr>
        <w:t>malapsorpcijom</w:t>
      </w:r>
      <w:proofErr w:type="spellEnd"/>
      <w:r w:rsidRPr="00815C87">
        <w:rPr>
          <w:sz w:val="22"/>
          <w:szCs w:val="22"/>
          <w:lang w:val="sr-Latn-ME"/>
        </w:rPr>
        <w:t xml:space="preserve"> ili nedostatkom </w:t>
      </w:r>
      <w:proofErr w:type="spellStart"/>
      <w:r w:rsidRPr="00815C87">
        <w:rPr>
          <w:sz w:val="22"/>
          <w:szCs w:val="22"/>
          <w:lang w:val="sr-Latn-ME"/>
        </w:rPr>
        <w:t>sahar</w:t>
      </w:r>
      <w:r w:rsidR="005E6D5D" w:rsidRPr="00815C87">
        <w:rPr>
          <w:sz w:val="22"/>
          <w:szCs w:val="22"/>
          <w:lang w:val="sr-Latn-ME"/>
        </w:rPr>
        <w:t>a</w:t>
      </w:r>
      <w:r w:rsidRPr="00815C87">
        <w:rPr>
          <w:sz w:val="22"/>
          <w:szCs w:val="22"/>
          <w:lang w:val="sr-Latn-ME"/>
        </w:rPr>
        <w:t>za-izomaltaze</w:t>
      </w:r>
      <w:proofErr w:type="spellEnd"/>
      <w:r w:rsidRPr="00815C87">
        <w:rPr>
          <w:sz w:val="22"/>
          <w:szCs w:val="22"/>
          <w:lang w:val="sr-Latn-ME"/>
        </w:rPr>
        <w:t>, ne sm</w:t>
      </w:r>
      <w:r w:rsidR="001C3F62" w:rsidRPr="00815C87">
        <w:rPr>
          <w:sz w:val="22"/>
          <w:szCs w:val="22"/>
          <w:lang w:val="sr-Latn-ME"/>
        </w:rPr>
        <w:t>i</w:t>
      </w:r>
      <w:r w:rsidRPr="00815C87">
        <w:rPr>
          <w:sz w:val="22"/>
          <w:szCs w:val="22"/>
          <w:lang w:val="sr-Latn-ME"/>
        </w:rPr>
        <w:t>ju koristiti ovaj l</w:t>
      </w:r>
      <w:r w:rsidR="001C3F62" w:rsidRPr="00815C87">
        <w:rPr>
          <w:sz w:val="22"/>
          <w:szCs w:val="22"/>
          <w:lang w:val="sr-Latn-ME"/>
        </w:rPr>
        <w:t>ij</w:t>
      </w:r>
      <w:r w:rsidRPr="00815C87">
        <w:rPr>
          <w:sz w:val="22"/>
          <w:szCs w:val="22"/>
          <w:lang w:val="sr-Latn-ME"/>
        </w:rPr>
        <w:t>ek. Vid</w:t>
      </w:r>
      <w:r w:rsidR="001C3F62" w:rsidRPr="00815C87">
        <w:rPr>
          <w:sz w:val="22"/>
          <w:szCs w:val="22"/>
          <w:lang w:val="sr-Latn-ME"/>
        </w:rPr>
        <w:t>j</w:t>
      </w:r>
      <w:r w:rsidRPr="00815C87">
        <w:rPr>
          <w:sz w:val="22"/>
          <w:szCs w:val="22"/>
          <w:lang w:val="sr-Latn-ME"/>
        </w:rPr>
        <w:t xml:space="preserve">eti </w:t>
      </w:r>
      <w:r w:rsidR="001C3F62" w:rsidRPr="00815C87">
        <w:rPr>
          <w:sz w:val="22"/>
          <w:szCs w:val="22"/>
          <w:lang w:val="sr-Latn-ME"/>
        </w:rPr>
        <w:t>dio</w:t>
      </w:r>
      <w:r w:rsidRPr="00815C87">
        <w:rPr>
          <w:sz w:val="22"/>
          <w:szCs w:val="22"/>
          <w:lang w:val="sr-Latn-ME"/>
        </w:rPr>
        <w:t xml:space="preserve"> 2.</w:t>
      </w:r>
    </w:p>
    <w:p w14:paraId="00C0D0B4" w14:textId="77777777" w:rsidR="00122C6F" w:rsidRPr="00815C87" w:rsidRDefault="00122C6F" w:rsidP="00122C6F">
      <w:pPr>
        <w:rPr>
          <w:sz w:val="22"/>
          <w:szCs w:val="22"/>
          <w:lang w:val="sr-Latn-ME"/>
        </w:rPr>
      </w:pPr>
    </w:p>
    <w:p w14:paraId="00132FD5" w14:textId="77777777" w:rsidR="00122C6F" w:rsidRPr="00815C87" w:rsidRDefault="00122C6F" w:rsidP="00122C6F">
      <w:pPr>
        <w:rPr>
          <w:sz w:val="22"/>
          <w:szCs w:val="22"/>
          <w:u w:val="single"/>
          <w:lang w:val="sr-Latn-ME"/>
        </w:rPr>
      </w:pPr>
      <w:r w:rsidRPr="00815C87">
        <w:rPr>
          <w:sz w:val="22"/>
          <w:szCs w:val="22"/>
          <w:u w:val="single"/>
          <w:lang w:val="sr-Latn-ME"/>
        </w:rPr>
        <w:t>Natrijum</w:t>
      </w:r>
    </w:p>
    <w:p w14:paraId="7B1EB8D2" w14:textId="77777777" w:rsidR="00122C6F" w:rsidRPr="00815C87" w:rsidRDefault="00122C6F" w:rsidP="00122C6F">
      <w:pPr>
        <w:rPr>
          <w:sz w:val="22"/>
          <w:szCs w:val="22"/>
          <w:u w:val="single"/>
          <w:lang w:val="sr-Latn-ME"/>
        </w:rPr>
      </w:pPr>
    </w:p>
    <w:p w14:paraId="64A54FB3" w14:textId="77777777" w:rsidR="00122C6F" w:rsidRPr="00815C87" w:rsidRDefault="00122C6F" w:rsidP="00122C6F">
      <w:pPr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>Vakcina</w:t>
      </w:r>
      <w:r w:rsidRPr="00815C87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sz w:val="22"/>
          <w:szCs w:val="22"/>
          <w:lang w:val="sr-Latn-ME"/>
        </w:rPr>
        <w:t xml:space="preserve"> sadrži 37,6 mg natrijuma po dozi, što odgovara 1,88% maksimalnog dnevnog unosa od 2 g natrijuma prema preporukama SZO za odraslu osobu. Vid</w:t>
      </w:r>
      <w:r w:rsidR="001C3F62" w:rsidRPr="00815C87">
        <w:rPr>
          <w:sz w:val="22"/>
          <w:szCs w:val="22"/>
          <w:lang w:val="sr-Latn-ME"/>
        </w:rPr>
        <w:t>j</w:t>
      </w:r>
      <w:r w:rsidRPr="00815C87">
        <w:rPr>
          <w:sz w:val="22"/>
          <w:szCs w:val="22"/>
          <w:lang w:val="sr-Latn-ME"/>
        </w:rPr>
        <w:t xml:space="preserve">eti </w:t>
      </w:r>
      <w:r w:rsidR="001C3F62" w:rsidRPr="00815C87">
        <w:rPr>
          <w:sz w:val="22"/>
          <w:szCs w:val="22"/>
          <w:lang w:val="sr-Latn-ME"/>
        </w:rPr>
        <w:t>dio</w:t>
      </w:r>
      <w:r w:rsidRPr="00815C87">
        <w:rPr>
          <w:sz w:val="22"/>
          <w:szCs w:val="22"/>
          <w:lang w:val="sr-Latn-ME"/>
        </w:rPr>
        <w:t xml:space="preserve"> 2.</w:t>
      </w:r>
    </w:p>
    <w:p w14:paraId="3675952A" w14:textId="77777777" w:rsidR="00057E35" w:rsidRPr="00815C87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7E84220" w14:textId="77777777" w:rsidR="00411B4B" w:rsidRPr="00815C8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>4.5.</w:t>
      </w:r>
      <w:r w:rsidR="000D60CC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043DA59D" w14:textId="77777777" w:rsidR="000E7F54" w:rsidRPr="00815C87" w:rsidRDefault="000E7F5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8488757" w14:textId="4A6A5149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 xml:space="preserve">Kod odojčadi uzrasta od 2, 4 i 6 mjeseci, istovremena primjena </w:t>
      </w:r>
      <w:r w:rsidR="005E6D5D" w:rsidRPr="00815C87">
        <w:rPr>
          <w:bCs/>
          <w:sz w:val="22"/>
          <w:szCs w:val="22"/>
          <w:lang w:val="sr-Latn-ME"/>
        </w:rPr>
        <w:t xml:space="preserve">vakcine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 xml:space="preserve"> sa vakcinama koje sadrže jedan ili više sljedećih </w:t>
      </w:r>
      <w:proofErr w:type="spellStart"/>
      <w:r w:rsidRPr="00815C87">
        <w:rPr>
          <w:bCs/>
          <w:sz w:val="22"/>
          <w:szCs w:val="22"/>
          <w:lang w:val="sr-Latn-ME"/>
        </w:rPr>
        <w:t>antigena</w:t>
      </w:r>
      <w:proofErr w:type="spellEnd"/>
      <w:r w:rsidRPr="00815C87">
        <w:rPr>
          <w:bCs/>
          <w:sz w:val="22"/>
          <w:szCs w:val="22"/>
          <w:lang w:val="sr-Latn-ME"/>
        </w:rPr>
        <w:t xml:space="preserve"> nije uticala na </w:t>
      </w:r>
      <w:proofErr w:type="spellStart"/>
      <w:r w:rsidRPr="00815C87">
        <w:rPr>
          <w:bCs/>
          <w:sz w:val="22"/>
          <w:szCs w:val="22"/>
          <w:lang w:val="sr-Latn-ME"/>
        </w:rPr>
        <w:t>imunski</w:t>
      </w:r>
      <w:proofErr w:type="spellEnd"/>
      <w:r w:rsidRPr="00815C87">
        <w:rPr>
          <w:bCs/>
          <w:sz w:val="22"/>
          <w:szCs w:val="22"/>
          <w:lang w:val="sr-Latn-ME"/>
        </w:rPr>
        <w:t xml:space="preserve"> odgovor i profil bezbjednosti tih vakcina:</w:t>
      </w:r>
    </w:p>
    <w:p w14:paraId="217D018E" w14:textId="77777777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>-</w:t>
      </w:r>
      <w:r w:rsidRPr="00815C87">
        <w:rPr>
          <w:bCs/>
          <w:sz w:val="22"/>
          <w:szCs w:val="22"/>
          <w:lang w:val="sr-Latn-ME"/>
        </w:rPr>
        <w:tab/>
        <w:t xml:space="preserve">Vakcina protiv difterije, tetanusa i </w:t>
      </w:r>
      <w:proofErr w:type="spellStart"/>
      <w:r w:rsidRPr="00815C87">
        <w:rPr>
          <w:bCs/>
          <w:sz w:val="22"/>
          <w:szCs w:val="22"/>
          <w:lang w:val="sr-Latn-ME"/>
        </w:rPr>
        <w:t>pertusisa</w:t>
      </w:r>
      <w:proofErr w:type="spellEnd"/>
      <w:r w:rsidRPr="00815C87">
        <w:rPr>
          <w:bCs/>
          <w:sz w:val="22"/>
          <w:szCs w:val="22"/>
          <w:lang w:val="sr-Latn-ME"/>
        </w:rPr>
        <w:t xml:space="preserve"> (sa </w:t>
      </w:r>
      <w:proofErr w:type="spellStart"/>
      <w:r w:rsidRPr="00815C87">
        <w:rPr>
          <w:bCs/>
          <w:sz w:val="22"/>
          <w:szCs w:val="22"/>
          <w:lang w:val="sr-Latn-ME"/>
        </w:rPr>
        <w:t>acelularnom</w:t>
      </w:r>
      <w:proofErr w:type="spellEnd"/>
      <w:r w:rsidRPr="00815C87">
        <w:rPr>
          <w:bCs/>
          <w:sz w:val="22"/>
          <w:szCs w:val="22"/>
          <w:lang w:val="sr-Latn-ME"/>
        </w:rPr>
        <w:t xml:space="preserve"> </w:t>
      </w:r>
      <w:proofErr w:type="spellStart"/>
      <w:r w:rsidRPr="00815C87">
        <w:rPr>
          <w:bCs/>
          <w:sz w:val="22"/>
          <w:szCs w:val="22"/>
          <w:lang w:val="sr-Latn-ME"/>
        </w:rPr>
        <w:t>pertusis</w:t>
      </w:r>
      <w:proofErr w:type="spellEnd"/>
      <w:r w:rsidRPr="00815C87">
        <w:rPr>
          <w:bCs/>
          <w:sz w:val="22"/>
          <w:szCs w:val="22"/>
          <w:lang w:val="sr-Latn-ME"/>
        </w:rPr>
        <w:t xml:space="preserve"> komponentom) (</w:t>
      </w:r>
      <w:proofErr w:type="spellStart"/>
      <w:r w:rsidRPr="00815C87">
        <w:rPr>
          <w:bCs/>
          <w:sz w:val="22"/>
          <w:szCs w:val="22"/>
          <w:lang w:val="sr-Latn-ME"/>
        </w:rPr>
        <w:t>DTaP</w:t>
      </w:r>
      <w:proofErr w:type="spellEnd"/>
      <w:r w:rsidRPr="00815C87">
        <w:rPr>
          <w:bCs/>
          <w:sz w:val="22"/>
          <w:szCs w:val="22"/>
          <w:lang w:val="sr-Latn-ME"/>
        </w:rPr>
        <w:t>).</w:t>
      </w:r>
    </w:p>
    <w:p w14:paraId="53B15C1B" w14:textId="77777777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>-</w:t>
      </w:r>
      <w:r w:rsidRPr="00815C87">
        <w:rPr>
          <w:bCs/>
          <w:sz w:val="22"/>
          <w:szCs w:val="22"/>
          <w:lang w:val="sr-Latn-ME"/>
        </w:rPr>
        <w:tab/>
        <w:t xml:space="preserve">Vakcina protiv </w:t>
      </w:r>
      <w:proofErr w:type="spellStart"/>
      <w:r w:rsidRPr="00815C87">
        <w:rPr>
          <w:bCs/>
          <w:i/>
          <w:sz w:val="22"/>
          <w:szCs w:val="22"/>
          <w:lang w:val="sr-Latn-ME"/>
        </w:rPr>
        <w:t>Haemophilus</w:t>
      </w:r>
      <w:proofErr w:type="spellEnd"/>
      <w:r w:rsidRPr="00815C87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815C87">
        <w:rPr>
          <w:bCs/>
          <w:i/>
          <w:sz w:val="22"/>
          <w:szCs w:val="22"/>
          <w:lang w:val="sr-Latn-ME"/>
        </w:rPr>
        <w:t>influenzae</w:t>
      </w:r>
      <w:proofErr w:type="spellEnd"/>
      <w:r w:rsidRPr="00815C87">
        <w:rPr>
          <w:bCs/>
          <w:sz w:val="22"/>
          <w:szCs w:val="22"/>
          <w:lang w:val="sr-Latn-ME"/>
        </w:rPr>
        <w:t xml:space="preserve"> tip b (</w:t>
      </w:r>
      <w:proofErr w:type="spellStart"/>
      <w:r w:rsidRPr="00815C87">
        <w:rPr>
          <w:bCs/>
          <w:sz w:val="22"/>
          <w:szCs w:val="22"/>
          <w:lang w:val="sr-Latn-ME"/>
        </w:rPr>
        <w:t>Hib</w:t>
      </w:r>
      <w:proofErr w:type="spellEnd"/>
      <w:r w:rsidRPr="00815C87">
        <w:rPr>
          <w:bCs/>
          <w:sz w:val="22"/>
          <w:szCs w:val="22"/>
          <w:lang w:val="sr-Latn-ME"/>
        </w:rPr>
        <w:t>).</w:t>
      </w:r>
    </w:p>
    <w:p w14:paraId="56276880" w14:textId="77777777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>-</w:t>
      </w:r>
      <w:r w:rsidRPr="00815C87">
        <w:rPr>
          <w:bCs/>
          <w:sz w:val="22"/>
          <w:szCs w:val="22"/>
          <w:lang w:val="sr-Latn-ME"/>
        </w:rPr>
        <w:tab/>
      </w:r>
      <w:proofErr w:type="spellStart"/>
      <w:r w:rsidRPr="00815C87">
        <w:rPr>
          <w:bCs/>
          <w:sz w:val="22"/>
          <w:szCs w:val="22"/>
          <w:lang w:val="sr-Latn-ME"/>
        </w:rPr>
        <w:t>Inaktivisana</w:t>
      </w:r>
      <w:proofErr w:type="spellEnd"/>
      <w:r w:rsidRPr="00815C87">
        <w:rPr>
          <w:bCs/>
          <w:sz w:val="22"/>
          <w:szCs w:val="22"/>
          <w:lang w:val="sr-Latn-ME"/>
        </w:rPr>
        <w:t xml:space="preserve"> vakcina protiv poliomijelitisa (IPV).</w:t>
      </w:r>
    </w:p>
    <w:p w14:paraId="40E0D788" w14:textId="77777777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>-</w:t>
      </w:r>
      <w:r w:rsidRPr="00815C87">
        <w:rPr>
          <w:bCs/>
          <w:sz w:val="22"/>
          <w:szCs w:val="22"/>
          <w:lang w:val="sr-Latn-ME"/>
        </w:rPr>
        <w:tab/>
        <w:t>Vakcina protiv hepatitisa B (HBV).</w:t>
      </w:r>
    </w:p>
    <w:p w14:paraId="0CB95EDE" w14:textId="77777777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>-</w:t>
      </w:r>
      <w:r w:rsidRPr="00815C87">
        <w:rPr>
          <w:bCs/>
          <w:sz w:val="22"/>
          <w:szCs w:val="22"/>
          <w:lang w:val="sr-Latn-ME"/>
        </w:rPr>
        <w:tab/>
      </w:r>
      <w:proofErr w:type="spellStart"/>
      <w:r w:rsidRPr="00815C87">
        <w:rPr>
          <w:bCs/>
          <w:sz w:val="22"/>
          <w:szCs w:val="22"/>
          <w:lang w:val="sr-Latn-ME"/>
        </w:rPr>
        <w:t>Pneumokokna</w:t>
      </w:r>
      <w:proofErr w:type="spellEnd"/>
      <w:r w:rsidRPr="00815C87">
        <w:rPr>
          <w:bCs/>
          <w:sz w:val="22"/>
          <w:szCs w:val="22"/>
          <w:lang w:val="sr-Latn-ME"/>
        </w:rPr>
        <w:t xml:space="preserve"> </w:t>
      </w:r>
      <w:proofErr w:type="spellStart"/>
      <w:r w:rsidRPr="00815C87">
        <w:rPr>
          <w:bCs/>
          <w:sz w:val="22"/>
          <w:szCs w:val="22"/>
          <w:lang w:val="sr-Latn-ME"/>
        </w:rPr>
        <w:t>konjugovana</w:t>
      </w:r>
      <w:proofErr w:type="spellEnd"/>
      <w:r w:rsidRPr="00815C87">
        <w:rPr>
          <w:bCs/>
          <w:sz w:val="22"/>
          <w:szCs w:val="22"/>
          <w:lang w:val="sr-Latn-ME"/>
        </w:rPr>
        <w:t xml:space="preserve"> vakcina (</w:t>
      </w:r>
      <w:proofErr w:type="spellStart"/>
      <w:r w:rsidRPr="00815C87">
        <w:rPr>
          <w:bCs/>
          <w:sz w:val="22"/>
          <w:szCs w:val="22"/>
          <w:lang w:val="sr-Latn-ME"/>
        </w:rPr>
        <w:t>PCV</w:t>
      </w:r>
      <w:proofErr w:type="spellEnd"/>
      <w:r w:rsidRPr="00815C87">
        <w:rPr>
          <w:bCs/>
          <w:sz w:val="22"/>
          <w:szCs w:val="22"/>
          <w:lang w:val="sr-Latn-ME"/>
        </w:rPr>
        <w:t>).</w:t>
      </w:r>
    </w:p>
    <w:p w14:paraId="3E7911B0" w14:textId="77777777" w:rsidR="000E7F54" w:rsidRPr="00815C87" w:rsidRDefault="000E7F54" w:rsidP="000E7F5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A858C4" w14:textId="5793D87A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 xml:space="preserve">Kod odojčadi uzrasta od oko 2, 3 i 4 mjeseca, istovremena primjena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 xml:space="preserve"> vakcine sa </w:t>
      </w:r>
      <w:proofErr w:type="spellStart"/>
      <w:r w:rsidRPr="00815C87">
        <w:rPr>
          <w:bCs/>
          <w:sz w:val="22"/>
          <w:szCs w:val="22"/>
          <w:lang w:val="sr-Latn-ME"/>
        </w:rPr>
        <w:t>DtaP-IPV-HBV-Hib</w:t>
      </w:r>
      <w:proofErr w:type="spellEnd"/>
      <w:r w:rsidRPr="00815C87">
        <w:rPr>
          <w:bCs/>
          <w:sz w:val="22"/>
          <w:szCs w:val="22"/>
          <w:lang w:val="sr-Latn-ME"/>
        </w:rPr>
        <w:t xml:space="preserve"> vakcinom (</w:t>
      </w:r>
      <w:proofErr w:type="spellStart"/>
      <w:r w:rsidRPr="00815C87">
        <w:rPr>
          <w:bCs/>
          <w:sz w:val="22"/>
          <w:szCs w:val="22"/>
          <w:lang w:val="sr-Latn-ME"/>
        </w:rPr>
        <w:t>Infanrix</w:t>
      </w:r>
      <w:proofErr w:type="spellEnd"/>
      <w:r w:rsidRPr="00815C87">
        <w:rPr>
          <w:bCs/>
          <w:sz w:val="22"/>
          <w:szCs w:val="22"/>
          <w:lang w:val="sr-Latn-ME"/>
        </w:rPr>
        <w:t xml:space="preserve"> </w:t>
      </w:r>
      <w:proofErr w:type="spellStart"/>
      <w:r w:rsidRPr="00815C87">
        <w:rPr>
          <w:bCs/>
          <w:sz w:val="22"/>
          <w:szCs w:val="22"/>
          <w:lang w:val="sr-Latn-ME"/>
        </w:rPr>
        <w:t>hexa</w:t>
      </w:r>
      <w:proofErr w:type="spellEnd"/>
      <w:r w:rsidRPr="00815C87">
        <w:rPr>
          <w:bCs/>
          <w:sz w:val="22"/>
          <w:szCs w:val="22"/>
          <w:lang w:val="sr-Latn-ME"/>
        </w:rPr>
        <w:t xml:space="preserve">) </w:t>
      </w:r>
      <w:r w:rsidR="005E6D5D" w:rsidRPr="00815C87">
        <w:rPr>
          <w:sz w:val="22"/>
          <w:szCs w:val="22"/>
          <w:lang w:val="sr-Latn-ME"/>
        </w:rPr>
        <w:t xml:space="preserve">je pokazala da su imuni odgovor i </w:t>
      </w:r>
      <w:proofErr w:type="spellStart"/>
      <w:r w:rsidR="005E6D5D" w:rsidRPr="00815C87">
        <w:rPr>
          <w:sz w:val="22"/>
          <w:szCs w:val="22"/>
          <w:lang w:val="sr-Latn-ME"/>
        </w:rPr>
        <w:t>bezbjednosni</w:t>
      </w:r>
      <w:proofErr w:type="spellEnd"/>
      <w:r w:rsidR="005E6D5D" w:rsidRPr="00815C87">
        <w:rPr>
          <w:sz w:val="22"/>
          <w:szCs w:val="22"/>
          <w:lang w:val="sr-Latn-ME"/>
        </w:rPr>
        <w:t xml:space="preserve"> profil kod istovremeno </w:t>
      </w:r>
      <w:proofErr w:type="spellStart"/>
      <w:r w:rsidR="005E6D5D" w:rsidRPr="00815C87">
        <w:rPr>
          <w:sz w:val="22"/>
          <w:szCs w:val="22"/>
          <w:lang w:val="sr-Latn-ME"/>
        </w:rPr>
        <w:t>primjenjenih</w:t>
      </w:r>
      <w:proofErr w:type="spellEnd"/>
      <w:r w:rsidR="005E6D5D" w:rsidRPr="00815C87">
        <w:rPr>
          <w:sz w:val="22"/>
          <w:szCs w:val="22"/>
          <w:lang w:val="sr-Latn-ME"/>
        </w:rPr>
        <w:t xml:space="preserve"> vakcina ostali nepromenjeni u poređenju sa pojedinačnom primjenom svake od njih</w:t>
      </w:r>
      <w:r w:rsidRPr="00815C87">
        <w:rPr>
          <w:bCs/>
          <w:sz w:val="22"/>
          <w:szCs w:val="22"/>
          <w:lang w:val="sr-Latn-ME"/>
        </w:rPr>
        <w:t>.</w:t>
      </w:r>
    </w:p>
    <w:p w14:paraId="66622A26" w14:textId="77777777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F7D090" w14:textId="74B9B7B8" w:rsidR="000E7F54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 xml:space="preserve">Kod odojčadi </w:t>
      </w:r>
      <w:r w:rsidR="005E6D5D" w:rsidRPr="00815C87">
        <w:rPr>
          <w:bCs/>
          <w:sz w:val="22"/>
          <w:szCs w:val="22"/>
          <w:lang w:val="sr-Latn-ME"/>
        </w:rPr>
        <w:t xml:space="preserve">uzrasta </w:t>
      </w:r>
      <w:r w:rsidRPr="00815C87">
        <w:rPr>
          <w:bCs/>
          <w:sz w:val="22"/>
          <w:szCs w:val="22"/>
          <w:lang w:val="sr-Latn-ME"/>
        </w:rPr>
        <w:t>od 3 i 5 mjesec</w:t>
      </w:r>
      <w:r w:rsidR="005E6D5D" w:rsidRPr="00815C87">
        <w:rPr>
          <w:bCs/>
          <w:sz w:val="22"/>
          <w:szCs w:val="22"/>
          <w:lang w:val="sr-Latn-ME"/>
        </w:rPr>
        <w:t>i</w:t>
      </w:r>
      <w:r w:rsidRPr="00815C87">
        <w:rPr>
          <w:bCs/>
          <w:sz w:val="22"/>
          <w:szCs w:val="22"/>
          <w:lang w:val="sr-Latn-ME"/>
        </w:rPr>
        <w:t xml:space="preserve"> starosti, </w:t>
      </w:r>
      <w:r w:rsidR="005E6D5D" w:rsidRPr="00815C87">
        <w:rPr>
          <w:bCs/>
          <w:sz w:val="22"/>
          <w:szCs w:val="22"/>
          <w:lang w:val="sr-Latn-ME"/>
        </w:rPr>
        <w:t xml:space="preserve">vakcina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 xml:space="preserve"> je data istovremeno sa </w:t>
      </w:r>
      <w:proofErr w:type="spellStart"/>
      <w:r w:rsidRPr="00815C87">
        <w:rPr>
          <w:bCs/>
          <w:sz w:val="22"/>
          <w:szCs w:val="22"/>
          <w:lang w:val="sr-Latn-ME"/>
        </w:rPr>
        <w:t>konjugovanom</w:t>
      </w:r>
      <w:proofErr w:type="spellEnd"/>
      <w:r w:rsidRPr="00815C87">
        <w:rPr>
          <w:bCs/>
          <w:sz w:val="22"/>
          <w:szCs w:val="22"/>
          <w:lang w:val="sr-Latn-ME"/>
        </w:rPr>
        <w:t xml:space="preserve"> vakcinom protiv </w:t>
      </w:r>
      <w:proofErr w:type="spellStart"/>
      <w:r w:rsidRPr="00815C87">
        <w:rPr>
          <w:bCs/>
          <w:sz w:val="22"/>
          <w:szCs w:val="22"/>
          <w:lang w:val="sr-Latn-ME"/>
        </w:rPr>
        <w:t>meningokoka</w:t>
      </w:r>
      <w:proofErr w:type="spellEnd"/>
      <w:r w:rsidRPr="00815C87">
        <w:rPr>
          <w:bCs/>
          <w:sz w:val="22"/>
          <w:szCs w:val="22"/>
          <w:lang w:val="sr-Latn-ME"/>
        </w:rPr>
        <w:t xml:space="preserve"> grupa C) (</w:t>
      </w:r>
      <w:proofErr w:type="spellStart"/>
      <w:r w:rsidRPr="00815C87">
        <w:rPr>
          <w:bCs/>
          <w:sz w:val="22"/>
          <w:szCs w:val="22"/>
          <w:lang w:val="sr-Latn-ME"/>
        </w:rPr>
        <w:t>MenCC</w:t>
      </w:r>
      <w:proofErr w:type="spellEnd"/>
      <w:r w:rsidRPr="00815C87">
        <w:rPr>
          <w:bCs/>
          <w:sz w:val="22"/>
          <w:szCs w:val="22"/>
          <w:lang w:val="sr-Latn-ME"/>
        </w:rPr>
        <w:t xml:space="preserve">, ispitivana vakcina bila je </w:t>
      </w:r>
      <w:proofErr w:type="spellStart"/>
      <w:r w:rsidRPr="00815C87">
        <w:rPr>
          <w:bCs/>
          <w:sz w:val="22"/>
          <w:szCs w:val="22"/>
          <w:lang w:val="sr-Latn-ME"/>
        </w:rPr>
        <w:t>konjugat</w:t>
      </w:r>
      <w:proofErr w:type="spellEnd"/>
      <w:r w:rsidRPr="00815C87">
        <w:rPr>
          <w:bCs/>
          <w:sz w:val="22"/>
          <w:szCs w:val="22"/>
          <w:lang w:val="sr-Latn-ME"/>
        </w:rPr>
        <w:t xml:space="preserve"> tetanus </w:t>
      </w:r>
      <w:proofErr w:type="spellStart"/>
      <w:r w:rsidRPr="00815C87">
        <w:rPr>
          <w:bCs/>
          <w:sz w:val="22"/>
          <w:szCs w:val="22"/>
          <w:lang w:val="sr-Latn-ME"/>
        </w:rPr>
        <w:t>toksoida</w:t>
      </w:r>
      <w:proofErr w:type="spellEnd"/>
      <w:r w:rsidRPr="00815C87">
        <w:rPr>
          <w:bCs/>
          <w:sz w:val="22"/>
          <w:szCs w:val="22"/>
          <w:lang w:val="sr-Latn-ME"/>
        </w:rPr>
        <w:t xml:space="preserve">), a u većini slučajeva i istovremeno sa </w:t>
      </w:r>
      <w:proofErr w:type="spellStart"/>
      <w:r w:rsidRPr="00815C87">
        <w:rPr>
          <w:bCs/>
          <w:sz w:val="22"/>
          <w:szCs w:val="22"/>
          <w:lang w:val="sr-Latn-ME"/>
        </w:rPr>
        <w:t>DtaP-IPV-Hib</w:t>
      </w:r>
      <w:proofErr w:type="spellEnd"/>
      <w:r w:rsidRPr="00815C87">
        <w:rPr>
          <w:bCs/>
          <w:sz w:val="22"/>
          <w:szCs w:val="22"/>
          <w:lang w:val="sr-Latn-ME"/>
        </w:rPr>
        <w:t xml:space="preserve"> vakcinom, nakon čega je odojčadi data treća doza </w:t>
      </w:r>
      <w:r w:rsidR="005E6D5D" w:rsidRPr="00815C87">
        <w:rPr>
          <w:bCs/>
          <w:sz w:val="22"/>
          <w:szCs w:val="22"/>
          <w:lang w:val="sr-Latn-ME"/>
        </w:rPr>
        <w:t xml:space="preserve">vakcine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 xml:space="preserve"> u uzrastu od oko 6 mjeseci. Uočeno je da nije bilo uticaja na imuni odgovor na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 xml:space="preserve"> i </w:t>
      </w:r>
      <w:proofErr w:type="spellStart"/>
      <w:r w:rsidRPr="00815C87">
        <w:rPr>
          <w:bCs/>
          <w:sz w:val="22"/>
          <w:szCs w:val="22"/>
          <w:lang w:val="sr-Latn-ME"/>
        </w:rPr>
        <w:t>MenCC</w:t>
      </w:r>
      <w:proofErr w:type="spellEnd"/>
      <w:r w:rsidRPr="00815C87">
        <w:rPr>
          <w:bCs/>
          <w:sz w:val="22"/>
          <w:szCs w:val="22"/>
          <w:lang w:val="sr-Latn-ME"/>
        </w:rPr>
        <w:t xml:space="preserve"> vakcine. Ova istovremena primjena je rezultirala u prihvatljivom profilu bezbjednosti.</w:t>
      </w:r>
    </w:p>
    <w:p w14:paraId="64091F91" w14:textId="77777777" w:rsidR="000E7F54" w:rsidRPr="00815C87" w:rsidRDefault="000E7F54" w:rsidP="000E7F5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84B41B" w14:textId="2681AF95" w:rsidR="000E7F54" w:rsidRPr="00815C87" w:rsidRDefault="000E7F54" w:rsidP="008524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 xml:space="preserve">Istovremena primjena vakcine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 xml:space="preserve"> i oralne vakcine protiv poliomijelitisa (OPV) </w:t>
      </w:r>
      <w:r w:rsidR="00300F03" w:rsidRPr="00815C87">
        <w:rPr>
          <w:bCs/>
          <w:sz w:val="22"/>
          <w:szCs w:val="22"/>
          <w:lang w:val="sr-Latn-ME"/>
        </w:rPr>
        <w:t>nije uticala</w:t>
      </w:r>
      <w:r w:rsidRPr="00815C87">
        <w:rPr>
          <w:bCs/>
          <w:sz w:val="22"/>
          <w:szCs w:val="22"/>
          <w:lang w:val="sr-Latn-ME"/>
        </w:rPr>
        <w:t xml:space="preserve"> na </w:t>
      </w:r>
      <w:proofErr w:type="spellStart"/>
      <w:r w:rsidRPr="00815C87">
        <w:rPr>
          <w:bCs/>
          <w:sz w:val="22"/>
          <w:szCs w:val="22"/>
          <w:lang w:val="sr-Latn-ME"/>
        </w:rPr>
        <w:t>imunski</w:t>
      </w:r>
      <w:proofErr w:type="spellEnd"/>
      <w:r w:rsidRPr="00815C87">
        <w:rPr>
          <w:bCs/>
          <w:sz w:val="22"/>
          <w:szCs w:val="22"/>
          <w:lang w:val="sr-Latn-ME"/>
        </w:rPr>
        <w:t xml:space="preserve"> odgovor na </w:t>
      </w:r>
      <w:proofErr w:type="spellStart"/>
      <w:r w:rsidRPr="00815C87">
        <w:rPr>
          <w:bCs/>
          <w:sz w:val="22"/>
          <w:szCs w:val="22"/>
          <w:lang w:val="sr-Latn-ME"/>
        </w:rPr>
        <w:t>antigene</w:t>
      </w:r>
      <w:proofErr w:type="spellEnd"/>
      <w:r w:rsidRPr="00815C87">
        <w:rPr>
          <w:bCs/>
          <w:sz w:val="22"/>
          <w:szCs w:val="22"/>
          <w:lang w:val="sr-Latn-ME"/>
        </w:rPr>
        <w:t xml:space="preserve"> </w:t>
      </w:r>
      <w:proofErr w:type="spellStart"/>
      <w:r w:rsidRPr="00815C87">
        <w:rPr>
          <w:bCs/>
          <w:sz w:val="22"/>
          <w:szCs w:val="22"/>
          <w:lang w:val="sr-Latn-ME"/>
        </w:rPr>
        <w:t>poliovirusa</w:t>
      </w:r>
      <w:proofErr w:type="spellEnd"/>
      <w:r w:rsidRPr="00815C87">
        <w:rPr>
          <w:bCs/>
          <w:sz w:val="22"/>
          <w:szCs w:val="22"/>
          <w:lang w:val="sr-Latn-ME"/>
        </w:rPr>
        <w:t xml:space="preserve">. Mada </w:t>
      </w:r>
      <w:r w:rsidR="00300F03" w:rsidRPr="00815C87">
        <w:rPr>
          <w:bCs/>
          <w:sz w:val="22"/>
          <w:szCs w:val="22"/>
          <w:lang w:val="sr-Latn-ME"/>
        </w:rPr>
        <w:t xml:space="preserve">je </w:t>
      </w:r>
      <w:r w:rsidRPr="00815C87">
        <w:rPr>
          <w:bCs/>
          <w:sz w:val="22"/>
          <w:szCs w:val="22"/>
          <w:lang w:val="sr-Latn-ME"/>
        </w:rPr>
        <w:t>istovremena primjena sa OPV dove</w:t>
      </w:r>
      <w:r w:rsidR="00300F03" w:rsidRPr="00815C87">
        <w:rPr>
          <w:bCs/>
          <w:sz w:val="22"/>
          <w:szCs w:val="22"/>
          <w:lang w:val="sr-Latn-ME"/>
        </w:rPr>
        <w:t>la</w:t>
      </w:r>
      <w:r w:rsidRPr="00815C87">
        <w:rPr>
          <w:bCs/>
          <w:sz w:val="22"/>
          <w:szCs w:val="22"/>
          <w:lang w:val="sr-Latn-ME"/>
        </w:rPr>
        <w:t xml:space="preserve"> do neznatnog smanjenja</w:t>
      </w:r>
      <w:r w:rsidR="001C3F62" w:rsidRPr="00815C87">
        <w:rPr>
          <w:bCs/>
          <w:sz w:val="22"/>
          <w:szCs w:val="22"/>
          <w:lang w:val="sr-Latn-ME"/>
        </w:rPr>
        <w:t xml:space="preserve"> </w:t>
      </w:r>
      <w:r w:rsidRPr="00815C87">
        <w:rPr>
          <w:bCs/>
          <w:sz w:val="22"/>
          <w:szCs w:val="22"/>
          <w:lang w:val="sr-Latn-ME"/>
        </w:rPr>
        <w:t xml:space="preserve">imunog odgovora na vakcinu protiv </w:t>
      </w:r>
      <w:proofErr w:type="spellStart"/>
      <w:r w:rsidRPr="00815C87">
        <w:rPr>
          <w:bCs/>
          <w:sz w:val="22"/>
          <w:szCs w:val="22"/>
          <w:lang w:val="sr-Latn-ME"/>
        </w:rPr>
        <w:t>rotavirusa</w:t>
      </w:r>
      <w:proofErr w:type="spellEnd"/>
      <w:r w:rsidRPr="00815C87">
        <w:rPr>
          <w:bCs/>
          <w:sz w:val="22"/>
          <w:szCs w:val="22"/>
          <w:lang w:val="sr-Latn-ME"/>
        </w:rPr>
        <w:t xml:space="preserve">, trenutno nema dokaza da bi to moglo da ima uticaja na kliničku efikasnost u </w:t>
      </w:r>
      <w:proofErr w:type="spellStart"/>
      <w:r w:rsidRPr="00815C87">
        <w:rPr>
          <w:bCs/>
          <w:sz w:val="22"/>
          <w:szCs w:val="22"/>
          <w:lang w:val="sr-Latn-ME"/>
        </w:rPr>
        <w:t>spr</w:t>
      </w:r>
      <w:r w:rsidR="00F06287" w:rsidRPr="00815C87">
        <w:rPr>
          <w:bCs/>
          <w:sz w:val="22"/>
          <w:szCs w:val="22"/>
          <w:lang w:val="sr-Latn-ME"/>
        </w:rPr>
        <w:t>ij</w:t>
      </w:r>
      <w:r w:rsidRPr="00815C87">
        <w:rPr>
          <w:bCs/>
          <w:sz w:val="22"/>
          <w:szCs w:val="22"/>
          <w:lang w:val="sr-Latn-ME"/>
        </w:rPr>
        <w:t>ečavanju</w:t>
      </w:r>
      <w:proofErr w:type="spellEnd"/>
      <w:r w:rsidRPr="00815C87">
        <w:rPr>
          <w:bCs/>
          <w:sz w:val="22"/>
          <w:szCs w:val="22"/>
          <w:lang w:val="sr-Latn-ME"/>
        </w:rPr>
        <w:t xml:space="preserve"> teškog </w:t>
      </w:r>
      <w:proofErr w:type="spellStart"/>
      <w:r w:rsidRPr="00815C87">
        <w:rPr>
          <w:bCs/>
          <w:sz w:val="22"/>
          <w:szCs w:val="22"/>
          <w:lang w:val="sr-Latn-ME"/>
        </w:rPr>
        <w:t>gastroenteritisa</w:t>
      </w:r>
      <w:proofErr w:type="spellEnd"/>
      <w:r w:rsidRPr="00815C87">
        <w:rPr>
          <w:bCs/>
          <w:sz w:val="22"/>
          <w:szCs w:val="22"/>
          <w:lang w:val="sr-Latn-ME"/>
        </w:rPr>
        <w:t xml:space="preserve"> izazvanog </w:t>
      </w:r>
      <w:proofErr w:type="spellStart"/>
      <w:r w:rsidRPr="00815C87">
        <w:rPr>
          <w:bCs/>
          <w:sz w:val="22"/>
          <w:szCs w:val="22"/>
          <w:lang w:val="sr-Latn-ME"/>
        </w:rPr>
        <w:t>rotavirusima</w:t>
      </w:r>
      <w:proofErr w:type="spellEnd"/>
      <w:r w:rsidRPr="00815C87">
        <w:rPr>
          <w:bCs/>
          <w:sz w:val="22"/>
          <w:szCs w:val="22"/>
          <w:lang w:val="sr-Latn-ME"/>
        </w:rPr>
        <w:t xml:space="preserve">. Imuni odgovor na vakcinu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 xml:space="preserve"> je </w:t>
      </w:r>
      <w:proofErr w:type="spellStart"/>
      <w:r w:rsidRPr="00815C87">
        <w:rPr>
          <w:bCs/>
          <w:sz w:val="22"/>
          <w:szCs w:val="22"/>
          <w:lang w:val="sr-Latn-ME"/>
        </w:rPr>
        <w:t>nepromijenjen</w:t>
      </w:r>
      <w:proofErr w:type="spellEnd"/>
      <w:r w:rsidRPr="00815C87">
        <w:rPr>
          <w:bCs/>
          <w:sz w:val="22"/>
          <w:szCs w:val="22"/>
          <w:lang w:val="sr-Latn-ME"/>
        </w:rPr>
        <w:t xml:space="preserve"> kada se OPV primjenjuje dvije nedjelje nakon primjene vakcine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>.</w:t>
      </w:r>
    </w:p>
    <w:p w14:paraId="4B9D4EF1" w14:textId="6C358222" w:rsidR="0072020E" w:rsidRPr="00815C87" w:rsidRDefault="000E7F54" w:rsidP="002811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lastRenderedPageBreak/>
        <w:t xml:space="preserve">Stoga, </w:t>
      </w:r>
      <w:proofErr w:type="spellStart"/>
      <w:r w:rsidRPr="00815C87">
        <w:rPr>
          <w:bCs/>
          <w:sz w:val="22"/>
          <w:szCs w:val="22"/>
          <w:lang w:val="sr-Latn-ME"/>
        </w:rPr>
        <w:t>RotaTeq</w:t>
      </w:r>
      <w:proofErr w:type="spellEnd"/>
      <w:r w:rsidRPr="00815C87">
        <w:rPr>
          <w:bCs/>
          <w:sz w:val="22"/>
          <w:szCs w:val="22"/>
          <w:lang w:val="sr-Latn-ME"/>
        </w:rPr>
        <w:t xml:space="preserve"> vakcina može da se daje istovremeno sa </w:t>
      </w:r>
      <w:proofErr w:type="spellStart"/>
      <w:r w:rsidRPr="00815C87">
        <w:rPr>
          <w:bCs/>
          <w:sz w:val="22"/>
          <w:szCs w:val="22"/>
          <w:lang w:val="sr-Latn-ME"/>
        </w:rPr>
        <w:t>monovalentnim</w:t>
      </w:r>
      <w:proofErr w:type="spellEnd"/>
      <w:r w:rsidRPr="00815C87">
        <w:rPr>
          <w:bCs/>
          <w:sz w:val="22"/>
          <w:szCs w:val="22"/>
          <w:lang w:val="sr-Latn-ME"/>
        </w:rPr>
        <w:t xml:space="preserve"> ili kombinovanim vakcinama za odojčad koje sadrže jedan ili više sljedećih </w:t>
      </w:r>
      <w:proofErr w:type="spellStart"/>
      <w:r w:rsidRPr="00815C87">
        <w:rPr>
          <w:bCs/>
          <w:sz w:val="22"/>
          <w:szCs w:val="22"/>
          <w:lang w:val="sr-Latn-ME"/>
        </w:rPr>
        <w:t>antigena</w:t>
      </w:r>
      <w:proofErr w:type="spellEnd"/>
      <w:r w:rsidRPr="00815C87">
        <w:rPr>
          <w:bCs/>
          <w:sz w:val="22"/>
          <w:szCs w:val="22"/>
          <w:lang w:val="sr-Latn-ME"/>
        </w:rPr>
        <w:t xml:space="preserve">: </w:t>
      </w:r>
      <w:proofErr w:type="spellStart"/>
      <w:r w:rsidRPr="00815C87">
        <w:rPr>
          <w:bCs/>
          <w:sz w:val="22"/>
          <w:szCs w:val="22"/>
          <w:lang w:val="sr-Latn-ME"/>
        </w:rPr>
        <w:t>DtaP</w:t>
      </w:r>
      <w:proofErr w:type="spellEnd"/>
      <w:r w:rsidRPr="00815C87">
        <w:rPr>
          <w:bCs/>
          <w:sz w:val="22"/>
          <w:szCs w:val="22"/>
          <w:lang w:val="sr-Latn-ME"/>
        </w:rPr>
        <w:t xml:space="preserve">, </w:t>
      </w:r>
      <w:proofErr w:type="spellStart"/>
      <w:r w:rsidRPr="00815C87">
        <w:rPr>
          <w:bCs/>
          <w:sz w:val="22"/>
          <w:szCs w:val="22"/>
          <w:lang w:val="sr-Latn-ME"/>
        </w:rPr>
        <w:t>Hib</w:t>
      </w:r>
      <w:proofErr w:type="spellEnd"/>
      <w:r w:rsidRPr="00815C87">
        <w:rPr>
          <w:bCs/>
          <w:sz w:val="22"/>
          <w:szCs w:val="22"/>
          <w:lang w:val="sr-Latn-ME"/>
        </w:rPr>
        <w:t xml:space="preserve">, </w:t>
      </w:r>
      <w:proofErr w:type="spellStart"/>
      <w:r w:rsidRPr="00815C87">
        <w:rPr>
          <w:bCs/>
          <w:sz w:val="22"/>
          <w:szCs w:val="22"/>
          <w:lang w:val="sr-Latn-ME"/>
        </w:rPr>
        <w:t>IPV</w:t>
      </w:r>
      <w:proofErr w:type="spellEnd"/>
      <w:r w:rsidRPr="00815C87">
        <w:rPr>
          <w:bCs/>
          <w:sz w:val="22"/>
          <w:szCs w:val="22"/>
          <w:lang w:val="sr-Latn-ME"/>
        </w:rPr>
        <w:t xml:space="preserve"> ili </w:t>
      </w:r>
      <w:proofErr w:type="spellStart"/>
      <w:r w:rsidRPr="00815C87">
        <w:rPr>
          <w:bCs/>
          <w:sz w:val="22"/>
          <w:szCs w:val="22"/>
          <w:lang w:val="sr-Latn-ME"/>
        </w:rPr>
        <w:t>OPV</w:t>
      </w:r>
      <w:proofErr w:type="spellEnd"/>
      <w:r w:rsidRPr="00815C87">
        <w:rPr>
          <w:bCs/>
          <w:sz w:val="22"/>
          <w:szCs w:val="22"/>
          <w:lang w:val="sr-Latn-ME"/>
        </w:rPr>
        <w:t xml:space="preserve">, </w:t>
      </w:r>
      <w:proofErr w:type="spellStart"/>
      <w:r w:rsidRPr="00815C87">
        <w:rPr>
          <w:bCs/>
          <w:sz w:val="22"/>
          <w:szCs w:val="22"/>
          <w:lang w:val="sr-Latn-ME"/>
        </w:rPr>
        <w:t>HBV</w:t>
      </w:r>
      <w:proofErr w:type="spellEnd"/>
      <w:r w:rsidRPr="00815C87">
        <w:rPr>
          <w:bCs/>
          <w:sz w:val="22"/>
          <w:szCs w:val="22"/>
          <w:lang w:val="sr-Latn-ME"/>
        </w:rPr>
        <w:t xml:space="preserve">, </w:t>
      </w:r>
      <w:proofErr w:type="spellStart"/>
      <w:r w:rsidRPr="00815C87">
        <w:rPr>
          <w:bCs/>
          <w:sz w:val="22"/>
          <w:szCs w:val="22"/>
          <w:lang w:val="sr-Latn-ME"/>
        </w:rPr>
        <w:t>PCV</w:t>
      </w:r>
      <w:proofErr w:type="spellEnd"/>
      <w:r w:rsidRPr="00815C87">
        <w:rPr>
          <w:bCs/>
          <w:sz w:val="22"/>
          <w:szCs w:val="22"/>
          <w:lang w:val="sr-Latn-ME"/>
        </w:rPr>
        <w:t xml:space="preserve"> i </w:t>
      </w:r>
      <w:proofErr w:type="spellStart"/>
      <w:r w:rsidRPr="00815C87">
        <w:rPr>
          <w:bCs/>
          <w:sz w:val="22"/>
          <w:szCs w:val="22"/>
          <w:lang w:val="sr-Latn-ME"/>
        </w:rPr>
        <w:t>MenCC</w:t>
      </w:r>
      <w:proofErr w:type="spellEnd"/>
      <w:r w:rsidRPr="00815C87">
        <w:rPr>
          <w:bCs/>
          <w:sz w:val="22"/>
          <w:szCs w:val="22"/>
          <w:lang w:val="sr-Latn-ME"/>
        </w:rPr>
        <w:t>.</w:t>
      </w:r>
    </w:p>
    <w:p w14:paraId="6CEA534F" w14:textId="54C27321" w:rsidR="009212E3" w:rsidRPr="00815C87" w:rsidRDefault="009212E3" w:rsidP="000E7F5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8ADCC8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4.6.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="006D20A5" w:rsidRPr="00815C87">
        <w:rPr>
          <w:b/>
          <w:sz w:val="22"/>
          <w:szCs w:val="22"/>
          <w:lang w:val="sr-Latn-ME"/>
        </w:rPr>
        <w:t>Plodnost, trudnoća i dojenje</w:t>
      </w:r>
    </w:p>
    <w:p w14:paraId="0E44D1D5" w14:textId="77777777" w:rsidR="009212E3" w:rsidRPr="00815C87" w:rsidRDefault="009212E3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01327E86" w14:textId="5F5C5BBD" w:rsidR="002031B3" w:rsidRPr="00815C87" w:rsidRDefault="00300F03" w:rsidP="002811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 w:bidi="en-US"/>
        </w:rPr>
        <w:t xml:space="preserve">Vakcina </w:t>
      </w:r>
      <w:proofErr w:type="spellStart"/>
      <w:r w:rsidR="000E7F54" w:rsidRPr="00815C87">
        <w:rPr>
          <w:sz w:val="22"/>
          <w:szCs w:val="22"/>
          <w:lang w:val="sr-Latn-ME" w:bidi="en-US"/>
        </w:rPr>
        <w:t>RotaTeq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je namijenjen</w:t>
      </w:r>
      <w:r w:rsidRPr="00815C87">
        <w:rPr>
          <w:sz w:val="22"/>
          <w:szCs w:val="22"/>
          <w:lang w:val="sr-Latn-ME" w:bidi="en-US"/>
        </w:rPr>
        <w:t>a</w:t>
      </w:r>
      <w:r w:rsidR="000E7F54" w:rsidRPr="00815C87">
        <w:rPr>
          <w:sz w:val="22"/>
          <w:szCs w:val="22"/>
          <w:lang w:val="sr-Latn-ME" w:bidi="en-US"/>
        </w:rPr>
        <w:t xml:space="preserve"> samo za primjenu kod odojčadi. Stoga na raspolaganju nema podataka o upotrebi ove vakcine kod </w:t>
      </w:r>
      <w:proofErr w:type="spellStart"/>
      <w:r w:rsidR="000E7F54" w:rsidRPr="00815C87">
        <w:rPr>
          <w:sz w:val="22"/>
          <w:szCs w:val="22"/>
          <w:lang w:val="sr-Latn-ME" w:bidi="en-US"/>
        </w:rPr>
        <w:t>ljudi</w:t>
      </w:r>
      <w:proofErr w:type="spellEnd"/>
      <w:r w:rsidR="000E7F54" w:rsidRPr="00815C87">
        <w:rPr>
          <w:sz w:val="22"/>
          <w:szCs w:val="22"/>
          <w:lang w:val="sr-Latn-ME" w:bidi="en-US"/>
        </w:rPr>
        <w:t xml:space="preserve"> tokom trudnoće ili dojenja, a ispitivanje uticaja na fertilitet i studije reproduktivne toksičnosti na životinjama nijesu sprovođene.</w:t>
      </w:r>
    </w:p>
    <w:p w14:paraId="092C7941" w14:textId="67B1794E" w:rsidR="00227BDB" w:rsidRPr="00815C87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0A346A4A" w14:textId="77777777" w:rsidR="0072020E" w:rsidRPr="00815C87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4.7.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 xml:space="preserve">Uticaj na </w:t>
      </w:r>
      <w:r w:rsidR="002031B3" w:rsidRPr="00815C87">
        <w:rPr>
          <w:b/>
          <w:bCs/>
          <w:sz w:val="22"/>
          <w:szCs w:val="22"/>
          <w:lang w:val="sr-Latn-ME"/>
        </w:rPr>
        <w:t xml:space="preserve">sposobnost </w:t>
      </w:r>
      <w:r w:rsidR="00F34554" w:rsidRPr="00815C87">
        <w:rPr>
          <w:b/>
          <w:bCs/>
          <w:sz w:val="22"/>
          <w:szCs w:val="22"/>
          <w:lang w:val="sr-Latn-ME"/>
        </w:rPr>
        <w:t>upravljanja vozili</w:t>
      </w:r>
      <w:r w:rsidRPr="00815C87">
        <w:rPr>
          <w:b/>
          <w:bCs/>
          <w:sz w:val="22"/>
          <w:szCs w:val="22"/>
          <w:lang w:val="sr-Latn-ME"/>
        </w:rPr>
        <w:t>m</w:t>
      </w:r>
      <w:r w:rsidR="00F34554" w:rsidRPr="00815C87">
        <w:rPr>
          <w:b/>
          <w:bCs/>
          <w:sz w:val="22"/>
          <w:szCs w:val="22"/>
          <w:lang w:val="sr-Latn-ME"/>
        </w:rPr>
        <w:t>a</w:t>
      </w:r>
      <w:r w:rsidRPr="00815C87">
        <w:rPr>
          <w:b/>
          <w:bCs/>
          <w:sz w:val="22"/>
          <w:szCs w:val="22"/>
          <w:lang w:val="sr-Latn-ME"/>
        </w:rPr>
        <w:t xml:space="preserve"> i </w:t>
      </w:r>
      <w:r w:rsidR="000D3449" w:rsidRPr="00815C87">
        <w:rPr>
          <w:b/>
          <w:bCs/>
          <w:sz w:val="22"/>
          <w:szCs w:val="22"/>
          <w:lang w:val="sr-Latn-ME"/>
        </w:rPr>
        <w:t xml:space="preserve">rukovanje </w:t>
      </w:r>
      <w:r w:rsidRPr="00815C87">
        <w:rPr>
          <w:b/>
          <w:bCs/>
          <w:sz w:val="22"/>
          <w:szCs w:val="22"/>
          <w:lang w:val="sr-Latn-ME"/>
        </w:rPr>
        <w:t>mašinama</w:t>
      </w:r>
    </w:p>
    <w:p w14:paraId="17DE564A" w14:textId="77777777" w:rsidR="009212E3" w:rsidRPr="00815C87" w:rsidRDefault="009212E3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47A115F5" w14:textId="212089CF" w:rsidR="000E7F54" w:rsidRPr="00815C87" w:rsidRDefault="000E7F54" w:rsidP="00765C3E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Nije primjen</w:t>
      </w:r>
      <w:r w:rsidR="00F06287" w:rsidRPr="00815C87">
        <w:rPr>
          <w:sz w:val="22"/>
          <w:szCs w:val="22"/>
          <w:lang w:val="sr-Latn-ME" w:bidi="en-US"/>
        </w:rPr>
        <w:t>l</w:t>
      </w:r>
      <w:r w:rsidRPr="00815C87">
        <w:rPr>
          <w:sz w:val="22"/>
          <w:szCs w:val="22"/>
          <w:lang w:val="sr-Latn-ME" w:bidi="en-US"/>
        </w:rPr>
        <w:t>jivo.</w:t>
      </w:r>
    </w:p>
    <w:p w14:paraId="09D43BA0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E001C3A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4.8.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Neželjena dejstva</w:t>
      </w:r>
    </w:p>
    <w:p w14:paraId="5547B243" w14:textId="77777777" w:rsidR="00A81139" w:rsidRPr="00815C87" w:rsidRDefault="00A811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A8EA256" w14:textId="77777777" w:rsidR="00A81139" w:rsidRPr="00815C87" w:rsidRDefault="00A81139" w:rsidP="00A81139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33"/>
        <w:ind w:left="209"/>
        <w:rPr>
          <w:sz w:val="22"/>
          <w:szCs w:val="22"/>
          <w:u w:val="single"/>
          <w:lang w:val="sr-Latn-ME" w:bidi="en-US"/>
        </w:rPr>
      </w:pPr>
      <w:r w:rsidRPr="00815C87">
        <w:rPr>
          <w:sz w:val="22"/>
          <w:szCs w:val="22"/>
          <w:u w:val="single"/>
          <w:lang w:val="sr-Latn-ME" w:bidi="en-US"/>
        </w:rPr>
        <w:t xml:space="preserve">Kratak prikaz </w:t>
      </w:r>
      <w:proofErr w:type="spellStart"/>
      <w:r w:rsidRPr="00815C87">
        <w:rPr>
          <w:sz w:val="22"/>
          <w:szCs w:val="22"/>
          <w:u w:val="single"/>
          <w:lang w:val="sr-Latn-ME" w:bidi="en-US"/>
        </w:rPr>
        <w:t>bezbjednosnog</w:t>
      </w:r>
      <w:proofErr w:type="spellEnd"/>
      <w:r w:rsidRPr="00815C87">
        <w:rPr>
          <w:spacing w:val="-8"/>
          <w:sz w:val="22"/>
          <w:szCs w:val="22"/>
          <w:u w:val="single"/>
          <w:lang w:val="sr-Latn-ME" w:bidi="en-US"/>
        </w:rPr>
        <w:t xml:space="preserve"> </w:t>
      </w:r>
      <w:r w:rsidRPr="00815C87">
        <w:rPr>
          <w:sz w:val="22"/>
          <w:szCs w:val="22"/>
          <w:u w:val="single"/>
          <w:lang w:val="sr-Latn-ME" w:bidi="en-US"/>
        </w:rPr>
        <w:t>profila</w:t>
      </w:r>
    </w:p>
    <w:p w14:paraId="0CF68999" w14:textId="5E6D913D" w:rsidR="00A81139" w:rsidRPr="00815C87" w:rsidRDefault="00A81139" w:rsidP="00852481">
      <w:pPr>
        <w:widowControl w:val="0"/>
        <w:autoSpaceDE w:val="0"/>
        <w:autoSpaceDN w:val="0"/>
        <w:spacing w:before="2"/>
        <w:ind w:left="1" w:right="194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U podgrupi odojčadi iz 3 </w:t>
      </w:r>
      <w:proofErr w:type="spellStart"/>
      <w:r w:rsidRPr="00815C87">
        <w:rPr>
          <w:sz w:val="22"/>
          <w:szCs w:val="22"/>
          <w:lang w:val="sr-Latn-ME" w:bidi="en-US"/>
        </w:rPr>
        <w:t>placebom</w:t>
      </w:r>
      <w:proofErr w:type="spellEnd"/>
      <w:r w:rsidRPr="00815C87">
        <w:rPr>
          <w:sz w:val="22"/>
          <w:szCs w:val="22"/>
          <w:lang w:val="sr-Latn-ME" w:bidi="en-US"/>
        </w:rPr>
        <w:t xml:space="preserve"> kontrolisana klinička ispitivanja (n=6130 odojčadi koja su primila vakcinu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i 5560 odojčadi koja su primila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 xml:space="preserve">), rađena je procjena svih neželjenih reakcija koje može da izazove vakcina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, a koje su se pojavile u </w:t>
      </w:r>
      <w:proofErr w:type="spellStart"/>
      <w:r w:rsidRPr="00815C87">
        <w:rPr>
          <w:sz w:val="22"/>
          <w:szCs w:val="22"/>
          <w:lang w:val="sr-Latn-ME" w:bidi="en-US"/>
        </w:rPr>
        <w:t>vremenu</w:t>
      </w:r>
      <w:proofErr w:type="spellEnd"/>
      <w:r w:rsidRPr="00815C87">
        <w:rPr>
          <w:sz w:val="22"/>
          <w:szCs w:val="22"/>
          <w:lang w:val="sr-Latn-ME" w:bidi="en-US"/>
        </w:rPr>
        <w:t xml:space="preserve"> od 42 dana nakon vakcinacije kada se vakcina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davala ili sama ili istovremeno sa drugim pedijatrijskim vakcinama. Sveukupno, kod 47% odojčadi koja su primila vakcinu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došlo je do pojave neželjenih reakcija u poređenju sa 45,8% u grupi koja je primala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 xml:space="preserve">. Najčešće zabilježene neželjene reakcije koje su se dešavale češće u grupi koja je primala vakcinu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nego kod odojčadi koja su dobijala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>, bile su: povišena tjelesna temperatura (20,9%), dijareja (17,6%) i povraćanje (10,1%).</w:t>
      </w:r>
    </w:p>
    <w:p w14:paraId="69096994" w14:textId="77777777" w:rsidR="00A81139" w:rsidRPr="00815C87" w:rsidRDefault="00A81139" w:rsidP="00852481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val="sr-Latn-ME" w:bidi="en-US"/>
        </w:rPr>
      </w:pPr>
    </w:p>
    <w:p w14:paraId="2924390B" w14:textId="716C7BA5" w:rsidR="00A81139" w:rsidRPr="00815C87" w:rsidRDefault="00A81139" w:rsidP="00852481">
      <w:pPr>
        <w:widowControl w:val="0"/>
        <w:autoSpaceDE w:val="0"/>
        <w:autoSpaceDN w:val="0"/>
        <w:ind w:left="1" w:right="206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Kod svih ispitivanih subjekata urađena je procjena ozbiljnih neželjenih reakcija (36150 subjekata koji su primili </w:t>
      </w:r>
      <w:r w:rsidR="007E1B4E" w:rsidRPr="00815C87">
        <w:rPr>
          <w:sz w:val="22"/>
          <w:szCs w:val="22"/>
          <w:lang w:val="sr-Latn-ME" w:bidi="en-US"/>
        </w:rPr>
        <w:t xml:space="preserve">vakcinu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i 35536 koji su primili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 xml:space="preserve">) iz 3 klinička ispitivanja, a tokom 42 dana nakon primanja svake doze. Sveukupna učestalost ovih ozbiljnih neželjenih reakcija bila je 0,1% kod ispitanika koji su primili </w:t>
      </w:r>
      <w:r w:rsidR="007E1B4E" w:rsidRPr="00815C87">
        <w:rPr>
          <w:sz w:val="22"/>
          <w:szCs w:val="22"/>
          <w:lang w:val="sr-Latn-ME" w:bidi="en-US"/>
        </w:rPr>
        <w:t xml:space="preserve">vakcinu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i 0,2% kod onih koji su primili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>.</w:t>
      </w:r>
    </w:p>
    <w:p w14:paraId="6DAD3283" w14:textId="77777777" w:rsidR="00A81139" w:rsidRPr="00815C87" w:rsidRDefault="00A81139" w:rsidP="00852481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</w:p>
    <w:p w14:paraId="2877AB6D" w14:textId="77777777" w:rsidR="00A81139" w:rsidRPr="00815C87" w:rsidRDefault="00A81139" w:rsidP="00A81139">
      <w:pPr>
        <w:widowControl w:val="0"/>
        <w:numPr>
          <w:ilvl w:val="0"/>
          <w:numId w:val="12"/>
        </w:numPr>
        <w:tabs>
          <w:tab w:val="left" w:pos="422"/>
        </w:tabs>
        <w:autoSpaceDE w:val="0"/>
        <w:autoSpaceDN w:val="0"/>
        <w:ind w:left="222" w:hanging="222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u w:val="single"/>
          <w:lang w:val="sr-Latn-ME" w:bidi="en-US"/>
        </w:rPr>
        <w:t>Sažeti tabelarni prikaz neželjenih</w:t>
      </w:r>
      <w:r w:rsidRPr="00815C87">
        <w:rPr>
          <w:spacing w:val="-2"/>
          <w:sz w:val="22"/>
          <w:szCs w:val="22"/>
          <w:u w:val="single"/>
          <w:lang w:val="sr-Latn-ME" w:bidi="en-US"/>
        </w:rPr>
        <w:t xml:space="preserve"> </w:t>
      </w:r>
      <w:r w:rsidRPr="00815C87">
        <w:rPr>
          <w:sz w:val="22"/>
          <w:szCs w:val="22"/>
          <w:u w:val="single"/>
          <w:lang w:val="sr-Latn-ME" w:bidi="en-US"/>
        </w:rPr>
        <w:t>reakcija</w:t>
      </w:r>
    </w:p>
    <w:p w14:paraId="11F8345D" w14:textId="6401B6DB" w:rsidR="00A81139" w:rsidRPr="00815C87" w:rsidRDefault="00A81139" w:rsidP="00852481">
      <w:pPr>
        <w:widowControl w:val="0"/>
        <w:autoSpaceDE w:val="0"/>
        <w:autoSpaceDN w:val="0"/>
        <w:spacing w:before="2"/>
        <w:ind w:left="1" w:right="313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Neželjene reakcije koje su se češće javljale u grupi koja je primila vakcinu navedene su u </w:t>
      </w:r>
      <w:r w:rsidR="007E1B4E" w:rsidRPr="00815C87">
        <w:rPr>
          <w:sz w:val="22"/>
          <w:szCs w:val="22"/>
          <w:lang w:val="sr-Latn-ME" w:bidi="en-US"/>
        </w:rPr>
        <w:t>nastavku</w:t>
      </w:r>
      <w:r w:rsidRPr="00815C87">
        <w:rPr>
          <w:sz w:val="22"/>
          <w:szCs w:val="22"/>
          <w:lang w:val="sr-Latn-ME" w:bidi="en-US"/>
        </w:rPr>
        <w:t xml:space="preserve">, a klasifikovane su prema klasi sistema organa i učestalosti. Na osnovu zbirnih podataka iz 3 klinička ispitivanja u kojima je 6130 odojčadi primilo vakcinu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, a 5560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 xml:space="preserve">, dolje navedene neželjene reakcije javljale su se u grupi koja je primala vakcinu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sa učestalošću od 0,2% do 2,5% većom nego u grupi koja je primala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>.</w:t>
      </w:r>
    </w:p>
    <w:p w14:paraId="118AE0DD" w14:textId="77777777" w:rsidR="00A81139" w:rsidRPr="00815C87" w:rsidRDefault="00A81139" w:rsidP="00A81139">
      <w:pPr>
        <w:widowControl w:val="0"/>
        <w:autoSpaceDE w:val="0"/>
        <w:autoSpaceDN w:val="0"/>
        <w:spacing w:before="1"/>
        <w:rPr>
          <w:sz w:val="22"/>
          <w:szCs w:val="22"/>
          <w:lang w:val="sr-Latn-ME" w:bidi="en-US"/>
        </w:rPr>
      </w:pPr>
    </w:p>
    <w:p w14:paraId="6CA69E05" w14:textId="14AFCBA5" w:rsidR="00281113" w:rsidRPr="00281113" w:rsidRDefault="00281113" w:rsidP="00281113">
      <w:pPr>
        <w:widowControl w:val="0"/>
        <w:autoSpaceDE w:val="0"/>
        <w:autoSpaceDN w:val="0"/>
        <w:spacing w:line="269" w:lineRule="exact"/>
        <w:ind w:left="1"/>
        <w:rPr>
          <w:sz w:val="22"/>
          <w:szCs w:val="22"/>
          <w:lang w:bidi="en-US"/>
        </w:rPr>
      </w:pPr>
      <w:proofErr w:type="spellStart"/>
      <w:r w:rsidRPr="00281113">
        <w:rPr>
          <w:sz w:val="22"/>
          <w:szCs w:val="22"/>
          <w:lang w:bidi="en-US"/>
        </w:rPr>
        <w:t>Učestalost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pojave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neželjenih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reakcija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rangirana</w:t>
      </w:r>
      <w:proofErr w:type="spellEnd"/>
      <w:r w:rsidRPr="00281113">
        <w:rPr>
          <w:sz w:val="22"/>
          <w:szCs w:val="22"/>
          <w:lang w:bidi="en-US"/>
        </w:rPr>
        <w:t xml:space="preserve"> je</w:t>
      </w:r>
      <w:r>
        <w:rPr>
          <w:sz w:val="22"/>
          <w:szCs w:val="22"/>
          <w:lang w:bidi="en-US"/>
        </w:rPr>
        <w:t xml:space="preserve"> </w:t>
      </w:r>
      <w:proofErr w:type="spellStart"/>
      <w:r>
        <w:rPr>
          <w:sz w:val="22"/>
          <w:szCs w:val="22"/>
          <w:lang w:bidi="en-US"/>
        </w:rPr>
        <w:t>prema</w:t>
      </w:r>
      <w:proofErr w:type="spellEnd"/>
      <w:r>
        <w:rPr>
          <w:sz w:val="22"/>
          <w:szCs w:val="22"/>
          <w:lang w:bidi="en-US"/>
        </w:rPr>
        <w:t xml:space="preserve"> </w:t>
      </w:r>
      <w:proofErr w:type="spellStart"/>
      <w:r>
        <w:rPr>
          <w:sz w:val="22"/>
          <w:szCs w:val="22"/>
          <w:lang w:bidi="en-US"/>
        </w:rPr>
        <w:t>sljedećem</w:t>
      </w:r>
      <w:proofErr w:type="spellEnd"/>
      <w:r>
        <w:rPr>
          <w:sz w:val="22"/>
          <w:szCs w:val="22"/>
          <w:lang w:bidi="en-US"/>
        </w:rPr>
        <w:t xml:space="preserve">: </w:t>
      </w:r>
      <w:proofErr w:type="spellStart"/>
      <w:r>
        <w:rPr>
          <w:sz w:val="22"/>
          <w:szCs w:val="22"/>
          <w:lang w:bidi="en-US"/>
        </w:rPr>
        <w:t>veoma</w:t>
      </w:r>
      <w:proofErr w:type="spellEnd"/>
      <w:r>
        <w:rPr>
          <w:sz w:val="22"/>
          <w:szCs w:val="22"/>
          <w:lang w:bidi="en-US"/>
        </w:rPr>
        <w:t xml:space="preserve"> </w:t>
      </w:r>
      <w:proofErr w:type="spellStart"/>
      <w:r>
        <w:rPr>
          <w:sz w:val="22"/>
          <w:szCs w:val="22"/>
          <w:lang w:bidi="en-US"/>
        </w:rPr>
        <w:t>česte</w:t>
      </w:r>
      <w:proofErr w:type="spellEnd"/>
      <w:r>
        <w:rPr>
          <w:sz w:val="22"/>
          <w:szCs w:val="22"/>
          <w:lang w:bidi="en-US"/>
        </w:rPr>
        <w:t xml:space="preserve"> (</w:t>
      </w:r>
      <w:r w:rsidR="006B5F83">
        <w:rPr>
          <w:rFonts w:ascii="Calibri" w:hAnsi="Calibri" w:cs="Calibri"/>
          <w:sz w:val="22"/>
          <w:szCs w:val="22"/>
          <w:lang w:bidi="en-US"/>
        </w:rPr>
        <w:t>˃</w:t>
      </w:r>
      <w:r w:rsidRPr="00281113">
        <w:rPr>
          <w:sz w:val="22"/>
          <w:szCs w:val="22"/>
          <w:lang w:bidi="en-US"/>
        </w:rPr>
        <w:t xml:space="preserve">1/10), </w:t>
      </w:r>
      <w:proofErr w:type="spellStart"/>
      <w:r w:rsidRPr="00281113">
        <w:rPr>
          <w:sz w:val="22"/>
          <w:szCs w:val="22"/>
          <w:lang w:bidi="en-US"/>
        </w:rPr>
        <w:t>česte</w:t>
      </w:r>
      <w:proofErr w:type="spellEnd"/>
      <w:r w:rsidRPr="00281113">
        <w:rPr>
          <w:sz w:val="22"/>
          <w:szCs w:val="22"/>
          <w:lang w:bidi="en-US"/>
        </w:rPr>
        <w:t xml:space="preserve"> (</w:t>
      </w:r>
      <w:r w:rsidRPr="00A81139">
        <w:rPr>
          <w:rFonts w:ascii="Symbol" w:hAnsi="Symbol"/>
          <w:sz w:val="22"/>
          <w:szCs w:val="22"/>
          <w:lang w:bidi="en-US"/>
        </w:rPr>
        <w:t></w:t>
      </w:r>
      <w:r w:rsidR="000866AE">
        <w:rPr>
          <w:sz w:val="22"/>
          <w:szCs w:val="22"/>
          <w:lang w:bidi="en-US"/>
        </w:rPr>
        <w:t xml:space="preserve">1/100, &lt;1/10), </w:t>
      </w:r>
      <w:proofErr w:type="spellStart"/>
      <w:r w:rsidR="000866AE">
        <w:rPr>
          <w:sz w:val="22"/>
          <w:szCs w:val="22"/>
          <w:lang w:bidi="en-US"/>
        </w:rPr>
        <w:t>povremene</w:t>
      </w:r>
      <w:proofErr w:type="spellEnd"/>
      <w:r w:rsidR="000866AE">
        <w:rPr>
          <w:sz w:val="22"/>
          <w:szCs w:val="22"/>
          <w:lang w:bidi="en-US"/>
        </w:rPr>
        <w:t xml:space="preserve"> (</w:t>
      </w:r>
      <w:r w:rsidR="000866AE" w:rsidRPr="00A81139">
        <w:rPr>
          <w:rFonts w:ascii="Symbol" w:hAnsi="Symbol"/>
          <w:sz w:val="22"/>
          <w:szCs w:val="22"/>
          <w:lang w:bidi="en-US"/>
        </w:rPr>
        <w:t></w:t>
      </w:r>
      <w:r w:rsidR="000866AE">
        <w:rPr>
          <w:sz w:val="22"/>
          <w:szCs w:val="22"/>
          <w:lang w:bidi="en-US"/>
        </w:rPr>
        <w:t xml:space="preserve">1/1000, &lt;1/100), </w:t>
      </w:r>
      <w:proofErr w:type="spellStart"/>
      <w:r w:rsidR="000866AE">
        <w:rPr>
          <w:sz w:val="22"/>
          <w:szCs w:val="22"/>
          <w:lang w:bidi="en-US"/>
        </w:rPr>
        <w:t>rijetke</w:t>
      </w:r>
      <w:proofErr w:type="spellEnd"/>
      <w:r w:rsidR="000866AE">
        <w:rPr>
          <w:sz w:val="22"/>
          <w:szCs w:val="22"/>
          <w:lang w:bidi="en-US"/>
        </w:rPr>
        <w:t xml:space="preserve"> (</w:t>
      </w:r>
      <w:r w:rsidR="000866AE" w:rsidRPr="00A81139">
        <w:rPr>
          <w:rFonts w:ascii="Symbol" w:hAnsi="Symbol"/>
          <w:sz w:val="22"/>
          <w:szCs w:val="22"/>
          <w:lang w:bidi="en-US"/>
        </w:rPr>
        <w:t></w:t>
      </w:r>
      <w:r w:rsidRPr="00281113">
        <w:rPr>
          <w:sz w:val="22"/>
          <w:szCs w:val="22"/>
          <w:lang w:bidi="en-US"/>
        </w:rPr>
        <w:t xml:space="preserve">1/10000, &lt; 1/1000), </w:t>
      </w:r>
      <w:proofErr w:type="spellStart"/>
      <w:r w:rsidRPr="00281113">
        <w:rPr>
          <w:sz w:val="22"/>
          <w:szCs w:val="22"/>
          <w:lang w:bidi="en-US"/>
        </w:rPr>
        <w:t>veoma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rijetke</w:t>
      </w:r>
      <w:proofErr w:type="spellEnd"/>
      <w:r w:rsidRPr="00281113">
        <w:rPr>
          <w:sz w:val="22"/>
          <w:szCs w:val="22"/>
          <w:lang w:bidi="en-US"/>
        </w:rPr>
        <w:t xml:space="preserve"> (&lt;1/100</w:t>
      </w:r>
      <w:r w:rsidR="000866AE">
        <w:rPr>
          <w:sz w:val="22"/>
          <w:szCs w:val="22"/>
          <w:lang w:bidi="en-US"/>
        </w:rPr>
        <w:t>0</w:t>
      </w:r>
      <w:r w:rsidRPr="00281113">
        <w:rPr>
          <w:sz w:val="22"/>
          <w:szCs w:val="22"/>
          <w:lang w:bidi="en-US"/>
        </w:rPr>
        <w:t xml:space="preserve">0), </w:t>
      </w:r>
      <w:proofErr w:type="spellStart"/>
      <w:r w:rsidRPr="00281113">
        <w:rPr>
          <w:sz w:val="22"/>
          <w:szCs w:val="22"/>
          <w:lang w:bidi="en-US"/>
        </w:rPr>
        <w:t>nepoznate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učestalosti</w:t>
      </w:r>
      <w:proofErr w:type="spellEnd"/>
      <w:r w:rsidRPr="00281113">
        <w:rPr>
          <w:sz w:val="22"/>
          <w:szCs w:val="22"/>
          <w:lang w:bidi="en-US"/>
        </w:rPr>
        <w:t xml:space="preserve"> (ne </w:t>
      </w:r>
      <w:proofErr w:type="spellStart"/>
      <w:r w:rsidRPr="00281113">
        <w:rPr>
          <w:sz w:val="22"/>
          <w:szCs w:val="22"/>
          <w:lang w:bidi="en-US"/>
        </w:rPr>
        <w:t>može</w:t>
      </w:r>
      <w:proofErr w:type="spellEnd"/>
      <w:r w:rsidRPr="00281113">
        <w:rPr>
          <w:sz w:val="22"/>
          <w:szCs w:val="22"/>
          <w:lang w:bidi="en-US"/>
        </w:rPr>
        <w:t xml:space="preserve"> se </w:t>
      </w:r>
      <w:proofErr w:type="spellStart"/>
      <w:r w:rsidRPr="00281113">
        <w:rPr>
          <w:sz w:val="22"/>
          <w:szCs w:val="22"/>
          <w:lang w:bidi="en-US"/>
        </w:rPr>
        <w:t>procijeniti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iz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dostupnih</w:t>
      </w:r>
      <w:proofErr w:type="spellEnd"/>
      <w:r w:rsidRPr="00281113">
        <w:rPr>
          <w:sz w:val="22"/>
          <w:szCs w:val="22"/>
          <w:lang w:bidi="en-US"/>
        </w:rPr>
        <w:t xml:space="preserve"> </w:t>
      </w:r>
      <w:proofErr w:type="spellStart"/>
      <w:r w:rsidRPr="00281113">
        <w:rPr>
          <w:sz w:val="22"/>
          <w:szCs w:val="22"/>
          <w:lang w:bidi="en-US"/>
        </w:rPr>
        <w:t>podataka</w:t>
      </w:r>
      <w:proofErr w:type="spellEnd"/>
      <w:r w:rsidRPr="00281113">
        <w:rPr>
          <w:sz w:val="22"/>
          <w:szCs w:val="22"/>
          <w:lang w:bidi="en-US"/>
        </w:rPr>
        <w:t>).</w:t>
      </w:r>
      <w:r w:rsidR="000866AE">
        <w:rPr>
          <w:sz w:val="22"/>
          <w:szCs w:val="22"/>
          <w:lang w:bidi="en-US"/>
        </w:rPr>
        <w:t xml:space="preserve"> </w:t>
      </w:r>
      <w:bookmarkStart w:id="0" w:name="_GoBack"/>
      <w:bookmarkEnd w:id="0"/>
    </w:p>
    <w:p w14:paraId="36F98399" w14:textId="202D1EC3" w:rsidR="00A81139" w:rsidRDefault="00A81139" w:rsidP="00A81139">
      <w:pPr>
        <w:widowControl w:val="0"/>
        <w:autoSpaceDE w:val="0"/>
        <w:autoSpaceDN w:val="0"/>
        <w:spacing w:line="269" w:lineRule="exact"/>
        <w:ind w:left="1"/>
        <w:rPr>
          <w:sz w:val="22"/>
          <w:szCs w:val="22"/>
          <w:lang w:val="sr-Latn-ME" w:bidi="en-US"/>
        </w:rPr>
      </w:pPr>
    </w:p>
    <w:p w14:paraId="7E01E558" w14:textId="77777777" w:rsidR="000866AE" w:rsidRPr="00815C87" w:rsidRDefault="000866AE" w:rsidP="00A81139">
      <w:pPr>
        <w:widowControl w:val="0"/>
        <w:autoSpaceDE w:val="0"/>
        <w:autoSpaceDN w:val="0"/>
        <w:spacing w:line="269" w:lineRule="exact"/>
        <w:ind w:left="1"/>
        <w:rPr>
          <w:sz w:val="22"/>
          <w:szCs w:val="22"/>
          <w:lang w:val="sr-Latn-ME" w:bidi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288"/>
        <w:gridCol w:w="4115"/>
      </w:tblGrid>
      <w:tr w:rsidR="00A81139" w:rsidRPr="00815C87" w14:paraId="18D4F2BA" w14:textId="77777777" w:rsidTr="00281113">
        <w:trPr>
          <w:trHeight w:val="505"/>
        </w:trPr>
        <w:tc>
          <w:tcPr>
            <w:tcW w:w="9356" w:type="dxa"/>
            <w:gridSpan w:val="3"/>
          </w:tcPr>
          <w:p w14:paraId="6014CBA2" w14:textId="4B8E3BD8" w:rsidR="00A81139" w:rsidRPr="00815C87" w:rsidRDefault="00A81139" w:rsidP="00A81139">
            <w:pPr>
              <w:widowControl w:val="0"/>
              <w:autoSpaceDE w:val="0"/>
              <w:autoSpaceDN w:val="0"/>
              <w:spacing w:before="4" w:line="252" w:lineRule="exact"/>
              <w:ind w:left="1161" w:right="356" w:hanging="783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Neželjene reakcije zabilježene nakon primjene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RotaTeq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vakcine u kliničkim ispitivanjima i neželjeni događaji prijavljeni u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postmarketinškom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periodu (</w:t>
            </w:r>
            <w:proofErr w:type="spellStart"/>
            <w:r w:rsidRPr="00815C87">
              <w:rPr>
                <w:i/>
                <w:iCs/>
                <w:sz w:val="22"/>
                <w:szCs w:val="22"/>
                <w:lang w:val="sr-Latn-ME" w:bidi="en-US"/>
              </w:rPr>
              <w:t>italic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>)</w:t>
            </w:r>
          </w:p>
        </w:tc>
      </w:tr>
      <w:tr w:rsidR="00A81139" w:rsidRPr="00815C87" w14:paraId="0654D4EE" w14:textId="77777777" w:rsidTr="00281113">
        <w:trPr>
          <w:trHeight w:val="252"/>
        </w:trPr>
        <w:tc>
          <w:tcPr>
            <w:tcW w:w="2953" w:type="dxa"/>
          </w:tcPr>
          <w:p w14:paraId="3C707A20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540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Klasa sistema organa</w:t>
            </w:r>
          </w:p>
        </w:tc>
        <w:tc>
          <w:tcPr>
            <w:tcW w:w="2288" w:type="dxa"/>
          </w:tcPr>
          <w:p w14:paraId="4209EC13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683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Učestalost</w:t>
            </w:r>
          </w:p>
        </w:tc>
        <w:tc>
          <w:tcPr>
            <w:tcW w:w="4115" w:type="dxa"/>
          </w:tcPr>
          <w:p w14:paraId="11B27590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91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Neželjena reakcija/neželjeni događaj</w:t>
            </w:r>
          </w:p>
        </w:tc>
      </w:tr>
      <w:tr w:rsidR="00A81139" w:rsidRPr="00815C87" w14:paraId="0860AB57" w14:textId="77777777" w:rsidTr="00281113">
        <w:trPr>
          <w:trHeight w:val="254"/>
        </w:trPr>
        <w:tc>
          <w:tcPr>
            <w:tcW w:w="2953" w:type="dxa"/>
            <w:vMerge w:val="restart"/>
          </w:tcPr>
          <w:p w14:paraId="7F796A1A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Infekcije i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infestacije</w:t>
            </w:r>
            <w:proofErr w:type="spellEnd"/>
          </w:p>
        </w:tc>
        <w:tc>
          <w:tcPr>
            <w:tcW w:w="2288" w:type="dxa"/>
          </w:tcPr>
          <w:p w14:paraId="6FE857C3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Česte</w:t>
            </w:r>
          </w:p>
        </w:tc>
        <w:tc>
          <w:tcPr>
            <w:tcW w:w="4115" w:type="dxa"/>
          </w:tcPr>
          <w:p w14:paraId="3F7BB878" w14:textId="769953F1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Infekcija gornjeg</w:t>
            </w:r>
            <w:r w:rsidR="007E1B4E" w:rsidRPr="00815C87">
              <w:rPr>
                <w:sz w:val="22"/>
                <w:szCs w:val="22"/>
                <w:lang w:val="sr-Latn-ME" w:bidi="en-US"/>
              </w:rPr>
              <w:t xml:space="preserve"> dijela</w:t>
            </w:r>
            <w:r w:rsidRPr="00815C87">
              <w:rPr>
                <w:sz w:val="22"/>
                <w:szCs w:val="22"/>
                <w:lang w:val="sr-Latn-ME" w:bidi="en-US"/>
              </w:rPr>
              <w:t xml:space="preserve"> respiratornog trakta</w:t>
            </w:r>
          </w:p>
        </w:tc>
      </w:tr>
      <w:tr w:rsidR="00A81139" w:rsidRPr="00815C87" w14:paraId="70D4E0DB" w14:textId="77777777" w:rsidTr="00281113">
        <w:trPr>
          <w:trHeight w:val="251"/>
        </w:trPr>
        <w:tc>
          <w:tcPr>
            <w:tcW w:w="2953" w:type="dxa"/>
            <w:vMerge/>
            <w:tcBorders>
              <w:top w:val="nil"/>
            </w:tcBorders>
          </w:tcPr>
          <w:p w14:paraId="7F99D09D" w14:textId="77777777" w:rsidR="00A81139" w:rsidRPr="00815C87" w:rsidRDefault="00A81139" w:rsidP="00A8113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288" w:type="dxa"/>
          </w:tcPr>
          <w:p w14:paraId="4AE51716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Povremene</w:t>
            </w:r>
          </w:p>
        </w:tc>
        <w:tc>
          <w:tcPr>
            <w:tcW w:w="4115" w:type="dxa"/>
          </w:tcPr>
          <w:p w14:paraId="51B3912A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Nazofaringitis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,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otitis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media</w:t>
            </w:r>
            <w:proofErr w:type="spellEnd"/>
          </w:p>
        </w:tc>
      </w:tr>
      <w:tr w:rsidR="00A81139" w:rsidRPr="00815C87" w14:paraId="0E4809B2" w14:textId="77777777" w:rsidTr="00281113">
        <w:trPr>
          <w:trHeight w:val="253"/>
        </w:trPr>
        <w:tc>
          <w:tcPr>
            <w:tcW w:w="2953" w:type="dxa"/>
          </w:tcPr>
          <w:p w14:paraId="31C32147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Poremećaji imunog sistema</w:t>
            </w:r>
          </w:p>
        </w:tc>
        <w:tc>
          <w:tcPr>
            <w:tcW w:w="2288" w:type="dxa"/>
          </w:tcPr>
          <w:p w14:paraId="25E0740A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Nepoznate</w:t>
            </w:r>
          </w:p>
        </w:tc>
        <w:tc>
          <w:tcPr>
            <w:tcW w:w="4115" w:type="dxa"/>
          </w:tcPr>
          <w:p w14:paraId="2ED075E8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i/>
                <w:sz w:val="22"/>
                <w:szCs w:val="22"/>
                <w:lang w:val="sr-Latn-ME" w:bidi="en-US"/>
              </w:rPr>
              <w:t>Anafilaktička</w:t>
            </w:r>
            <w:proofErr w:type="spellEnd"/>
            <w:r w:rsidRPr="00815C87">
              <w:rPr>
                <w:i/>
                <w:sz w:val="22"/>
                <w:szCs w:val="22"/>
                <w:lang w:val="sr-Latn-ME" w:bidi="en-US"/>
              </w:rPr>
              <w:t xml:space="preserve"> reakcija</w:t>
            </w:r>
            <w:r w:rsidRPr="00815C87">
              <w:rPr>
                <w:position w:val="8"/>
                <w:sz w:val="22"/>
                <w:szCs w:val="22"/>
                <w:lang w:val="sr-Latn-ME" w:bidi="en-US"/>
              </w:rPr>
              <w:t>‡</w:t>
            </w:r>
          </w:p>
        </w:tc>
      </w:tr>
      <w:tr w:rsidR="00A81139" w:rsidRPr="00815C87" w14:paraId="416D746B" w14:textId="77777777" w:rsidTr="00281113">
        <w:trPr>
          <w:trHeight w:val="506"/>
        </w:trPr>
        <w:tc>
          <w:tcPr>
            <w:tcW w:w="2953" w:type="dxa"/>
          </w:tcPr>
          <w:p w14:paraId="7CA89EEB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before="2" w:line="252" w:lineRule="exact"/>
              <w:ind w:left="107" w:right="53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Respiratorni, torakalni i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medijastinalni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poremećaji</w:t>
            </w:r>
          </w:p>
        </w:tc>
        <w:tc>
          <w:tcPr>
            <w:tcW w:w="2288" w:type="dxa"/>
          </w:tcPr>
          <w:p w14:paraId="6BE5927B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Rijetke</w:t>
            </w:r>
          </w:p>
        </w:tc>
        <w:tc>
          <w:tcPr>
            <w:tcW w:w="4115" w:type="dxa"/>
          </w:tcPr>
          <w:p w14:paraId="6131754A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Bronhospazam</w:t>
            </w:r>
            <w:proofErr w:type="spellEnd"/>
          </w:p>
        </w:tc>
      </w:tr>
      <w:tr w:rsidR="00A81139" w:rsidRPr="00815C87" w14:paraId="6DADDF04" w14:textId="77777777" w:rsidTr="00281113">
        <w:trPr>
          <w:trHeight w:val="252"/>
        </w:trPr>
        <w:tc>
          <w:tcPr>
            <w:tcW w:w="2953" w:type="dxa"/>
            <w:vMerge w:val="restart"/>
          </w:tcPr>
          <w:p w14:paraId="1F18133A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Gastrointestinalni poremećaji</w:t>
            </w:r>
          </w:p>
        </w:tc>
        <w:tc>
          <w:tcPr>
            <w:tcW w:w="2288" w:type="dxa"/>
          </w:tcPr>
          <w:p w14:paraId="79A65030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Veoma česte</w:t>
            </w:r>
          </w:p>
        </w:tc>
        <w:tc>
          <w:tcPr>
            <w:tcW w:w="4115" w:type="dxa"/>
          </w:tcPr>
          <w:p w14:paraId="7C5F4382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Dijareja, povraćanje</w:t>
            </w:r>
          </w:p>
        </w:tc>
      </w:tr>
      <w:tr w:rsidR="00A81139" w:rsidRPr="00815C87" w14:paraId="3AC76C96" w14:textId="77777777" w:rsidTr="00281113">
        <w:trPr>
          <w:trHeight w:val="506"/>
        </w:trPr>
        <w:tc>
          <w:tcPr>
            <w:tcW w:w="2953" w:type="dxa"/>
            <w:vMerge/>
            <w:tcBorders>
              <w:top w:val="nil"/>
            </w:tcBorders>
          </w:tcPr>
          <w:p w14:paraId="425181FB" w14:textId="77777777" w:rsidR="00A81139" w:rsidRPr="00815C87" w:rsidRDefault="00A81139" w:rsidP="00A8113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288" w:type="dxa"/>
          </w:tcPr>
          <w:p w14:paraId="4BF458D1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Povremene</w:t>
            </w:r>
          </w:p>
        </w:tc>
        <w:tc>
          <w:tcPr>
            <w:tcW w:w="4115" w:type="dxa"/>
          </w:tcPr>
          <w:p w14:paraId="78003392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i/>
                <w:sz w:val="22"/>
                <w:szCs w:val="22"/>
                <w:lang w:val="sr-Latn-ME" w:bidi="en-US"/>
              </w:rPr>
              <w:t>Hematohezija</w:t>
            </w:r>
            <w:proofErr w:type="spellEnd"/>
            <w:r w:rsidRPr="00815C87">
              <w:rPr>
                <w:position w:val="8"/>
                <w:sz w:val="22"/>
                <w:szCs w:val="22"/>
                <w:lang w:val="sr-Latn-ME" w:bidi="en-US"/>
              </w:rPr>
              <w:t>†</w:t>
            </w:r>
            <w:r w:rsidRPr="00815C87">
              <w:rPr>
                <w:sz w:val="22"/>
                <w:szCs w:val="22"/>
                <w:lang w:val="sr-Latn-ME" w:bidi="en-US"/>
              </w:rPr>
              <w:t>, bol u gornjem dijelu abdomena</w:t>
            </w:r>
          </w:p>
        </w:tc>
      </w:tr>
      <w:tr w:rsidR="00A81139" w:rsidRPr="00815C87" w14:paraId="528E76EB" w14:textId="77777777" w:rsidTr="00281113">
        <w:trPr>
          <w:trHeight w:val="251"/>
        </w:trPr>
        <w:tc>
          <w:tcPr>
            <w:tcW w:w="2953" w:type="dxa"/>
            <w:vMerge/>
            <w:tcBorders>
              <w:top w:val="nil"/>
            </w:tcBorders>
          </w:tcPr>
          <w:p w14:paraId="0F9D9CC6" w14:textId="77777777" w:rsidR="00A81139" w:rsidRPr="00815C87" w:rsidRDefault="00A81139" w:rsidP="00A8113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288" w:type="dxa"/>
          </w:tcPr>
          <w:p w14:paraId="2C940916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Veoma rijetke</w:t>
            </w:r>
          </w:p>
        </w:tc>
        <w:tc>
          <w:tcPr>
            <w:tcW w:w="4115" w:type="dxa"/>
          </w:tcPr>
          <w:p w14:paraId="462D4A76" w14:textId="2A9ABD7D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i/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i/>
                <w:w w:val="105"/>
                <w:sz w:val="22"/>
                <w:szCs w:val="22"/>
                <w:lang w:val="sr-Latn-ME" w:bidi="en-US"/>
              </w:rPr>
              <w:t>Intususcepcija</w:t>
            </w:r>
            <w:proofErr w:type="spellEnd"/>
            <w:r w:rsidRPr="00815C87">
              <w:rPr>
                <w:i/>
                <w:w w:val="105"/>
                <w:sz w:val="22"/>
                <w:szCs w:val="22"/>
                <w:vertAlign w:val="superscript"/>
                <w:lang w:val="sr-Latn-ME" w:bidi="en-US"/>
              </w:rPr>
              <w:t>α</w:t>
            </w:r>
            <w:r w:rsidRPr="00815C87">
              <w:rPr>
                <w:i/>
                <w:w w:val="105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i/>
                <w:w w:val="105"/>
                <w:sz w:val="22"/>
                <w:szCs w:val="22"/>
                <w:vertAlign w:val="superscript"/>
                <w:lang w:val="sr-Latn-ME" w:bidi="en-US"/>
              </w:rPr>
              <w:t>*</w:t>
            </w:r>
          </w:p>
        </w:tc>
      </w:tr>
      <w:tr w:rsidR="00A81139" w:rsidRPr="00815C87" w14:paraId="3511609D" w14:textId="77777777" w:rsidTr="00281113">
        <w:trPr>
          <w:trHeight w:val="251"/>
        </w:trPr>
        <w:tc>
          <w:tcPr>
            <w:tcW w:w="2953" w:type="dxa"/>
            <w:vMerge w:val="restart"/>
          </w:tcPr>
          <w:p w14:paraId="3E74FE59" w14:textId="77777777" w:rsidR="00A81139" w:rsidRPr="00815C87" w:rsidRDefault="00A81139" w:rsidP="00A81139">
            <w:pPr>
              <w:widowControl w:val="0"/>
              <w:autoSpaceDE w:val="0"/>
              <w:autoSpaceDN w:val="0"/>
              <w:ind w:left="107" w:right="421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Poremećaji na nivou kože i potkožnog tkiva</w:t>
            </w:r>
          </w:p>
        </w:tc>
        <w:tc>
          <w:tcPr>
            <w:tcW w:w="2288" w:type="dxa"/>
          </w:tcPr>
          <w:p w14:paraId="294E622B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Povremene</w:t>
            </w:r>
          </w:p>
        </w:tc>
        <w:tc>
          <w:tcPr>
            <w:tcW w:w="4115" w:type="dxa"/>
          </w:tcPr>
          <w:p w14:paraId="3F18CA30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Ospa</w:t>
            </w:r>
          </w:p>
        </w:tc>
      </w:tr>
      <w:tr w:rsidR="00A81139" w:rsidRPr="00815C87" w14:paraId="0AB7E962" w14:textId="77777777" w:rsidTr="00281113">
        <w:trPr>
          <w:trHeight w:val="253"/>
        </w:trPr>
        <w:tc>
          <w:tcPr>
            <w:tcW w:w="2953" w:type="dxa"/>
            <w:vMerge/>
            <w:tcBorders>
              <w:top w:val="nil"/>
            </w:tcBorders>
          </w:tcPr>
          <w:p w14:paraId="76B44451" w14:textId="77777777" w:rsidR="00A81139" w:rsidRPr="00815C87" w:rsidRDefault="00A81139" w:rsidP="00A8113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288" w:type="dxa"/>
          </w:tcPr>
          <w:p w14:paraId="7CADDD18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before="1" w:line="23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Rijetke</w:t>
            </w:r>
          </w:p>
        </w:tc>
        <w:tc>
          <w:tcPr>
            <w:tcW w:w="4115" w:type="dxa"/>
          </w:tcPr>
          <w:p w14:paraId="3507E3B8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i/>
                <w:sz w:val="22"/>
                <w:szCs w:val="22"/>
                <w:lang w:val="sr-Latn-ME" w:bidi="en-US"/>
              </w:rPr>
              <w:t>Urtikarija</w:t>
            </w:r>
            <w:r w:rsidRPr="00815C87">
              <w:rPr>
                <w:position w:val="8"/>
                <w:sz w:val="22"/>
                <w:szCs w:val="22"/>
                <w:lang w:val="sr-Latn-ME" w:bidi="en-US"/>
              </w:rPr>
              <w:t>†</w:t>
            </w:r>
          </w:p>
        </w:tc>
      </w:tr>
      <w:tr w:rsidR="00A81139" w:rsidRPr="00815C87" w14:paraId="0A30899E" w14:textId="77777777" w:rsidTr="00281113">
        <w:trPr>
          <w:trHeight w:val="253"/>
        </w:trPr>
        <w:tc>
          <w:tcPr>
            <w:tcW w:w="2953" w:type="dxa"/>
            <w:vMerge/>
            <w:tcBorders>
              <w:top w:val="nil"/>
            </w:tcBorders>
          </w:tcPr>
          <w:p w14:paraId="4C80F86B" w14:textId="77777777" w:rsidR="00A81139" w:rsidRPr="00815C87" w:rsidRDefault="00A81139" w:rsidP="00A8113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288" w:type="dxa"/>
          </w:tcPr>
          <w:p w14:paraId="0AC6F3F8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Nepoznate</w:t>
            </w:r>
          </w:p>
        </w:tc>
        <w:tc>
          <w:tcPr>
            <w:tcW w:w="4115" w:type="dxa"/>
          </w:tcPr>
          <w:p w14:paraId="0D8A356F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i/>
                <w:sz w:val="22"/>
                <w:szCs w:val="22"/>
                <w:lang w:val="sr-Latn-ME" w:bidi="en-US"/>
              </w:rPr>
              <w:t>Angioedem</w:t>
            </w:r>
            <w:proofErr w:type="spellEnd"/>
            <w:r w:rsidRPr="00815C87">
              <w:rPr>
                <w:position w:val="8"/>
                <w:sz w:val="22"/>
                <w:szCs w:val="22"/>
                <w:lang w:val="sr-Latn-ME" w:bidi="en-US"/>
              </w:rPr>
              <w:t>‡</w:t>
            </w:r>
          </w:p>
        </w:tc>
      </w:tr>
      <w:tr w:rsidR="00A81139" w:rsidRPr="00815C87" w14:paraId="6837ED1E" w14:textId="77777777" w:rsidTr="00281113">
        <w:trPr>
          <w:trHeight w:val="282"/>
        </w:trPr>
        <w:tc>
          <w:tcPr>
            <w:tcW w:w="2953" w:type="dxa"/>
            <w:vMerge w:val="restart"/>
          </w:tcPr>
          <w:p w14:paraId="031C1EE9" w14:textId="77777777" w:rsidR="00A81139" w:rsidRPr="00815C87" w:rsidRDefault="00A81139" w:rsidP="00A81139">
            <w:pPr>
              <w:widowControl w:val="0"/>
              <w:autoSpaceDE w:val="0"/>
              <w:autoSpaceDN w:val="0"/>
              <w:ind w:left="107" w:right="17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lastRenderedPageBreak/>
              <w:t>Opšti poremećaji i reakcije na mjestu primjene</w:t>
            </w:r>
          </w:p>
        </w:tc>
        <w:tc>
          <w:tcPr>
            <w:tcW w:w="2288" w:type="dxa"/>
          </w:tcPr>
          <w:p w14:paraId="68DA8012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Veoma česte</w:t>
            </w:r>
          </w:p>
        </w:tc>
        <w:tc>
          <w:tcPr>
            <w:tcW w:w="4115" w:type="dxa"/>
          </w:tcPr>
          <w:p w14:paraId="217031EC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Pireksija</w:t>
            </w:r>
            <w:proofErr w:type="spellEnd"/>
          </w:p>
        </w:tc>
      </w:tr>
      <w:tr w:rsidR="00A81139" w:rsidRPr="00815C87" w14:paraId="491FDD4A" w14:textId="77777777" w:rsidTr="00281113">
        <w:trPr>
          <w:trHeight w:val="253"/>
        </w:trPr>
        <w:tc>
          <w:tcPr>
            <w:tcW w:w="2953" w:type="dxa"/>
            <w:vMerge/>
            <w:tcBorders>
              <w:top w:val="nil"/>
            </w:tcBorders>
          </w:tcPr>
          <w:p w14:paraId="4490958E" w14:textId="77777777" w:rsidR="00A81139" w:rsidRPr="00815C87" w:rsidRDefault="00A81139" w:rsidP="00A8113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288" w:type="dxa"/>
          </w:tcPr>
          <w:p w14:paraId="79C63383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before="1" w:line="23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Nepoznate učestalosti</w:t>
            </w:r>
          </w:p>
        </w:tc>
        <w:tc>
          <w:tcPr>
            <w:tcW w:w="4115" w:type="dxa"/>
          </w:tcPr>
          <w:p w14:paraId="43B31B01" w14:textId="77777777" w:rsidR="00A81139" w:rsidRPr="00815C87" w:rsidRDefault="00A81139" w:rsidP="00A81139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i/>
                <w:sz w:val="22"/>
                <w:szCs w:val="22"/>
                <w:lang w:val="sr-Latn-ME" w:bidi="en-US"/>
              </w:rPr>
              <w:t>Iritabilnost</w:t>
            </w:r>
            <w:proofErr w:type="spellEnd"/>
            <w:r w:rsidRPr="00815C87">
              <w:rPr>
                <w:position w:val="8"/>
                <w:sz w:val="22"/>
                <w:szCs w:val="22"/>
                <w:lang w:val="sr-Latn-ME" w:bidi="en-US"/>
              </w:rPr>
              <w:t>‡</w:t>
            </w:r>
          </w:p>
        </w:tc>
      </w:tr>
    </w:tbl>
    <w:p w14:paraId="53496425" w14:textId="77777777" w:rsidR="00A81139" w:rsidRPr="00815C87" w:rsidRDefault="00A81139" w:rsidP="00A81139">
      <w:pPr>
        <w:widowControl w:val="0"/>
        <w:autoSpaceDE w:val="0"/>
        <w:autoSpaceDN w:val="0"/>
        <w:spacing w:before="93"/>
        <w:jc w:val="both"/>
        <w:rPr>
          <w:sz w:val="22"/>
          <w:szCs w:val="22"/>
          <w:lang w:val="sr-Latn-ME" w:bidi="en-US"/>
        </w:rPr>
      </w:pPr>
      <w:r w:rsidRPr="00815C87">
        <w:rPr>
          <w:position w:val="8"/>
          <w:sz w:val="22"/>
          <w:szCs w:val="22"/>
          <w:lang w:val="sr-Latn-ME" w:bidi="en-US"/>
        </w:rPr>
        <w:t>†</w:t>
      </w:r>
      <w:r w:rsidRPr="00815C87">
        <w:rPr>
          <w:sz w:val="22"/>
          <w:szCs w:val="22"/>
          <w:lang w:val="sr-Latn-ME" w:bidi="en-US"/>
        </w:rPr>
        <w:t xml:space="preserve">Ova neželjena reakcija je uočena u </w:t>
      </w:r>
      <w:proofErr w:type="spellStart"/>
      <w:r w:rsidRPr="00815C87">
        <w:rPr>
          <w:sz w:val="22"/>
          <w:szCs w:val="22"/>
          <w:lang w:val="sr-Latn-ME" w:bidi="en-US"/>
        </w:rPr>
        <w:t>postmarketinškom</w:t>
      </w:r>
      <w:proofErr w:type="spellEnd"/>
      <w:r w:rsidRPr="00815C87">
        <w:rPr>
          <w:sz w:val="22"/>
          <w:szCs w:val="22"/>
          <w:lang w:val="sr-Latn-ME" w:bidi="en-US"/>
        </w:rPr>
        <w:t xml:space="preserve"> praćenju. Kategorija učestalosti je procijenjena na osnovu podataka iz relevantnih kliničkih ispitivanja.</w:t>
      </w:r>
    </w:p>
    <w:p w14:paraId="4193CDBC" w14:textId="77777777" w:rsidR="00A81139" w:rsidRPr="00815C87" w:rsidRDefault="00A81139" w:rsidP="00A81139">
      <w:pPr>
        <w:widowControl w:val="0"/>
        <w:autoSpaceDE w:val="0"/>
        <w:autoSpaceDN w:val="0"/>
        <w:spacing w:line="249" w:lineRule="exact"/>
        <w:rPr>
          <w:sz w:val="22"/>
          <w:szCs w:val="22"/>
          <w:lang w:val="sr-Latn-ME" w:bidi="en-US"/>
        </w:rPr>
      </w:pPr>
      <w:r w:rsidRPr="00815C87">
        <w:rPr>
          <w:position w:val="8"/>
          <w:sz w:val="22"/>
          <w:szCs w:val="22"/>
          <w:lang w:val="sr-Latn-ME" w:bidi="en-US"/>
        </w:rPr>
        <w:t xml:space="preserve">α </w:t>
      </w:r>
      <w:r w:rsidRPr="00815C87">
        <w:rPr>
          <w:sz w:val="22"/>
          <w:szCs w:val="22"/>
          <w:lang w:val="sr-Latn-ME" w:bidi="en-US"/>
        </w:rPr>
        <w:t xml:space="preserve">Kategorija učestalosti je </w:t>
      </w:r>
      <w:proofErr w:type="spellStart"/>
      <w:r w:rsidRPr="00815C87">
        <w:rPr>
          <w:sz w:val="22"/>
          <w:szCs w:val="22"/>
          <w:lang w:val="sr-Latn-ME" w:bidi="en-US"/>
        </w:rPr>
        <w:t>procenjena</w:t>
      </w:r>
      <w:proofErr w:type="spellEnd"/>
      <w:r w:rsidRPr="00815C87">
        <w:rPr>
          <w:sz w:val="22"/>
          <w:szCs w:val="22"/>
          <w:lang w:val="sr-Latn-ME" w:bidi="en-US"/>
        </w:rPr>
        <w:t xml:space="preserve"> na osnovu podataka iz opservacionih studija.</w:t>
      </w:r>
    </w:p>
    <w:p w14:paraId="5E488D85" w14:textId="77777777" w:rsidR="00A81139" w:rsidRPr="00815C87" w:rsidRDefault="00A81139" w:rsidP="00A81139">
      <w:pPr>
        <w:widowControl w:val="0"/>
        <w:autoSpaceDE w:val="0"/>
        <w:autoSpaceDN w:val="0"/>
        <w:spacing w:line="253" w:lineRule="exact"/>
        <w:rPr>
          <w:sz w:val="22"/>
          <w:szCs w:val="22"/>
          <w:lang w:val="sr-Latn-ME" w:bidi="en-US"/>
        </w:rPr>
      </w:pPr>
      <w:r w:rsidRPr="00815C87">
        <w:rPr>
          <w:position w:val="8"/>
          <w:sz w:val="22"/>
          <w:szCs w:val="22"/>
          <w:lang w:val="sr-Latn-ME" w:bidi="en-US"/>
        </w:rPr>
        <w:t>*</w:t>
      </w:r>
      <w:r w:rsidRPr="00815C87">
        <w:rPr>
          <w:sz w:val="22"/>
          <w:szCs w:val="22"/>
          <w:lang w:val="sr-Latn-ME" w:bidi="en-US"/>
        </w:rPr>
        <w:t>Vidjeti dio 4.4.</w:t>
      </w:r>
    </w:p>
    <w:p w14:paraId="206A1A8F" w14:textId="77777777" w:rsidR="00A81139" w:rsidRPr="00815C87" w:rsidRDefault="00A81139" w:rsidP="000866AE">
      <w:pPr>
        <w:widowControl w:val="0"/>
        <w:autoSpaceDE w:val="0"/>
        <w:autoSpaceDN w:val="0"/>
        <w:spacing w:line="242" w:lineRule="auto"/>
        <w:rPr>
          <w:sz w:val="22"/>
          <w:szCs w:val="22"/>
          <w:lang w:val="sr-Latn-ME" w:bidi="en-US"/>
        </w:rPr>
      </w:pPr>
      <w:r w:rsidRPr="00815C87">
        <w:rPr>
          <w:position w:val="8"/>
          <w:sz w:val="22"/>
          <w:szCs w:val="22"/>
          <w:lang w:val="sr-Latn-ME" w:bidi="en-US"/>
        </w:rPr>
        <w:t>‡</w:t>
      </w:r>
      <w:r w:rsidRPr="00815C87">
        <w:rPr>
          <w:sz w:val="22"/>
          <w:szCs w:val="22"/>
          <w:lang w:val="sr-Latn-ME" w:bidi="en-US"/>
        </w:rPr>
        <w:t xml:space="preserve">Neželjeni događaji prijavljeni u </w:t>
      </w:r>
      <w:proofErr w:type="spellStart"/>
      <w:r w:rsidRPr="00815C87">
        <w:rPr>
          <w:sz w:val="22"/>
          <w:szCs w:val="22"/>
          <w:lang w:val="sr-Latn-ME" w:bidi="en-US"/>
        </w:rPr>
        <w:t>postmarketinškom</w:t>
      </w:r>
      <w:proofErr w:type="spellEnd"/>
      <w:r w:rsidRPr="00815C87">
        <w:rPr>
          <w:sz w:val="22"/>
          <w:szCs w:val="22"/>
          <w:lang w:val="sr-Latn-ME" w:bidi="en-US"/>
        </w:rPr>
        <w:t xml:space="preserve"> periodu (učestalost se ne može procijeniti iz dostupnih podataka).</w:t>
      </w:r>
    </w:p>
    <w:p w14:paraId="2189A15D" w14:textId="77777777" w:rsidR="00A94485" w:rsidRPr="00815C87" w:rsidRDefault="00A94485" w:rsidP="00A81139">
      <w:pPr>
        <w:widowControl w:val="0"/>
        <w:autoSpaceDE w:val="0"/>
        <w:autoSpaceDN w:val="0"/>
        <w:spacing w:line="242" w:lineRule="auto"/>
        <w:ind w:right="892"/>
        <w:rPr>
          <w:sz w:val="22"/>
          <w:szCs w:val="22"/>
          <w:lang w:val="sr-Latn-ME" w:bidi="en-US"/>
        </w:rPr>
      </w:pPr>
    </w:p>
    <w:p w14:paraId="38003637" w14:textId="77777777" w:rsidR="00A81139" w:rsidRPr="00815C87" w:rsidRDefault="00A81139" w:rsidP="00A81139">
      <w:pPr>
        <w:widowControl w:val="0"/>
        <w:numPr>
          <w:ilvl w:val="0"/>
          <w:numId w:val="13"/>
        </w:numPr>
        <w:tabs>
          <w:tab w:val="left" w:pos="627"/>
        </w:tabs>
        <w:autoSpaceDE w:val="0"/>
        <w:autoSpaceDN w:val="0"/>
        <w:spacing w:before="1"/>
        <w:ind w:left="210" w:hanging="210"/>
        <w:jc w:val="both"/>
        <w:rPr>
          <w:sz w:val="22"/>
          <w:szCs w:val="22"/>
          <w:u w:color="000000"/>
          <w:lang w:val="sr-Latn-ME" w:bidi="en-US"/>
        </w:rPr>
      </w:pPr>
      <w:r w:rsidRPr="00815C87">
        <w:rPr>
          <w:sz w:val="22"/>
          <w:szCs w:val="22"/>
          <w:u w:val="single" w:color="000000"/>
          <w:lang w:val="sr-Latn-ME" w:bidi="en-US"/>
        </w:rPr>
        <w:t>Opis odabranih neželjenih</w:t>
      </w:r>
      <w:r w:rsidRPr="00815C87">
        <w:rPr>
          <w:spacing w:val="-3"/>
          <w:sz w:val="22"/>
          <w:szCs w:val="22"/>
          <w:u w:val="single" w:color="000000"/>
          <w:lang w:val="sr-Latn-ME" w:bidi="en-US"/>
        </w:rPr>
        <w:t xml:space="preserve"> </w:t>
      </w:r>
      <w:r w:rsidRPr="00815C87">
        <w:rPr>
          <w:sz w:val="22"/>
          <w:szCs w:val="22"/>
          <w:u w:val="single" w:color="000000"/>
          <w:lang w:val="sr-Latn-ME" w:bidi="en-US"/>
        </w:rPr>
        <w:t>reakcija</w:t>
      </w:r>
    </w:p>
    <w:p w14:paraId="7B2CB61E" w14:textId="2E5FC4C2" w:rsidR="00A81139" w:rsidRPr="00815C87" w:rsidRDefault="00A81139" w:rsidP="000866AE">
      <w:pPr>
        <w:widowControl w:val="0"/>
        <w:autoSpaceDE w:val="0"/>
        <w:autoSpaceDN w:val="0"/>
        <w:spacing w:before="2"/>
        <w:ind w:left="1"/>
        <w:jc w:val="both"/>
        <w:rPr>
          <w:sz w:val="22"/>
          <w:szCs w:val="22"/>
          <w:lang w:val="sr-Latn-ME" w:bidi="en-US"/>
        </w:rPr>
      </w:pPr>
      <w:proofErr w:type="spellStart"/>
      <w:r w:rsidRPr="00815C87">
        <w:rPr>
          <w:sz w:val="22"/>
          <w:szCs w:val="22"/>
          <w:lang w:val="sr-Latn-ME" w:bidi="en-US"/>
        </w:rPr>
        <w:t>Kavasakijeva</w:t>
      </w:r>
      <w:proofErr w:type="spellEnd"/>
      <w:r w:rsidRPr="00815C87">
        <w:rPr>
          <w:sz w:val="22"/>
          <w:szCs w:val="22"/>
          <w:lang w:val="sr-Latn-ME" w:bidi="en-US"/>
        </w:rPr>
        <w:t xml:space="preserve"> bolest je zabilježen</w:t>
      </w:r>
      <w:r w:rsidR="00AC7A49">
        <w:rPr>
          <w:sz w:val="22"/>
          <w:szCs w:val="22"/>
          <w:lang w:val="sr-Latn-ME" w:bidi="en-US"/>
        </w:rPr>
        <w:t>a kod 5 od 36150 vakcinisanih (</w:t>
      </w:r>
      <w:r w:rsidR="00AC7A49" w:rsidRPr="00A81139">
        <w:rPr>
          <w:rFonts w:ascii="Symbol" w:hAnsi="Symbol"/>
          <w:sz w:val="22"/>
          <w:szCs w:val="22"/>
          <w:lang w:bidi="en-US"/>
        </w:rPr>
        <w:t></w:t>
      </w:r>
      <w:r w:rsidRPr="00815C87">
        <w:rPr>
          <w:sz w:val="22"/>
          <w:szCs w:val="22"/>
          <w:lang w:val="sr-Latn-ME" w:bidi="en-US"/>
        </w:rPr>
        <w:t xml:space="preserve"> 0,1%) i kod jednog od 35536 uče</w:t>
      </w:r>
      <w:r w:rsidR="00AC7A49">
        <w:rPr>
          <w:sz w:val="22"/>
          <w:szCs w:val="22"/>
          <w:lang w:val="sr-Latn-ME" w:bidi="en-US"/>
        </w:rPr>
        <w:t xml:space="preserve">snika koji su primili </w:t>
      </w:r>
      <w:proofErr w:type="spellStart"/>
      <w:r w:rsidR="00AC7A49">
        <w:rPr>
          <w:sz w:val="22"/>
          <w:szCs w:val="22"/>
          <w:lang w:val="sr-Latn-ME" w:bidi="en-US"/>
        </w:rPr>
        <w:t>placebo</w:t>
      </w:r>
      <w:proofErr w:type="spellEnd"/>
      <w:r w:rsidR="00AC7A49">
        <w:rPr>
          <w:sz w:val="22"/>
          <w:szCs w:val="22"/>
          <w:lang w:val="sr-Latn-ME" w:bidi="en-US"/>
        </w:rPr>
        <w:t xml:space="preserve"> (</w:t>
      </w:r>
      <w:r w:rsidR="00AC7A49" w:rsidRPr="00A81139">
        <w:rPr>
          <w:rFonts w:ascii="Symbol" w:hAnsi="Symbol"/>
          <w:sz w:val="22"/>
          <w:szCs w:val="22"/>
          <w:lang w:bidi="en-US"/>
        </w:rPr>
        <w:t></w:t>
      </w:r>
      <w:r w:rsidRPr="00815C87">
        <w:rPr>
          <w:sz w:val="22"/>
          <w:szCs w:val="22"/>
          <w:lang w:val="sr-Latn-ME" w:bidi="en-US"/>
        </w:rPr>
        <w:t xml:space="preserve"> 0,1%) </w:t>
      </w:r>
      <w:r w:rsidR="00AC7A49">
        <w:rPr>
          <w:sz w:val="22"/>
          <w:szCs w:val="22"/>
          <w:lang w:val="sr-Latn-ME" w:bidi="en-US"/>
        </w:rPr>
        <w:t>uz relativan rizik (</w:t>
      </w:r>
      <w:proofErr w:type="spellStart"/>
      <w:r w:rsidR="00AC7A49">
        <w:rPr>
          <w:sz w:val="22"/>
          <w:szCs w:val="22"/>
          <w:lang w:val="sr-Latn-ME" w:bidi="en-US"/>
        </w:rPr>
        <w:t>RR</w:t>
      </w:r>
      <w:proofErr w:type="spellEnd"/>
      <w:r w:rsidR="00AC7A49">
        <w:rPr>
          <w:sz w:val="22"/>
          <w:szCs w:val="22"/>
          <w:lang w:val="sr-Latn-ME" w:bidi="en-US"/>
        </w:rPr>
        <w:t xml:space="preserve">) od 4,9 </w:t>
      </w:r>
      <w:r w:rsidR="00AC7A49" w:rsidRPr="00A81139">
        <w:rPr>
          <w:rFonts w:ascii="Symbol" w:hAnsi="Symbol"/>
          <w:sz w:val="22"/>
          <w:szCs w:val="22"/>
          <w:lang w:bidi="en-US"/>
        </w:rPr>
        <w:t></w:t>
      </w:r>
      <w:r w:rsidR="00AC7A49">
        <w:rPr>
          <w:sz w:val="22"/>
          <w:szCs w:val="22"/>
          <w:lang w:val="sr-Latn-ME" w:bidi="en-US"/>
        </w:rPr>
        <w:t>95% CI, 0,6-239,1</w:t>
      </w:r>
      <w:r w:rsidR="00AC7A49" w:rsidRPr="00A81139">
        <w:rPr>
          <w:rFonts w:ascii="Symbol" w:hAnsi="Symbol"/>
          <w:sz w:val="22"/>
          <w:szCs w:val="22"/>
          <w:lang w:bidi="en-US"/>
        </w:rPr>
        <w:t></w:t>
      </w:r>
      <w:r w:rsidRPr="00815C87">
        <w:rPr>
          <w:sz w:val="22"/>
          <w:szCs w:val="22"/>
          <w:lang w:val="sr-Latn-ME" w:bidi="en-US"/>
        </w:rPr>
        <w:t xml:space="preserve"> (nije statistički značajno). U jednoj velikoj </w:t>
      </w:r>
      <w:proofErr w:type="spellStart"/>
      <w:r w:rsidRPr="00815C87">
        <w:rPr>
          <w:sz w:val="22"/>
          <w:szCs w:val="22"/>
          <w:lang w:val="sr-Latn-ME" w:bidi="en-US"/>
        </w:rPr>
        <w:t>postmarketinškoj</w:t>
      </w:r>
      <w:proofErr w:type="spellEnd"/>
      <w:r w:rsidRPr="00815C87">
        <w:rPr>
          <w:sz w:val="22"/>
          <w:szCs w:val="22"/>
          <w:lang w:val="sr-Latn-ME" w:bidi="en-US"/>
        </w:rPr>
        <w:t xml:space="preserve"> opservacionoj studiji praćenja bezbjednosti lijeka nije uočen povećan rizik za pojavu </w:t>
      </w:r>
      <w:proofErr w:type="spellStart"/>
      <w:r w:rsidRPr="00815C87">
        <w:rPr>
          <w:sz w:val="22"/>
          <w:szCs w:val="22"/>
          <w:lang w:val="sr-Latn-ME" w:bidi="en-US"/>
        </w:rPr>
        <w:t>Kavasakijeve</w:t>
      </w:r>
      <w:proofErr w:type="spellEnd"/>
      <w:r w:rsidRPr="00815C87">
        <w:rPr>
          <w:sz w:val="22"/>
          <w:szCs w:val="22"/>
          <w:lang w:val="sr-Latn-ME" w:bidi="en-US"/>
        </w:rPr>
        <w:t xml:space="preserve"> bolesti kod odojčadi koja su primila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vakcinu (vidjeti dio 5.1).</w:t>
      </w:r>
      <w:r w:rsidR="00AC7A49">
        <w:rPr>
          <w:sz w:val="22"/>
          <w:szCs w:val="22"/>
          <w:lang w:val="sr-Latn-ME" w:bidi="en-US"/>
        </w:rPr>
        <w:t xml:space="preserve"> </w:t>
      </w:r>
    </w:p>
    <w:p w14:paraId="7D538A71" w14:textId="77777777" w:rsidR="00A81139" w:rsidRPr="00815C87" w:rsidRDefault="00A81139" w:rsidP="00A81139">
      <w:pPr>
        <w:widowControl w:val="0"/>
        <w:autoSpaceDE w:val="0"/>
        <w:autoSpaceDN w:val="0"/>
        <w:spacing w:before="11"/>
        <w:rPr>
          <w:sz w:val="22"/>
          <w:szCs w:val="22"/>
          <w:lang w:val="sr-Latn-ME" w:bidi="en-US"/>
        </w:rPr>
      </w:pPr>
    </w:p>
    <w:p w14:paraId="08F30079" w14:textId="77777777" w:rsidR="00A81139" w:rsidRPr="00815C87" w:rsidRDefault="00A81139" w:rsidP="00A81139">
      <w:pPr>
        <w:widowControl w:val="0"/>
        <w:autoSpaceDE w:val="0"/>
        <w:autoSpaceDN w:val="0"/>
        <w:spacing w:line="253" w:lineRule="exact"/>
        <w:ind w:left="1"/>
        <w:rPr>
          <w:b/>
          <w:sz w:val="22"/>
          <w:szCs w:val="22"/>
          <w:lang w:val="sr-Latn-ME" w:bidi="en-US"/>
        </w:rPr>
      </w:pPr>
      <w:proofErr w:type="spellStart"/>
      <w:r w:rsidRPr="00815C87">
        <w:rPr>
          <w:sz w:val="22"/>
          <w:szCs w:val="22"/>
          <w:u w:val="single"/>
          <w:lang w:val="sr-Latn-ME" w:bidi="en-US"/>
        </w:rPr>
        <w:t>Intususcepcija</w:t>
      </w:r>
      <w:proofErr w:type="spellEnd"/>
      <w:r w:rsidRPr="00815C87">
        <w:rPr>
          <w:b/>
          <w:sz w:val="22"/>
          <w:szCs w:val="22"/>
          <w:u w:val="single"/>
          <w:lang w:val="sr-Latn-ME" w:bidi="en-US"/>
        </w:rPr>
        <w:t>:</w:t>
      </w:r>
    </w:p>
    <w:p w14:paraId="6D65D954" w14:textId="2CE6BCAE" w:rsidR="00A81139" w:rsidRPr="00815C87" w:rsidRDefault="00A81139" w:rsidP="000866AE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Podaci iz opservacionih studija bezbjednosti, izvođenih u nekoliko zemalja, pokazuju da vakcine protiv </w:t>
      </w:r>
      <w:proofErr w:type="spellStart"/>
      <w:r w:rsidRPr="00815C87">
        <w:rPr>
          <w:sz w:val="22"/>
          <w:szCs w:val="22"/>
          <w:lang w:val="sr-Latn-ME" w:bidi="en-US"/>
        </w:rPr>
        <w:t>rotavirusa</w:t>
      </w:r>
      <w:proofErr w:type="spellEnd"/>
      <w:r w:rsidRPr="00815C87">
        <w:rPr>
          <w:sz w:val="22"/>
          <w:szCs w:val="22"/>
          <w:lang w:val="sr-Latn-ME" w:bidi="en-US"/>
        </w:rPr>
        <w:t xml:space="preserve"> povećavaju rizik za pojavu </w:t>
      </w:r>
      <w:proofErr w:type="spellStart"/>
      <w:r w:rsidRPr="00815C87">
        <w:rPr>
          <w:sz w:val="22"/>
          <w:szCs w:val="22"/>
          <w:lang w:val="sr-Latn-ME" w:bidi="en-US"/>
        </w:rPr>
        <w:t>intususcepcije</w:t>
      </w:r>
      <w:proofErr w:type="spellEnd"/>
      <w:r w:rsidRPr="00815C87">
        <w:rPr>
          <w:sz w:val="22"/>
          <w:szCs w:val="22"/>
          <w:lang w:val="sr-Latn-ME" w:bidi="en-US"/>
        </w:rPr>
        <w:t xml:space="preserve"> za do 6 dodatnih slučajeva na 100000 odojčadi u roku od 7 dana nakon vakcinacije. Postoje ograničeni dokazi o blagom povećanju rizika nakon primjene druge doze. Osnovna </w:t>
      </w:r>
      <w:proofErr w:type="spellStart"/>
      <w:r w:rsidRPr="00815C87">
        <w:rPr>
          <w:sz w:val="22"/>
          <w:szCs w:val="22"/>
          <w:lang w:val="sr-Latn-ME" w:bidi="en-US"/>
        </w:rPr>
        <w:t>incidenca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intususcepcije</w:t>
      </w:r>
      <w:proofErr w:type="spellEnd"/>
      <w:r w:rsidRPr="00815C87">
        <w:rPr>
          <w:sz w:val="22"/>
          <w:szCs w:val="22"/>
          <w:lang w:val="sr-Latn-ME" w:bidi="en-US"/>
        </w:rPr>
        <w:t xml:space="preserve"> kod odojčadi uzrasta do jedne godine u ovim zemljama kretala se u rasponu od 25 do 101 na 100000 odojčadi godišnje. Ostaje nejasno da li vakcine protiv </w:t>
      </w:r>
      <w:proofErr w:type="spellStart"/>
      <w:r w:rsidRPr="00815C87">
        <w:rPr>
          <w:sz w:val="22"/>
          <w:szCs w:val="22"/>
          <w:lang w:val="sr-Latn-ME" w:bidi="en-US"/>
        </w:rPr>
        <w:t>rotavirusa</w:t>
      </w:r>
      <w:proofErr w:type="spellEnd"/>
      <w:r w:rsidRPr="00815C87">
        <w:rPr>
          <w:sz w:val="22"/>
          <w:szCs w:val="22"/>
          <w:lang w:val="sr-Latn-ME" w:bidi="en-US"/>
        </w:rPr>
        <w:t xml:space="preserve"> utiču na ukupnu </w:t>
      </w:r>
      <w:proofErr w:type="spellStart"/>
      <w:r w:rsidRPr="00815C87">
        <w:rPr>
          <w:sz w:val="22"/>
          <w:szCs w:val="22"/>
          <w:lang w:val="sr-Latn-ME" w:bidi="en-US"/>
        </w:rPr>
        <w:t>incidencu</w:t>
      </w:r>
      <w:proofErr w:type="spellEnd"/>
      <w:r w:rsidRPr="00815C87">
        <w:rPr>
          <w:sz w:val="22"/>
          <w:szCs w:val="22"/>
          <w:lang w:val="sr-Latn-ME" w:bidi="en-US"/>
        </w:rPr>
        <w:t xml:space="preserve"> pojave </w:t>
      </w:r>
      <w:proofErr w:type="spellStart"/>
      <w:r w:rsidRPr="00815C87">
        <w:rPr>
          <w:sz w:val="22"/>
          <w:szCs w:val="22"/>
          <w:lang w:val="sr-Latn-ME" w:bidi="en-US"/>
        </w:rPr>
        <w:t>intususcepcije</w:t>
      </w:r>
      <w:proofErr w:type="spellEnd"/>
      <w:r w:rsidRPr="00815C87">
        <w:rPr>
          <w:sz w:val="22"/>
          <w:szCs w:val="22"/>
          <w:lang w:val="sr-Latn-ME" w:bidi="en-US"/>
        </w:rPr>
        <w:t xml:space="preserve"> na osnovu dužeg perioda praćenja</w:t>
      </w:r>
      <w:r w:rsidR="005E3569" w:rsidRPr="00815C87">
        <w:rPr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>(vidjeti dio</w:t>
      </w:r>
      <w:r w:rsidRPr="00815C87">
        <w:rPr>
          <w:spacing w:val="-6"/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>4.4).</w:t>
      </w:r>
    </w:p>
    <w:p w14:paraId="387A967E" w14:textId="77777777" w:rsidR="00A81139" w:rsidRPr="00815C87" w:rsidRDefault="00A81139" w:rsidP="00A81139">
      <w:pPr>
        <w:widowControl w:val="0"/>
        <w:autoSpaceDE w:val="0"/>
        <w:autoSpaceDN w:val="0"/>
        <w:spacing w:line="242" w:lineRule="auto"/>
        <w:ind w:right="892"/>
        <w:rPr>
          <w:sz w:val="22"/>
          <w:szCs w:val="22"/>
          <w:lang w:val="sr-Latn-ME" w:bidi="en-US"/>
        </w:rPr>
      </w:pPr>
    </w:p>
    <w:p w14:paraId="51EC2921" w14:textId="77777777" w:rsidR="00A81139" w:rsidRPr="00815C87" w:rsidRDefault="00A81139" w:rsidP="00A81139">
      <w:pPr>
        <w:widowControl w:val="0"/>
        <w:numPr>
          <w:ilvl w:val="0"/>
          <w:numId w:val="13"/>
        </w:numPr>
        <w:tabs>
          <w:tab w:val="left" w:pos="639"/>
        </w:tabs>
        <w:autoSpaceDE w:val="0"/>
        <w:autoSpaceDN w:val="0"/>
        <w:ind w:left="222" w:hanging="222"/>
        <w:jc w:val="both"/>
        <w:rPr>
          <w:sz w:val="22"/>
          <w:szCs w:val="22"/>
          <w:u w:color="000000"/>
          <w:lang w:val="sr-Latn-ME" w:bidi="en-US"/>
        </w:rPr>
      </w:pPr>
      <w:r w:rsidRPr="00815C87">
        <w:rPr>
          <w:sz w:val="22"/>
          <w:szCs w:val="22"/>
          <w:u w:val="single" w:color="000000"/>
          <w:lang w:val="sr-Latn-ME" w:bidi="en-US"/>
        </w:rPr>
        <w:t>Ostale posebne grupe</w:t>
      </w:r>
      <w:r w:rsidRPr="00815C87">
        <w:rPr>
          <w:spacing w:val="-1"/>
          <w:sz w:val="22"/>
          <w:szCs w:val="22"/>
          <w:u w:val="single" w:color="000000"/>
          <w:lang w:val="sr-Latn-ME" w:bidi="en-US"/>
        </w:rPr>
        <w:t xml:space="preserve"> </w:t>
      </w:r>
      <w:r w:rsidRPr="00815C87">
        <w:rPr>
          <w:sz w:val="22"/>
          <w:szCs w:val="22"/>
          <w:u w:val="single" w:color="000000"/>
          <w:lang w:val="sr-Latn-ME" w:bidi="en-US"/>
        </w:rPr>
        <w:t>pacijenata</w:t>
      </w:r>
    </w:p>
    <w:p w14:paraId="6BF2AA28" w14:textId="2AE13920" w:rsidR="00A81139" w:rsidRPr="00815C87" w:rsidRDefault="00A81139" w:rsidP="00A81139">
      <w:pPr>
        <w:widowControl w:val="0"/>
        <w:autoSpaceDE w:val="0"/>
        <w:autoSpaceDN w:val="0"/>
        <w:spacing w:before="1"/>
        <w:ind w:left="1"/>
        <w:jc w:val="both"/>
        <w:rPr>
          <w:sz w:val="22"/>
          <w:szCs w:val="22"/>
          <w:lang w:val="sr-Latn-ME" w:bidi="en-US"/>
        </w:rPr>
      </w:pPr>
      <w:proofErr w:type="spellStart"/>
      <w:r w:rsidRPr="00815C87">
        <w:rPr>
          <w:sz w:val="22"/>
          <w:szCs w:val="22"/>
          <w:lang w:val="sr-Latn-ME" w:bidi="en-US"/>
        </w:rPr>
        <w:t>Apnea</w:t>
      </w:r>
      <w:proofErr w:type="spellEnd"/>
      <w:r w:rsidRPr="00815C87">
        <w:rPr>
          <w:sz w:val="22"/>
          <w:szCs w:val="22"/>
          <w:lang w:val="sr-Latn-ME" w:bidi="en-US"/>
        </w:rPr>
        <w:t xml:space="preserve"> kod odojčadi rođene značajno prije </w:t>
      </w:r>
      <w:proofErr w:type="spellStart"/>
      <w:r w:rsidRPr="00815C87">
        <w:rPr>
          <w:sz w:val="22"/>
          <w:szCs w:val="22"/>
          <w:lang w:val="sr-Latn-ME" w:bidi="en-US"/>
        </w:rPr>
        <w:t>vremena</w:t>
      </w:r>
      <w:proofErr w:type="spellEnd"/>
      <w:r w:rsidRPr="00815C87">
        <w:rPr>
          <w:sz w:val="22"/>
          <w:szCs w:val="22"/>
          <w:lang w:val="sr-Latn-ME" w:bidi="en-US"/>
        </w:rPr>
        <w:t xml:space="preserve"> (rođene prije ili u 28. nedjelji trudnoće) (vidjeti dio 4.4).</w:t>
      </w:r>
    </w:p>
    <w:p w14:paraId="5776B232" w14:textId="77777777" w:rsidR="00A81139" w:rsidRPr="00815C87" w:rsidRDefault="00A81139" w:rsidP="00A81139">
      <w:pPr>
        <w:widowControl w:val="0"/>
        <w:autoSpaceDE w:val="0"/>
        <w:autoSpaceDN w:val="0"/>
        <w:rPr>
          <w:sz w:val="22"/>
          <w:szCs w:val="22"/>
          <w:lang w:val="sr-Latn-ME" w:bidi="en-US"/>
        </w:rPr>
      </w:pPr>
    </w:p>
    <w:p w14:paraId="7F9F1721" w14:textId="77777777" w:rsidR="00A81139" w:rsidRPr="00815C87" w:rsidRDefault="00A81139" w:rsidP="000866AE">
      <w:pPr>
        <w:widowControl w:val="0"/>
        <w:autoSpaceDE w:val="0"/>
        <w:autoSpaceDN w:val="0"/>
        <w:spacing w:before="1"/>
        <w:ind w:left="1" w:right="141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U </w:t>
      </w:r>
      <w:proofErr w:type="spellStart"/>
      <w:r w:rsidRPr="00815C87">
        <w:rPr>
          <w:sz w:val="22"/>
          <w:szCs w:val="22"/>
          <w:lang w:val="sr-Latn-ME" w:bidi="en-US"/>
        </w:rPr>
        <w:t>postmarketinškom</w:t>
      </w:r>
      <w:proofErr w:type="spellEnd"/>
      <w:r w:rsidRPr="00815C87">
        <w:rPr>
          <w:sz w:val="22"/>
          <w:szCs w:val="22"/>
          <w:lang w:val="sr-Latn-ME" w:bidi="en-US"/>
        </w:rPr>
        <w:t xml:space="preserve"> praćenju zabilježeni su slučajevi </w:t>
      </w:r>
      <w:proofErr w:type="spellStart"/>
      <w:r w:rsidRPr="00815C87">
        <w:rPr>
          <w:sz w:val="22"/>
          <w:szCs w:val="22"/>
          <w:lang w:val="sr-Latn-ME" w:bidi="en-US"/>
        </w:rPr>
        <w:t>gastroenteritisa</w:t>
      </w:r>
      <w:proofErr w:type="spellEnd"/>
      <w:r w:rsidRPr="00815C87">
        <w:rPr>
          <w:sz w:val="22"/>
          <w:szCs w:val="22"/>
          <w:lang w:val="sr-Latn-ME" w:bidi="en-US"/>
        </w:rPr>
        <w:t xml:space="preserve"> sa rasijavanjem virusa iz vakcine kod odojčadi sa teškom kombinovanom </w:t>
      </w:r>
      <w:proofErr w:type="spellStart"/>
      <w:r w:rsidRPr="00815C87">
        <w:rPr>
          <w:sz w:val="22"/>
          <w:szCs w:val="22"/>
          <w:lang w:val="sr-Latn-ME" w:bidi="en-US"/>
        </w:rPr>
        <w:t>imunodeficijencijom</w:t>
      </w:r>
      <w:proofErr w:type="spellEnd"/>
      <w:r w:rsidRPr="00815C87">
        <w:rPr>
          <w:sz w:val="22"/>
          <w:szCs w:val="22"/>
          <w:lang w:val="sr-Latn-ME" w:bidi="en-US"/>
        </w:rPr>
        <w:t xml:space="preserve"> (</w:t>
      </w:r>
      <w:proofErr w:type="spellStart"/>
      <w:r w:rsidRPr="00815C87">
        <w:rPr>
          <w:sz w:val="22"/>
          <w:szCs w:val="22"/>
          <w:lang w:val="sr-Latn-ME" w:bidi="en-US"/>
        </w:rPr>
        <w:t>SCID</w:t>
      </w:r>
      <w:proofErr w:type="spellEnd"/>
      <w:r w:rsidRPr="00815C87">
        <w:rPr>
          <w:sz w:val="22"/>
          <w:szCs w:val="22"/>
          <w:lang w:val="sr-Latn-ME" w:bidi="en-US"/>
        </w:rPr>
        <w:t>).</w:t>
      </w:r>
    </w:p>
    <w:p w14:paraId="15474D91" w14:textId="77777777" w:rsidR="009212E3" w:rsidRPr="00815C87" w:rsidRDefault="009212E3" w:rsidP="00A81139">
      <w:pPr>
        <w:widowControl w:val="0"/>
        <w:autoSpaceDE w:val="0"/>
        <w:autoSpaceDN w:val="0"/>
        <w:spacing w:before="1"/>
        <w:ind w:left="1" w:right="779"/>
        <w:rPr>
          <w:sz w:val="22"/>
          <w:szCs w:val="22"/>
          <w:lang w:val="sr-Latn-ME" w:bidi="en-US"/>
        </w:rPr>
      </w:pPr>
    </w:p>
    <w:p w14:paraId="0E3C666B" w14:textId="77777777" w:rsidR="002811EA" w:rsidRPr="00815C87" w:rsidRDefault="002811EA" w:rsidP="002811E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815C87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E31E120" w14:textId="77777777" w:rsidR="002811EA" w:rsidRPr="00815C87" w:rsidRDefault="002811EA" w:rsidP="002811E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815C87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A9662B1" w14:textId="77777777" w:rsidR="002811EA" w:rsidRPr="00815C87" w:rsidRDefault="002811EA" w:rsidP="002811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15C87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1654E084" w14:textId="77777777" w:rsidR="002811EA" w:rsidRPr="00815C87" w:rsidRDefault="002811EA" w:rsidP="002811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15C87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815C87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5135F4FB" w14:textId="77777777" w:rsidR="002811EA" w:rsidRPr="00815C87" w:rsidRDefault="002811EA" w:rsidP="002811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15C8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E041089" w14:textId="77777777" w:rsidR="002811EA" w:rsidRPr="00815C87" w:rsidRDefault="002811EA" w:rsidP="002811EA">
      <w:pPr>
        <w:pStyle w:val="NoSpacing"/>
        <w:rPr>
          <w:rFonts w:eastAsia="Calibri"/>
          <w:sz w:val="22"/>
          <w:szCs w:val="22"/>
          <w:lang w:val="sr-Latn-ME"/>
        </w:rPr>
      </w:pPr>
    </w:p>
    <w:p w14:paraId="1CFB18F6" w14:textId="77777777" w:rsidR="002811EA" w:rsidRPr="00815C87" w:rsidRDefault="002811EA" w:rsidP="002811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15C87">
        <w:rPr>
          <w:rFonts w:eastAsia="Calibri"/>
          <w:sz w:val="22"/>
          <w:szCs w:val="22"/>
          <w:lang w:val="sr-Latn-ME"/>
        </w:rPr>
        <w:t>tel: +382 (0) 20 310 280</w:t>
      </w:r>
    </w:p>
    <w:p w14:paraId="67F949E4" w14:textId="77777777" w:rsidR="002811EA" w:rsidRPr="00815C87" w:rsidRDefault="002811EA" w:rsidP="002811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815C87">
        <w:rPr>
          <w:rFonts w:eastAsia="Calibri"/>
          <w:sz w:val="22"/>
          <w:szCs w:val="22"/>
          <w:lang w:val="sr-Latn-ME"/>
        </w:rPr>
        <w:t>fax</w:t>
      </w:r>
      <w:proofErr w:type="spellEnd"/>
      <w:r w:rsidRPr="00815C87">
        <w:rPr>
          <w:rFonts w:eastAsia="Calibri"/>
          <w:sz w:val="22"/>
          <w:szCs w:val="22"/>
          <w:lang w:val="sr-Latn-ME"/>
        </w:rPr>
        <w:t>: +382 (0) 20 310 581</w:t>
      </w:r>
    </w:p>
    <w:p w14:paraId="61949654" w14:textId="77777777" w:rsidR="002811EA" w:rsidRPr="00815C87" w:rsidRDefault="0098550F" w:rsidP="002811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2" w:history="1">
        <w:r w:rsidR="002811EA" w:rsidRPr="00815C8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C5800F0" w14:textId="77777777" w:rsidR="002811EA" w:rsidRPr="00815C87" w:rsidRDefault="0098550F" w:rsidP="002811E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3" w:history="1">
        <w:r w:rsidR="002811EA" w:rsidRPr="00815C8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728CAA8" w14:textId="65371D72" w:rsidR="002811EA" w:rsidRPr="00815C87" w:rsidRDefault="002811EA" w:rsidP="002811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15C87">
        <w:rPr>
          <w:rFonts w:eastAsia="Calibri"/>
          <w:sz w:val="22"/>
          <w:szCs w:val="22"/>
          <w:lang w:val="sr-Latn-ME"/>
        </w:rPr>
        <w:t>putem IS zdravstvene zaštite</w:t>
      </w:r>
    </w:p>
    <w:p w14:paraId="40C4E3F0" w14:textId="77777777" w:rsidR="005E3569" w:rsidRPr="00815C87" w:rsidRDefault="005E3569" w:rsidP="005E356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815C87">
        <w:rPr>
          <w:rFonts w:eastAsia="Calibri"/>
          <w:sz w:val="22"/>
          <w:szCs w:val="22"/>
          <w:lang w:val="sr-Latn-ME"/>
        </w:rPr>
        <w:t>QR</w:t>
      </w:r>
      <w:proofErr w:type="spellEnd"/>
      <w:r w:rsidRPr="00815C87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815C87">
        <w:rPr>
          <w:rFonts w:eastAsia="Calibri"/>
          <w:sz w:val="22"/>
          <w:szCs w:val="22"/>
          <w:lang w:val="sr-Latn-ME"/>
        </w:rPr>
        <w:t>online</w:t>
      </w:r>
      <w:proofErr w:type="spellEnd"/>
      <w:r w:rsidRPr="00815C87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5C694AA6" w14:textId="77777777" w:rsidR="005E3569" w:rsidRPr="00815C87" w:rsidRDefault="005E3569" w:rsidP="005E356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E61A1B0" w14:textId="77777777" w:rsidR="005E3569" w:rsidRPr="00815C87" w:rsidRDefault="005E3569" w:rsidP="005E356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15C87">
        <w:rPr>
          <w:noProof/>
          <w:sz w:val="22"/>
          <w:szCs w:val="22"/>
          <w:lang w:val="sr-Latn-ME" w:eastAsia="sr-Latn-ME"/>
        </w:rPr>
        <w:drawing>
          <wp:inline distT="0" distB="0" distL="0" distR="0" wp14:anchorId="1284BF8C" wp14:editId="09B512D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9B2C" w14:textId="77777777" w:rsidR="005E3569" w:rsidRPr="00815C87" w:rsidRDefault="005E3569" w:rsidP="002811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DC1DF41" w14:textId="77777777" w:rsidR="00CD6F02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4.9.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proofErr w:type="spellStart"/>
      <w:r w:rsidRPr="00815C87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815C87">
        <w:rPr>
          <w:b/>
          <w:bCs/>
          <w:sz w:val="22"/>
          <w:szCs w:val="22"/>
          <w:lang w:val="sr-Latn-ME"/>
        </w:rPr>
        <w:t xml:space="preserve"> </w:t>
      </w:r>
    </w:p>
    <w:p w14:paraId="519E97E7" w14:textId="77777777" w:rsidR="00CD6F02" w:rsidRPr="00815C87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C366A36" w14:textId="77777777" w:rsidR="00A81139" w:rsidRPr="00815C87" w:rsidRDefault="00A81139" w:rsidP="00A81139">
      <w:pPr>
        <w:widowControl w:val="0"/>
        <w:autoSpaceDE w:val="0"/>
        <w:autoSpaceDN w:val="0"/>
        <w:spacing w:before="34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Zabilježeni su slučajevi davanja većih doza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vakcine od onih koje su preporučene.</w:t>
      </w:r>
    </w:p>
    <w:p w14:paraId="5E9565AB" w14:textId="77777777" w:rsidR="00A81139" w:rsidRPr="00815C87" w:rsidRDefault="00A81139" w:rsidP="00A81139">
      <w:pPr>
        <w:widowControl w:val="0"/>
        <w:autoSpaceDE w:val="0"/>
        <w:autoSpaceDN w:val="0"/>
        <w:spacing w:before="1"/>
        <w:rPr>
          <w:sz w:val="22"/>
          <w:szCs w:val="22"/>
          <w:lang w:val="sr-Latn-ME" w:bidi="en-US"/>
        </w:rPr>
      </w:pPr>
    </w:p>
    <w:p w14:paraId="246A38F9" w14:textId="1EE429B1" w:rsidR="00227BDB" w:rsidRPr="00815C87" w:rsidRDefault="00A81139" w:rsidP="000866A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lastRenderedPageBreak/>
        <w:t xml:space="preserve">Uopšteno, profil neželjenih reakcija zabilježen kod </w:t>
      </w:r>
      <w:proofErr w:type="spellStart"/>
      <w:r w:rsidRPr="00815C87">
        <w:rPr>
          <w:sz w:val="22"/>
          <w:szCs w:val="22"/>
          <w:lang w:val="sr-Latn-ME" w:bidi="en-US"/>
        </w:rPr>
        <w:t>predoziranja</w:t>
      </w:r>
      <w:proofErr w:type="spellEnd"/>
      <w:r w:rsidRPr="00815C87">
        <w:rPr>
          <w:sz w:val="22"/>
          <w:szCs w:val="22"/>
          <w:lang w:val="sr-Latn-ME" w:bidi="en-US"/>
        </w:rPr>
        <w:t xml:space="preserve"> bio je uporediv sa profilom uočenim kod davanja preporučenih doza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vakcine.</w:t>
      </w:r>
    </w:p>
    <w:p w14:paraId="2BB11433" w14:textId="77777777" w:rsidR="00F06287" w:rsidRPr="00815C87" w:rsidRDefault="00F06287" w:rsidP="00A81139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</w:p>
    <w:p w14:paraId="1A1878DC" w14:textId="77777777" w:rsidR="00A81139" w:rsidRPr="00815C87" w:rsidRDefault="00A81139" w:rsidP="00A8113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7E13F94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5.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FARMAKOLOŠK</w:t>
      </w:r>
      <w:r w:rsidR="000D425A" w:rsidRPr="00815C87">
        <w:rPr>
          <w:b/>
          <w:bCs/>
          <w:sz w:val="22"/>
          <w:szCs w:val="22"/>
          <w:lang w:val="sr-Latn-ME"/>
        </w:rPr>
        <w:t>I</w:t>
      </w:r>
      <w:r w:rsidRPr="00815C87">
        <w:rPr>
          <w:b/>
          <w:bCs/>
          <w:sz w:val="22"/>
          <w:szCs w:val="22"/>
          <w:lang w:val="sr-Latn-ME"/>
        </w:rPr>
        <w:t xml:space="preserve"> PODACI</w:t>
      </w:r>
    </w:p>
    <w:p w14:paraId="5750D852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87AD89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5.1.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proofErr w:type="spellStart"/>
      <w:r w:rsidRPr="00815C87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815C87">
        <w:rPr>
          <w:b/>
          <w:bCs/>
          <w:sz w:val="22"/>
          <w:szCs w:val="22"/>
          <w:lang w:val="sr-Latn-ME"/>
        </w:rPr>
        <w:t xml:space="preserve"> podaci</w:t>
      </w:r>
      <w:r w:rsidR="003A7059" w:rsidRPr="00815C87">
        <w:rPr>
          <w:b/>
          <w:bCs/>
          <w:sz w:val="22"/>
          <w:szCs w:val="22"/>
          <w:lang w:val="sr-Latn-ME"/>
        </w:rPr>
        <w:t xml:space="preserve"> </w:t>
      </w:r>
    </w:p>
    <w:p w14:paraId="17194241" w14:textId="77777777" w:rsidR="00F45F77" w:rsidRPr="00815C87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6296C16" w14:textId="77E3FE69" w:rsidR="007E712F" w:rsidRPr="00815C87" w:rsidRDefault="007E712F" w:rsidP="00480FB1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  <w:proofErr w:type="spellStart"/>
      <w:r w:rsidRPr="00815C87">
        <w:rPr>
          <w:b/>
          <w:sz w:val="22"/>
          <w:szCs w:val="22"/>
          <w:lang w:val="sr-Latn-ME" w:bidi="en-US"/>
        </w:rPr>
        <w:t>Farmakoterapijska</w:t>
      </w:r>
      <w:proofErr w:type="spellEnd"/>
      <w:r w:rsidRPr="00815C87">
        <w:rPr>
          <w:b/>
          <w:sz w:val="22"/>
          <w:szCs w:val="22"/>
          <w:lang w:val="sr-Latn-ME" w:bidi="en-US"/>
        </w:rPr>
        <w:t xml:space="preserve"> grupa:</w:t>
      </w:r>
      <w:r w:rsidRPr="00815C87">
        <w:rPr>
          <w:b/>
          <w:sz w:val="22"/>
          <w:szCs w:val="22"/>
          <w:lang w:val="sr-Latn-ME"/>
        </w:rPr>
        <w:t xml:space="preserve"> </w:t>
      </w:r>
      <w:r w:rsidRPr="00815C87">
        <w:rPr>
          <w:sz w:val="22"/>
          <w:szCs w:val="22"/>
          <w:lang w:val="sr-Latn-ME" w:bidi="en-US"/>
        </w:rPr>
        <w:t>vakcine, virusne vakcine</w:t>
      </w:r>
    </w:p>
    <w:p w14:paraId="603900F5" w14:textId="77777777" w:rsidR="007E712F" w:rsidRPr="00815C87" w:rsidRDefault="007E712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9A27A6" w14:textId="7677F569" w:rsidR="007E712F" w:rsidRPr="00815C87" w:rsidRDefault="007E712F" w:rsidP="00480FB1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  <w:r w:rsidRPr="00815C87">
        <w:rPr>
          <w:b/>
          <w:sz w:val="22"/>
          <w:szCs w:val="22"/>
          <w:lang w:val="sr-Latn-ME" w:bidi="en-US"/>
        </w:rPr>
        <w:t xml:space="preserve">ATC kod: </w:t>
      </w:r>
      <w:r w:rsidRPr="00815C87">
        <w:rPr>
          <w:sz w:val="22"/>
          <w:szCs w:val="22"/>
          <w:lang w:val="sr-Latn-ME" w:bidi="en-US"/>
        </w:rPr>
        <w:t>J07BH02</w:t>
      </w:r>
    </w:p>
    <w:p w14:paraId="0FCD622C" w14:textId="77777777" w:rsidR="007E712F" w:rsidRPr="00815C87" w:rsidRDefault="007E712F" w:rsidP="00480FB1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</w:p>
    <w:p w14:paraId="76F35953" w14:textId="77777777" w:rsidR="007E712F" w:rsidRPr="00815C87" w:rsidRDefault="007E712F" w:rsidP="007E712F">
      <w:pPr>
        <w:pStyle w:val="TableParagraph"/>
        <w:spacing w:before="67"/>
        <w:ind w:left="54"/>
        <w:jc w:val="both"/>
        <w:rPr>
          <w:u w:val="single"/>
          <w:lang w:val="sr-Latn-ME"/>
        </w:rPr>
      </w:pPr>
      <w:r w:rsidRPr="00815C87">
        <w:rPr>
          <w:u w:val="single"/>
          <w:lang w:val="sr-Latn-ME"/>
        </w:rPr>
        <w:t>Efikasnost</w:t>
      </w:r>
    </w:p>
    <w:p w14:paraId="70B6B5FE" w14:textId="77777777" w:rsidR="007E712F" w:rsidRPr="00815C87" w:rsidRDefault="007E712F" w:rsidP="007E712F">
      <w:pPr>
        <w:pStyle w:val="TableParagraph"/>
        <w:spacing w:before="67"/>
        <w:ind w:left="54"/>
        <w:jc w:val="both"/>
        <w:rPr>
          <w:lang w:val="sr-Latn-ME"/>
        </w:rPr>
      </w:pPr>
    </w:p>
    <w:p w14:paraId="2C70C065" w14:textId="39A5BB0D" w:rsidR="007E712F" w:rsidRPr="000866AE" w:rsidRDefault="007E712F" w:rsidP="000866AE">
      <w:pPr>
        <w:widowControl w:val="0"/>
        <w:autoSpaceDE w:val="0"/>
        <w:autoSpaceDN w:val="0"/>
        <w:spacing w:before="1"/>
        <w:ind w:left="1"/>
        <w:jc w:val="both"/>
        <w:rPr>
          <w:sz w:val="22"/>
          <w:szCs w:val="22"/>
          <w:lang w:val="sr-Latn-ME" w:bidi="en-US"/>
        </w:rPr>
      </w:pPr>
      <w:r w:rsidRPr="000866AE">
        <w:rPr>
          <w:sz w:val="22"/>
          <w:szCs w:val="22"/>
          <w:lang w:val="sr-Latn-ME" w:bidi="en-US"/>
        </w:rPr>
        <w:t xml:space="preserve">U kliničkim ispitivanjima dokazana je efikasnost protiv </w:t>
      </w:r>
      <w:proofErr w:type="spellStart"/>
      <w:r w:rsidRPr="000866AE">
        <w:rPr>
          <w:sz w:val="22"/>
          <w:szCs w:val="22"/>
          <w:lang w:val="sr-Latn-ME" w:bidi="en-US"/>
        </w:rPr>
        <w:t>gastroenteritisa</w:t>
      </w:r>
      <w:proofErr w:type="spellEnd"/>
      <w:r w:rsidRPr="000866AE">
        <w:rPr>
          <w:sz w:val="22"/>
          <w:szCs w:val="22"/>
          <w:lang w:val="sr-Latn-ME" w:bidi="en-US"/>
        </w:rPr>
        <w:t xml:space="preserve"> uzrokova</w:t>
      </w:r>
      <w:r w:rsidR="000866AE">
        <w:rPr>
          <w:sz w:val="22"/>
          <w:szCs w:val="22"/>
          <w:lang w:val="sr-Latn-ME" w:bidi="en-US"/>
        </w:rPr>
        <w:t xml:space="preserve">nog </w:t>
      </w:r>
      <w:proofErr w:type="spellStart"/>
      <w:r w:rsidR="000866AE">
        <w:rPr>
          <w:sz w:val="22"/>
          <w:szCs w:val="22"/>
          <w:lang w:val="sr-Latn-ME" w:bidi="en-US"/>
        </w:rPr>
        <w:t>genotipovima</w:t>
      </w:r>
      <w:proofErr w:type="spellEnd"/>
      <w:r w:rsidR="000866AE">
        <w:rPr>
          <w:sz w:val="22"/>
          <w:szCs w:val="22"/>
          <w:lang w:val="sr-Latn-ME" w:bidi="en-US"/>
        </w:rPr>
        <w:t xml:space="preserve"> </w:t>
      </w:r>
      <w:proofErr w:type="spellStart"/>
      <w:r w:rsidR="000866AE">
        <w:rPr>
          <w:sz w:val="22"/>
          <w:szCs w:val="22"/>
          <w:lang w:val="sr-Latn-ME" w:bidi="en-US"/>
        </w:rPr>
        <w:t>rotavirusa</w:t>
      </w:r>
      <w:proofErr w:type="spellEnd"/>
      <w:r w:rsidR="000866AE">
        <w:rPr>
          <w:sz w:val="22"/>
          <w:szCs w:val="22"/>
          <w:lang w:val="sr-Latn-ME" w:bidi="en-US"/>
        </w:rPr>
        <w:t xml:space="preserve"> </w:t>
      </w:r>
      <w:proofErr w:type="spellStart"/>
      <w:r w:rsidR="000866AE">
        <w:rPr>
          <w:sz w:val="22"/>
          <w:szCs w:val="22"/>
          <w:lang w:val="sr-Latn-ME" w:bidi="en-US"/>
        </w:rPr>
        <w:t>G1P</w:t>
      </w:r>
      <w:proofErr w:type="spellEnd"/>
      <w:r w:rsidR="000866AE" w:rsidRPr="00815C87">
        <w:rPr>
          <w:sz w:val="22"/>
          <w:szCs w:val="22"/>
          <w:lang w:val="sr-Latn-ME"/>
        </w:rPr>
        <w:t>[8]</w:t>
      </w:r>
      <w:r w:rsidR="000866AE">
        <w:rPr>
          <w:sz w:val="22"/>
          <w:szCs w:val="22"/>
          <w:lang w:val="sr-Latn-ME" w:bidi="en-US"/>
        </w:rPr>
        <w:t xml:space="preserve">, </w:t>
      </w:r>
      <w:proofErr w:type="spellStart"/>
      <w:r w:rsidR="000866AE">
        <w:rPr>
          <w:sz w:val="22"/>
          <w:szCs w:val="22"/>
          <w:lang w:val="sr-Latn-ME" w:bidi="en-US"/>
        </w:rPr>
        <w:t>G2P</w:t>
      </w:r>
      <w:proofErr w:type="spellEnd"/>
      <w:r w:rsidR="000866AE">
        <w:rPr>
          <w:sz w:val="22"/>
          <w:szCs w:val="22"/>
          <w:lang w:val="sr-Latn-ME"/>
        </w:rPr>
        <w:t>[4</w:t>
      </w:r>
      <w:r w:rsidR="000866AE" w:rsidRPr="00815C87">
        <w:rPr>
          <w:sz w:val="22"/>
          <w:szCs w:val="22"/>
          <w:lang w:val="sr-Latn-ME"/>
        </w:rPr>
        <w:t>]</w:t>
      </w:r>
      <w:r w:rsidR="000866AE">
        <w:rPr>
          <w:sz w:val="22"/>
          <w:szCs w:val="22"/>
          <w:lang w:val="sr-Latn-ME" w:bidi="en-US"/>
        </w:rPr>
        <w:t xml:space="preserve">, </w:t>
      </w:r>
      <w:proofErr w:type="spellStart"/>
      <w:r w:rsidR="000866AE">
        <w:rPr>
          <w:sz w:val="22"/>
          <w:szCs w:val="22"/>
          <w:lang w:val="sr-Latn-ME" w:bidi="en-US"/>
        </w:rPr>
        <w:t>G3P</w:t>
      </w:r>
      <w:proofErr w:type="spellEnd"/>
      <w:r w:rsidR="000866AE" w:rsidRPr="00815C87">
        <w:rPr>
          <w:sz w:val="22"/>
          <w:szCs w:val="22"/>
          <w:lang w:val="sr-Latn-ME"/>
        </w:rPr>
        <w:t>[8]</w:t>
      </w:r>
      <w:r w:rsidR="000866AE">
        <w:rPr>
          <w:sz w:val="22"/>
          <w:szCs w:val="22"/>
          <w:lang w:val="sr-Latn-ME" w:bidi="en-US"/>
        </w:rPr>
        <w:t xml:space="preserve">, </w:t>
      </w:r>
      <w:proofErr w:type="spellStart"/>
      <w:r w:rsidR="000866AE">
        <w:rPr>
          <w:sz w:val="22"/>
          <w:szCs w:val="22"/>
          <w:lang w:val="sr-Latn-ME" w:bidi="en-US"/>
        </w:rPr>
        <w:t>G4P</w:t>
      </w:r>
      <w:proofErr w:type="spellEnd"/>
      <w:r w:rsidR="000866AE" w:rsidRPr="00815C87">
        <w:rPr>
          <w:sz w:val="22"/>
          <w:szCs w:val="22"/>
          <w:lang w:val="sr-Latn-ME"/>
        </w:rPr>
        <w:t>[8]</w:t>
      </w:r>
      <w:r w:rsidR="000866AE">
        <w:rPr>
          <w:sz w:val="22"/>
          <w:szCs w:val="22"/>
          <w:lang w:val="sr-Latn-ME" w:bidi="en-US"/>
        </w:rPr>
        <w:t xml:space="preserve"> i </w:t>
      </w:r>
      <w:proofErr w:type="spellStart"/>
      <w:r w:rsidR="000866AE">
        <w:rPr>
          <w:sz w:val="22"/>
          <w:szCs w:val="22"/>
          <w:lang w:val="sr-Latn-ME" w:bidi="en-US"/>
        </w:rPr>
        <w:t>G9P</w:t>
      </w:r>
      <w:proofErr w:type="spellEnd"/>
      <w:r w:rsidR="000866AE" w:rsidRPr="00815C87">
        <w:rPr>
          <w:sz w:val="22"/>
          <w:szCs w:val="22"/>
          <w:lang w:val="sr-Latn-ME"/>
        </w:rPr>
        <w:t>[8]</w:t>
      </w:r>
      <w:r w:rsidRPr="000866AE">
        <w:rPr>
          <w:sz w:val="22"/>
          <w:szCs w:val="22"/>
          <w:lang w:val="sr-Latn-ME" w:bidi="en-US"/>
        </w:rPr>
        <w:t>.</w:t>
      </w:r>
    </w:p>
    <w:p w14:paraId="7C91A48D" w14:textId="77777777" w:rsidR="007E712F" w:rsidRPr="00815C87" w:rsidRDefault="007E712F" w:rsidP="007E712F">
      <w:pPr>
        <w:pStyle w:val="TableParagraph"/>
        <w:jc w:val="both"/>
        <w:rPr>
          <w:lang w:val="sr-Latn-ME"/>
        </w:rPr>
      </w:pPr>
    </w:p>
    <w:p w14:paraId="7A62A876" w14:textId="77777777" w:rsidR="007E712F" w:rsidRPr="00815C87" w:rsidRDefault="007E712F" w:rsidP="000866AE">
      <w:pPr>
        <w:pStyle w:val="TableParagraph"/>
        <w:ind w:left="54"/>
        <w:jc w:val="both"/>
        <w:rPr>
          <w:lang w:val="sr-Latn-ME"/>
        </w:rPr>
      </w:pPr>
      <w:r w:rsidRPr="00815C87">
        <w:rPr>
          <w:lang w:val="sr-Latn-ME"/>
        </w:rPr>
        <w:t xml:space="preserve">Efikasnost zaštite vakcinom </w:t>
      </w:r>
      <w:proofErr w:type="spellStart"/>
      <w:r w:rsidRPr="00815C87">
        <w:rPr>
          <w:bCs/>
          <w:lang w:val="sr-Latn-ME"/>
        </w:rPr>
        <w:t>RotaTeq</w:t>
      </w:r>
      <w:proofErr w:type="spellEnd"/>
      <w:r w:rsidRPr="00815C87">
        <w:rPr>
          <w:b/>
          <w:lang w:val="sr-Latn-ME"/>
        </w:rPr>
        <w:t xml:space="preserve"> </w:t>
      </w:r>
      <w:r w:rsidRPr="00815C87">
        <w:rPr>
          <w:lang w:val="sr-Latn-ME"/>
        </w:rPr>
        <w:t xml:space="preserve">procjenjivana je na dva načina u </w:t>
      </w:r>
      <w:proofErr w:type="spellStart"/>
      <w:r w:rsidRPr="00815C87">
        <w:rPr>
          <w:lang w:val="sr-Latn-ME"/>
        </w:rPr>
        <w:t>placebom</w:t>
      </w:r>
      <w:proofErr w:type="spellEnd"/>
      <w:r w:rsidRPr="00815C87">
        <w:rPr>
          <w:lang w:val="sr-Latn-ME"/>
        </w:rPr>
        <w:t xml:space="preserve"> kontrolisanom ispitivanju o efikasnosti i bezbjednosti protiv </w:t>
      </w:r>
      <w:proofErr w:type="spellStart"/>
      <w:r w:rsidRPr="00815C87">
        <w:rPr>
          <w:lang w:val="sr-Latn-ME"/>
        </w:rPr>
        <w:t>rotavirusa</w:t>
      </w:r>
      <w:proofErr w:type="spellEnd"/>
      <w:r w:rsidRPr="00815C87">
        <w:rPr>
          <w:lang w:val="sr-Latn-ME"/>
        </w:rPr>
        <w:t xml:space="preserve"> </w:t>
      </w:r>
      <w:r w:rsidRPr="00815C87">
        <w:rPr>
          <w:i/>
          <w:lang w:val="sr-Latn-ME"/>
        </w:rPr>
        <w:t xml:space="preserve">(engl. </w:t>
      </w:r>
      <w:proofErr w:type="spellStart"/>
      <w:r w:rsidRPr="00815C87">
        <w:rPr>
          <w:i/>
          <w:lang w:val="sr-Latn-ME"/>
        </w:rPr>
        <w:t>Rotavirus</w:t>
      </w:r>
      <w:proofErr w:type="spellEnd"/>
      <w:r w:rsidRPr="00815C87">
        <w:rPr>
          <w:i/>
          <w:lang w:val="sr-Latn-ME"/>
        </w:rPr>
        <w:t xml:space="preserve"> </w:t>
      </w:r>
      <w:proofErr w:type="spellStart"/>
      <w:r w:rsidRPr="00815C87">
        <w:rPr>
          <w:i/>
          <w:lang w:val="sr-Latn-ME"/>
        </w:rPr>
        <w:t>Efficacy</w:t>
      </w:r>
      <w:proofErr w:type="spellEnd"/>
      <w:r w:rsidRPr="00815C87">
        <w:rPr>
          <w:i/>
          <w:lang w:val="sr-Latn-ME"/>
        </w:rPr>
        <w:t xml:space="preserve"> </w:t>
      </w:r>
      <w:proofErr w:type="spellStart"/>
      <w:r w:rsidRPr="00815C87">
        <w:rPr>
          <w:i/>
          <w:lang w:val="sr-Latn-ME"/>
        </w:rPr>
        <w:t>and</w:t>
      </w:r>
      <w:proofErr w:type="spellEnd"/>
      <w:r w:rsidRPr="00815C87">
        <w:rPr>
          <w:i/>
          <w:lang w:val="sr-Latn-ME"/>
        </w:rPr>
        <w:t xml:space="preserve"> </w:t>
      </w:r>
      <w:proofErr w:type="spellStart"/>
      <w:r w:rsidRPr="00815C87">
        <w:rPr>
          <w:i/>
          <w:lang w:val="sr-Latn-ME"/>
        </w:rPr>
        <w:t>Safety</w:t>
      </w:r>
      <w:proofErr w:type="spellEnd"/>
      <w:r w:rsidRPr="00815C87">
        <w:rPr>
          <w:i/>
          <w:lang w:val="sr-Latn-ME"/>
        </w:rPr>
        <w:t xml:space="preserve"> </w:t>
      </w:r>
      <w:proofErr w:type="spellStart"/>
      <w:r w:rsidRPr="00815C87">
        <w:rPr>
          <w:i/>
          <w:lang w:val="sr-Latn-ME"/>
        </w:rPr>
        <w:t>Trial</w:t>
      </w:r>
      <w:proofErr w:type="spellEnd"/>
      <w:r w:rsidRPr="00815C87">
        <w:rPr>
          <w:i/>
          <w:lang w:val="sr-Latn-ME"/>
        </w:rPr>
        <w:t xml:space="preserve">, </w:t>
      </w:r>
      <w:proofErr w:type="spellStart"/>
      <w:r w:rsidRPr="00815C87">
        <w:rPr>
          <w:lang w:val="sr-Latn-ME"/>
        </w:rPr>
        <w:t>REST</w:t>
      </w:r>
      <w:proofErr w:type="spellEnd"/>
      <w:r w:rsidRPr="00815C87">
        <w:rPr>
          <w:lang w:val="sr-Latn-ME"/>
        </w:rPr>
        <w:t>):</w:t>
      </w:r>
    </w:p>
    <w:p w14:paraId="35E59ECB" w14:textId="77777777" w:rsidR="007E712F" w:rsidRPr="00815C87" w:rsidRDefault="007E712F" w:rsidP="007E712F">
      <w:pPr>
        <w:pStyle w:val="TableParagraph"/>
        <w:jc w:val="both"/>
        <w:rPr>
          <w:lang w:val="sr-Latn-ME"/>
        </w:rPr>
      </w:pPr>
    </w:p>
    <w:p w14:paraId="4509A930" w14:textId="77777777" w:rsidR="007E712F" w:rsidRPr="000866AE" w:rsidRDefault="007E712F" w:rsidP="000866AE">
      <w:pPr>
        <w:pStyle w:val="ListParagraph"/>
        <w:numPr>
          <w:ilvl w:val="0"/>
          <w:numId w:val="21"/>
        </w:numPr>
        <w:tabs>
          <w:tab w:val="left" w:pos="426"/>
          <w:tab w:val="left" w:pos="540"/>
        </w:tabs>
        <w:jc w:val="both"/>
        <w:rPr>
          <w:sz w:val="22"/>
          <w:szCs w:val="22"/>
          <w:lang w:val="sr-Latn-ME" w:bidi="en-US"/>
        </w:rPr>
      </w:pPr>
      <w:r w:rsidRPr="000866AE">
        <w:rPr>
          <w:sz w:val="22"/>
          <w:szCs w:val="22"/>
          <w:lang w:val="sr-Latn-ME" w:bidi="en-US"/>
        </w:rPr>
        <w:t xml:space="preserve">Kod 5673 vakcinisana odojčeta (2834 u grupi koja je primila vakcinu) efekat zaštite mjeren je kao smanjenje učestalosti </w:t>
      </w:r>
      <w:proofErr w:type="spellStart"/>
      <w:r w:rsidRPr="000866AE">
        <w:rPr>
          <w:sz w:val="22"/>
          <w:szCs w:val="22"/>
          <w:lang w:val="sr-Latn-ME" w:bidi="en-US"/>
        </w:rPr>
        <w:t>gastroenteritisa</w:t>
      </w:r>
      <w:proofErr w:type="spellEnd"/>
      <w:r w:rsidRPr="000866AE">
        <w:rPr>
          <w:sz w:val="22"/>
          <w:szCs w:val="22"/>
          <w:lang w:val="sr-Latn-ME" w:bidi="en-US"/>
        </w:rPr>
        <w:t xml:space="preserve"> izazvanog </w:t>
      </w:r>
      <w:proofErr w:type="spellStart"/>
      <w:r w:rsidRPr="000866AE">
        <w:rPr>
          <w:sz w:val="22"/>
          <w:szCs w:val="22"/>
          <w:lang w:val="sr-Latn-ME" w:bidi="en-US"/>
        </w:rPr>
        <w:t>rotavirusima</w:t>
      </w:r>
      <w:proofErr w:type="spellEnd"/>
      <w:r w:rsidRPr="000866AE">
        <w:rPr>
          <w:sz w:val="22"/>
          <w:szCs w:val="22"/>
          <w:lang w:val="sr-Latn-ME" w:bidi="en-US"/>
        </w:rPr>
        <w:t xml:space="preserve"> uzrokovanog </w:t>
      </w:r>
      <w:proofErr w:type="spellStart"/>
      <w:r w:rsidRPr="000866AE">
        <w:rPr>
          <w:sz w:val="22"/>
          <w:szCs w:val="22"/>
          <w:lang w:val="sr-Latn-ME" w:bidi="en-US"/>
        </w:rPr>
        <w:t>serotipovima</w:t>
      </w:r>
      <w:proofErr w:type="spellEnd"/>
      <w:r w:rsidRPr="000866AE">
        <w:rPr>
          <w:sz w:val="22"/>
          <w:szCs w:val="22"/>
          <w:lang w:val="sr-Latn-ME" w:bidi="en-US"/>
        </w:rPr>
        <w:t xml:space="preserve"> vakcine G (</w:t>
      </w:r>
      <w:proofErr w:type="spellStart"/>
      <w:r w:rsidRPr="000866AE">
        <w:rPr>
          <w:sz w:val="22"/>
          <w:szCs w:val="22"/>
          <w:lang w:val="sr-Latn-ME" w:bidi="en-US"/>
        </w:rPr>
        <w:t>G1-G4</w:t>
      </w:r>
      <w:proofErr w:type="spellEnd"/>
      <w:r w:rsidRPr="000866AE">
        <w:rPr>
          <w:sz w:val="22"/>
          <w:szCs w:val="22"/>
          <w:lang w:val="sr-Latn-ME" w:bidi="en-US"/>
        </w:rPr>
        <w:t xml:space="preserve">), koji se pojavio u </w:t>
      </w:r>
      <w:proofErr w:type="spellStart"/>
      <w:r w:rsidRPr="000866AE">
        <w:rPr>
          <w:sz w:val="22"/>
          <w:szCs w:val="22"/>
          <w:lang w:val="sr-Latn-ME" w:bidi="en-US"/>
        </w:rPr>
        <w:t>vremenu</w:t>
      </w:r>
      <w:proofErr w:type="spellEnd"/>
      <w:r w:rsidRPr="000866AE">
        <w:rPr>
          <w:sz w:val="22"/>
          <w:szCs w:val="22"/>
          <w:lang w:val="sr-Latn-ME" w:bidi="en-US"/>
        </w:rPr>
        <w:t xml:space="preserve"> od najmanje 14 dana nakon primjene treće doze vakcine tokom prve cijele </w:t>
      </w:r>
      <w:proofErr w:type="spellStart"/>
      <w:r w:rsidRPr="000866AE">
        <w:rPr>
          <w:sz w:val="22"/>
          <w:szCs w:val="22"/>
          <w:lang w:val="sr-Latn-ME" w:bidi="en-US"/>
        </w:rPr>
        <w:t>rotavirusne</w:t>
      </w:r>
      <w:proofErr w:type="spellEnd"/>
      <w:r w:rsidRPr="000866AE">
        <w:rPr>
          <w:sz w:val="22"/>
          <w:szCs w:val="22"/>
          <w:lang w:val="sr-Latn-ME" w:bidi="en-US"/>
        </w:rPr>
        <w:t xml:space="preserve"> sezone nakon vakcinacije.</w:t>
      </w:r>
    </w:p>
    <w:p w14:paraId="1EAC6F4E" w14:textId="77777777" w:rsidR="007E712F" w:rsidRPr="000866AE" w:rsidRDefault="007E712F" w:rsidP="000866A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bidi="en-US"/>
        </w:rPr>
      </w:pPr>
    </w:p>
    <w:p w14:paraId="5836C725" w14:textId="77777777" w:rsidR="007E712F" w:rsidRPr="000866AE" w:rsidRDefault="007E712F" w:rsidP="000866AE">
      <w:pPr>
        <w:pStyle w:val="ListParagraph"/>
        <w:numPr>
          <w:ilvl w:val="0"/>
          <w:numId w:val="21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 w:bidi="en-US"/>
        </w:rPr>
      </w:pPr>
      <w:r w:rsidRPr="000866AE">
        <w:rPr>
          <w:sz w:val="22"/>
          <w:szCs w:val="22"/>
          <w:lang w:val="sr-Latn-ME" w:bidi="en-US"/>
        </w:rPr>
        <w:t xml:space="preserve">Kod 68038 vakcinisanih odojčadi (34035 u grupi koja je primila vakcinu) efekat zaštite mjeren je kao smanjenje broja prijema u bolnicu i broja prijema na odjeljenje hitnih intervencija koji su posljedica </w:t>
      </w:r>
      <w:proofErr w:type="spellStart"/>
      <w:r w:rsidRPr="000866AE">
        <w:rPr>
          <w:sz w:val="22"/>
          <w:szCs w:val="22"/>
          <w:lang w:val="sr-Latn-ME" w:bidi="en-US"/>
        </w:rPr>
        <w:t>gastroenteritisa</w:t>
      </w:r>
      <w:proofErr w:type="spellEnd"/>
      <w:r w:rsidRPr="000866AE">
        <w:rPr>
          <w:sz w:val="22"/>
          <w:szCs w:val="22"/>
          <w:lang w:val="sr-Latn-ME" w:bidi="en-US"/>
        </w:rPr>
        <w:t xml:space="preserve"> izazvanog </w:t>
      </w:r>
      <w:proofErr w:type="spellStart"/>
      <w:r w:rsidRPr="000866AE">
        <w:rPr>
          <w:sz w:val="22"/>
          <w:szCs w:val="22"/>
          <w:lang w:val="sr-Latn-ME" w:bidi="en-US"/>
        </w:rPr>
        <w:t>rotavirusima</w:t>
      </w:r>
      <w:proofErr w:type="spellEnd"/>
      <w:r w:rsidRPr="000866AE">
        <w:rPr>
          <w:sz w:val="22"/>
          <w:szCs w:val="22"/>
          <w:lang w:val="sr-Latn-ME" w:bidi="en-US"/>
        </w:rPr>
        <w:t xml:space="preserve"> u </w:t>
      </w:r>
      <w:proofErr w:type="spellStart"/>
      <w:r w:rsidRPr="000866AE">
        <w:rPr>
          <w:sz w:val="22"/>
          <w:szCs w:val="22"/>
          <w:lang w:val="sr-Latn-ME" w:bidi="en-US"/>
        </w:rPr>
        <w:t>vremenu</w:t>
      </w:r>
      <w:proofErr w:type="spellEnd"/>
      <w:r w:rsidRPr="000866AE">
        <w:rPr>
          <w:sz w:val="22"/>
          <w:szCs w:val="22"/>
          <w:lang w:val="sr-Latn-ME" w:bidi="en-US"/>
        </w:rPr>
        <w:t xml:space="preserve"> od 14 dana nakon primjene treće doze.</w:t>
      </w:r>
    </w:p>
    <w:p w14:paraId="4882BF0B" w14:textId="77777777" w:rsidR="007E712F" w:rsidRPr="00815C87" w:rsidRDefault="007E712F" w:rsidP="007E712F">
      <w:pPr>
        <w:pStyle w:val="TableParagraph"/>
        <w:spacing w:before="1"/>
        <w:rPr>
          <w:lang w:val="sr-Latn-ME"/>
        </w:rPr>
      </w:pPr>
    </w:p>
    <w:p w14:paraId="5AE7D259" w14:textId="77777777" w:rsidR="007E712F" w:rsidRPr="00815C87" w:rsidRDefault="007E712F" w:rsidP="007E712F">
      <w:pPr>
        <w:pStyle w:val="TableParagraph"/>
        <w:spacing w:line="233" w:lineRule="exact"/>
        <w:ind w:left="54"/>
        <w:rPr>
          <w:lang w:val="sr-Latn-ME"/>
        </w:rPr>
      </w:pPr>
      <w:r w:rsidRPr="00815C87">
        <w:rPr>
          <w:lang w:val="sr-Latn-ME"/>
        </w:rPr>
        <w:t>Rezultati ovih analiza prikazani su u sljedećim tabelama:</w:t>
      </w:r>
    </w:p>
    <w:p w14:paraId="2F47DC8F" w14:textId="77777777" w:rsidR="007E712F" w:rsidRPr="00815C87" w:rsidRDefault="007E712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34"/>
        <w:gridCol w:w="1355"/>
        <w:gridCol w:w="1440"/>
        <w:gridCol w:w="1443"/>
        <w:gridCol w:w="1440"/>
        <w:gridCol w:w="1134"/>
      </w:tblGrid>
      <w:tr w:rsidR="00A81139" w:rsidRPr="00815C87" w14:paraId="6765A94B" w14:textId="77777777" w:rsidTr="00375F8C">
        <w:trPr>
          <w:trHeight w:val="774"/>
        </w:trPr>
        <w:tc>
          <w:tcPr>
            <w:tcW w:w="9776" w:type="dxa"/>
            <w:gridSpan w:val="7"/>
          </w:tcPr>
          <w:p w14:paraId="075F2383" w14:textId="77777777" w:rsidR="00A81139" w:rsidRPr="00815C87" w:rsidRDefault="00A81139" w:rsidP="00A90659">
            <w:pPr>
              <w:pStyle w:val="TableParagraph"/>
              <w:ind w:left="218" w:right="276"/>
              <w:jc w:val="center"/>
              <w:rPr>
                <w:lang w:val="sr-Latn-ME"/>
              </w:rPr>
            </w:pPr>
            <w:r w:rsidRPr="00815C87">
              <w:rPr>
                <w:lang w:val="sr-Latn-ME"/>
              </w:rPr>
              <w:t xml:space="preserve">Smanjenje učestalosti </w:t>
            </w:r>
            <w:proofErr w:type="spellStart"/>
            <w:r w:rsidRPr="00815C87">
              <w:rPr>
                <w:lang w:val="sr-Latn-ME"/>
              </w:rPr>
              <w:t>gastroenteritisa</w:t>
            </w:r>
            <w:proofErr w:type="spellEnd"/>
            <w:r w:rsidRPr="00815C87">
              <w:rPr>
                <w:lang w:val="sr-Latn-ME"/>
              </w:rPr>
              <w:t xml:space="preserve"> izazvanog </w:t>
            </w:r>
            <w:proofErr w:type="spellStart"/>
            <w:r w:rsidRPr="00815C87">
              <w:rPr>
                <w:lang w:val="sr-Latn-ME"/>
              </w:rPr>
              <w:t>rotavirusima</w:t>
            </w:r>
            <w:proofErr w:type="spellEnd"/>
            <w:r w:rsidRPr="00815C87">
              <w:rPr>
                <w:lang w:val="sr-Latn-ME"/>
              </w:rPr>
              <w:t xml:space="preserve"> tokom jedne cijele sezone nakon vakcinacije</w:t>
            </w:r>
          </w:p>
          <w:p w14:paraId="67E215A7" w14:textId="3EA35647" w:rsidR="00A81139" w:rsidRPr="00815C87" w:rsidRDefault="000866AE" w:rsidP="00A90659">
            <w:pPr>
              <w:pStyle w:val="TableParagraph"/>
              <w:spacing w:line="249" w:lineRule="exact"/>
              <w:ind w:left="218" w:right="273"/>
              <w:jc w:val="center"/>
              <w:rPr>
                <w:lang w:val="sr-Latn-ME"/>
              </w:rPr>
            </w:pPr>
            <w:r>
              <w:rPr>
                <w:lang w:val="sr-Latn-ME"/>
              </w:rPr>
              <w:t>(</w:t>
            </w:r>
            <w:proofErr w:type="spellStart"/>
            <w:r>
              <w:rPr>
                <w:lang w:val="sr-Latn-ME"/>
              </w:rPr>
              <w:t>RotaTeq</w:t>
            </w:r>
            <w:proofErr w:type="spellEnd"/>
            <w:r>
              <w:rPr>
                <w:lang w:val="sr-Latn-ME"/>
              </w:rPr>
              <w:t xml:space="preserve"> n=2834) (%</w:t>
            </w:r>
            <w:r>
              <w:rPr>
                <w:rFonts w:ascii="Symbol" w:hAnsi="Symbol"/>
              </w:rPr>
              <w:t></w:t>
            </w:r>
            <w:proofErr w:type="spellStart"/>
            <w:r>
              <w:rPr>
                <w:lang w:val="sr-Latn-ME"/>
              </w:rPr>
              <w:t>95%CI</w:t>
            </w:r>
            <w:proofErr w:type="spellEnd"/>
            <w:r>
              <w:rPr>
                <w:rFonts w:ascii="Symbol" w:hAnsi="Symbol"/>
              </w:rPr>
              <w:t></w:t>
            </w:r>
            <w:r w:rsidR="00A81139" w:rsidRPr="00815C87">
              <w:rPr>
                <w:lang w:val="sr-Latn-ME"/>
              </w:rPr>
              <w:t>)</w:t>
            </w:r>
          </w:p>
        </w:tc>
      </w:tr>
      <w:tr w:rsidR="00A81139" w:rsidRPr="00815C87" w14:paraId="55C6AECF" w14:textId="77777777" w:rsidTr="00375F8C">
        <w:trPr>
          <w:trHeight w:val="505"/>
        </w:trPr>
        <w:tc>
          <w:tcPr>
            <w:tcW w:w="2964" w:type="dxa"/>
            <w:gridSpan w:val="2"/>
          </w:tcPr>
          <w:p w14:paraId="421C853A" w14:textId="77777777" w:rsidR="00A81139" w:rsidRPr="00815C87" w:rsidRDefault="00A81139" w:rsidP="00A90659">
            <w:pPr>
              <w:pStyle w:val="TableParagraph"/>
              <w:rPr>
                <w:lang w:val="sr-Latn-ME"/>
              </w:rPr>
            </w:pPr>
          </w:p>
        </w:tc>
        <w:tc>
          <w:tcPr>
            <w:tcW w:w="6812" w:type="dxa"/>
            <w:gridSpan w:val="5"/>
          </w:tcPr>
          <w:p w14:paraId="5B2FD9E3" w14:textId="77777777" w:rsidR="00A81139" w:rsidRPr="00815C87" w:rsidRDefault="00A81139" w:rsidP="00A90659">
            <w:pPr>
              <w:pStyle w:val="TableParagraph"/>
              <w:spacing w:line="254" w:lineRule="exact"/>
              <w:ind w:left="2691" w:right="216" w:hanging="2516"/>
              <w:rPr>
                <w:lang w:val="sr-Latn-ME"/>
              </w:rPr>
            </w:pPr>
            <w:r w:rsidRPr="00815C87">
              <w:rPr>
                <w:lang w:val="sr-Latn-ME"/>
              </w:rPr>
              <w:t xml:space="preserve">Efikasnost protiv bolesti bilo koje težine uzrokovane </w:t>
            </w:r>
            <w:proofErr w:type="spellStart"/>
            <w:r w:rsidRPr="00815C87">
              <w:rPr>
                <w:lang w:val="sr-Latn-ME"/>
              </w:rPr>
              <w:t>genotipovima</w:t>
            </w:r>
            <w:proofErr w:type="spellEnd"/>
            <w:r w:rsidRPr="00815C87">
              <w:rPr>
                <w:lang w:val="sr-Latn-ME"/>
              </w:rPr>
              <w:t xml:space="preserve"> </w:t>
            </w:r>
            <w:proofErr w:type="spellStart"/>
            <w:r w:rsidRPr="00815C87">
              <w:rPr>
                <w:lang w:val="sr-Latn-ME"/>
              </w:rPr>
              <w:t>rotavirusa</w:t>
            </w:r>
            <w:proofErr w:type="spellEnd"/>
          </w:p>
        </w:tc>
      </w:tr>
      <w:tr w:rsidR="00A81139" w:rsidRPr="00815C87" w14:paraId="5BE61105" w14:textId="77777777" w:rsidTr="00375F8C">
        <w:trPr>
          <w:trHeight w:val="758"/>
        </w:trPr>
        <w:tc>
          <w:tcPr>
            <w:tcW w:w="1530" w:type="dxa"/>
          </w:tcPr>
          <w:p w14:paraId="422D10C4" w14:textId="2EBDBF7C" w:rsidR="00A81139" w:rsidRPr="00815C87" w:rsidRDefault="00A81139" w:rsidP="00A90659">
            <w:pPr>
              <w:pStyle w:val="TableParagraph"/>
              <w:spacing w:line="249" w:lineRule="exact"/>
              <w:ind w:left="107"/>
              <w:rPr>
                <w:lang w:val="sr-Latn-ME"/>
              </w:rPr>
            </w:pPr>
            <w:r w:rsidRPr="00815C87">
              <w:rPr>
                <w:lang w:val="sr-Latn-ME"/>
              </w:rPr>
              <w:t>Tešk</w:t>
            </w:r>
            <w:r w:rsidR="00AF7AD6" w:rsidRPr="00815C87">
              <w:rPr>
                <w:lang w:val="sr-Latn-ME"/>
              </w:rPr>
              <w:t>i</w:t>
            </w:r>
          </w:p>
          <w:p w14:paraId="55E919AD" w14:textId="1BCEAC3F" w:rsidR="00A81139" w:rsidRPr="00815C87" w:rsidRDefault="00AF7AD6" w:rsidP="00A90659">
            <w:pPr>
              <w:pStyle w:val="TableParagraph"/>
              <w:spacing w:before="5" w:line="252" w:lineRule="exact"/>
              <w:ind w:left="107" w:right="389"/>
              <w:rPr>
                <w:lang w:val="sr-Latn-ME"/>
              </w:rPr>
            </w:pPr>
            <w:r w:rsidRPr="00815C87">
              <w:rPr>
                <w:lang w:val="sr-Latn-ME"/>
              </w:rPr>
              <w:t xml:space="preserve">Oblik </w:t>
            </w:r>
            <w:r w:rsidR="00A81139" w:rsidRPr="00815C87">
              <w:rPr>
                <w:lang w:val="sr-Latn-ME"/>
              </w:rPr>
              <w:t>bolest</w:t>
            </w:r>
            <w:r w:rsidRPr="00815C87">
              <w:rPr>
                <w:lang w:val="sr-Latn-ME"/>
              </w:rPr>
              <w:t>i</w:t>
            </w:r>
            <w:r w:rsidR="00A81139" w:rsidRPr="00815C87">
              <w:rPr>
                <w:lang w:val="sr-Latn-ME"/>
              </w:rPr>
              <w:t>* (G1-G4)</w:t>
            </w:r>
          </w:p>
        </w:tc>
        <w:tc>
          <w:tcPr>
            <w:tcW w:w="1434" w:type="dxa"/>
          </w:tcPr>
          <w:p w14:paraId="6A8ADFF5" w14:textId="77777777" w:rsidR="00A81139" w:rsidRPr="00815C87" w:rsidRDefault="00A81139" w:rsidP="00A90659">
            <w:pPr>
              <w:pStyle w:val="TableParagraph"/>
              <w:spacing w:line="249" w:lineRule="exact"/>
              <w:ind w:left="107"/>
              <w:rPr>
                <w:lang w:val="sr-Latn-ME"/>
              </w:rPr>
            </w:pPr>
            <w:r w:rsidRPr="00815C87">
              <w:rPr>
                <w:lang w:val="sr-Latn-ME"/>
              </w:rPr>
              <w:t>Bolest bilo</w:t>
            </w:r>
          </w:p>
          <w:p w14:paraId="6CBE993C" w14:textId="77777777" w:rsidR="00A81139" w:rsidRPr="00815C87" w:rsidRDefault="00A81139" w:rsidP="00A90659">
            <w:pPr>
              <w:pStyle w:val="TableParagraph"/>
              <w:spacing w:before="5" w:line="252" w:lineRule="exact"/>
              <w:ind w:left="107" w:right="183"/>
              <w:rPr>
                <w:lang w:val="sr-Latn-ME"/>
              </w:rPr>
            </w:pPr>
            <w:r w:rsidRPr="00815C87">
              <w:rPr>
                <w:lang w:val="sr-Latn-ME"/>
              </w:rPr>
              <w:t>koje težine (G1-G4)</w:t>
            </w:r>
          </w:p>
        </w:tc>
        <w:tc>
          <w:tcPr>
            <w:tcW w:w="1355" w:type="dxa"/>
          </w:tcPr>
          <w:p w14:paraId="67098DD4" w14:textId="77777777" w:rsidR="00A81139" w:rsidRPr="00815C87" w:rsidRDefault="00A81139" w:rsidP="00A90659">
            <w:pPr>
              <w:pStyle w:val="TableParagraph"/>
              <w:spacing w:before="9"/>
              <w:rPr>
                <w:lang w:val="sr-Latn-ME"/>
              </w:rPr>
            </w:pPr>
          </w:p>
          <w:p w14:paraId="7492E1BE" w14:textId="77777777" w:rsidR="00A81139" w:rsidRPr="00815C87" w:rsidRDefault="00A81139" w:rsidP="00A90659">
            <w:pPr>
              <w:pStyle w:val="TableParagraph"/>
              <w:ind w:left="107"/>
              <w:rPr>
                <w:lang w:val="sr-Latn-ME"/>
              </w:rPr>
            </w:pPr>
            <w:r w:rsidRPr="00815C87">
              <w:rPr>
                <w:lang w:val="sr-Latn-ME"/>
              </w:rPr>
              <w:t>G1</w:t>
            </w:r>
          </w:p>
        </w:tc>
        <w:tc>
          <w:tcPr>
            <w:tcW w:w="1440" w:type="dxa"/>
          </w:tcPr>
          <w:p w14:paraId="41EB2D29" w14:textId="77777777" w:rsidR="00A81139" w:rsidRPr="00815C87" w:rsidRDefault="00A81139" w:rsidP="00A90659">
            <w:pPr>
              <w:pStyle w:val="TableParagraph"/>
              <w:spacing w:before="9"/>
              <w:rPr>
                <w:lang w:val="sr-Latn-ME"/>
              </w:rPr>
            </w:pPr>
          </w:p>
          <w:p w14:paraId="7630508A" w14:textId="77777777" w:rsidR="00A81139" w:rsidRPr="00815C87" w:rsidRDefault="00A81139" w:rsidP="00A90659">
            <w:pPr>
              <w:pStyle w:val="TableParagraph"/>
              <w:ind w:left="107"/>
              <w:rPr>
                <w:lang w:val="sr-Latn-ME"/>
              </w:rPr>
            </w:pPr>
            <w:r w:rsidRPr="00815C87">
              <w:rPr>
                <w:lang w:val="sr-Latn-ME"/>
              </w:rPr>
              <w:t>G2</w:t>
            </w:r>
          </w:p>
        </w:tc>
        <w:tc>
          <w:tcPr>
            <w:tcW w:w="1443" w:type="dxa"/>
          </w:tcPr>
          <w:p w14:paraId="368EA563" w14:textId="77777777" w:rsidR="00A81139" w:rsidRPr="00815C87" w:rsidRDefault="00A81139" w:rsidP="00A90659">
            <w:pPr>
              <w:pStyle w:val="TableParagraph"/>
              <w:spacing w:before="9"/>
              <w:rPr>
                <w:lang w:val="sr-Latn-ME"/>
              </w:rPr>
            </w:pPr>
          </w:p>
          <w:p w14:paraId="196B8622" w14:textId="77777777" w:rsidR="00A81139" w:rsidRPr="00815C87" w:rsidRDefault="00A81139" w:rsidP="00A90659">
            <w:pPr>
              <w:pStyle w:val="TableParagraph"/>
              <w:ind w:left="109"/>
              <w:rPr>
                <w:lang w:val="sr-Latn-ME"/>
              </w:rPr>
            </w:pPr>
            <w:r w:rsidRPr="00815C87">
              <w:rPr>
                <w:lang w:val="sr-Latn-ME"/>
              </w:rPr>
              <w:t>G3</w:t>
            </w:r>
          </w:p>
        </w:tc>
        <w:tc>
          <w:tcPr>
            <w:tcW w:w="1440" w:type="dxa"/>
          </w:tcPr>
          <w:p w14:paraId="4D057E8C" w14:textId="77777777" w:rsidR="00A81139" w:rsidRPr="00815C87" w:rsidRDefault="00A81139" w:rsidP="00A90659">
            <w:pPr>
              <w:pStyle w:val="TableParagraph"/>
              <w:spacing w:before="9"/>
              <w:rPr>
                <w:lang w:val="sr-Latn-ME"/>
              </w:rPr>
            </w:pPr>
          </w:p>
          <w:p w14:paraId="66D4A38A" w14:textId="77777777" w:rsidR="00A81139" w:rsidRPr="00815C87" w:rsidRDefault="00A81139" w:rsidP="00A90659">
            <w:pPr>
              <w:pStyle w:val="TableParagraph"/>
              <w:ind w:left="106"/>
              <w:rPr>
                <w:lang w:val="sr-Latn-ME"/>
              </w:rPr>
            </w:pPr>
            <w:r w:rsidRPr="00815C87">
              <w:rPr>
                <w:lang w:val="sr-Latn-ME"/>
              </w:rPr>
              <w:t>G4</w:t>
            </w:r>
          </w:p>
        </w:tc>
        <w:tc>
          <w:tcPr>
            <w:tcW w:w="1134" w:type="dxa"/>
          </w:tcPr>
          <w:p w14:paraId="0692C771" w14:textId="77777777" w:rsidR="00A81139" w:rsidRPr="00815C87" w:rsidRDefault="00A81139" w:rsidP="00A90659">
            <w:pPr>
              <w:pStyle w:val="TableParagraph"/>
              <w:spacing w:before="9"/>
              <w:rPr>
                <w:lang w:val="sr-Latn-ME"/>
              </w:rPr>
            </w:pPr>
          </w:p>
          <w:p w14:paraId="47F9F984" w14:textId="77777777" w:rsidR="00A81139" w:rsidRPr="00815C87" w:rsidRDefault="00A81139" w:rsidP="00A90659">
            <w:pPr>
              <w:pStyle w:val="TableParagraph"/>
              <w:ind w:left="106"/>
              <w:rPr>
                <w:lang w:val="sr-Latn-ME"/>
              </w:rPr>
            </w:pPr>
            <w:r w:rsidRPr="00815C87">
              <w:rPr>
                <w:lang w:val="sr-Latn-ME"/>
              </w:rPr>
              <w:t>G9</w:t>
            </w:r>
          </w:p>
        </w:tc>
      </w:tr>
      <w:tr w:rsidR="00A81139" w:rsidRPr="00815C87" w14:paraId="0E0EBBF6" w14:textId="77777777" w:rsidTr="00375F8C">
        <w:trPr>
          <w:trHeight w:val="251"/>
        </w:trPr>
        <w:tc>
          <w:tcPr>
            <w:tcW w:w="1530" w:type="dxa"/>
          </w:tcPr>
          <w:p w14:paraId="2427E561" w14:textId="77777777" w:rsidR="00A81139" w:rsidRPr="00815C87" w:rsidRDefault="00A81139" w:rsidP="00375F8C">
            <w:pPr>
              <w:pStyle w:val="TableParagraph"/>
              <w:spacing w:line="231" w:lineRule="exact"/>
              <w:ind w:left="107"/>
              <w:jc w:val="center"/>
              <w:rPr>
                <w:lang w:val="sr-Latn-ME"/>
              </w:rPr>
            </w:pPr>
            <w:r w:rsidRPr="00815C87">
              <w:rPr>
                <w:lang w:val="sr-Latn-ME"/>
              </w:rPr>
              <w:t>98,0%</w:t>
            </w:r>
          </w:p>
        </w:tc>
        <w:tc>
          <w:tcPr>
            <w:tcW w:w="1434" w:type="dxa"/>
          </w:tcPr>
          <w:p w14:paraId="299777AE" w14:textId="77777777" w:rsidR="00A81139" w:rsidRPr="00815C87" w:rsidRDefault="00A81139" w:rsidP="00375F8C">
            <w:pPr>
              <w:pStyle w:val="TableParagraph"/>
              <w:spacing w:line="231" w:lineRule="exact"/>
              <w:ind w:left="107"/>
              <w:jc w:val="center"/>
              <w:rPr>
                <w:lang w:val="sr-Latn-ME"/>
              </w:rPr>
            </w:pPr>
            <w:r w:rsidRPr="00815C87">
              <w:rPr>
                <w:lang w:val="sr-Latn-ME"/>
              </w:rPr>
              <w:t>74,0%</w:t>
            </w:r>
          </w:p>
        </w:tc>
        <w:tc>
          <w:tcPr>
            <w:tcW w:w="1355" w:type="dxa"/>
          </w:tcPr>
          <w:p w14:paraId="32D725F4" w14:textId="77777777" w:rsidR="00A81139" w:rsidRPr="00815C87" w:rsidRDefault="00A81139" w:rsidP="00375F8C">
            <w:pPr>
              <w:pStyle w:val="TableParagraph"/>
              <w:spacing w:line="231" w:lineRule="exact"/>
              <w:ind w:left="107"/>
              <w:jc w:val="center"/>
              <w:rPr>
                <w:lang w:val="sr-Latn-ME"/>
              </w:rPr>
            </w:pPr>
            <w:r w:rsidRPr="00815C87">
              <w:rPr>
                <w:lang w:val="sr-Latn-ME"/>
              </w:rPr>
              <w:t>74,9%</w:t>
            </w:r>
          </w:p>
        </w:tc>
        <w:tc>
          <w:tcPr>
            <w:tcW w:w="1440" w:type="dxa"/>
          </w:tcPr>
          <w:p w14:paraId="02D7D005" w14:textId="77777777" w:rsidR="00A81139" w:rsidRPr="00815C87" w:rsidRDefault="00A81139" w:rsidP="00375F8C">
            <w:pPr>
              <w:pStyle w:val="TableParagraph"/>
              <w:spacing w:line="231" w:lineRule="exact"/>
              <w:ind w:left="107"/>
              <w:jc w:val="center"/>
              <w:rPr>
                <w:lang w:val="sr-Latn-ME"/>
              </w:rPr>
            </w:pPr>
            <w:r w:rsidRPr="00815C87">
              <w:rPr>
                <w:lang w:val="sr-Latn-ME"/>
              </w:rPr>
              <w:t>63,4%</w:t>
            </w:r>
          </w:p>
        </w:tc>
        <w:tc>
          <w:tcPr>
            <w:tcW w:w="1443" w:type="dxa"/>
          </w:tcPr>
          <w:p w14:paraId="2C540325" w14:textId="77777777" w:rsidR="00A81139" w:rsidRPr="00815C87" w:rsidRDefault="00A81139" w:rsidP="00375F8C">
            <w:pPr>
              <w:pStyle w:val="TableParagraph"/>
              <w:spacing w:line="231" w:lineRule="exact"/>
              <w:ind w:left="109"/>
              <w:jc w:val="center"/>
              <w:rPr>
                <w:lang w:val="sr-Latn-ME"/>
              </w:rPr>
            </w:pPr>
            <w:r w:rsidRPr="00815C87">
              <w:rPr>
                <w:lang w:val="sr-Latn-ME"/>
              </w:rPr>
              <w:t>82,7%</w:t>
            </w:r>
          </w:p>
        </w:tc>
        <w:tc>
          <w:tcPr>
            <w:tcW w:w="1440" w:type="dxa"/>
          </w:tcPr>
          <w:p w14:paraId="2E09662E" w14:textId="77777777" w:rsidR="00A81139" w:rsidRPr="00815C87" w:rsidRDefault="00A81139" w:rsidP="00375F8C">
            <w:pPr>
              <w:pStyle w:val="TableParagraph"/>
              <w:spacing w:line="231" w:lineRule="exact"/>
              <w:ind w:left="106"/>
              <w:jc w:val="center"/>
              <w:rPr>
                <w:lang w:val="sr-Latn-ME"/>
              </w:rPr>
            </w:pPr>
            <w:r w:rsidRPr="00815C87">
              <w:rPr>
                <w:lang w:val="sr-Latn-ME"/>
              </w:rPr>
              <w:t>48,1%</w:t>
            </w:r>
          </w:p>
        </w:tc>
        <w:tc>
          <w:tcPr>
            <w:tcW w:w="1134" w:type="dxa"/>
          </w:tcPr>
          <w:p w14:paraId="39A1C4FC" w14:textId="77777777" w:rsidR="00A81139" w:rsidRPr="00815C87" w:rsidRDefault="00A81139" w:rsidP="00375F8C">
            <w:pPr>
              <w:pStyle w:val="TableParagraph"/>
              <w:spacing w:line="231" w:lineRule="exact"/>
              <w:ind w:left="106"/>
              <w:jc w:val="center"/>
              <w:rPr>
                <w:lang w:val="sr-Latn-ME"/>
              </w:rPr>
            </w:pPr>
            <w:r w:rsidRPr="00815C87">
              <w:rPr>
                <w:lang w:val="sr-Latn-ME"/>
              </w:rPr>
              <w:t>65,4%</w:t>
            </w:r>
          </w:p>
        </w:tc>
      </w:tr>
      <w:tr w:rsidR="00A81139" w:rsidRPr="00815C87" w14:paraId="56AA4182" w14:textId="77777777" w:rsidTr="00375F8C">
        <w:trPr>
          <w:trHeight w:val="270"/>
        </w:trPr>
        <w:tc>
          <w:tcPr>
            <w:tcW w:w="1530" w:type="dxa"/>
          </w:tcPr>
          <w:p w14:paraId="664D799F" w14:textId="17D06776" w:rsidR="00A81139" w:rsidRPr="00815C87" w:rsidRDefault="000866AE" w:rsidP="00375F8C">
            <w:pPr>
              <w:pStyle w:val="TableParagraph"/>
              <w:spacing w:line="250" w:lineRule="exact"/>
              <w:ind w:left="107"/>
              <w:jc w:val="center"/>
              <w:rPr>
                <w:lang w:val="sr-Latn-ME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lang w:val="sr-Latn-ME"/>
              </w:rPr>
              <w:t>88,3</w:t>
            </w:r>
            <w:r w:rsidR="00AF7AD6" w:rsidRPr="00815C87">
              <w:rPr>
                <w:lang w:val="sr-Latn-ME"/>
              </w:rPr>
              <w:t>;</w:t>
            </w:r>
            <w:r w:rsidR="00F240E2" w:rsidRPr="00815C87">
              <w:rPr>
                <w:lang w:val="sr-Latn-ME"/>
              </w:rPr>
              <w:t xml:space="preserve"> 100,0</w:t>
            </w:r>
            <w:r w:rsidR="00375F8C">
              <w:rPr>
                <w:rFonts w:ascii="Symbol" w:hAnsi="Symbol"/>
              </w:rPr>
              <w:t></w:t>
            </w:r>
            <w:r w:rsidR="00F240E2" w:rsidRPr="00815C87">
              <w:rPr>
                <w:position w:val="8"/>
                <w:lang w:val="sr-Latn-ME"/>
              </w:rPr>
              <w:t>†</w:t>
            </w:r>
          </w:p>
        </w:tc>
        <w:tc>
          <w:tcPr>
            <w:tcW w:w="1434" w:type="dxa"/>
          </w:tcPr>
          <w:p w14:paraId="453FBDE0" w14:textId="1706987E" w:rsidR="00A81139" w:rsidRPr="00815C87" w:rsidRDefault="000866AE" w:rsidP="00375F8C">
            <w:pPr>
              <w:pStyle w:val="TableParagraph"/>
              <w:spacing w:line="250" w:lineRule="exact"/>
              <w:ind w:left="107"/>
              <w:jc w:val="center"/>
              <w:rPr>
                <w:lang w:val="sr-Latn-ME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lang w:val="sr-Latn-ME"/>
              </w:rPr>
              <w:t>66,8</w:t>
            </w:r>
            <w:r w:rsidR="00AF7AD6" w:rsidRPr="00815C87">
              <w:rPr>
                <w:lang w:val="sr-Latn-ME"/>
              </w:rPr>
              <w:t>;</w:t>
            </w:r>
            <w:r w:rsidR="00375F8C">
              <w:rPr>
                <w:lang w:val="sr-Latn-ME"/>
              </w:rPr>
              <w:t xml:space="preserve"> 79,9</w:t>
            </w:r>
            <w:r w:rsidR="00375F8C">
              <w:rPr>
                <w:rFonts w:ascii="Symbol" w:hAnsi="Symbol"/>
              </w:rPr>
              <w:t></w:t>
            </w:r>
            <w:r w:rsidR="00F240E2" w:rsidRPr="00815C87">
              <w:rPr>
                <w:position w:val="8"/>
                <w:lang w:val="sr-Latn-ME"/>
              </w:rPr>
              <w:t>†</w:t>
            </w:r>
          </w:p>
        </w:tc>
        <w:tc>
          <w:tcPr>
            <w:tcW w:w="1355" w:type="dxa"/>
          </w:tcPr>
          <w:p w14:paraId="3964108B" w14:textId="1C5D04D9" w:rsidR="00A81139" w:rsidRPr="00815C87" w:rsidRDefault="000866AE" w:rsidP="00375F8C">
            <w:pPr>
              <w:pStyle w:val="TableParagraph"/>
              <w:spacing w:line="250" w:lineRule="exact"/>
              <w:ind w:left="107"/>
              <w:jc w:val="center"/>
              <w:rPr>
                <w:lang w:val="sr-Latn-ME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lang w:val="sr-Latn-ME"/>
              </w:rPr>
              <w:t>67,3</w:t>
            </w:r>
            <w:r w:rsidR="00AF7AD6" w:rsidRPr="00815C87">
              <w:rPr>
                <w:lang w:val="sr-Latn-ME"/>
              </w:rPr>
              <w:t>;</w:t>
            </w:r>
            <w:r w:rsidR="00375F8C">
              <w:rPr>
                <w:lang w:val="sr-Latn-ME"/>
              </w:rPr>
              <w:t xml:space="preserve"> 80,9</w:t>
            </w:r>
            <w:r w:rsidR="00375F8C">
              <w:rPr>
                <w:rFonts w:ascii="Symbol" w:hAnsi="Symbol"/>
              </w:rPr>
              <w:t></w:t>
            </w:r>
            <w:r w:rsidR="00F240E2" w:rsidRPr="00815C87">
              <w:rPr>
                <w:position w:val="8"/>
                <w:lang w:val="sr-Latn-ME"/>
              </w:rPr>
              <w:t>†</w:t>
            </w:r>
          </w:p>
        </w:tc>
        <w:tc>
          <w:tcPr>
            <w:tcW w:w="1440" w:type="dxa"/>
          </w:tcPr>
          <w:p w14:paraId="4EDB79FD" w14:textId="79B1F2AD" w:rsidR="00A81139" w:rsidRPr="00815C87" w:rsidRDefault="000866AE" w:rsidP="00375F8C">
            <w:pPr>
              <w:pStyle w:val="TableParagraph"/>
              <w:spacing w:line="250" w:lineRule="exact"/>
              <w:ind w:left="107"/>
              <w:jc w:val="center"/>
              <w:rPr>
                <w:lang w:val="sr-Latn-ME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lang w:val="sr-Latn-ME"/>
              </w:rPr>
              <w:t>2,6</w:t>
            </w:r>
            <w:r w:rsidR="00AF7AD6" w:rsidRPr="00815C87">
              <w:rPr>
                <w:lang w:val="sr-Latn-ME"/>
              </w:rPr>
              <w:t>;</w:t>
            </w:r>
            <w:r w:rsidR="00375F8C">
              <w:rPr>
                <w:lang w:val="sr-Latn-ME"/>
              </w:rPr>
              <w:t xml:space="preserve"> 88,2</w:t>
            </w:r>
            <w:r w:rsidR="00375F8C">
              <w:rPr>
                <w:rFonts w:ascii="Symbol" w:hAnsi="Symbol"/>
              </w:rPr>
              <w:t></w:t>
            </w:r>
            <w:r w:rsidR="00F240E2" w:rsidRPr="00815C87">
              <w:rPr>
                <w:position w:val="8"/>
                <w:lang w:val="sr-Latn-ME"/>
              </w:rPr>
              <w:t>†</w:t>
            </w:r>
          </w:p>
        </w:tc>
        <w:tc>
          <w:tcPr>
            <w:tcW w:w="1443" w:type="dxa"/>
          </w:tcPr>
          <w:p w14:paraId="54E3C26A" w14:textId="1B2C8BEB" w:rsidR="00A81139" w:rsidRPr="00815C87" w:rsidRDefault="000866AE" w:rsidP="00375F8C">
            <w:pPr>
              <w:pStyle w:val="TableParagraph"/>
              <w:spacing w:line="250" w:lineRule="exact"/>
              <w:ind w:left="109"/>
              <w:jc w:val="center"/>
              <w:rPr>
                <w:lang w:val="sr-Latn-ME"/>
              </w:rPr>
            </w:pPr>
            <w:r>
              <w:rPr>
                <w:rFonts w:ascii="Symbol" w:hAnsi="Symbol"/>
              </w:rPr>
              <w:t></w:t>
            </w:r>
            <w:r w:rsidR="00375F8C">
              <w:rPr>
                <w:rFonts w:ascii="Symbol" w:hAnsi="Symbol"/>
              </w:rPr>
              <w:t></w:t>
            </w:r>
            <w:r w:rsidR="00A81139" w:rsidRPr="00815C87">
              <w:rPr>
                <w:lang w:val="sr-Latn-ME"/>
              </w:rPr>
              <w:t>0</w:t>
            </w:r>
            <w:r w:rsidR="00AF7AD6" w:rsidRPr="00815C87">
              <w:rPr>
                <w:lang w:val="sr-Latn-ME"/>
              </w:rPr>
              <w:t xml:space="preserve">; </w:t>
            </w:r>
            <w:r w:rsidR="00375F8C">
              <w:rPr>
                <w:lang w:val="sr-Latn-ME"/>
              </w:rPr>
              <w:t>99,6</w:t>
            </w:r>
            <w:r w:rsidR="00375F8C">
              <w:rPr>
                <w:rFonts w:ascii="Symbol" w:hAnsi="Symbol"/>
              </w:rPr>
              <w:t></w:t>
            </w:r>
          </w:p>
        </w:tc>
        <w:tc>
          <w:tcPr>
            <w:tcW w:w="1440" w:type="dxa"/>
          </w:tcPr>
          <w:p w14:paraId="40A63EBD" w14:textId="1606B8DD" w:rsidR="00A81139" w:rsidRPr="00815C87" w:rsidRDefault="000866AE" w:rsidP="00375F8C">
            <w:pPr>
              <w:pStyle w:val="TableParagraph"/>
              <w:spacing w:line="250" w:lineRule="exact"/>
              <w:ind w:left="106"/>
              <w:jc w:val="center"/>
              <w:rPr>
                <w:lang w:val="sr-Latn-ME"/>
              </w:rPr>
            </w:pPr>
            <w:r>
              <w:rPr>
                <w:rFonts w:ascii="Symbol" w:hAnsi="Symbol"/>
              </w:rPr>
              <w:t></w:t>
            </w:r>
            <w:r w:rsidR="00375F8C">
              <w:rPr>
                <w:rFonts w:ascii="Symbol" w:hAnsi="Symbol"/>
              </w:rPr>
              <w:t></w:t>
            </w:r>
            <w:r w:rsidR="00A81139" w:rsidRPr="00815C87">
              <w:rPr>
                <w:lang w:val="sr-Latn-ME"/>
              </w:rPr>
              <w:t>0</w:t>
            </w:r>
            <w:r w:rsidR="00AF7AD6" w:rsidRPr="00815C87">
              <w:rPr>
                <w:lang w:val="sr-Latn-ME"/>
              </w:rPr>
              <w:t xml:space="preserve">; </w:t>
            </w:r>
            <w:r w:rsidR="00375F8C">
              <w:rPr>
                <w:lang w:val="sr-Latn-ME"/>
              </w:rPr>
              <w:t>91,6</w:t>
            </w:r>
            <w:r w:rsidR="00375F8C">
              <w:rPr>
                <w:rFonts w:ascii="Symbol" w:hAnsi="Symbol"/>
              </w:rPr>
              <w:t></w:t>
            </w:r>
          </w:p>
        </w:tc>
        <w:tc>
          <w:tcPr>
            <w:tcW w:w="1134" w:type="dxa"/>
          </w:tcPr>
          <w:p w14:paraId="44C1B785" w14:textId="5647368B" w:rsidR="00A81139" w:rsidRPr="00815C87" w:rsidRDefault="00375F8C" w:rsidP="00375F8C">
            <w:pPr>
              <w:pStyle w:val="TableParagraph"/>
              <w:spacing w:line="250" w:lineRule="exact"/>
              <w:ind w:left="106"/>
              <w:jc w:val="center"/>
              <w:rPr>
                <w:lang w:val="sr-Latn-ME"/>
              </w:rPr>
            </w:pPr>
            <w:r>
              <w:rPr>
                <w:rFonts w:ascii="Symbol" w:hAnsi="Symbol"/>
              </w:rPr>
              <w:t></w:t>
            </w:r>
            <w:r>
              <w:rPr>
                <w:rFonts w:ascii="Symbol" w:hAnsi="Symbol"/>
              </w:rPr>
              <w:t></w:t>
            </w:r>
            <w:r w:rsidR="00A81139" w:rsidRPr="00815C87">
              <w:rPr>
                <w:lang w:val="sr-Latn-ME"/>
              </w:rPr>
              <w:t>0</w:t>
            </w:r>
            <w:r w:rsidR="00AF7AD6" w:rsidRPr="00815C87">
              <w:rPr>
                <w:lang w:val="sr-Latn-ME"/>
              </w:rPr>
              <w:t xml:space="preserve">; </w:t>
            </w:r>
            <w:r>
              <w:rPr>
                <w:lang w:val="sr-Latn-ME"/>
              </w:rPr>
              <w:t>99,3</w:t>
            </w:r>
            <w:r>
              <w:rPr>
                <w:rFonts w:ascii="Symbol" w:hAnsi="Symbol"/>
              </w:rPr>
              <w:t></w:t>
            </w:r>
          </w:p>
        </w:tc>
      </w:tr>
    </w:tbl>
    <w:p w14:paraId="3CD99D27" w14:textId="104ADF22" w:rsidR="00A81139" w:rsidRPr="00815C87" w:rsidRDefault="00A81139" w:rsidP="00A81139">
      <w:pPr>
        <w:widowControl w:val="0"/>
        <w:autoSpaceDE w:val="0"/>
        <w:autoSpaceDN w:val="0"/>
        <w:ind w:right="743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*Teška bole</w:t>
      </w:r>
      <w:r w:rsidR="00AC7A49">
        <w:rPr>
          <w:sz w:val="22"/>
          <w:szCs w:val="22"/>
          <w:lang w:val="sr-Latn-ME" w:bidi="en-US"/>
        </w:rPr>
        <w:t xml:space="preserve">st se definiše kao rezultat od </w:t>
      </w:r>
      <w:r w:rsidR="00AC7A49" w:rsidRPr="00852481">
        <w:rPr>
          <w:rFonts w:ascii="Symbol" w:hAnsi="Symbol"/>
          <w:sz w:val="20"/>
          <w:szCs w:val="20"/>
          <w:lang w:bidi="en-US"/>
        </w:rPr>
        <w:t></w:t>
      </w:r>
      <w:r w:rsidRPr="00815C87">
        <w:rPr>
          <w:sz w:val="22"/>
          <w:szCs w:val="22"/>
          <w:lang w:val="sr-Latn-ME" w:bidi="en-US"/>
        </w:rPr>
        <w:t xml:space="preserve"> 16/24 korišćenjem </w:t>
      </w:r>
      <w:proofErr w:type="spellStart"/>
      <w:r w:rsidRPr="00815C87">
        <w:rPr>
          <w:sz w:val="22"/>
          <w:szCs w:val="22"/>
          <w:lang w:val="sr-Latn-ME" w:bidi="en-US"/>
        </w:rPr>
        <w:t>validiranog</w:t>
      </w:r>
      <w:proofErr w:type="spellEnd"/>
      <w:r w:rsidRPr="00815C87">
        <w:rPr>
          <w:sz w:val="22"/>
          <w:szCs w:val="22"/>
          <w:lang w:val="sr-Latn-ME" w:bidi="en-US"/>
        </w:rPr>
        <w:t xml:space="preserve"> kliničkog sistema bodovanja, a na osnovu intenziteta i dužine trajanja simptoma (povišena temperatura, povraćanje, dijareja i promjene u ponašanju).</w:t>
      </w:r>
    </w:p>
    <w:p w14:paraId="036EBE62" w14:textId="77777777" w:rsidR="00A81139" w:rsidRPr="00815C87" w:rsidRDefault="00A81139" w:rsidP="00A81139">
      <w:pPr>
        <w:widowControl w:val="0"/>
        <w:autoSpaceDE w:val="0"/>
        <w:autoSpaceDN w:val="0"/>
        <w:spacing w:line="252" w:lineRule="exact"/>
        <w:jc w:val="both"/>
        <w:rPr>
          <w:sz w:val="22"/>
          <w:szCs w:val="22"/>
          <w:lang w:val="sr-Latn-ME" w:bidi="en-US"/>
        </w:rPr>
      </w:pPr>
      <w:r w:rsidRPr="00815C87">
        <w:rPr>
          <w:position w:val="8"/>
          <w:sz w:val="22"/>
          <w:szCs w:val="22"/>
          <w:lang w:val="sr-Latn-ME" w:bidi="en-US"/>
        </w:rPr>
        <w:t>†</w:t>
      </w:r>
      <w:r w:rsidRPr="00815C87">
        <w:rPr>
          <w:sz w:val="22"/>
          <w:szCs w:val="22"/>
          <w:lang w:val="sr-Latn-ME" w:bidi="en-US"/>
        </w:rPr>
        <w:t>Statistički</w:t>
      </w:r>
      <w:r w:rsidRPr="00815C87">
        <w:rPr>
          <w:spacing w:val="-3"/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>značajno</w:t>
      </w:r>
    </w:p>
    <w:p w14:paraId="4A8A6794" w14:textId="77777777" w:rsidR="00A81139" w:rsidRPr="00815C87" w:rsidRDefault="00A81139" w:rsidP="00A81139">
      <w:pPr>
        <w:widowControl w:val="0"/>
        <w:autoSpaceDE w:val="0"/>
        <w:autoSpaceDN w:val="0"/>
        <w:spacing w:line="252" w:lineRule="exact"/>
        <w:jc w:val="both"/>
        <w:rPr>
          <w:sz w:val="22"/>
          <w:szCs w:val="22"/>
          <w:lang w:val="sr-Latn-ME" w:bidi="en-US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476"/>
        <w:gridCol w:w="1475"/>
        <w:gridCol w:w="1475"/>
        <w:gridCol w:w="1475"/>
        <w:gridCol w:w="2262"/>
      </w:tblGrid>
      <w:tr w:rsidR="00A81139" w:rsidRPr="00815C87" w14:paraId="367EA4F0" w14:textId="77777777" w:rsidTr="00375F8C">
        <w:trPr>
          <w:trHeight w:val="774"/>
        </w:trPr>
        <w:tc>
          <w:tcPr>
            <w:tcW w:w="9639" w:type="dxa"/>
            <w:gridSpan w:val="6"/>
          </w:tcPr>
          <w:p w14:paraId="3AB47886" w14:textId="1CECFEA8" w:rsidR="00A81139" w:rsidRPr="00815C87" w:rsidRDefault="00A81139" w:rsidP="00A81139">
            <w:pPr>
              <w:widowControl w:val="0"/>
              <w:autoSpaceDE w:val="0"/>
              <w:autoSpaceDN w:val="0"/>
              <w:ind w:left="444" w:right="495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Smanjenje broja prijema u bolnicu i broja prijema na odjeljenje za hitne intervencije zbog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gastroenteritisa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izazvanog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rotavirusima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u periodu od do </w:t>
            </w:r>
            <w:r w:rsidR="00AF7AD6" w:rsidRPr="00815C87">
              <w:rPr>
                <w:sz w:val="22"/>
                <w:szCs w:val="22"/>
                <w:lang w:val="sr-Latn-ME" w:bidi="en-US"/>
              </w:rPr>
              <w:t>2</w:t>
            </w:r>
            <w:r w:rsidRPr="00815C87">
              <w:rPr>
                <w:sz w:val="22"/>
                <w:szCs w:val="22"/>
                <w:lang w:val="sr-Latn-ME" w:bidi="en-US"/>
              </w:rPr>
              <w:t xml:space="preserve"> godine nakon vakcinacije*</w:t>
            </w:r>
          </w:p>
          <w:p w14:paraId="38808BC4" w14:textId="317EBA90" w:rsidR="00A81139" w:rsidRPr="00815C87" w:rsidRDefault="00A81139" w:rsidP="00A81139">
            <w:pPr>
              <w:widowControl w:val="0"/>
              <w:autoSpaceDE w:val="0"/>
              <w:autoSpaceDN w:val="0"/>
              <w:spacing w:line="249" w:lineRule="exact"/>
              <w:ind w:left="444" w:right="492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(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RotaTeq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n=34035) (%</w:t>
            </w:r>
            <w:r w:rsidR="00375F8C">
              <w:rPr>
                <w:rFonts w:ascii="Symbol" w:hAnsi="Symbol"/>
              </w:rPr>
              <w:t></w:t>
            </w:r>
            <w:proofErr w:type="spellStart"/>
            <w:r w:rsidR="00375F8C">
              <w:rPr>
                <w:sz w:val="22"/>
                <w:szCs w:val="22"/>
                <w:lang w:val="sr-Latn-ME" w:bidi="en-US"/>
              </w:rPr>
              <w:t>95%CI</w:t>
            </w:r>
            <w:proofErr w:type="spellEnd"/>
            <w:r w:rsidR="00375F8C">
              <w:rPr>
                <w:rFonts w:ascii="Symbol" w:hAnsi="Symbol"/>
              </w:rPr>
              <w:t></w:t>
            </w:r>
            <w:r w:rsidRPr="00815C87">
              <w:rPr>
                <w:sz w:val="22"/>
                <w:szCs w:val="22"/>
                <w:lang w:val="sr-Latn-ME" w:bidi="en-US"/>
              </w:rPr>
              <w:t>)</w:t>
            </w:r>
          </w:p>
        </w:tc>
      </w:tr>
      <w:tr w:rsidR="00A81139" w:rsidRPr="00815C87" w14:paraId="71036BEA" w14:textId="77777777" w:rsidTr="00375F8C">
        <w:trPr>
          <w:trHeight w:val="253"/>
        </w:trPr>
        <w:tc>
          <w:tcPr>
            <w:tcW w:w="1476" w:type="dxa"/>
          </w:tcPr>
          <w:p w14:paraId="338A50A6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34" w:lineRule="exact"/>
              <w:ind w:left="107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G1-G4</w:t>
            </w:r>
          </w:p>
        </w:tc>
        <w:tc>
          <w:tcPr>
            <w:tcW w:w="1476" w:type="dxa"/>
          </w:tcPr>
          <w:p w14:paraId="5C44B264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34" w:lineRule="exact"/>
              <w:ind w:left="108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G1</w:t>
            </w:r>
          </w:p>
        </w:tc>
        <w:tc>
          <w:tcPr>
            <w:tcW w:w="1475" w:type="dxa"/>
          </w:tcPr>
          <w:p w14:paraId="527C881C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34" w:lineRule="exact"/>
              <w:ind w:left="108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G2</w:t>
            </w:r>
          </w:p>
        </w:tc>
        <w:tc>
          <w:tcPr>
            <w:tcW w:w="1475" w:type="dxa"/>
          </w:tcPr>
          <w:p w14:paraId="0E7E7596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34" w:lineRule="exact"/>
              <w:ind w:left="109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G3</w:t>
            </w:r>
          </w:p>
        </w:tc>
        <w:tc>
          <w:tcPr>
            <w:tcW w:w="1475" w:type="dxa"/>
          </w:tcPr>
          <w:p w14:paraId="2471C60C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34" w:lineRule="exact"/>
              <w:ind w:left="111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G4</w:t>
            </w:r>
          </w:p>
        </w:tc>
        <w:tc>
          <w:tcPr>
            <w:tcW w:w="2262" w:type="dxa"/>
          </w:tcPr>
          <w:p w14:paraId="3BC789EF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34" w:lineRule="exact"/>
              <w:ind w:left="112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G9</w:t>
            </w:r>
          </w:p>
        </w:tc>
      </w:tr>
      <w:tr w:rsidR="00A81139" w:rsidRPr="00815C87" w14:paraId="0DA43CF3" w14:textId="77777777" w:rsidTr="00375F8C">
        <w:trPr>
          <w:trHeight w:val="523"/>
        </w:trPr>
        <w:tc>
          <w:tcPr>
            <w:tcW w:w="1476" w:type="dxa"/>
          </w:tcPr>
          <w:p w14:paraId="2B4FE4E6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51" w:lineRule="exact"/>
              <w:ind w:left="453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94,5%</w:t>
            </w:r>
          </w:p>
          <w:p w14:paraId="330D0CD1" w14:textId="79380C28" w:rsidR="00A81139" w:rsidRPr="00815C87" w:rsidRDefault="00375F8C" w:rsidP="00375F8C">
            <w:pPr>
              <w:widowControl w:val="0"/>
              <w:autoSpaceDE w:val="0"/>
              <w:autoSpaceDN w:val="0"/>
              <w:spacing w:line="251" w:lineRule="exact"/>
              <w:ind w:left="107"/>
              <w:jc w:val="center"/>
              <w:rPr>
                <w:sz w:val="22"/>
                <w:szCs w:val="22"/>
                <w:lang w:val="sr-Latn-ME" w:bidi="en-US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sz w:val="22"/>
                <w:szCs w:val="22"/>
                <w:lang w:val="sr-Latn-ME" w:bidi="en-US"/>
              </w:rPr>
              <w:t>91,2</w:t>
            </w:r>
            <w:r w:rsidR="00AF7AD6" w:rsidRPr="00815C87">
              <w:rPr>
                <w:sz w:val="22"/>
                <w:szCs w:val="22"/>
                <w:lang w:val="sr-Latn-ME" w:bidi="en-US"/>
              </w:rPr>
              <w:t>;</w:t>
            </w:r>
            <w:r w:rsidR="00A81139" w:rsidRPr="00815C87">
              <w:rPr>
                <w:sz w:val="22"/>
                <w:szCs w:val="22"/>
                <w:lang w:val="sr-Latn-ME" w:bidi="en-US"/>
              </w:rPr>
              <w:t xml:space="preserve"> 96,6</w:t>
            </w:r>
            <w:r w:rsidRPr="00A81139">
              <w:rPr>
                <w:rFonts w:ascii="Symbol" w:hAnsi="Symbol"/>
                <w:sz w:val="22"/>
                <w:szCs w:val="22"/>
                <w:lang w:bidi="en-US"/>
              </w:rPr>
              <w:t></w:t>
            </w:r>
            <w:r w:rsidR="00A81139" w:rsidRPr="00815C87">
              <w:rPr>
                <w:position w:val="8"/>
                <w:sz w:val="22"/>
                <w:szCs w:val="22"/>
                <w:lang w:val="sr-Latn-ME" w:bidi="en-US"/>
              </w:rPr>
              <w:t>†</w:t>
            </w:r>
          </w:p>
        </w:tc>
        <w:tc>
          <w:tcPr>
            <w:tcW w:w="1476" w:type="dxa"/>
          </w:tcPr>
          <w:p w14:paraId="16B18FC9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51" w:lineRule="exact"/>
              <w:ind w:left="453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95,1%</w:t>
            </w:r>
          </w:p>
          <w:p w14:paraId="34E5CE0A" w14:textId="0F5261FD" w:rsidR="00A81139" w:rsidRPr="00815C87" w:rsidRDefault="00375F8C" w:rsidP="00375F8C">
            <w:pPr>
              <w:widowControl w:val="0"/>
              <w:autoSpaceDE w:val="0"/>
              <w:autoSpaceDN w:val="0"/>
              <w:spacing w:line="251" w:lineRule="exact"/>
              <w:ind w:left="108"/>
              <w:jc w:val="center"/>
              <w:rPr>
                <w:sz w:val="22"/>
                <w:szCs w:val="22"/>
                <w:lang w:val="sr-Latn-ME" w:bidi="en-US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sz w:val="22"/>
                <w:szCs w:val="22"/>
                <w:lang w:val="sr-Latn-ME" w:bidi="en-US"/>
              </w:rPr>
              <w:t>91,6</w:t>
            </w:r>
            <w:r w:rsidR="00AF7AD6" w:rsidRPr="00815C87">
              <w:rPr>
                <w:sz w:val="22"/>
                <w:szCs w:val="22"/>
                <w:lang w:val="sr-Latn-ME" w:bidi="en-US"/>
              </w:rPr>
              <w:t>;</w:t>
            </w:r>
            <w:r w:rsidR="00A81139" w:rsidRPr="00815C87">
              <w:rPr>
                <w:sz w:val="22"/>
                <w:szCs w:val="22"/>
                <w:lang w:val="sr-Latn-ME" w:bidi="en-US"/>
              </w:rPr>
              <w:t xml:space="preserve"> 97,1</w:t>
            </w:r>
            <w:r w:rsidRPr="00A81139">
              <w:rPr>
                <w:rFonts w:ascii="Symbol" w:hAnsi="Symbol"/>
                <w:sz w:val="22"/>
                <w:szCs w:val="22"/>
                <w:lang w:bidi="en-US"/>
              </w:rPr>
              <w:t></w:t>
            </w:r>
            <w:r w:rsidR="00A81139" w:rsidRPr="00815C87">
              <w:rPr>
                <w:position w:val="8"/>
                <w:sz w:val="22"/>
                <w:szCs w:val="22"/>
                <w:lang w:val="sr-Latn-ME" w:bidi="en-US"/>
              </w:rPr>
              <w:t>†</w:t>
            </w:r>
          </w:p>
        </w:tc>
        <w:tc>
          <w:tcPr>
            <w:tcW w:w="1475" w:type="dxa"/>
          </w:tcPr>
          <w:p w14:paraId="6F1E1C10" w14:textId="260C758C" w:rsidR="00A81139" w:rsidRPr="00815C87" w:rsidRDefault="00AC7A49" w:rsidP="00375F8C">
            <w:pPr>
              <w:widowControl w:val="0"/>
              <w:autoSpaceDE w:val="0"/>
              <w:autoSpaceDN w:val="0"/>
              <w:spacing w:line="251" w:lineRule="exact"/>
              <w:ind w:right="438"/>
              <w:jc w:val="center"/>
              <w:rPr>
                <w:sz w:val="22"/>
                <w:szCs w:val="22"/>
                <w:lang w:val="sr-Latn-ME" w:bidi="en-US"/>
              </w:rPr>
            </w:pPr>
            <w:r>
              <w:rPr>
                <w:sz w:val="22"/>
                <w:szCs w:val="22"/>
                <w:lang w:val="sr-Latn-ME" w:bidi="en-US"/>
              </w:rPr>
              <w:t xml:space="preserve"> </w:t>
            </w:r>
            <w:r w:rsidR="00A81139" w:rsidRPr="00815C87">
              <w:rPr>
                <w:sz w:val="22"/>
                <w:szCs w:val="22"/>
                <w:lang w:val="sr-Latn-ME" w:bidi="en-US"/>
              </w:rPr>
              <w:t>87,6%</w:t>
            </w:r>
          </w:p>
          <w:p w14:paraId="7127881F" w14:textId="47C66DDC" w:rsidR="00A81139" w:rsidRPr="00815C87" w:rsidRDefault="00375F8C" w:rsidP="00375F8C">
            <w:pPr>
              <w:widowControl w:val="0"/>
              <w:autoSpaceDE w:val="0"/>
              <w:autoSpaceDN w:val="0"/>
              <w:spacing w:line="251" w:lineRule="exact"/>
              <w:ind w:right="481"/>
              <w:jc w:val="center"/>
              <w:rPr>
                <w:sz w:val="22"/>
                <w:szCs w:val="22"/>
                <w:lang w:val="sr-Latn-ME" w:bidi="en-US"/>
              </w:rPr>
            </w:pPr>
            <w:r>
              <w:rPr>
                <w:rFonts w:ascii="Symbol" w:hAnsi="Symbol"/>
              </w:rPr>
              <w:t></w:t>
            </w:r>
            <w:r>
              <w:rPr>
                <w:rFonts w:ascii="Symbol" w:hAnsi="Symbol"/>
              </w:rPr>
              <w:t></w:t>
            </w:r>
            <w:r w:rsidR="00A81139" w:rsidRPr="00815C87">
              <w:rPr>
                <w:sz w:val="22"/>
                <w:szCs w:val="22"/>
                <w:lang w:val="sr-Latn-ME" w:bidi="en-US"/>
              </w:rPr>
              <w:t>0</w:t>
            </w:r>
            <w:r w:rsidR="00AF7AD6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>
              <w:rPr>
                <w:sz w:val="22"/>
                <w:szCs w:val="22"/>
                <w:lang w:val="sr-Latn-ME" w:bidi="en-US"/>
              </w:rPr>
              <w:t>98,5</w:t>
            </w:r>
            <w:r w:rsidRPr="00A81139">
              <w:rPr>
                <w:rFonts w:ascii="Symbol" w:hAnsi="Symbol"/>
                <w:sz w:val="22"/>
                <w:szCs w:val="22"/>
                <w:lang w:bidi="en-US"/>
              </w:rPr>
              <w:t></w:t>
            </w:r>
          </w:p>
        </w:tc>
        <w:tc>
          <w:tcPr>
            <w:tcW w:w="1475" w:type="dxa"/>
          </w:tcPr>
          <w:p w14:paraId="149E0646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51" w:lineRule="exact"/>
              <w:ind w:left="455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93,4%</w:t>
            </w:r>
          </w:p>
          <w:p w14:paraId="0D636C65" w14:textId="374483C1" w:rsidR="00A81139" w:rsidRPr="00815C87" w:rsidRDefault="00375F8C" w:rsidP="00375F8C">
            <w:pPr>
              <w:widowControl w:val="0"/>
              <w:autoSpaceDE w:val="0"/>
              <w:autoSpaceDN w:val="0"/>
              <w:spacing w:line="251" w:lineRule="exact"/>
              <w:ind w:left="109"/>
              <w:jc w:val="center"/>
              <w:rPr>
                <w:sz w:val="22"/>
                <w:szCs w:val="22"/>
                <w:lang w:val="sr-Latn-ME" w:bidi="en-US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sz w:val="22"/>
                <w:szCs w:val="22"/>
                <w:lang w:val="sr-Latn-ME" w:bidi="en-US"/>
              </w:rPr>
              <w:t>49,4</w:t>
            </w:r>
            <w:r w:rsidR="00AF7AD6" w:rsidRPr="00815C87">
              <w:rPr>
                <w:sz w:val="22"/>
                <w:szCs w:val="22"/>
                <w:lang w:val="sr-Latn-ME" w:bidi="en-US"/>
              </w:rPr>
              <w:t>;</w:t>
            </w:r>
            <w:r w:rsidR="00A81139" w:rsidRPr="00815C87">
              <w:rPr>
                <w:sz w:val="22"/>
                <w:szCs w:val="22"/>
                <w:lang w:val="sr-Latn-ME" w:bidi="en-US"/>
              </w:rPr>
              <w:t xml:space="preserve"> 99,1</w:t>
            </w:r>
            <w:r w:rsidRPr="00A81139">
              <w:rPr>
                <w:rFonts w:ascii="Symbol" w:hAnsi="Symbol"/>
                <w:sz w:val="22"/>
                <w:szCs w:val="22"/>
                <w:lang w:bidi="en-US"/>
              </w:rPr>
              <w:t></w:t>
            </w:r>
            <w:r w:rsidR="00A81139" w:rsidRPr="00815C87">
              <w:rPr>
                <w:position w:val="8"/>
                <w:sz w:val="22"/>
                <w:szCs w:val="22"/>
                <w:lang w:val="sr-Latn-ME" w:bidi="en-US"/>
              </w:rPr>
              <w:t>†</w:t>
            </w:r>
          </w:p>
        </w:tc>
        <w:tc>
          <w:tcPr>
            <w:tcW w:w="1475" w:type="dxa"/>
          </w:tcPr>
          <w:p w14:paraId="3A4224AD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51" w:lineRule="exact"/>
              <w:ind w:left="456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89,1%</w:t>
            </w:r>
          </w:p>
          <w:p w14:paraId="1685CD5A" w14:textId="6C34BE82" w:rsidR="00A81139" w:rsidRPr="00815C87" w:rsidRDefault="00375F8C" w:rsidP="00375F8C">
            <w:pPr>
              <w:widowControl w:val="0"/>
              <w:autoSpaceDE w:val="0"/>
              <w:autoSpaceDN w:val="0"/>
              <w:spacing w:line="251" w:lineRule="exact"/>
              <w:ind w:left="111"/>
              <w:jc w:val="center"/>
              <w:rPr>
                <w:sz w:val="22"/>
                <w:szCs w:val="22"/>
                <w:lang w:val="sr-Latn-ME" w:bidi="en-US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sz w:val="22"/>
                <w:szCs w:val="22"/>
                <w:lang w:val="sr-Latn-ME" w:bidi="en-US"/>
              </w:rPr>
              <w:t>52,0</w:t>
            </w:r>
            <w:r w:rsidR="00AF7AD6" w:rsidRPr="00815C87">
              <w:rPr>
                <w:sz w:val="22"/>
                <w:szCs w:val="22"/>
                <w:lang w:val="sr-Latn-ME" w:bidi="en-US"/>
              </w:rPr>
              <w:t>;</w:t>
            </w:r>
            <w:r w:rsidR="00A81139" w:rsidRPr="00815C87">
              <w:rPr>
                <w:sz w:val="22"/>
                <w:szCs w:val="22"/>
                <w:lang w:val="sr-Latn-ME" w:bidi="en-US"/>
              </w:rPr>
              <w:t xml:space="preserve"> 97,5</w:t>
            </w:r>
            <w:r w:rsidRPr="00A81139">
              <w:rPr>
                <w:rFonts w:ascii="Symbol" w:hAnsi="Symbol"/>
                <w:sz w:val="22"/>
                <w:szCs w:val="22"/>
                <w:lang w:bidi="en-US"/>
              </w:rPr>
              <w:t></w:t>
            </w:r>
            <w:r w:rsidR="00A81139" w:rsidRPr="00815C87">
              <w:rPr>
                <w:position w:val="8"/>
                <w:sz w:val="22"/>
                <w:szCs w:val="22"/>
                <w:lang w:val="sr-Latn-ME" w:bidi="en-US"/>
              </w:rPr>
              <w:t>†</w:t>
            </w:r>
          </w:p>
        </w:tc>
        <w:tc>
          <w:tcPr>
            <w:tcW w:w="2262" w:type="dxa"/>
          </w:tcPr>
          <w:p w14:paraId="2623BAA2" w14:textId="77777777" w:rsidR="00A81139" w:rsidRPr="00815C87" w:rsidRDefault="00A81139" w:rsidP="00375F8C">
            <w:pPr>
              <w:widowControl w:val="0"/>
              <w:autoSpaceDE w:val="0"/>
              <w:autoSpaceDN w:val="0"/>
              <w:spacing w:line="251" w:lineRule="exact"/>
              <w:ind w:left="484"/>
              <w:jc w:val="center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100%</w:t>
            </w:r>
          </w:p>
          <w:p w14:paraId="43BB9086" w14:textId="2FEC1CEC" w:rsidR="00A81139" w:rsidRPr="00815C87" w:rsidRDefault="00375F8C" w:rsidP="00375F8C">
            <w:pPr>
              <w:widowControl w:val="0"/>
              <w:autoSpaceDE w:val="0"/>
              <w:autoSpaceDN w:val="0"/>
              <w:spacing w:line="251" w:lineRule="exact"/>
              <w:ind w:left="112"/>
              <w:jc w:val="center"/>
              <w:rPr>
                <w:sz w:val="22"/>
                <w:szCs w:val="22"/>
                <w:lang w:val="sr-Latn-ME" w:bidi="en-US"/>
              </w:rPr>
            </w:pPr>
            <w:r>
              <w:rPr>
                <w:rFonts w:ascii="Symbol" w:hAnsi="Symbol"/>
              </w:rPr>
              <w:t></w:t>
            </w:r>
            <w:r w:rsidR="00A81139" w:rsidRPr="00815C87">
              <w:rPr>
                <w:sz w:val="22"/>
                <w:szCs w:val="22"/>
                <w:lang w:val="sr-Latn-ME" w:bidi="en-US"/>
              </w:rPr>
              <w:t>69,6</w:t>
            </w:r>
            <w:r w:rsidR="00AF7AD6" w:rsidRPr="00815C87">
              <w:rPr>
                <w:sz w:val="22"/>
                <w:szCs w:val="22"/>
                <w:lang w:val="sr-Latn-ME" w:bidi="en-US"/>
              </w:rPr>
              <w:t>;</w:t>
            </w:r>
            <w:r w:rsidR="00A81139" w:rsidRPr="00815C87">
              <w:rPr>
                <w:sz w:val="22"/>
                <w:szCs w:val="22"/>
                <w:lang w:val="sr-Latn-ME" w:bidi="en-US"/>
              </w:rPr>
              <w:t xml:space="preserve"> 100</w:t>
            </w:r>
            <w:r w:rsidRPr="00A81139">
              <w:rPr>
                <w:rFonts w:ascii="Symbol" w:hAnsi="Symbol"/>
                <w:sz w:val="22"/>
                <w:szCs w:val="22"/>
                <w:lang w:bidi="en-US"/>
              </w:rPr>
              <w:t></w:t>
            </w:r>
            <w:r w:rsidR="00A81139" w:rsidRPr="00815C87">
              <w:rPr>
                <w:position w:val="8"/>
                <w:sz w:val="22"/>
                <w:szCs w:val="22"/>
                <w:lang w:val="sr-Latn-ME" w:bidi="en-US"/>
              </w:rPr>
              <w:t>†</w:t>
            </w:r>
          </w:p>
        </w:tc>
      </w:tr>
    </w:tbl>
    <w:p w14:paraId="70C2E8B4" w14:textId="77777777" w:rsidR="00A81139" w:rsidRPr="00815C87" w:rsidRDefault="00A81139" w:rsidP="00A81139">
      <w:pPr>
        <w:widowControl w:val="0"/>
        <w:autoSpaceDE w:val="0"/>
        <w:autoSpaceDN w:val="0"/>
        <w:rPr>
          <w:sz w:val="22"/>
          <w:szCs w:val="22"/>
          <w:lang w:val="sr-Latn-ME" w:bidi="en-US"/>
        </w:rPr>
      </w:pPr>
      <w:r w:rsidRPr="00815C87">
        <w:rPr>
          <w:position w:val="8"/>
          <w:sz w:val="22"/>
          <w:szCs w:val="22"/>
          <w:lang w:val="sr-Latn-ME" w:bidi="en-US"/>
        </w:rPr>
        <w:t>†</w:t>
      </w:r>
      <w:r w:rsidRPr="00815C87">
        <w:rPr>
          <w:sz w:val="22"/>
          <w:szCs w:val="22"/>
          <w:lang w:val="sr-Latn-ME" w:bidi="en-US"/>
        </w:rPr>
        <w:t>Statistički</w:t>
      </w:r>
      <w:r w:rsidRPr="00815C87">
        <w:rPr>
          <w:spacing w:val="-5"/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>značajno</w:t>
      </w:r>
    </w:p>
    <w:p w14:paraId="0066249A" w14:textId="77777777" w:rsidR="00A81139" w:rsidRPr="00815C87" w:rsidRDefault="00A8113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EB0E38" w14:textId="77777777" w:rsidR="00375F8C" w:rsidRDefault="00375F8C" w:rsidP="00852481">
      <w:pPr>
        <w:widowControl w:val="0"/>
        <w:autoSpaceDE w:val="0"/>
        <w:autoSpaceDN w:val="0"/>
        <w:ind w:right="607"/>
        <w:jc w:val="both"/>
        <w:rPr>
          <w:sz w:val="22"/>
          <w:szCs w:val="22"/>
          <w:lang w:val="sr-Latn-ME" w:bidi="en-US"/>
        </w:rPr>
      </w:pPr>
    </w:p>
    <w:p w14:paraId="1B2B677C" w14:textId="77777777" w:rsidR="00375F8C" w:rsidRDefault="00375F8C" w:rsidP="00852481">
      <w:pPr>
        <w:widowControl w:val="0"/>
        <w:autoSpaceDE w:val="0"/>
        <w:autoSpaceDN w:val="0"/>
        <w:ind w:right="607"/>
        <w:jc w:val="both"/>
        <w:rPr>
          <w:sz w:val="22"/>
          <w:szCs w:val="22"/>
          <w:lang w:val="sr-Latn-ME" w:bidi="en-US"/>
        </w:rPr>
      </w:pPr>
    </w:p>
    <w:p w14:paraId="1D6D9F35" w14:textId="426B449E" w:rsidR="00375F8C" w:rsidRPr="00375F8C" w:rsidRDefault="00375F8C" w:rsidP="00375F8C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bidi="en-US"/>
        </w:rPr>
      </w:pPr>
      <w:proofErr w:type="spellStart"/>
      <w:r w:rsidRPr="00375F8C">
        <w:rPr>
          <w:sz w:val="22"/>
          <w:szCs w:val="22"/>
          <w:lang w:bidi="en-US"/>
        </w:rPr>
        <w:lastRenderedPageBreak/>
        <w:t>Smanjenje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učestalosti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gastroenteritisa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izazvanog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rotavirusima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uzrokovanog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serotipima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G1-G4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tokom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druge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rotavirusne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sezone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nakon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vakcinacije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bilo</w:t>
      </w:r>
      <w:proofErr w:type="spellEnd"/>
      <w:r w:rsidRPr="00375F8C">
        <w:rPr>
          <w:sz w:val="22"/>
          <w:szCs w:val="22"/>
          <w:lang w:bidi="en-US"/>
        </w:rPr>
        <w:t xml:space="preserve"> je 88,0% </w:t>
      </w:r>
      <w:r w:rsidR="004975E3" w:rsidRPr="00A81139">
        <w:rPr>
          <w:rFonts w:ascii="Symbol" w:hAnsi="Symbol"/>
          <w:sz w:val="22"/>
          <w:szCs w:val="22"/>
          <w:lang w:bidi="en-US"/>
        </w:rPr>
        <w:t></w:t>
      </w:r>
      <w:r w:rsidRPr="00375F8C">
        <w:rPr>
          <w:sz w:val="22"/>
          <w:szCs w:val="22"/>
          <w:lang w:bidi="en-US"/>
        </w:rPr>
        <w:t>95% CI 49,4; 98,7</w:t>
      </w:r>
      <w:r w:rsidR="004975E3" w:rsidRPr="00A81139">
        <w:rPr>
          <w:rFonts w:ascii="Symbol" w:hAnsi="Symbol"/>
          <w:sz w:val="22"/>
          <w:szCs w:val="22"/>
          <w:lang w:bidi="en-US"/>
        </w:rPr>
        <w:t></w:t>
      </w:r>
      <w:r w:rsidRPr="00375F8C">
        <w:rPr>
          <w:sz w:val="22"/>
          <w:szCs w:val="22"/>
          <w:lang w:bidi="en-US"/>
        </w:rPr>
        <w:t xml:space="preserve"> za </w:t>
      </w:r>
      <w:proofErr w:type="spellStart"/>
      <w:r w:rsidRPr="00375F8C">
        <w:rPr>
          <w:sz w:val="22"/>
          <w:szCs w:val="22"/>
          <w:lang w:bidi="en-US"/>
        </w:rPr>
        <w:t>pojavu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teške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bolesti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i</w:t>
      </w:r>
      <w:proofErr w:type="spellEnd"/>
      <w:r w:rsidRPr="00375F8C">
        <w:rPr>
          <w:sz w:val="22"/>
          <w:szCs w:val="22"/>
          <w:lang w:bidi="en-US"/>
        </w:rPr>
        <w:t xml:space="preserve"> 62,6% </w:t>
      </w:r>
      <w:r w:rsidR="004975E3" w:rsidRPr="00A81139">
        <w:rPr>
          <w:rFonts w:ascii="Symbol" w:hAnsi="Symbol"/>
          <w:sz w:val="22"/>
          <w:szCs w:val="22"/>
          <w:lang w:bidi="en-US"/>
        </w:rPr>
        <w:t></w:t>
      </w:r>
      <w:r w:rsidRPr="00375F8C">
        <w:rPr>
          <w:sz w:val="22"/>
          <w:szCs w:val="22"/>
          <w:lang w:bidi="en-US"/>
        </w:rPr>
        <w:t>95% CI 44,3; 75,4</w:t>
      </w:r>
      <w:r w:rsidR="004975E3" w:rsidRPr="00A81139">
        <w:rPr>
          <w:rFonts w:ascii="Symbol" w:hAnsi="Symbol"/>
          <w:sz w:val="22"/>
          <w:szCs w:val="22"/>
          <w:lang w:bidi="en-US"/>
        </w:rPr>
        <w:t></w:t>
      </w:r>
      <w:r w:rsidRPr="00375F8C">
        <w:rPr>
          <w:sz w:val="22"/>
          <w:szCs w:val="22"/>
          <w:lang w:bidi="en-US"/>
        </w:rPr>
        <w:t xml:space="preserve"> za </w:t>
      </w:r>
      <w:proofErr w:type="spellStart"/>
      <w:r w:rsidRPr="00375F8C">
        <w:rPr>
          <w:sz w:val="22"/>
          <w:szCs w:val="22"/>
          <w:lang w:bidi="en-US"/>
        </w:rPr>
        <w:t>pojavu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bolesti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bilo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koje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težine</w:t>
      </w:r>
      <w:proofErr w:type="spellEnd"/>
      <w:r w:rsidRPr="00375F8C">
        <w:rPr>
          <w:sz w:val="22"/>
          <w:szCs w:val="22"/>
          <w:lang w:bidi="en-US"/>
        </w:rPr>
        <w:t>.</w:t>
      </w:r>
    </w:p>
    <w:p w14:paraId="11818927" w14:textId="77777777" w:rsidR="00375F8C" w:rsidRPr="00375F8C" w:rsidRDefault="00375F8C" w:rsidP="00375F8C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bidi="en-US"/>
        </w:rPr>
      </w:pPr>
    </w:p>
    <w:p w14:paraId="317748ED" w14:textId="1EF77716" w:rsidR="00375F8C" w:rsidRPr="00375F8C" w:rsidRDefault="00375F8C" w:rsidP="00375F8C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bidi="en-US"/>
        </w:rPr>
      </w:pPr>
      <w:proofErr w:type="spellStart"/>
      <w:r w:rsidRPr="00375F8C">
        <w:rPr>
          <w:sz w:val="22"/>
          <w:szCs w:val="22"/>
          <w:lang w:bidi="en-US"/>
        </w:rPr>
        <w:t>Efikasnost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protiv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genotipova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rotavirusa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G2P</w:t>
      </w:r>
      <w:r w:rsidR="004975E3" w:rsidRPr="00A81139">
        <w:rPr>
          <w:rFonts w:ascii="Symbol" w:hAnsi="Symbol"/>
          <w:sz w:val="22"/>
          <w:szCs w:val="22"/>
          <w:lang w:bidi="en-US"/>
        </w:rPr>
        <w:t></w:t>
      </w:r>
      <w:r w:rsidRPr="00375F8C">
        <w:rPr>
          <w:sz w:val="22"/>
          <w:szCs w:val="22"/>
          <w:lang w:bidi="en-US"/>
        </w:rPr>
        <w:t>4</w:t>
      </w:r>
      <w:proofErr w:type="spellEnd"/>
      <w:r w:rsidR="004975E3" w:rsidRPr="00A81139">
        <w:rPr>
          <w:rFonts w:ascii="Symbol" w:hAnsi="Symbol"/>
          <w:sz w:val="22"/>
          <w:szCs w:val="22"/>
          <w:lang w:bidi="en-US"/>
        </w:rPr>
        <w:t></w:t>
      </w:r>
      <w:r w:rsidRPr="00375F8C">
        <w:rPr>
          <w:sz w:val="22"/>
          <w:szCs w:val="22"/>
          <w:lang w:bidi="en-US"/>
        </w:rPr>
        <w:t xml:space="preserve">, </w:t>
      </w:r>
      <w:proofErr w:type="spellStart"/>
      <w:r w:rsidRPr="00375F8C">
        <w:rPr>
          <w:sz w:val="22"/>
          <w:szCs w:val="22"/>
          <w:lang w:bidi="en-US"/>
        </w:rPr>
        <w:t>G3P</w:t>
      </w:r>
      <w:r w:rsidR="004975E3" w:rsidRPr="00A81139">
        <w:rPr>
          <w:rFonts w:ascii="Symbol" w:hAnsi="Symbol"/>
          <w:sz w:val="22"/>
          <w:szCs w:val="22"/>
          <w:lang w:bidi="en-US"/>
        </w:rPr>
        <w:t></w:t>
      </w:r>
      <w:r w:rsidRPr="00375F8C">
        <w:rPr>
          <w:sz w:val="22"/>
          <w:szCs w:val="22"/>
          <w:lang w:bidi="en-US"/>
        </w:rPr>
        <w:t>8</w:t>
      </w:r>
      <w:proofErr w:type="spellEnd"/>
      <w:r w:rsidR="004975E3" w:rsidRPr="00A81139">
        <w:rPr>
          <w:rFonts w:ascii="Symbol" w:hAnsi="Symbol"/>
          <w:sz w:val="22"/>
          <w:szCs w:val="22"/>
          <w:lang w:bidi="en-US"/>
        </w:rPr>
        <w:t></w:t>
      </w:r>
      <w:r w:rsidRPr="00375F8C">
        <w:rPr>
          <w:sz w:val="22"/>
          <w:szCs w:val="22"/>
          <w:lang w:bidi="en-US"/>
        </w:rPr>
        <w:t xml:space="preserve">, </w:t>
      </w:r>
      <w:proofErr w:type="spellStart"/>
      <w:r w:rsidRPr="00375F8C">
        <w:rPr>
          <w:sz w:val="22"/>
          <w:szCs w:val="22"/>
          <w:lang w:bidi="en-US"/>
        </w:rPr>
        <w:t>G4P</w:t>
      </w:r>
      <w:r w:rsidR="004975E3" w:rsidRPr="00A81139">
        <w:rPr>
          <w:rFonts w:ascii="Symbol" w:hAnsi="Symbol"/>
          <w:sz w:val="22"/>
          <w:szCs w:val="22"/>
          <w:lang w:bidi="en-US"/>
        </w:rPr>
        <w:t></w:t>
      </w:r>
      <w:r w:rsidRPr="00375F8C">
        <w:rPr>
          <w:sz w:val="22"/>
          <w:szCs w:val="22"/>
          <w:lang w:bidi="en-US"/>
        </w:rPr>
        <w:t>8</w:t>
      </w:r>
      <w:proofErr w:type="spellEnd"/>
      <w:r w:rsidR="004975E3" w:rsidRPr="00A81139">
        <w:rPr>
          <w:rFonts w:ascii="Symbol" w:hAnsi="Symbol"/>
          <w:sz w:val="22"/>
          <w:szCs w:val="22"/>
          <w:lang w:bidi="en-US"/>
        </w:rPr>
        <w:t></w:t>
      </w:r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G9P</w:t>
      </w:r>
      <w:r w:rsidR="004975E3" w:rsidRPr="00A81139">
        <w:rPr>
          <w:rFonts w:ascii="Symbol" w:hAnsi="Symbol"/>
          <w:sz w:val="22"/>
          <w:szCs w:val="22"/>
          <w:lang w:bidi="en-US"/>
        </w:rPr>
        <w:t></w:t>
      </w:r>
      <w:r w:rsidRPr="00375F8C">
        <w:rPr>
          <w:sz w:val="22"/>
          <w:szCs w:val="22"/>
          <w:lang w:bidi="en-US"/>
        </w:rPr>
        <w:t>8</w:t>
      </w:r>
      <w:proofErr w:type="spellEnd"/>
      <w:r w:rsidR="004975E3" w:rsidRPr="00A81139">
        <w:rPr>
          <w:rFonts w:ascii="Symbol" w:hAnsi="Symbol"/>
          <w:sz w:val="22"/>
          <w:szCs w:val="22"/>
          <w:lang w:bidi="en-US"/>
        </w:rPr>
        <w:t></w:t>
      </w:r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zasnovana</w:t>
      </w:r>
      <w:proofErr w:type="spellEnd"/>
      <w:r w:rsidRPr="00375F8C">
        <w:rPr>
          <w:sz w:val="22"/>
          <w:szCs w:val="22"/>
          <w:lang w:bidi="en-US"/>
        </w:rPr>
        <w:t xml:space="preserve"> je </w:t>
      </w:r>
      <w:proofErr w:type="spellStart"/>
      <w:proofErr w:type="gramStart"/>
      <w:r w:rsidRPr="00375F8C">
        <w:rPr>
          <w:sz w:val="22"/>
          <w:szCs w:val="22"/>
          <w:lang w:bidi="en-US"/>
        </w:rPr>
        <w:t>na</w:t>
      </w:r>
      <w:proofErr w:type="spellEnd"/>
      <w:proofErr w:type="gram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manjem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broju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slučajeva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nego</w:t>
      </w:r>
      <w:proofErr w:type="spellEnd"/>
      <w:r w:rsidRPr="00375F8C">
        <w:rPr>
          <w:sz w:val="22"/>
          <w:szCs w:val="22"/>
          <w:lang w:bidi="en-US"/>
        </w:rPr>
        <w:t xml:space="preserve"> za </w:t>
      </w:r>
      <w:proofErr w:type="spellStart"/>
      <w:r w:rsidRPr="00375F8C">
        <w:rPr>
          <w:sz w:val="22"/>
          <w:szCs w:val="22"/>
          <w:lang w:bidi="en-US"/>
        </w:rPr>
        <w:t>G1</w:t>
      </w:r>
      <w:proofErr w:type="spellEnd"/>
      <w:r w:rsidRPr="00375F8C">
        <w:rPr>
          <w:sz w:val="22"/>
          <w:szCs w:val="22"/>
          <w:lang w:bidi="en-US"/>
        </w:rPr>
        <w:t xml:space="preserve">. </w:t>
      </w:r>
      <w:proofErr w:type="spellStart"/>
      <w:r w:rsidRPr="00375F8C">
        <w:rPr>
          <w:sz w:val="22"/>
          <w:szCs w:val="22"/>
          <w:lang w:bidi="en-US"/>
        </w:rPr>
        <w:t>Efikasnost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uočena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protiv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G2P</w:t>
      </w:r>
      <w:r w:rsidR="004975E3" w:rsidRPr="00A81139">
        <w:rPr>
          <w:rFonts w:ascii="Symbol" w:hAnsi="Symbol"/>
          <w:sz w:val="22"/>
          <w:szCs w:val="22"/>
          <w:lang w:bidi="en-US"/>
        </w:rPr>
        <w:t></w:t>
      </w:r>
      <w:r w:rsidRPr="00375F8C">
        <w:rPr>
          <w:sz w:val="22"/>
          <w:szCs w:val="22"/>
          <w:lang w:bidi="en-US"/>
        </w:rPr>
        <w:t>4</w:t>
      </w:r>
      <w:proofErr w:type="spellEnd"/>
      <w:r w:rsidR="004975E3" w:rsidRPr="00A81139">
        <w:rPr>
          <w:rFonts w:ascii="Symbol" w:hAnsi="Symbol"/>
          <w:sz w:val="22"/>
          <w:szCs w:val="22"/>
          <w:lang w:bidi="en-US"/>
        </w:rPr>
        <w:t></w:t>
      </w:r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najvjerovatnije</w:t>
      </w:r>
      <w:proofErr w:type="spellEnd"/>
      <w:r w:rsidRPr="00375F8C">
        <w:rPr>
          <w:sz w:val="22"/>
          <w:szCs w:val="22"/>
          <w:lang w:bidi="en-US"/>
        </w:rPr>
        <w:t xml:space="preserve"> je </w:t>
      </w:r>
      <w:proofErr w:type="spellStart"/>
      <w:r w:rsidRPr="00375F8C">
        <w:rPr>
          <w:sz w:val="22"/>
          <w:szCs w:val="22"/>
          <w:lang w:bidi="en-US"/>
        </w:rPr>
        <w:t>bila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rezultat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G2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komponente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vakcine</w:t>
      </w:r>
      <w:proofErr w:type="spellEnd"/>
      <w:r w:rsidRPr="00375F8C">
        <w:rPr>
          <w:sz w:val="22"/>
          <w:szCs w:val="22"/>
          <w:lang w:bidi="en-US"/>
        </w:rPr>
        <w:t>.</w:t>
      </w:r>
    </w:p>
    <w:p w14:paraId="54365729" w14:textId="77777777" w:rsidR="00A81139" w:rsidRPr="00815C87" w:rsidRDefault="00A81139" w:rsidP="00375F8C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val="sr-Latn-ME" w:bidi="en-US"/>
        </w:rPr>
      </w:pPr>
    </w:p>
    <w:p w14:paraId="43BA94F0" w14:textId="40032DD1" w:rsidR="00A81139" w:rsidRPr="00815C87" w:rsidRDefault="00A81139" w:rsidP="00375F8C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U </w:t>
      </w:r>
      <w:r w:rsidR="00D87CDD" w:rsidRPr="00815C87">
        <w:rPr>
          <w:sz w:val="22"/>
          <w:szCs w:val="22"/>
          <w:lang w:val="sr-Latn-ME" w:bidi="en-US"/>
        </w:rPr>
        <w:t>naknadnoj (</w:t>
      </w:r>
      <w:r w:rsidRPr="00815C87">
        <w:rPr>
          <w:sz w:val="22"/>
          <w:szCs w:val="22"/>
          <w:lang w:val="sr-Latn-ME" w:bidi="en-US"/>
        </w:rPr>
        <w:t>post-</w:t>
      </w:r>
      <w:proofErr w:type="spellStart"/>
      <w:r w:rsidRPr="00815C87">
        <w:rPr>
          <w:sz w:val="22"/>
          <w:szCs w:val="22"/>
          <w:lang w:val="sr-Latn-ME" w:bidi="en-US"/>
        </w:rPr>
        <w:t>hoc</w:t>
      </w:r>
      <w:proofErr w:type="spellEnd"/>
      <w:r w:rsidR="00D87CDD" w:rsidRPr="00815C87">
        <w:rPr>
          <w:sz w:val="22"/>
          <w:szCs w:val="22"/>
          <w:lang w:val="sr-Latn-ME" w:bidi="en-US"/>
        </w:rPr>
        <w:t>)</w:t>
      </w:r>
      <w:r w:rsidRPr="00815C87">
        <w:rPr>
          <w:sz w:val="22"/>
          <w:szCs w:val="22"/>
          <w:lang w:val="sr-Latn-ME" w:bidi="en-US"/>
        </w:rPr>
        <w:t xml:space="preserve"> analizi </w:t>
      </w:r>
      <w:r w:rsidR="00D87CDD" w:rsidRPr="00815C87">
        <w:rPr>
          <w:sz w:val="22"/>
          <w:szCs w:val="22"/>
          <w:lang w:val="sr-Latn-ME" w:bidi="en-US"/>
        </w:rPr>
        <w:t xml:space="preserve">podataka kombinovanih iz </w:t>
      </w:r>
      <w:r w:rsidRPr="00815C87">
        <w:rPr>
          <w:sz w:val="22"/>
          <w:szCs w:val="22"/>
          <w:lang w:val="sr-Latn-ME" w:bidi="en-US"/>
        </w:rPr>
        <w:t xml:space="preserve">REST </w:t>
      </w:r>
      <w:r w:rsidR="00D87CDD" w:rsidRPr="00815C87">
        <w:rPr>
          <w:sz w:val="22"/>
          <w:szCs w:val="22"/>
          <w:lang w:val="sr-Latn-ME" w:bidi="en-US"/>
        </w:rPr>
        <w:t xml:space="preserve">kliničkog ispitivanja </w:t>
      </w:r>
      <w:r w:rsidRPr="00815C87">
        <w:rPr>
          <w:sz w:val="22"/>
          <w:szCs w:val="22"/>
          <w:lang w:val="sr-Latn-ME" w:bidi="en-US"/>
        </w:rPr>
        <w:t xml:space="preserve">i </w:t>
      </w:r>
      <w:r w:rsidR="00D87CDD" w:rsidRPr="00815C87">
        <w:rPr>
          <w:sz w:val="22"/>
          <w:szCs w:val="22"/>
          <w:lang w:val="sr-Latn-ME" w:bidi="en-US"/>
        </w:rPr>
        <w:t xml:space="preserve">još jednog ispitivanja </w:t>
      </w:r>
      <w:r w:rsidRPr="00815C87">
        <w:rPr>
          <w:sz w:val="22"/>
          <w:szCs w:val="22"/>
          <w:lang w:val="sr-Latn-ME" w:bidi="en-US"/>
        </w:rPr>
        <w:t xml:space="preserve">faze III, efikasnost vakcine protiv </w:t>
      </w:r>
      <w:proofErr w:type="spellStart"/>
      <w:r w:rsidRPr="00815C87">
        <w:rPr>
          <w:sz w:val="22"/>
          <w:szCs w:val="22"/>
          <w:lang w:val="sr-Latn-ME" w:bidi="en-US"/>
        </w:rPr>
        <w:t>gastroenteritisa</w:t>
      </w:r>
      <w:proofErr w:type="spellEnd"/>
      <w:r w:rsidRPr="00815C87">
        <w:rPr>
          <w:sz w:val="22"/>
          <w:szCs w:val="22"/>
          <w:lang w:val="sr-Latn-ME" w:bidi="en-US"/>
        </w:rPr>
        <w:t xml:space="preserve"> izazvanog </w:t>
      </w:r>
      <w:proofErr w:type="spellStart"/>
      <w:r w:rsidRPr="00815C87">
        <w:rPr>
          <w:sz w:val="22"/>
          <w:szCs w:val="22"/>
          <w:lang w:val="sr-Latn-ME" w:bidi="en-US"/>
        </w:rPr>
        <w:t>serotipovima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rotavirusa</w:t>
      </w:r>
      <w:proofErr w:type="spellEnd"/>
      <w:r w:rsidRPr="00815C87">
        <w:rPr>
          <w:sz w:val="22"/>
          <w:szCs w:val="22"/>
          <w:lang w:val="sr-Latn-ME" w:bidi="en-US"/>
        </w:rPr>
        <w:t xml:space="preserve"> G1, G2, G3 i G4 (bilo koje težine) je bila 61</w:t>
      </w:r>
      <w:r w:rsidR="00D87CDD" w:rsidRPr="00815C87">
        <w:rPr>
          <w:sz w:val="22"/>
          <w:szCs w:val="22"/>
          <w:lang w:val="sr-Latn-ME" w:bidi="en-US"/>
        </w:rPr>
        <w:t>,</w:t>
      </w:r>
      <w:r w:rsidRPr="00815C87">
        <w:rPr>
          <w:sz w:val="22"/>
          <w:szCs w:val="22"/>
          <w:lang w:val="sr-Latn-ME" w:bidi="en-US"/>
        </w:rPr>
        <w:t>5 % [95 % CI: 14</w:t>
      </w:r>
      <w:r w:rsidR="00D87CDD" w:rsidRPr="00815C87">
        <w:rPr>
          <w:sz w:val="22"/>
          <w:szCs w:val="22"/>
          <w:lang w:val="sr-Latn-ME" w:bidi="en-US"/>
        </w:rPr>
        <w:t>,</w:t>
      </w:r>
      <w:r w:rsidRPr="00815C87">
        <w:rPr>
          <w:sz w:val="22"/>
          <w:szCs w:val="22"/>
          <w:lang w:val="sr-Latn-ME" w:bidi="en-US"/>
        </w:rPr>
        <w:t>2; 84</w:t>
      </w:r>
      <w:r w:rsidR="00D87CDD" w:rsidRPr="00815C87">
        <w:rPr>
          <w:sz w:val="22"/>
          <w:szCs w:val="22"/>
          <w:lang w:val="sr-Latn-ME" w:bidi="en-US"/>
        </w:rPr>
        <w:t>,</w:t>
      </w:r>
      <w:r w:rsidRPr="00815C87">
        <w:rPr>
          <w:sz w:val="22"/>
          <w:szCs w:val="22"/>
          <w:lang w:val="sr-Latn-ME" w:bidi="en-US"/>
        </w:rPr>
        <w:t>2] kod odojčadi uzrasta &gt;26 do ≤ 32 nedjelje poslije primjene treće doze.</w:t>
      </w:r>
    </w:p>
    <w:p w14:paraId="67F09B3E" w14:textId="77777777" w:rsidR="00A81139" w:rsidRPr="00815C87" w:rsidRDefault="00A81139" w:rsidP="00375F8C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</w:p>
    <w:p w14:paraId="1480947C" w14:textId="69138E19" w:rsidR="00A81139" w:rsidRPr="00815C87" w:rsidRDefault="00A81139" w:rsidP="00375F8C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Sproveden je i produžetak studije REST, ali samo u Finskoj. Ova finska studija produžetka (</w:t>
      </w:r>
      <w:r w:rsidR="00D87CDD" w:rsidRPr="00815C87">
        <w:rPr>
          <w:sz w:val="22"/>
          <w:szCs w:val="22"/>
          <w:lang w:val="sr-Latn-ME" w:bidi="en-US"/>
        </w:rPr>
        <w:t xml:space="preserve">engl. </w:t>
      </w:r>
      <w:proofErr w:type="spellStart"/>
      <w:r w:rsidRPr="00815C87">
        <w:rPr>
          <w:i/>
          <w:sz w:val="22"/>
          <w:szCs w:val="22"/>
          <w:lang w:val="sr-Latn-ME" w:bidi="en-US"/>
        </w:rPr>
        <w:t>Finish</w:t>
      </w:r>
      <w:proofErr w:type="spellEnd"/>
      <w:r w:rsidRPr="00815C87">
        <w:rPr>
          <w:i/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i/>
          <w:sz w:val="22"/>
          <w:szCs w:val="22"/>
          <w:lang w:val="sr-Latn-ME" w:bidi="en-US"/>
        </w:rPr>
        <w:t>Extension</w:t>
      </w:r>
      <w:proofErr w:type="spellEnd"/>
      <w:r w:rsidRPr="00815C87">
        <w:rPr>
          <w:i/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i/>
          <w:sz w:val="22"/>
          <w:szCs w:val="22"/>
          <w:lang w:val="sr-Latn-ME" w:bidi="en-US"/>
        </w:rPr>
        <w:t>Study</w:t>
      </w:r>
      <w:proofErr w:type="spellEnd"/>
      <w:r w:rsidR="00D87CDD" w:rsidRPr="00815C87">
        <w:rPr>
          <w:sz w:val="22"/>
          <w:szCs w:val="22"/>
          <w:lang w:val="sr-Latn-ME" w:bidi="en-US"/>
        </w:rPr>
        <w:t>,</w:t>
      </w:r>
      <w:r w:rsidRPr="00815C87">
        <w:rPr>
          <w:sz w:val="22"/>
          <w:szCs w:val="22"/>
          <w:lang w:val="sr-Latn-ME" w:bidi="en-US"/>
        </w:rPr>
        <w:t xml:space="preserve"> FES) uključivala je podgrupu od 20736 subjekata koji su prethodno bili uključeni u REST studiju.</w:t>
      </w:r>
    </w:p>
    <w:p w14:paraId="23CD0F4C" w14:textId="77777777" w:rsidR="00A81139" w:rsidRPr="00815C87" w:rsidRDefault="00A81139" w:rsidP="00375F8C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Praćenje ove grupe odojčadi u FES studiji trajalo je do 3 godine nakon vakcinacije.</w:t>
      </w:r>
    </w:p>
    <w:p w14:paraId="0CD09D92" w14:textId="77777777" w:rsidR="00A81139" w:rsidRPr="00815C87" w:rsidRDefault="00A81139" w:rsidP="00852481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ME" w:bidi="en-US"/>
        </w:rPr>
      </w:pPr>
    </w:p>
    <w:p w14:paraId="3A399E0A" w14:textId="4D6D1210" w:rsidR="00A81139" w:rsidRPr="00815C87" w:rsidRDefault="00A81139" w:rsidP="00375F8C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U REST studiji zabilježena su 403 slučaja korišćenja usluga zdravstva (20 u grupi koja je primila vakcinu i 383 u</w:t>
      </w:r>
      <w:r w:rsidR="00A94485" w:rsidRPr="00815C87">
        <w:rPr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 xml:space="preserve">grupi koja je primila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 xml:space="preserve">) povezani sa </w:t>
      </w:r>
      <w:proofErr w:type="spellStart"/>
      <w:r w:rsidRPr="00815C87">
        <w:rPr>
          <w:sz w:val="22"/>
          <w:szCs w:val="22"/>
          <w:lang w:val="sr-Latn-ME" w:bidi="en-US"/>
        </w:rPr>
        <w:t>G1-G4</w:t>
      </w:r>
      <w:proofErr w:type="spellEnd"/>
      <w:r w:rsidRPr="00815C87">
        <w:rPr>
          <w:sz w:val="22"/>
          <w:szCs w:val="22"/>
          <w:lang w:val="sr-Latn-ME" w:bidi="en-US"/>
        </w:rPr>
        <w:t xml:space="preserve"> i </w:t>
      </w:r>
      <w:proofErr w:type="spellStart"/>
      <w:r w:rsidRPr="00815C87">
        <w:rPr>
          <w:sz w:val="22"/>
          <w:szCs w:val="22"/>
          <w:lang w:val="sr-Latn-ME" w:bidi="en-US"/>
        </w:rPr>
        <w:t>G9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gastroenteritisom</w:t>
      </w:r>
      <w:proofErr w:type="spellEnd"/>
      <w:r w:rsidRPr="00815C87">
        <w:rPr>
          <w:sz w:val="22"/>
          <w:szCs w:val="22"/>
          <w:lang w:val="sr-Latn-ME" w:bidi="en-US"/>
        </w:rPr>
        <w:t xml:space="preserve"> izazvanim </w:t>
      </w:r>
      <w:proofErr w:type="spellStart"/>
      <w:r w:rsidRPr="00815C87">
        <w:rPr>
          <w:sz w:val="22"/>
          <w:szCs w:val="22"/>
          <w:lang w:val="sr-Latn-ME" w:bidi="en-US"/>
        </w:rPr>
        <w:t>rotavirusima</w:t>
      </w:r>
      <w:proofErr w:type="spellEnd"/>
      <w:r w:rsidRPr="00815C87">
        <w:rPr>
          <w:sz w:val="22"/>
          <w:szCs w:val="22"/>
          <w:lang w:val="sr-Latn-ME" w:bidi="en-US"/>
        </w:rPr>
        <w:t xml:space="preserve"> u populaciji</w:t>
      </w:r>
      <w:r w:rsidR="00D87CDD" w:rsidRPr="00815C87">
        <w:rPr>
          <w:sz w:val="22"/>
          <w:szCs w:val="22"/>
          <w:lang w:val="sr-Latn-ME" w:bidi="en-US"/>
        </w:rPr>
        <w:t xml:space="preserve"> određenoj protokolom</w:t>
      </w:r>
      <w:r w:rsidRPr="00815C87">
        <w:rPr>
          <w:sz w:val="22"/>
          <w:szCs w:val="22"/>
          <w:lang w:val="sr-Latn-ME" w:bidi="en-US"/>
        </w:rPr>
        <w:t xml:space="preserve">. Prema dodatnim podacima iz FES studije, broj korišćenja usluga zdravstva je povećan na ukupno 136 uključujući 9 slučajeva u grupi koja je primila vakcinu i 127 slučajeva u grupi koja je dobila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>. Sveukupno, tokom FES studije, zabilježeno je 31%, odnosno 25% korišćenja usluga zdravstva u ispitivanim grupama.</w:t>
      </w:r>
    </w:p>
    <w:p w14:paraId="4F70C1B8" w14:textId="77777777" w:rsidR="00A81139" w:rsidRPr="00815C87" w:rsidRDefault="00A81139" w:rsidP="00375F8C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</w:p>
    <w:p w14:paraId="33C492C0" w14:textId="5BCE48BD" w:rsidR="00A81139" w:rsidRPr="00815C87" w:rsidRDefault="00A81139" w:rsidP="00375F8C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Na osnovu kombinovanih podataka iz REST i FES studija, smanjenje broja prijema u bolnicu i prijema na odjeljenje za hitne slučajeve zbog </w:t>
      </w:r>
      <w:proofErr w:type="spellStart"/>
      <w:r w:rsidRPr="00815C87">
        <w:rPr>
          <w:sz w:val="22"/>
          <w:szCs w:val="22"/>
          <w:lang w:val="sr-Latn-ME" w:bidi="en-US"/>
        </w:rPr>
        <w:t>gastroenteritisa</w:t>
      </w:r>
      <w:proofErr w:type="spellEnd"/>
      <w:r w:rsidRPr="00815C87">
        <w:rPr>
          <w:sz w:val="22"/>
          <w:szCs w:val="22"/>
          <w:lang w:val="sr-Latn-ME" w:bidi="en-US"/>
        </w:rPr>
        <w:t xml:space="preserve"> izazvanog </w:t>
      </w:r>
      <w:proofErr w:type="spellStart"/>
      <w:r w:rsidRPr="00815C87">
        <w:rPr>
          <w:sz w:val="22"/>
          <w:szCs w:val="22"/>
          <w:lang w:val="sr-Latn-ME" w:bidi="en-US"/>
        </w:rPr>
        <w:t>rotavirusima</w:t>
      </w:r>
      <w:proofErr w:type="spellEnd"/>
      <w:r w:rsidRPr="00815C87">
        <w:rPr>
          <w:sz w:val="22"/>
          <w:szCs w:val="22"/>
          <w:lang w:val="sr-Latn-ME" w:bidi="en-US"/>
        </w:rPr>
        <w:t xml:space="preserve"> u periodu do 3 godine nakon vakcinacije bilo je 94,4% (95% CI: 91,6</w:t>
      </w:r>
      <w:r w:rsidR="00C04374" w:rsidRPr="00815C87">
        <w:rPr>
          <w:sz w:val="22"/>
          <w:szCs w:val="22"/>
          <w:lang w:val="sr-Latn-ME" w:bidi="en-US"/>
        </w:rPr>
        <w:t>;</w:t>
      </w:r>
      <w:r w:rsidRPr="00815C87">
        <w:rPr>
          <w:sz w:val="22"/>
          <w:szCs w:val="22"/>
          <w:lang w:val="sr-Latn-ME" w:bidi="en-US"/>
        </w:rPr>
        <w:t xml:space="preserve"> 96,2) za </w:t>
      </w:r>
      <w:proofErr w:type="spellStart"/>
      <w:r w:rsidRPr="00815C87">
        <w:rPr>
          <w:sz w:val="22"/>
          <w:szCs w:val="22"/>
          <w:lang w:val="sr-Latn-ME" w:bidi="en-US"/>
        </w:rPr>
        <w:t>genotipove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G1-G4</w:t>
      </w:r>
      <w:proofErr w:type="spellEnd"/>
      <w:r w:rsidRPr="00815C87">
        <w:rPr>
          <w:sz w:val="22"/>
          <w:szCs w:val="22"/>
          <w:lang w:val="sr-Latn-ME" w:bidi="en-US"/>
        </w:rPr>
        <w:t>, 95,5% (95% CI: 92,8</w:t>
      </w:r>
      <w:r w:rsidR="00C04374" w:rsidRPr="00815C87">
        <w:rPr>
          <w:sz w:val="22"/>
          <w:szCs w:val="22"/>
          <w:lang w:val="sr-Latn-ME" w:bidi="en-US"/>
        </w:rPr>
        <w:t>;</w:t>
      </w:r>
      <w:r w:rsidRPr="00815C87">
        <w:rPr>
          <w:sz w:val="22"/>
          <w:szCs w:val="22"/>
          <w:lang w:val="sr-Latn-ME" w:bidi="en-US"/>
        </w:rPr>
        <w:t xml:space="preserve"> 97,2) za </w:t>
      </w:r>
      <w:proofErr w:type="spellStart"/>
      <w:r w:rsidRPr="00815C87">
        <w:rPr>
          <w:sz w:val="22"/>
          <w:szCs w:val="22"/>
          <w:lang w:val="sr-Latn-ME" w:bidi="en-US"/>
        </w:rPr>
        <w:t>genotip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G1</w:t>
      </w:r>
      <w:proofErr w:type="spellEnd"/>
      <w:r w:rsidRPr="00815C87">
        <w:rPr>
          <w:sz w:val="22"/>
          <w:szCs w:val="22"/>
          <w:lang w:val="sr-Latn-ME" w:bidi="en-US"/>
        </w:rPr>
        <w:t>,</w:t>
      </w:r>
      <w:r w:rsidR="00C04374" w:rsidRPr="00815C87">
        <w:rPr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 xml:space="preserve">81,9% (95% CI: 16,1, 98,0) za </w:t>
      </w:r>
      <w:proofErr w:type="spellStart"/>
      <w:r w:rsidRPr="00815C87">
        <w:rPr>
          <w:sz w:val="22"/>
          <w:szCs w:val="22"/>
          <w:lang w:val="sr-Latn-ME" w:bidi="en-US"/>
        </w:rPr>
        <w:t>genotip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G2</w:t>
      </w:r>
      <w:proofErr w:type="spellEnd"/>
      <w:r w:rsidRPr="00815C87">
        <w:rPr>
          <w:sz w:val="22"/>
          <w:szCs w:val="22"/>
          <w:lang w:val="sr-Latn-ME" w:bidi="en-US"/>
        </w:rPr>
        <w:t>, 89,0% (95% CI: 53,3</w:t>
      </w:r>
      <w:r w:rsidR="00C04374" w:rsidRPr="00815C87">
        <w:rPr>
          <w:sz w:val="22"/>
          <w:szCs w:val="22"/>
          <w:lang w:val="sr-Latn-ME" w:bidi="en-US"/>
        </w:rPr>
        <w:t>;</w:t>
      </w:r>
      <w:r w:rsidRPr="00815C87">
        <w:rPr>
          <w:sz w:val="22"/>
          <w:szCs w:val="22"/>
          <w:lang w:val="sr-Latn-ME" w:bidi="en-US"/>
        </w:rPr>
        <w:t xml:space="preserve"> 98,7) za </w:t>
      </w:r>
      <w:proofErr w:type="spellStart"/>
      <w:r w:rsidRPr="00815C87">
        <w:rPr>
          <w:sz w:val="22"/>
          <w:szCs w:val="22"/>
          <w:lang w:val="sr-Latn-ME" w:bidi="en-US"/>
        </w:rPr>
        <w:t>genotip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G3</w:t>
      </w:r>
      <w:proofErr w:type="spellEnd"/>
      <w:r w:rsidRPr="00815C87">
        <w:rPr>
          <w:sz w:val="22"/>
          <w:szCs w:val="22"/>
          <w:lang w:val="sr-Latn-ME" w:bidi="en-US"/>
        </w:rPr>
        <w:t>, 83,4% (95% CI: 51,2</w:t>
      </w:r>
      <w:r w:rsidR="00C04374" w:rsidRPr="00815C87">
        <w:rPr>
          <w:sz w:val="22"/>
          <w:szCs w:val="22"/>
          <w:lang w:val="sr-Latn-ME" w:bidi="en-US"/>
        </w:rPr>
        <w:t>;</w:t>
      </w:r>
      <w:r w:rsidRPr="00815C87">
        <w:rPr>
          <w:sz w:val="22"/>
          <w:szCs w:val="22"/>
          <w:lang w:val="sr-Latn-ME" w:bidi="en-US"/>
        </w:rPr>
        <w:t xml:space="preserve"> 95,8) za </w:t>
      </w:r>
      <w:proofErr w:type="spellStart"/>
      <w:r w:rsidRPr="00815C87">
        <w:rPr>
          <w:sz w:val="22"/>
          <w:szCs w:val="22"/>
          <w:lang w:val="sr-Latn-ME" w:bidi="en-US"/>
        </w:rPr>
        <w:t>genotip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G4</w:t>
      </w:r>
      <w:proofErr w:type="spellEnd"/>
      <w:r w:rsidRPr="00815C87">
        <w:rPr>
          <w:sz w:val="22"/>
          <w:szCs w:val="22"/>
          <w:lang w:val="sr-Latn-ME" w:bidi="en-US"/>
        </w:rPr>
        <w:t xml:space="preserve"> i 94,2% (95% CI: 62,2</w:t>
      </w:r>
      <w:r w:rsidR="00C04374" w:rsidRPr="00815C87">
        <w:rPr>
          <w:sz w:val="22"/>
          <w:szCs w:val="22"/>
          <w:lang w:val="sr-Latn-ME" w:bidi="en-US"/>
        </w:rPr>
        <w:t>;</w:t>
      </w:r>
      <w:r w:rsidRPr="00815C87">
        <w:rPr>
          <w:sz w:val="22"/>
          <w:szCs w:val="22"/>
          <w:lang w:val="sr-Latn-ME" w:bidi="en-US"/>
        </w:rPr>
        <w:t xml:space="preserve"> 99,9) za </w:t>
      </w:r>
      <w:proofErr w:type="spellStart"/>
      <w:r w:rsidRPr="00815C87">
        <w:rPr>
          <w:sz w:val="22"/>
          <w:szCs w:val="22"/>
          <w:lang w:val="sr-Latn-ME" w:bidi="en-US"/>
        </w:rPr>
        <w:t>genotip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G9</w:t>
      </w:r>
      <w:proofErr w:type="spellEnd"/>
      <w:r w:rsidRPr="00815C87">
        <w:rPr>
          <w:sz w:val="22"/>
          <w:szCs w:val="22"/>
          <w:lang w:val="sr-Latn-ME" w:bidi="en-US"/>
        </w:rPr>
        <w:t xml:space="preserve">. Tokom treće godine, u grupi koja je primila vakcinu (n=3112), nije bilo korišćenja usluga zdravstva zbog </w:t>
      </w:r>
      <w:proofErr w:type="spellStart"/>
      <w:r w:rsidRPr="00815C87">
        <w:rPr>
          <w:sz w:val="22"/>
          <w:szCs w:val="22"/>
          <w:lang w:val="sr-Latn-ME" w:bidi="en-US"/>
        </w:rPr>
        <w:t>gastroenteritisa</w:t>
      </w:r>
      <w:proofErr w:type="spellEnd"/>
      <w:r w:rsidRPr="00815C87">
        <w:rPr>
          <w:sz w:val="22"/>
          <w:szCs w:val="22"/>
          <w:lang w:val="sr-Latn-ME" w:bidi="en-US"/>
        </w:rPr>
        <w:t xml:space="preserve"> izazvanog </w:t>
      </w:r>
      <w:proofErr w:type="spellStart"/>
      <w:r w:rsidRPr="00815C87">
        <w:rPr>
          <w:sz w:val="22"/>
          <w:szCs w:val="22"/>
          <w:lang w:val="sr-Latn-ME" w:bidi="en-US"/>
        </w:rPr>
        <w:t>rotavirusima</w:t>
      </w:r>
      <w:proofErr w:type="spellEnd"/>
      <w:r w:rsidRPr="00815C87">
        <w:rPr>
          <w:sz w:val="22"/>
          <w:szCs w:val="22"/>
          <w:lang w:val="sr-Latn-ME" w:bidi="en-US"/>
        </w:rPr>
        <w:t xml:space="preserve">, a u </w:t>
      </w:r>
      <w:proofErr w:type="spellStart"/>
      <w:r w:rsidRPr="00815C87">
        <w:rPr>
          <w:sz w:val="22"/>
          <w:szCs w:val="22"/>
          <w:lang w:val="sr-Latn-ME" w:bidi="en-US"/>
        </w:rPr>
        <w:t>placebo</w:t>
      </w:r>
      <w:proofErr w:type="spellEnd"/>
      <w:r w:rsidRPr="00815C87">
        <w:rPr>
          <w:sz w:val="22"/>
          <w:szCs w:val="22"/>
          <w:lang w:val="sr-Latn-ME" w:bidi="en-US"/>
        </w:rPr>
        <w:t xml:space="preserve"> grupi (n=3126) zabilježena je samo jedan takav slučaj (</w:t>
      </w:r>
      <w:proofErr w:type="spellStart"/>
      <w:r w:rsidRPr="00815C87">
        <w:rPr>
          <w:sz w:val="22"/>
          <w:szCs w:val="22"/>
          <w:lang w:val="sr-Latn-ME" w:bidi="en-US"/>
        </w:rPr>
        <w:t>netipizirani</w:t>
      </w:r>
      <w:proofErr w:type="spellEnd"/>
      <w:r w:rsidRPr="00815C87">
        <w:rPr>
          <w:sz w:val="22"/>
          <w:szCs w:val="22"/>
          <w:lang w:val="sr-Latn-ME" w:bidi="en-US"/>
        </w:rPr>
        <w:t>).</w:t>
      </w:r>
    </w:p>
    <w:p w14:paraId="173EA09A" w14:textId="77777777" w:rsidR="00A81139" w:rsidRPr="00815C87" w:rsidRDefault="00A81139" w:rsidP="00375F8C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</w:p>
    <w:p w14:paraId="58A3E70C" w14:textId="7F8F51BE" w:rsidR="00A81139" w:rsidRPr="00815C87" w:rsidRDefault="00A81139" w:rsidP="00375F8C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Da bi se </w:t>
      </w:r>
      <w:proofErr w:type="spellStart"/>
      <w:r w:rsidRPr="00815C87">
        <w:rPr>
          <w:sz w:val="22"/>
          <w:szCs w:val="22"/>
          <w:lang w:val="sr-Latn-ME" w:bidi="en-US"/>
        </w:rPr>
        <w:t>obezbijedili</w:t>
      </w:r>
      <w:proofErr w:type="spellEnd"/>
      <w:r w:rsidRPr="00815C87">
        <w:rPr>
          <w:sz w:val="22"/>
          <w:szCs w:val="22"/>
          <w:lang w:val="sr-Latn-ME" w:bidi="en-US"/>
        </w:rPr>
        <w:t xml:space="preserve"> odgovarajući nivo i trajanje zaštite protiv </w:t>
      </w:r>
      <w:proofErr w:type="spellStart"/>
      <w:r w:rsidRPr="00815C87">
        <w:rPr>
          <w:sz w:val="22"/>
          <w:szCs w:val="22"/>
          <w:lang w:val="sr-Latn-ME" w:bidi="en-US"/>
        </w:rPr>
        <w:t>gastroenteritisa</w:t>
      </w:r>
      <w:proofErr w:type="spellEnd"/>
      <w:r w:rsidRPr="00815C87">
        <w:rPr>
          <w:sz w:val="22"/>
          <w:szCs w:val="22"/>
          <w:lang w:val="sr-Latn-ME" w:bidi="en-US"/>
        </w:rPr>
        <w:t xml:space="preserve"> izazvanog </w:t>
      </w:r>
      <w:proofErr w:type="spellStart"/>
      <w:r w:rsidRPr="00815C87">
        <w:rPr>
          <w:sz w:val="22"/>
          <w:szCs w:val="22"/>
          <w:lang w:val="sr-Latn-ME" w:bidi="en-US"/>
        </w:rPr>
        <w:t>rotavirusima</w:t>
      </w:r>
      <w:proofErr w:type="spellEnd"/>
      <w:r w:rsidRPr="00815C87">
        <w:rPr>
          <w:sz w:val="22"/>
          <w:szCs w:val="22"/>
          <w:lang w:val="sr-Latn-ME" w:bidi="en-US"/>
        </w:rPr>
        <w:t xml:space="preserve"> koji su zabilježeni u kliničkim studijama, potrebno je dati sve tri doze vakcine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(vidjeti dio 4.2). Međutim, naknadne (</w:t>
      </w:r>
      <w:r w:rsidRPr="00815C87">
        <w:rPr>
          <w:i/>
          <w:sz w:val="22"/>
          <w:szCs w:val="22"/>
          <w:lang w:val="sr-Latn-ME" w:bidi="en-US"/>
        </w:rPr>
        <w:t xml:space="preserve">post </w:t>
      </w:r>
      <w:proofErr w:type="spellStart"/>
      <w:r w:rsidRPr="00815C87">
        <w:rPr>
          <w:i/>
          <w:sz w:val="22"/>
          <w:szCs w:val="22"/>
          <w:lang w:val="sr-Latn-ME" w:bidi="en-US"/>
        </w:rPr>
        <w:t>hoc</w:t>
      </w:r>
      <w:proofErr w:type="spellEnd"/>
      <w:r w:rsidRPr="00815C87">
        <w:rPr>
          <w:sz w:val="22"/>
          <w:szCs w:val="22"/>
          <w:lang w:val="sr-Latn-ME" w:bidi="en-US"/>
        </w:rPr>
        <w:t xml:space="preserve">) analize su pokazale da je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vakcina dovela do izvesnog smanjenja u broju slučajeva </w:t>
      </w:r>
      <w:proofErr w:type="spellStart"/>
      <w:r w:rsidRPr="00815C87">
        <w:rPr>
          <w:sz w:val="22"/>
          <w:szCs w:val="22"/>
          <w:lang w:val="sr-Latn-ME" w:bidi="en-US"/>
        </w:rPr>
        <w:t>gastroenteritisa</w:t>
      </w:r>
      <w:proofErr w:type="spellEnd"/>
      <w:r w:rsidRPr="00815C87">
        <w:rPr>
          <w:sz w:val="22"/>
          <w:szCs w:val="22"/>
          <w:lang w:val="sr-Latn-ME" w:bidi="en-US"/>
        </w:rPr>
        <w:t xml:space="preserve"> izazvanog </w:t>
      </w:r>
      <w:proofErr w:type="spellStart"/>
      <w:r w:rsidRPr="00815C87">
        <w:rPr>
          <w:sz w:val="22"/>
          <w:szCs w:val="22"/>
          <w:lang w:val="sr-Latn-ME" w:bidi="en-US"/>
        </w:rPr>
        <w:t>rotavirusima</w:t>
      </w:r>
      <w:proofErr w:type="spellEnd"/>
      <w:r w:rsidRPr="00815C87">
        <w:rPr>
          <w:sz w:val="22"/>
          <w:szCs w:val="22"/>
          <w:lang w:val="sr-Latn-ME" w:bidi="en-US"/>
        </w:rPr>
        <w:t xml:space="preserve"> dovoljne težine da bi zaht</w:t>
      </w:r>
      <w:r w:rsidR="002F6D6E" w:rsidRPr="00815C87">
        <w:rPr>
          <w:sz w:val="22"/>
          <w:szCs w:val="22"/>
          <w:lang w:val="sr-Latn-ME" w:bidi="en-US"/>
        </w:rPr>
        <w:t>ij</w:t>
      </w:r>
      <w:r w:rsidRPr="00815C87">
        <w:rPr>
          <w:sz w:val="22"/>
          <w:szCs w:val="22"/>
          <w:lang w:val="sr-Latn-ME" w:bidi="en-US"/>
        </w:rPr>
        <w:t xml:space="preserve">evali </w:t>
      </w:r>
      <w:proofErr w:type="spellStart"/>
      <w:r w:rsidRPr="00815C87">
        <w:rPr>
          <w:sz w:val="22"/>
          <w:szCs w:val="22"/>
          <w:lang w:val="sr-Latn-ME" w:bidi="en-US"/>
        </w:rPr>
        <w:t>hospitalizaciju</w:t>
      </w:r>
      <w:proofErr w:type="spellEnd"/>
      <w:r w:rsidRPr="00815C87">
        <w:rPr>
          <w:sz w:val="22"/>
          <w:szCs w:val="22"/>
          <w:lang w:val="sr-Latn-ME" w:bidi="en-US"/>
        </w:rPr>
        <w:t xml:space="preserve"> ili prijem u odjeljenje za hitne slučajeve prije završetka davanja sve tri doze (</w:t>
      </w:r>
      <w:r w:rsidR="004D1F80" w:rsidRPr="00815C87">
        <w:rPr>
          <w:sz w:val="22"/>
          <w:szCs w:val="22"/>
          <w:lang w:val="sr-Latn-ME" w:bidi="en-US"/>
        </w:rPr>
        <w:t>tj.</w:t>
      </w:r>
      <w:r w:rsidRPr="00815C87">
        <w:rPr>
          <w:sz w:val="22"/>
          <w:szCs w:val="22"/>
          <w:lang w:val="sr-Latn-ME" w:bidi="en-US"/>
        </w:rPr>
        <w:t xml:space="preserve"> oko 14 dana nakon davanja prve doze pa nadalje).</w:t>
      </w:r>
    </w:p>
    <w:p w14:paraId="22E38C8E" w14:textId="77777777" w:rsidR="00A81139" w:rsidRPr="00815C87" w:rsidRDefault="00A81139" w:rsidP="00852481">
      <w:pPr>
        <w:widowControl w:val="0"/>
        <w:autoSpaceDE w:val="0"/>
        <w:autoSpaceDN w:val="0"/>
        <w:spacing w:before="11"/>
        <w:jc w:val="both"/>
        <w:rPr>
          <w:sz w:val="22"/>
          <w:szCs w:val="22"/>
          <w:lang w:val="sr-Latn-ME" w:bidi="en-US"/>
        </w:rPr>
      </w:pPr>
    </w:p>
    <w:p w14:paraId="0E93EB39" w14:textId="77777777" w:rsidR="00A81139" w:rsidRPr="00815C87" w:rsidRDefault="00A81139" w:rsidP="00852481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u w:val="single"/>
          <w:lang w:val="sr-Latn-ME" w:bidi="en-US"/>
        </w:rPr>
        <w:t>Efikasnost kod prijevremeno rođene odojčadi</w:t>
      </w:r>
    </w:p>
    <w:p w14:paraId="5BB38FB2" w14:textId="77777777" w:rsidR="00A81139" w:rsidRPr="00815C87" w:rsidRDefault="00A81139" w:rsidP="0085248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</w:p>
    <w:p w14:paraId="129C7D07" w14:textId="6C539821" w:rsidR="00A81139" w:rsidRPr="00815C87" w:rsidRDefault="00A81139" w:rsidP="00375F8C">
      <w:pPr>
        <w:widowControl w:val="0"/>
        <w:autoSpaceDE w:val="0"/>
        <w:autoSpaceDN w:val="0"/>
        <w:spacing w:before="91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U REST studiji oko 1000 odojčadi je primilo vakcinu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. Odojčad su bila rođena u periodu od 25. do 36. nedjelje trudnoće. Efikasnost vakcine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b/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>je bila uporediva između ove podgrupe odojčadi i odojčadi rođene na vrijeme.</w:t>
      </w:r>
    </w:p>
    <w:p w14:paraId="18753576" w14:textId="77777777" w:rsidR="00A81139" w:rsidRPr="00815C87" w:rsidRDefault="00A81139" w:rsidP="0085248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</w:p>
    <w:p w14:paraId="6390A105" w14:textId="77777777" w:rsidR="00A81139" w:rsidRPr="00815C87" w:rsidRDefault="00A81139" w:rsidP="00852481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  <w:proofErr w:type="spellStart"/>
      <w:r w:rsidRPr="00815C87">
        <w:rPr>
          <w:sz w:val="22"/>
          <w:szCs w:val="22"/>
          <w:u w:val="single"/>
          <w:lang w:val="sr-Latn-ME" w:bidi="en-US"/>
        </w:rPr>
        <w:t>Postmarketinška</w:t>
      </w:r>
      <w:proofErr w:type="spellEnd"/>
      <w:r w:rsidRPr="00815C87">
        <w:rPr>
          <w:sz w:val="22"/>
          <w:szCs w:val="22"/>
          <w:u w:val="single"/>
          <w:lang w:val="sr-Latn-ME" w:bidi="en-US"/>
        </w:rPr>
        <w:t xml:space="preserve"> opservaciona studija praćenja bezbjednosti</w:t>
      </w:r>
    </w:p>
    <w:p w14:paraId="3E7E1CA6" w14:textId="77777777" w:rsidR="00A81139" w:rsidRPr="00815C87" w:rsidRDefault="00A81139" w:rsidP="00852481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val="sr-Latn-ME" w:bidi="en-US"/>
        </w:rPr>
      </w:pPr>
    </w:p>
    <w:p w14:paraId="22E77609" w14:textId="215CF26D" w:rsidR="00A81139" w:rsidRPr="00815C87" w:rsidRDefault="00A81139" w:rsidP="00375F8C">
      <w:pPr>
        <w:widowControl w:val="0"/>
        <w:autoSpaceDE w:val="0"/>
        <w:autoSpaceDN w:val="0"/>
        <w:spacing w:before="92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U jednoj velikoj </w:t>
      </w:r>
      <w:proofErr w:type="spellStart"/>
      <w:r w:rsidRPr="00815C87">
        <w:rPr>
          <w:sz w:val="22"/>
          <w:szCs w:val="22"/>
          <w:lang w:val="sr-Latn-ME" w:bidi="en-US"/>
        </w:rPr>
        <w:t>postmarketinškoj</w:t>
      </w:r>
      <w:proofErr w:type="spellEnd"/>
      <w:r w:rsidRPr="00815C87">
        <w:rPr>
          <w:sz w:val="22"/>
          <w:szCs w:val="22"/>
          <w:lang w:val="sr-Latn-ME" w:bidi="en-US"/>
        </w:rPr>
        <w:t xml:space="preserve"> opservacionoj studiji praćenja bezbjednosti u SAD analiziran je rizik za pojavu </w:t>
      </w:r>
      <w:proofErr w:type="spellStart"/>
      <w:r w:rsidRPr="00815C87">
        <w:rPr>
          <w:sz w:val="22"/>
          <w:szCs w:val="22"/>
          <w:lang w:val="sr-Latn-ME" w:bidi="en-US"/>
        </w:rPr>
        <w:t>Kavasakijeve</w:t>
      </w:r>
      <w:proofErr w:type="spellEnd"/>
      <w:r w:rsidRPr="00815C87">
        <w:rPr>
          <w:sz w:val="22"/>
          <w:szCs w:val="22"/>
          <w:lang w:val="sr-Latn-ME" w:bidi="en-US"/>
        </w:rPr>
        <w:t xml:space="preserve"> bolesti kod 85150 odojčadi koja su primila jednu ili više doza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vakcine (praćenje</w:t>
      </w:r>
      <w:r w:rsidR="00375F8C">
        <w:rPr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>17433 osoba-godina).</w:t>
      </w:r>
    </w:p>
    <w:p w14:paraId="24A7FD1B" w14:textId="77777777" w:rsidR="00A81139" w:rsidRPr="00815C87" w:rsidRDefault="00A81139" w:rsidP="0085248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</w:p>
    <w:p w14:paraId="5BA5B35F" w14:textId="465913C2" w:rsidR="00A81139" w:rsidRPr="00815C87" w:rsidRDefault="00A81139" w:rsidP="00375F8C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Tokom 0-30 dana perioda praćenja nakon vakcinacije nijesu uočene statistički značajne razlike u učestalosti pojave </w:t>
      </w:r>
      <w:proofErr w:type="spellStart"/>
      <w:r w:rsidRPr="00815C87">
        <w:rPr>
          <w:sz w:val="22"/>
          <w:szCs w:val="22"/>
          <w:lang w:val="sr-Latn-ME" w:bidi="en-US"/>
        </w:rPr>
        <w:t>Kavasakijeve</w:t>
      </w:r>
      <w:proofErr w:type="spellEnd"/>
      <w:r w:rsidRPr="00815C87">
        <w:rPr>
          <w:sz w:val="22"/>
          <w:szCs w:val="22"/>
          <w:lang w:val="sr-Latn-ME" w:bidi="en-US"/>
        </w:rPr>
        <w:t xml:space="preserve"> bolesti u poređenju sa očekivanim stopama učestalosti. Pored toga, nije uočeno statistički značajno povećanje rizika za pojavu ovog neželjenog događaja tokom 0-30 dana perioda praćenja u poređenju sa kontrolnom grupom odojčadi koja je u isto vrijeme primala </w:t>
      </w:r>
      <w:proofErr w:type="spellStart"/>
      <w:r w:rsidRPr="00815C87">
        <w:rPr>
          <w:sz w:val="22"/>
          <w:szCs w:val="22"/>
          <w:lang w:val="sr-Latn-ME" w:bidi="en-US"/>
        </w:rPr>
        <w:t>DTaP</w:t>
      </w:r>
      <w:proofErr w:type="spellEnd"/>
      <w:r w:rsidRPr="00815C87">
        <w:rPr>
          <w:sz w:val="22"/>
          <w:szCs w:val="22"/>
          <w:lang w:val="sr-Latn-ME" w:bidi="en-US"/>
        </w:rPr>
        <w:t xml:space="preserve"> vakcinu, ali ne i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vakcinu (n=62617, praćenje 12339 osoba-godina</w:t>
      </w:r>
      <w:r w:rsidR="00FC4B3F" w:rsidRPr="00815C87">
        <w:rPr>
          <w:sz w:val="22"/>
          <w:szCs w:val="22"/>
          <w:lang w:val="sr-Latn-ME" w:bidi="en-US"/>
        </w:rPr>
        <w:t>)</w:t>
      </w:r>
      <w:r w:rsidRPr="00815C87">
        <w:rPr>
          <w:sz w:val="22"/>
          <w:szCs w:val="22"/>
          <w:lang w:val="sr-Latn-ME" w:bidi="en-US"/>
        </w:rPr>
        <w:t xml:space="preserve">. Zabilježen je jedan potvrđeni slučaj kod odojčadi koja su primila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sz w:val="22"/>
          <w:szCs w:val="22"/>
          <w:lang w:val="sr-Latn-ME" w:bidi="en-US"/>
        </w:rPr>
        <w:t xml:space="preserve"> vakcinu u poređenju sa jednim potvrđenim slučajem u istovremenoj kontrolnoj grupi koja je primila </w:t>
      </w:r>
      <w:proofErr w:type="spellStart"/>
      <w:r w:rsidRPr="00815C87">
        <w:rPr>
          <w:sz w:val="22"/>
          <w:szCs w:val="22"/>
          <w:lang w:val="sr-Latn-ME" w:bidi="en-US"/>
        </w:rPr>
        <w:t>DTaP</w:t>
      </w:r>
      <w:proofErr w:type="spellEnd"/>
      <w:r w:rsidRPr="00815C87">
        <w:rPr>
          <w:sz w:val="22"/>
          <w:szCs w:val="22"/>
          <w:lang w:val="sr-Latn-ME" w:bidi="en-US"/>
        </w:rPr>
        <w:t xml:space="preserve"> vakcinu (relativni rizik = 0,7, 95% CI: 0,01-55,56). Nijesu identifikovani nikakvi problemi u smislu </w:t>
      </w:r>
      <w:r w:rsidRPr="00815C87">
        <w:rPr>
          <w:sz w:val="22"/>
          <w:szCs w:val="22"/>
          <w:lang w:val="sr-Latn-ME" w:bidi="en-US"/>
        </w:rPr>
        <w:lastRenderedPageBreak/>
        <w:t>bezbjednosti vakcine u analizi opšte bezbjednosti.</w:t>
      </w:r>
    </w:p>
    <w:p w14:paraId="7EDF370C" w14:textId="77777777" w:rsidR="00A81139" w:rsidRPr="00815C87" w:rsidRDefault="00A81139" w:rsidP="0085248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 w:bidi="en-US"/>
        </w:rPr>
      </w:pPr>
    </w:p>
    <w:p w14:paraId="544FCB02" w14:textId="13C95434" w:rsidR="00A81139" w:rsidRPr="00815C87" w:rsidRDefault="00A81139" w:rsidP="00A81139">
      <w:pPr>
        <w:widowControl w:val="0"/>
        <w:autoSpaceDE w:val="0"/>
        <w:autoSpaceDN w:val="0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u w:val="single"/>
          <w:lang w:val="sr-Latn-ME" w:bidi="en-US"/>
        </w:rPr>
        <w:t xml:space="preserve">Podaci iz studija </w:t>
      </w:r>
      <w:proofErr w:type="spellStart"/>
      <w:r w:rsidR="001B6ABE" w:rsidRPr="00815C87">
        <w:rPr>
          <w:sz w:val="22"/>
          <w:szCs w:val="22"/>
          <w:u w:val="single"/>
          <w:lang w:val="sr-Latn-ME" w:bidi="en-US"/>
        </w:rPr>
        <w:t>efektivnosti</w:t>
      </w:r>
      <w:proofErr w:type="spellEnd"/>
    </w:p>
    <w:p w14:paraId="142BEB1D" w14:textId="77777777" w:rsidR="00A81139" w:rsidRPr="00815C87" w:rsidRDefault="00A81139" w:rsidP="00A81139">
      <w:pPr>
        <w:widowControl w:val="0"/>
        <w:autoSpaceDE w:val="0"/>
        <w:autoSpaceDN w:val="0"/>
        <w:spacing w:line="252" w:lineRule="exact"/>
        <w:ind w:left="-417"/>
        <w:rPr>
          <w:sz w:val="22"/>
          <w:szCs w:val="22"/>
          <w:lang w:val="sr-Latn-ME" w:bidi="en-US"/>
        </w:rPr>
      </w:pPr>
    </w:p>
    <w:p w14:paraId="73E773C6" w14:textId="2DB004B1" w:rsidR="00A90659" w:rsidRPr="00815C87" w:rsidRDefault="00A90659" w:rsidP="00A90659">
      <w:pPr>
        <w:pStyle w:val="BodyText"/>
        <w:spacing w:before="91"/>
        <w:rPr>
          <w:lang w:val="sr-Latn-ME"/>
        </w:rPr>
      </w:pPr>
      <w:proofErr w:type="spellStart"/>
      <w:r w:rsidRPr="00815C87">
        <w:rPr>
          <w:lang w:val="sr-Latn-ME"/>
        </w:rPr>
        <w:t>Postmarketiška</w:t>
      </w:r>
      <w:proofErr w:type="spellEnd"/>
      <w:r w:rsidRPr="00815C87">
        <w:rPr>
          <w:lang w:val="sr-Latn-ME"/>
        </w:rPr>
        <w:t xml:space="preserve"> studija pokazuje </w:t>
      </w:r>
      <w:proofErr w:type="spellStart"/>
      <w:r w:rsidR="001B6ABE" w:rsidRPr="00815C87">
        <w:rPr>
          <w:lang w:val="sr-Latn-ME"/>
        </w:rPr>
        <w:t>efektivnost</w:t>
      </w:r>
      <w:proofErr w:type="spellEnd"/>
      <w:r w:rsidR="001B6ABE" w:rsidRPr="00815C87">
        <w:rPr>
          <w:lang w:val="sr-Latn-ME"/>
        </w:rPr>
        <w:t xml:space="preserve"> </w:t>
      </w:r>
      <w:r w:rsidRPr="00815C87">
        <w:rPr>
          <w:lang w:val="sr-Latn-ME"/>
        </w:rPr>
        <w:t xml:space="preserve">u prevenciji </w:t>
      </w:r>
      <w:proofErr w:type="spellStart"/>
      <w:r w:rsidRPr="00815C87">
        <w:rPr>
          <w:lang w:val="sr-Latn-ME"/>
        </w:rPr>
        <w:t>rotavirusom</w:t>
      </w:r>
      <w:proofErr w:type="spellEnd"/>
      <w:r w:rsidRPr="00815C87">
        <w:rPr>
          <w:lang w:val="sr-Latn-ME"/>
        </w:rPr>
        <w:t xml:space="preserve"> izazvanog </w:t>
      </w:r>
      <w:proofErr w:type="spellStart"/>
      <w:r w:rsidRPr="00815C87">
        <w:rPr>
          <w:lang w:val="sr-Latn-ME"/>
        </w:rPr>
        <w:t>gastroenteritisa</w:t>
      </w:r>
      <w:proofErr w:type="spellEnd"/>
      <w:r w:rsidRPr="00815C87">
        <w:rPr>
          <w:lang w:val="sr-Latn-ME"/>
        </w:rPr>
        <w:t xml:space="preserve"> (</w:t>
      </w:r>
      <w:proofErr w:type="spellStart"/>
      <w:r w:rsidRPr="00815C87">
        <w:rPr>
          <w:lang w:val="sr-Latn-ME"/>
        </w:rPr>
        <w:t>RVG</w:t>
      </w:r>
      <w:r w:rsidR="00A94485" w:rsidRPr="00815C87">
        <w:rPr>
          <w:lang w:val="sr-Latn-ME"/>
        </w:rPr>
        <w:t>E</w:t>
      </w:r>
      <w:proofErr w:type="spellEnd"/>
      <w:r w:rsidR="00A94485" w:rsidRPr="00815C87">
        <w:rPr>
          <w:lang w:val="sr-Latn-ME"/>
        </w:rPr>
        <w:t>)</w:t>
      </w:r>
    </w:p>
    <w:p w14:paraId="115174A2" w14:textId="77777777" w:rsidR="00A90659" w:rsidRPr="00815C87" w:rsidRDefault="00A90659" w:rsidP="00A90659">
      <w:pPr>
        <w:widowControl w:val="0"/>
        <w:autoSpaceDE w:val="0"/>
        <w:autoSpaceDN w:val="0"/>
        <w:spacing w:before="2"/>
        <w:rPr>
          <w:sz w:val="22"/>
          <w:szCs w:val="22"/>
          <w:lang w:val="sr-Latn-ME" w:bidi="en-US"/>
        </w:rPr>
      </w:pPr>
    </w:p>
    <w:tbl>
      <w:tblPr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2379"/>
        <w:gridCol w:w="2768"/>
        <w:gridCol w:w="1645"/>
        <w:gridCol w:w="1260"/>
      </w:tblGrid>
      <w:tr w:rsidR="00A90659" w:rsidRPr="00815C87" w14:paraId="2D42E255" w14:textId="77777777" w:rsidTr="00A90659">
        <w:trPr>
          <w:trHeight w:val="505"/>
        </w:trPr>
        <w:tc>
          <w:tcPr>
            <w:tcW w:w="1445" w:type="dxa"/>
          </w:tcPr>
          <w:p w14:paraId="7CF42E82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4" w:lineRule="exact"/>
              <w:ind w:left="108" w:right="7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Dizajn studije (region)</w:t>
            </w:r>
          </w:p>
        </w:tc>
        <w:tc>
          <w:tcPr>
            <w:tcW w:w="2379" w:type="dxa"/>
          </w:tcPr>
          <w:p w14:paraId="3EA93241" w14:textId="6257E020" w:rsidR="00A90659" w:rsidRPr="00815C87" w:rsidRDefault="00D4229F" w:rsidP="00A90659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Ispitivana </w:t>
            </w:r>
            <w:r w:rsidR="00A90659" w:rsidRPr="00815C87">
              <w:rPr>
                <w:sz w:val="22"/>
                <w:szCs w:val="22"/>
                <w:lang w:val="sr-Latn-ME" w:bidi="en-US"/>
              </w:rPr>
              <w:t>populacija</w:t>
            </w:r>
          </w:p>
        </w:tc>
        <w:tc>
          <w:tcPr>
            <w:tcW w:w="2768" w:type="dxa"/>
          </w:tcPr>
          <w:p w14:paraId="7BF9B95B" w14:textId="603E25FB" w:rsidR="00A90659" w:rsidRPr="00815C87" w:rsidRDefault="00D4229F" w:rsidP="00A90659">
            <w:pPr>
              <w:widowControl w:val="0"/>
              <w:autoSpaceDE w:val="0"/>
              <w:autoSpaceDN w:val="0"/>
              <w:spacing w:line="251" w:lineRule="exact"/>
              <w:ind w:left="110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Parametri praćenja</w:t>
            </w:r>
          </w:p>
        </w:tc>
        <w:tc>
          <w:tcPr>
            <w:tcW w:w="1645" w:type="dxa"/>
          </w:tcPr>
          <w:p w14:paraId="3648DEC8" w14:textId="4B43FFC6" w:rsidR="00A90659" w:rsidRPr="00815C87" w:rsidRDefault="00D4229F" w:rsidP="00A90659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Efektivnost</w:t>
            </w:r>
            <w:proofErr w:type="spellEnd"/>
          </w:p>
          <w:p w14:paraId="249768EA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before="1" w:line="23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% [95%CI]</w:t>
            </w:r>
          </w:p>
        </w:tc>
        <w:tc>
          <w:tcPr>
            <w:tcW w:w="1260" w:type="dxa"/>
          </w:tcPr>
          <w:p w14:paraId="5FA08CB5" w14:textId="0AB836DC" w:rsidR="00A90659" w:rsidRPr="00815C87" w:rsidRDefault="00A90659" w:rsidP="00A90659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Sezone </w:t>
            </w:r>
            <w:proofErr w:type="spellStart"/>
            <w:r w:rsidR="00D4229F" w:rsidRPr="00815C87">
              <w:rPr>
                <w:sz w:val="22"/>
                <w:szCs w:val="22"/>
                <w:lang w:val="sr-Latn-ME" w:bidi="en-US"/>
              </w:rPr>
              <w:t>rotavirusa</w:t>
            </w:r>
            <w:proofErr w:type="spellEnd"/>
          </w:p>
        </w:tc>
      </w:tr>
      <w:tr w:rsidR="00A90659" w:rsidRPr="00815C87" w14:paraId="6515CCC8" w14:textId="77777777" w:rsidTr="00A90659">
        <w:trPr>
          <w:trHeight w:val="2527"/>
        </w:trPr>
        <w:tc>
          <w:tcPr>
            <w:tcW w:w="1445" w:type="dxa"/>
          </w:tcPr>
          <w:p w14:paraId="79F1A3E7" w14:textId="581D46ED" w:rsidR="00A90659" w:rsidRPr="00815C87" w:rsidRDefault="00A90659" w:rsidP="00A90659">
            <w:pPr>
              <w:widowControl w:val="0"/>
              <w:autoSpaceDE w:val="0"/>
              <w:autoSpaceDN w:val="0"/>
              <w:ind w:left="108" w:right="512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Navodi analiz</w:t>
            </w:r>
            <w:r w:rsidR="00D4229F" w:rsidRPr="00815C87">
              <w:rPr>
                <w:sz w:val="22"/>
                <w:szCs w:val="22"/>
                <w:lang w:val="sr-Latn-ME" w:bidi="en-US"/>
              </w:rPr>
              <w:t>e</w:t>
            </w:r>
            <w:r w:rsidRPr="00815C87">
              <w:rPr>
                <w:sz w:val="22"/>
                <w:szCs w:val="22"/>
                <w:lang w:val="sr-Latn-ME" w:bidi="en-US"/>
              </w:rPr>
              <w:t xml:space="preserve"> baze podataka (SAD)</w:t>
            </w:r>
          </w:p>
        </w:tc>
        <w:tc>
          <w:tcPr>
            <w:tcW w:w="2379" w:type="dxa"/>
          </w:tcPr>
          <w:p w14:paraId="4629CAA1" w14:textId="7636C3FE" w:rsidR="00A90659" w:rsidRPr="00815C87" w:rsidRDefault="00A90659" w:rsidP="00A90659">
            <w:pPr>
              <w:widowControl w:val="0"/>
              <w:autoSpaceDE w:val="0"/>
              <w:autoSpaceDN w:val="0"/>
              <w:spacing w:line="249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33140 vakcinisanih</w:t>
            </w:r>
          </w:p>
          <w:p w14:paraId="4C4F6A1D" w14:textId="4A5303E7" w:rsidR="00A90659" w:rsidRPr="00815C87" w:rsidRDefault="00A90659" w:rsidP="00A90659">
            <w:pPr>
              <w:widowControl w:val="0"/>
              <w:autoSpaceDE w:val="0"/>
              <w:autoSpaceDN w:val="0"/>
              <w:spacing w:before="1"/>
              <w:ind w:left="108" w:right="261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26167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nevakcinisanih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</w:t>
            </w:r>
            <w:r w:rsidR="00D4229F" w:rsidRPr="00815C87">
              <w:rPr>
                <w:sz w:val="22"/>
                <w:szCs w:val="22"/>
                <w:lang w:val="sr-Latn-ME" w:bidi="en-US"/>
              </w:rPr>
              <w:t xml:space="preserve">Uzrast </w:t>
            </w:r>
            <w:r w:rsidRPr="00815C87">
              <w:rPr>
                <w:sz w:val="22"/>
                <w:szCs w:val="22"/>
                <w:lang w:val="sr-Latn-ME" w:bidi="en-US"/>
              </w:rPr>
              <w:t>≥7 mjeseci Primilo 3 doze</w:t>
            </w:r>
          </w:p>
        </w:tc>
        <w:tc>
          <w:tcPr>
            <w:tcW w:w="2768" w:type="dxa"/>
          </w:tcPr>
          <w:p w14:paraId="1DA6BC65" w14:textId="77777777" w:rsidR="00A90659" w:rsidRPr="00815C87" w:rsidRDefault="00A90659" w:rsidP="00A90659">
            <w:pPr>
              <w:widowControl w:val="0"/>
              <w:autoSpaceDE w:val="0"/>
              <w:autoSpaceDN w:val="0"/>
              <w:ind w:left="110" w:right="528"/>
              <w:jc w:val="both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Hospitalizacija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i posjeta Urgentnom centru zbog RVGE</w:t>
            </w:r>
          </w:p>
          <w:p w14:paraId="20962AB6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before="8"/>
              <w:rPr>
                <w:sz w:val="22"/>
                <w:szCs w:val="22"/>
                <w:lang w:val="sr-Latn-ME" w:bidi="en-US"/>
              </w:rPr>
            </w:pPr>
          </w:p>
          <w:p w14:paraId="3BF14E8D" w14:textId="77777777" w:rsidR="00A90659" w:rsidRPr="00815C87" w:rsidRDefault="00A90659" w:rsidP="00A90659">
            <w:pPr>
              <w:widowControl w:val="0"/>
              <w:autoSpaceDE w:val="0"/>
              <w:autoSpaceDN w:val="0"/>
              <w:ind w:left="110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Ambulantni bolesnici </w:t>
            </w:r>
            <w:r w:rsidRPr="00815C87">
              <w:rPr>
                <w:spacing w:val="-4"/>
                <w:sz w:val="22"/>
                <w:szCs w:val="22"/>
                <w:lang w:val="sr-Latn-ME" w:bidi="en-US"/>
              </w:rPr>
              <w:t xml:space="preserve">zbog </w:t>
            </w:r>
            <w:r w:rsidRPr="00815C87">
              <w:rPr>
                <w:sz w:val="22"/>
                <w:szCs w:val="22"/>
                <w:lang w:val="sr-Latn-ME" w:bidi="en-US"/>
              </w:rPr>
              <w:t>RVGE</w:t>
            </w:r>
          </w:p>
          <w:p w14:paraId="335F472C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  <w:p w14:paraId="693A358E" w14:textId="77777777" w:rsidR="00A90659" w:rsidRPr="00815C87" w:rsidRDefault="00A90659" w:rsidP="00A90659">
            <w:pPr>
              <w:widowControl w:val="0"/>
              <w:autoSpaceDE w:val="0"/>
              <w:autoSpaceDN w:val="0"/>
              <w:ind w:left="110" w:right="538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Hospitalizacija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i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poseta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Urgentnom centru zbog</w:t>
            </w:r>
          </w:p>
          <w:p w14:paraId="792568DE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before="1" w:line="233" w:lineRule="exact"/>
              <w:ind w:left="110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gastroenteritisa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svih uzroka</w:t>
            </w:r>
          </w:p>
        </w:tc>
        <w:tc>
          <w:tcPr>
            <w:tcW w:w="1645" w:type="dxa"/>
          </w:tcPr>
          <w:p w14:paraId="2B34F626" w14:textId="6DC981CB" w:rsidR="00A90659" w:rsidRPr="00815C87" w:rsidRDefault="00A90659" w:rsidP="00A90659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100% [87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100]</w:t>
            </w:r>
          </w:p>
          <w:p w14:paraId="29D3E00E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  <w:p w14:paraId="4047412B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  <w:p w14:paraId="089BDE6C" w14:textId="66853085" w:rsidR="00A90659" w:rsidRPr="00815C87" w:rsidRDefault="00A90659" w:rsidP="00A90659">
            <w:pPr>
              <w:widowControl w:val="0"/>
              <w:autoSpaceDE w:val="0"/>
              <w:autoSpaceDN w:val="0"/>
              <w:spacing w:before="208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96% [76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100]</w:t>
            </w:r>
          </w:p>
          <w:p w14:paraId="5EB099DE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  <w:p w14:paraId="380BC22D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before="11"/>
              <w:rPr>
                <w:sz w:val="22"/>
                <w:szCs w:val="22"/>
                <w:lang w:val="sr-Latn-ME" w:bidi="en-US"/>
              </w:rPr>
            </w:pPr>
          </w:p>
          <w:p w14:paraId="3624FABC" w14:textId="1EA34E30" w:rsidR="00A90659" w:rsidRPr="00815C87" w:rsidRDefault="00A90659" w:rsidP="00A90659">
            <w:pPr>
              <w:widowControl w:val="0"/>
              <w:autoSpaceDE w:val="0"/>
              <w:autoSpaceDN w:val="0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59% [47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68]</w:t>
            </w:r>
          </w:p>
        </w:tc>
        <w:tc>
          <w:tcPr>
            <w:tcW w:w="1260" w:type="dxa"/>
          </w:tcPr>
          <w:p w14:paraId="43B3D597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2007-2008</w:t>
            </w:r>
          </w:p>
        </w:tc>
      </w:tr>
      <w:tr w:rsidR="00A90659" w:rsidRPr="00815C87" w14:paraId="1B8C68E7" w14:textId="77777777" w:rsidTr="00A90659">
        <w:trPr>
          <w:trHeight w:val="1011"/>
        </w:trPr>
        <w:tc>
          <w:tcPr>
            <w:tcW w:w="1445" w:type="dxa"/>
          </w:tcPr>
          <w:p w14:paraId="105E0713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4" w:lineRule="exact"/>
              <w:ind w:left="108" w:right="390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Kohortno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ispitivanje</w:t>
            </w:r>
          </w:p>
          <w:p w14:paraId="02422565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(Francuska)</w:t>
            </w:r>
          </w:p>
        </w:tc>
        <w:tc>
          <w:tcPr>
            <w:tcW w:w="2379" w:type="dxa"/>
          </w:tcPr>
          <w:p w14:paraId="3EA13DBA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4" w:lineRule="exact"/>
              <w:ind w:left="108" w:right="230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1895 vakcinisanih sa 3 doze</w:t>
            </w:r>
          </w:p>
          <w:p w14:paraId="4AC9DE97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2102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nevakcinisanih</w:t>
            </w:r>
            <w:proofErr w:type="spellEnd"/>
          </w:p>
          <w:p w14:paraId="3D6D256A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before="1" w:line="233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starosti &lt;2 godine</w:t>
            </w:r>
          </w:p>
        </w:tc>
        <w:tc>
          <w:tcPr>
            <w:tcW w:w="2768" w:type="dxa"/>
          </w:tcPr>
          <w:p w14:paraId="1F413631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1" w:lineRule="exact"/>
              <w:ind w:left="110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Hospitalizacija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zbog </w:t>
            </w: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RVGE</w:t>
            </w:r>
            <w:proofErr w:type="spellEnd"/>
          </w:p>
        </w:tc>
        <w:tc>
          <w:tcPr>
            <w:tcW w:w="1645" w:type="dxa"/>
          </w:tcPr>
          <w:p w14:paraId="23C8B1BF" w14:textId="79FB422E" w:rsidR="00A90659" w:rsidRPr="00815C87" w:rsidRDefault="00A90659" w:rsidP="00A90659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98% [83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100]</w:t>
            </w:r>
          </w:p>
        </w:tc>
        <w:tc>
          <w:tcPr>
            <w:tcW w:w="1260" w:type="dxa"/>
          </w:tcPr>
          <w:p w14:paraId="6557ABD9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2007-2008</w:t>
            </w:r>
          </w:p>
          <w:p w14:paraId="6F689E43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before="1" w:line="224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2008-2009</w:t>
            </w:r>
          </w:p>
        </w:tc>
      </w:tr>
      <w:tr w:rsidR="00A90659" w:rsidRPr="00815C87" w14:paraId="44984B16" w14:textId="77777777" w:rsidTr="00A90659">
        <w:trPr>
          <w:trHeight w:val="251"/>
        </w:trPr>
        <w:tc>
          <w:tcPr>
            <w:tcW w:w="1445" w:type="dxa"/>
            <w:tcBorders>
              <w:bottom w:val="nil"/>
            </w:tcBorders>
          </w:tcPr>
          <w:p w14:paraId="74A1236E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32" w:lineRule="exact"/>
              <w:ind w:left="108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Case-control</w:t>
            </w:r>
            <w:proofErr w:type="spellEnd"/>
          </w:p>
        </w:tc>
        <w:tc>
          <w:tcPr>
            <w:tcW w:w="2379" w:type="dxa"/>
            <w:tcBorders>
              <w:bottom w:val="nil"/>
            </w:tcBorders>
          </w:tcPr>
          <w:p w14:paraId="64D93808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32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402 slučaja</w:t>
            </w:r>
          </w:p>
        </w:tc>
        <w:tc>
          <w:tcPr>
            <w:tcW w:w="2768" w:type="dxa"/>
            <w:vMerge w:val="restart"/>
          </w:tcPr>
          <w:p w14:paraId="7C477B85" w14:textId="77777777" w:rsidR="00A90659" w:rsidRPr="00815C87" w:rsidRDefault="00A90659" w:rsidP="00A90659">
            <w:pPr>
              <w:widowControl w:val="0"/>
              <w:autoSpaceDE w:val="0"/>
              <w:autoSpaceDN w:val="0"/>
              <w:ind w:left="110" w:right="528"/>
              <w:jc w:val="both"/>
              <w:rPr>
                <w:sz w:val="22"/>
                <w:szCs w:val="22"/>
                <w:lang w:val="sr-Latn-ME" w:bidi="en-US"/>
              </w:rPr>
            </w:pPr>
            <w:proofErr w:type="spellStart"/>
            <w:r w:rsidRPr="00815C87">
              <w:rPr>
                <w:sz w:val="22"/>
                <w:szCs w:val="22"/>
                <w:lang w:val="sr-Latn-ME" w:bidi="en-US"/>
              </w:rPr>
              <w:t>Hospitalizacija</w:t>
            </w:r>
            <w:proofErr w:type="spellEnd"/>
            <w:r w:rsidRPr="00815C87">
              <w:rPr>
                <w:sz w:val="22"/>
                <w:szCs w:val="22"/>
                <w:lang w:val="sr-Latn-ME" w:bidi="en-US"/>
              </w:rPr>
              <w:t xml:space="preserve"> i posjeta Urgentnom centru zbog RVGE</w:t>
            </w:r>
          </w:p>
          <w:p w14:paraId="5D5A9DBE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2" w:lineRule="exact"/>
              <w:ind w:left="393"/>
              <w:rPr>
                <w:b/>
                <w:i/>
                <w:sz w:val="22"/>
                <w:szCs w:val="22"/>
                <w:lang w:val="sr-Latn-ME" w:bidi="en-US"/>
              </w:rPr>
            </w:pPr>
            <w:r w:rsidRPr="00815C87">
              <w:rPr>
                <w:b/>
                <w:i/>
                <w:sz w:val="22"/>
                <w:szCs w:val="22"/>
                <w:lang w:val="sr-Latn-ME" w:bidi="en-US"/>
              </w:rPr>
              <w:t>Specifičan za soj</w:t>
            </w:r>
          </w:p>
          <w:p w14:paraId="786268BF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2" w:lineRule="exact"/>
              <w:ind w:left="393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-</w:t>
            </w:r>
            <w:r w:rsidRPr="00815C87">
              <w:rPr>
                <w:spacing w:val="-2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G1P[8]</w:t>
            </w:r>
          </w:p>
          <w:p w14:paraId="725968B6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2" w:lineRule="exact"/>
              <w:ind w:left="393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-</w:t>
            </w:r>
            <w:r w:rsidRPr="00815C87">
              <w:rPr>
                <w:spacing w:val="-2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G2P[4]</w:t>
            </w:r>
          </w:p>
          <w:p w14:paraId="6B12FBBC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before="1" w:line="253" w:lineRule="exact"/>
              <w:ind w:left="393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-</w:t>
            </w:r>
            <w:r w:rsidRPr="00815C87">
              <w:rPr>
                <w:spacing w:val="-2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G3P[8]</w:t>
            </w:r>
          </w:p>
          <w:p w14:paraId="5250519C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52" w:lineRule="exact"/>
              <w:ind w:left="393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- G12P[8]</w:t>
            </w:r>
          </w:p>
          <w:p w14:paraId="6E57A051" w14:textId="77777777" w:rsidR="00A90659" w:rsidRPr="00815C87" w:rsidRDefault="00A90659" w:rsidP="00A90659">
            <w:pPr>
              <w:widowControl w:val="0"/>
              <w:autoSpaceDE w:val="0"/>
              <w:autoSpaceDN w:val="0"/>
              <w:ind w:left="393" w:right="475"/>
              <w:rPr>
                <w:b/>
                <w:i/>
                <w:sz w:val="22"/>
                <w:szCs w:val="22"/>
                <w:lang w:val="sr-Latn-ME" w:bidi="en-US"/>
              </w:rPr>
            </w:pPr>
            <w:r w:rsidRPr="00815C87">
              <w:rPr>
                <w:b/>
                <w:i/>
                <w:sz w:val="22"/>
                <w:szCs w:val="22"/>
                <w:lang w:val="sr-Latn-ME" w:bidi="en-US"/>
              </w:rPr>
              <w:t>Specifičan za godine života</w:t>
            </w:r>
          </w:p>
          <w:p w14:paraId="32AE2AAE" w14:textId="77777777" w:rsidR="00A90659" w:rsidRPr="00815C87" w:rsidRDefault="00A90659" w:rsidP="00A90659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autoSpaceDE w:val="0"/>
              <w:autoSpaceDN w:val="0"/>
              <w:ind w:hanging="126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1. godina</w:t>
            </w:r>
            <w:r w:rsidRPr="00815C87">
              <w:rPr>
                <w:spacing w:val="-2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života</w:t>
            </w:r>
          </w:p>
          <w:p w14:paraId="5EA81460" w14:textId="77777777" w:rsidR="00A90659" w:rsidRPr="00815C87" w:rsidRDefault="00A90659" w:rsidP="00A90659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autoSpaceDE w:val="0"/>
              <w:autoSpaceDN w:val="0"/>
              <w:spacing w:before="1" w:line="252" w:lineRule="exact"/>
              <w:ind w:hanging="126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2. godina</w:t>
            </w:r>
            <w:r w:rsidRPr="00815C87">
              <w:rPr>
                <w:spacing w:val="-2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života</w:t>
            </w:r>
          </w:p>
          <w:p w14:paraId="7122856F" w14:textId="77777777" w:rsidR="00A90659" w:rsidRPr="00815C87" w:rsidRDefault="00A90659" w:rsidP="00A90659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autoSpaceDE w:val="0"/>
              <w:autoSpaceDN w:val="0"/>
              <w:spacing w:line="252" w:lineRule="exact"/>
              <w:ind w:hanging="126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3. godina</w:t>
            </w:r>
            <w:r w:rsidRPr="00815C87">
              <w:rPr>
                <w:spacing w:val="-2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života</w:t>
            </w:r>
          </w:p>
          <w:p w14:paraId="5465D601" w14:textId="77777777" w:rsidR="00A90659" w:rsidRPr="00815C87" w:rsidRDefault="00A90659" w:rsidP="00A90659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autoSpaceDE w:val="0"/>
              <w:autoSpaceDN w:val="0"/>
              <w:spacing w:line="252" w:lineRule="exact"/>
              <w:ind w:hanging="126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4. godina</w:t>
            </w:r>
            <w:r w:rsidRPr="00815C87">
              <w:rPr>
                <w:spacing w:val="-2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života</w:t>
            </w:r>
          </w:p>
          <w:p w14:paraId="61CFC6BE" w14:textId="77777777" w:rsidR="00A90659" w:rsidRPr="00815C87" w:rsidRDefault="00A90659" w:rsidP="00A90659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autoSpaceDE w:val="0"/>
              <w:autoSpaceDN w:val="0"/>
              <w:spacing w:before="2" w:line="252" w:lineRule="exact"/>
              <w:ind w:hanging="126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5. godina</w:t>
            </w:r>
            <w:r w:rsidRPr="00815C87">
              <w:rPr>
                <w:spacing w:val="-2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života</w:t>
            </w:r>
          </w:p>
          <w:p w14:paraId="7B0853D1" w14:textId="77777777" w:rsidR="00A90659" w:rsidRPr="00815C87" w:rsidRDefault="00A90659" w:rsidP="00A90659">
            <w:pPr>
              <w:widowControl w:val="0"/>
              <w:numPr>
                <w:ilvl w:val="0"/>
                <w:numId w:val="15"/>
              </w:numPr>
              <w:tabs>
                <w:tab w:val="left" w:pos="519"/>
              </w:tabs>
              <w:autoSpaceDE w:val="0"/>
              <w:autoSpaceDN w:val="0"/>
              <w:spacing w:line="235" w:lineRule="exact"/>
              <w:ind w:hanging="126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6.-7. godina</w:t>
            </w:r>
            <w:r w:rsidRPr="00815C87">
              <w:rPr>
                <w:spacing w:val="-1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života</w:t>
            </w:r>
          </w:p>
        </w:tc>
        <w:tc>
          <w:tcPr>
            <w:tcW w:w="1645" w:type="dxa"/>
            <w:tcBorders>
              <w:bottom w:val="nil"/>
            </w:tcBorders>
          </w:tcPr>
          <w:p w14:paraId="09846F3E" w14:textId="3726C823" w:rsidR="00A90659" w:rsidRPr="00815C87" w:rsidRDefault="00A90659" w:rsidP="00A90659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80% [74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84]</w:t>
            </w:r>
          </w:p>
        </w:tc>
        <w:tc>
          <w:tcPr>
            <w:tcW w:w="1260" w:type="dxa"/>
            <w:tcBorders>
              <w:bottom w:val="nil"/>
            </w:tcBorders>
          </w:tcPr>
          <w:p w14:paraId="38AC49CF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2011-2012</w:t>
            </w:r>
          </w:p>
        </w:tc>
      </w:tr>
      <w:tr w:rsidR="00A90659" w:rsidRPr="00815C87" w14:paraId="0730F9CB" w14:textId="77777777" w:rsidTr="00A90659">
        <w:trPr>
          <w:trHeight w:val="243"/>
        </w:trPr>
        <w:tc>
          <w:tcPr>
            <w:tcW w:w="1445" w:type="dxa"/>
            <w:tcBorders>
              <w:top w:val="nil"/>
              <w:bottom w:val="nil"/>
            </w:tcBorders>
          </w:tcPr>
          <w:p w14:paraId="2185705F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ispitivanje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1734BD23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2559 kontrola*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14:paraId="5D48AC46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4805DAFC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3AEE26B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2012-2013</w:t>
            </w:r>
          </w:p>
        </w:tc>
      </w:tr>
      <w:tr w:rsidR="00A90659" w:rsidRPr="00815C87" w14:paraId="34335A4B" w14:textId="77777777" w:rsidTr="00A90659">
        <w:trPr>
          <w:trHeight w:val="242"/>
        </w:trPr>
        <w:tc>
          <w:tcPr>
            <w:tcW w:w="1445" w:type="dxa"/>
            <w:tcBorders>
              <w:top w:val="nil"/>
              <w:bottom w:val="nil"/>
            </w:tcBorders>
          </w:tcPr>
          <w:p w14:paraId="7CEB88D4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22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(SAD)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72ED3409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22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Starosti &lt;8 godina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14:paraId="10F22366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57B86B3D" w14:textId="77777777" w:rsidR="0075512A" w:rsidRPr="00815C87" w:rsidRDefault="0075512A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  <w:p w14:paraId="149CB73D" w14:textId="77777777" w:rsidR="0075512A" w:rsidRPr="00815C87" w:rsidRDefault="0075512A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  <w:p w14:paraId="3444C9B6" w14:textId="58F6F187" w:rsidR="0075512A" w:rsidRPr="00815C87" w:rsidRDefault="0075512A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FB13CC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526F00FC" w14:textId="77777777" w:rsidTr="00A90659">
        <w:trPr>
          <w:trHeight w:val="243"/>
        </w:trPr>
        <w:tc>
          <w:tcPr>
            <w:tcW w:w="1445" w:type="dxa"/>
            <w:tcBorders>
              <w:top w:val="nil"/>
              <w:bottom w:val="nil"/>
            </w:tcBorders>
          </w:tcPr>
          <w:p w14:paraId="311BB947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0F9F9DF4" w14:textId="77777777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Primilo 3 doze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14:paraId="797B6637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0E0D3E40" w14:textId="65D8B011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89% [55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97]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19D0E1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41970C83" w14:textId="77777777" w:rsidTr="00A90659">
        <w:trPr>
          <w:trHeight w:val="243"/>
        </w:trPr>
        <w:tc>
          <w:tcPr>
            <w:tcW w:w="1445" w:type="dxa"/>
            <w:tcBorders>
              <w:top w:val="nil"/>
              <w:bottom w:val="nil"/>
            </w:tcBorders>
          </w:tcPr>
          <w:p w14:paraId="078594B3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2AA63FA4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46E43B4A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3CC34F03" w14:textId="44E775B6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87% [65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95]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BBB0AB8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7312E2DA" w14:textId="77777777" w:rsidTr="00A90659">
        <w:trPr>
          <w:trHeight w:val="243"/>
        </w:trPr>
        <w:tc>
          <w:tcPr>
            <w:tcW w:w="1445" w:type="dxa"/>
            <w:tcBorders>
              <w:top w:val="nil"/>
              <w:bottom w:val="nil"/>
            </w:tcBorders>
          </w:tcPr>
          <w:p w14:paraId="5AC7C4FF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3CDD4873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10312724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48B74EDE" w14:textId="7E9B926B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80% [64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89]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B597CBB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5E195384" w14:textId="77777777" w:rsidTr="00A90659">
        <w:trPr>
          <w:trHeight w:val="369"/>
        </w:trPr>
        <w:tc>
          <w:tcPr>
            <w:tcW w:w="1445" w:type="dxa"/>
            <w:tcBorders>
              <w:top w:val="nil"/>
              <w:bottom w:val="nil"/>
            </w:tcBorders>
          </w:tcPr>
          <w:p w14:paraId="3695CBFE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2BBFA06C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717A1E35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74E5C253" w14:textId="314D01C4" w:rsidR="00A90659" w:rsidRPr="00815C87" w:rsidRDefault="00A90659" w:rsidP="00A90659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78% [71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84]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5CD9B9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62DE4718" w14:textId="77777777" w:rsidTr="00A90659">
        <w:trPr>
          <w:trHeight w:val="369"/>
        </w:trPr>
        <w:tc>
          <w:tcPr>
            <w:tcW w:w="1445" w:type="dxa"/>
            <w:tcBorders>
              <w:top w:val="nil"/>
              <w:bottom w:val="nil"/>
            </w:tcBorders>
          </w:tcPr>
          <w:p w14:paraId="0CA5C978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4F2EC441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502BCC47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1E556429" w14:textId="77777777" w:rsidR="0075512A" w:rsidRPr="00815C87" w:rsidRDefault="0075512A" w:rsidP="00A90659">
            <w:pPr>
              <w:widowControl w:val="0"/>
              <w:autoSpaceDE w:val="0"/>
              <w:autoSpaceDN w:val="0"/>
              <w:spacing w:before="116" w:line="233" w:lineRule="exact"/>
              <w:ind w:left="107"/>
              <w:rPr>
                <w:sz w:val="22"/>
                <w:szCs w:val="22"/>
                <w:lang w:val="sr-Latn-ME" w:bidi="en-US"/>
              </w:rPr>
            </w:pPr>
          </w:p>
          <w:p w14:paraId="3B489164" w14:textId="72498F72" w:rsidR="00A90659" w:rsidRPr="00815C87" w:rsidRDefault="00A90659" w:rsidP="00A90659">
            <w:pPr>
              <w:widowControl w:val="0"/>
              <w:autoSpaceDE w:val="0"/>
              <w:autoSpaceDN w:val="0"/>
              <w:spacing w:before="116" w:line="23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91% [78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96]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9FE7BBF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07BB6CA1" w14:textId="77777777" w:rsidTr="00A90659">
        <w:trPr>
          <w:trHeight w:val="243"/>
        </w:trPr>
        <w:tc>
          <w:tcPr>
            <w:tcW w:w="1445" w:type="dxa"/>
            <w:tcBorders>
              <w:top w:val="nil"/>
              <w:bottom w:val="nil"/>
            </w:tcBorders>
          </w:tcPr>
          <w:p w14:paraId="045A5577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188D5F5E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02906847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78FD1813" w14:textId="0B11010D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82% [69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89]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0917828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20487D95" w14:textId="77777777" w:rsidTr="00A90659">
        <w:trPr>
          <w:trHeight w:val="243"/>
        </w:trPr>
        <w:tc>
          <w:tcPr>
            <w:tcW w:w="1445" w:type="dxa"/>
            <w:tcBorders>
              <w:top w:val="nil"/>
              <w:bottom w:val="nil"/>
            </w:tcBorders>
          </w:tcPr>
          <w:p w14:paraId="3C4304A7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72163BEE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5A05FB51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328734F5" w14:textId="26621449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88% [78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93]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8076F60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6C231BBC" w14:textId="77777777" w:rsidTr="00A90659">
        <w:trPr>
          <w:trHeight w:val="243"/>
        </w:trPr>
        <w:tc>
          <w:tcPr>
            <w:tcW w:w="1445" w:type="dxa"/>
            <w:tcBorders>
              <w:top w:val="nil"/>
              <w:bottom w:val="nil"/>
            </w:tcBorders>
          </w:tcPr>
          <w:p w14:paraId="18069074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4EE06504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1190311C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63B8ACCD" w14:textId="1BB0EFB7" w:rsidR="00A90659" w:rsidRPr="00815C87" w:rsidRDefault="00A90659" w:rsidP="00A9065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76% [51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88]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ECA2610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5298D954" w14:textId="77777777" w:rsidTr="00A90659">
        <w:trPr>
          <w:trHeight w:val="242"/>
        </w:trPr>
        <w:tc>
          <w:tcPr>
            <w:tcW w:w="1445" w:type="dxa"/>
            <w:tcBorders>
              <w:top w:val="nil"/>
              <w:bottom w:val="nil"/>
            </w:tcBorders>
          </w:tcPr>
          <w:p w14:paraId="19EBF907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0CBD5398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563C9DB9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6E7BA230" w14:textId="6DE905FC" w:rsidR="00A90659" w:rsidRPr="00815C87" w:rsidRDefault="00A90659" w:rsidP="00A90659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60% [16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81]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809FF6E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  <w:tr w:rsidR="00A90659" w:rsidRPr="00815C87" w14:paraId="375FA38B" w14:textId="77777777" w:rsidTr="00A90659">
        <w:trPr>
          <w:trHeight w:val="752"/>
        </w:trPr>
        <w:tc>
          <w:tcPr>
            <w:tcW w:w="1445" w:type="dxa"/>
            <w:tcBorders>
              <w:top w:val="nil"/>
            </w:tcBorders>
          </w:tcPr>
          <w:p w14:paraId="4CD65876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379" w:type="dxa"/>
            <w:tcBorders>
              <w:top w:val="nil"/>
            </w:tcBorders>
          </w:tcPr>
          <w:p w14:paraId="560C84C0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</w:tcPr>
          <w:p w14:paraId="394DAA71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  <w:tc>
          <w:tcPr>
            <w:tcW w:w="1645" w:type="dxa"/>
            <w:tcBorders>
              <w:top w:val="nil"/>
            </w:tcBorders>
          </w:tcPr>
          <w:p w14:paraId="73909215" w14:textId="1F9791D4" w:rsidR="00A90659" w:rsidRPr="00815C87" w:rsidRDefault="00A90659" w:rsidP="00A90659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69% [43</w:t>
            </w:r>
            <w:r w:rsidR="004634C1" w:rsidRPr="00815C87">
              <w:rPr>
                <w:sz w:val="22"/>
                <w:szCs w:val="22"/>
                <w:lang w:val="sr-Latn-ME" w:bidi="en-US"/>
              </w:rPr>
              <w:t xml:space="preserve">; </w:t>
            </w:r>
            <w:r w:rsidRPr="00815C87">
              <w:rPr>
                <w:sz w:val="22"/>
                <w:szCs w:val="22"/>
                <w:lang w:val="sr-Latn-ME" w:bidi="en-US"/>
              </w:rPr>
              <w:t>84]</w:t>
            </w:r>
          </w:p>
        </w:tc>
        <w:tc>
          <w:tcPr>
            <w:tcW w:w="1260" w:type="dxa"/>
            <w:tcBorders>
              <w:top w:val="nil"/>
            </w:tcBorders>
          </w:tcPr>
          <w:p w14:paraId="0C411217" w14:textId="77777777" w:rsidR="00A90659" w:rsidRPr="00815C87" w:rsidRDefault="00A90659" w:rsidP="00A90659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</w:tc>
      </w:tr>
    </w:tbl>
    <w:p w14:paraId="6B11E542" w14:textId="77777777" w:rsidR="00A90659" w:rsidRPr="00815C87" w:rsidRDefault="00A90659" w:rsidP="00A90659">
      <w:pPr>
        <w:pStyle w:val="BodyText"/>
        <w:spacing w:line="252" w:lineRule="exact"/>
        <w:rPr>
          <w:lang w:val="sr-Latn-ME"/>
        </w:rPr>
      </w:pPr>
      <w:r w:rsidRPr="00815C87">
        <w:rPr>
          <w:lang w:val="sr-Latn-ME"/>
        </w:rPr>
        <w:t xml:space="preserve">*Kontrole sa akutnim </w:t>
      </w:r>
      <w:proofErr w:type="spellStart"/>
      <w:r w:rsidRPr="00815C87">
        <w:rPr>
          <w:lang w:val="sr-Latn-ME"/>
        </w:rPr>
        <w:t>gastroenteritisom</w:t>
      </w:r>
      <w:proofErr w:type="spellEnd"/>
      <w:r w:rsidRPr="00815C87">
        <w:rPr>
          <w:lang w:val="sr-Latn-ME"/>
        </w:rPr>
        <w:t xml:space="preserve"> negativne na </w:t>
      </w:r>
      <w:proofErr w:type="spellStart"/>
      <w:r w:rsidRPr="00815C87">
        <w:rPr>
          <w:lang w:val="sr-Latn-ME"/>
        </w:rPr>
        <w:t>rotavirus</w:t>
      </w:r>
      <w:proofErr w:type="spellEnd"/>
    </w:p>
    <w:p w14:paraId="7815B194" w14:textId="77777777" w:rsidR="00A90659" w:rsidRPr="00815C87" w:rsidRDefault="00A90659" w:rsidP="00A9065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34A75F2" w14:textId="77777777" w:rsidR="00A90659" w:rsidRPr="00815C87" w:rsidRDefault="00A90659" w:rsidP="00852481">
      <w:pPr>
        <w:widowControl w:val="0"/>
        <w:autoSpaceDE w:val="0"/>
        <w:autoSpaceDN w:val="0"/>
        <w:spacing w:line="252" w:lineRule="exact"/>
        <w:jc w:val="both"/>
        <w:rPr>
          <w:sz w:val="22"/>
          <w:szCs w:val="22"/>
          <w:lang w:val="sr-Latn-ME" w:bidi="en-US"/>
        </w:rPr>
      </w:pPr>
      <w:proofErr w:type="spellStart"/>
      <w:r w:rsidRPr="00815C87">
        <w:rPr>
          <w:sz w:val="22"/>
          <w:szCs w:val="22"/>
          <w:u w:val="single"/>
          <w:lang w:val="sr-Latn-ME" w:bidi="en-US"/>
        </w:rPr>
        <w:t>Imunogenost</w:t>
      </w:r>
      <w:proofErr w:type="spellEnd"/>
    </w:p>
    <w:p w14:paraId="0A9BB66F" w14:textId="7E4A3558" w:rsidR="00A90659" w:rsidRPr="00815C87" w:rsidRDefault="00A90659" w:rsidP="00375F8C">
      <w:pPr>
        <w:widowControl w:val="0"/>
        <w:autoSpaceDE w:val="0"/>
        <w:autoSpaceDN w:val="0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Imun</w:t>
      </w:r>
      <w:r w:rsidR="004634C1" w:rsidRPr="00815C87">
        <w:rPr>
          <w:sz w:val="22"/>
          <w:szCs w:val="22"/>
          <w:lang w:val="sr-Latn-ME" w:bidi="en-US"/>
        </w:rPr>
        <w:t>i</w:t>
      </w:r>
      <w:r w:rsidRPr="00815C87">
        <w:rPr>
          <w:sz w:val="22"/>
          <w:szCs w:val="22"/>
          <w:lang w:val="sr-Latn-ME" w:bidi="en-US"/>
        </w:rPr>
        <w:t xml:space="preserve"> mehanizam kojim vakcina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b/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 xml:space="preserve">štiti od </w:t>
      </w:r>
      <w:proofErr w:type="spellStart"/>
      <w:r w:rsidRPr="00815C87">
        <w:rPr>
          <w:sz w:val="22"/>
          <w:szCs w:val="22"/>
          <w:lang w:val="sr-Latn-ME" w:bidi="en-US"/>
        </w:rPr>
        <w:t>gastroenteritisa</w:t>
      </w:r>
      <w:proofErr w:type="spellEnd"/>
      <w:r w:rsidRPr="00815C87">
        <w:rPr>
          <w:sz w:val="22"/>
          <w:szCs w:val="22"/>
          <w:lang w:val="sr-Latn-ME" w:bidi="en-US"/>
        </w:rPr>
        <w:t xml:space="preserve"> izazvanog </w:t>
      </w:r>
      <w:proofErr w:type="spellStart"/>
      <w:r w:rsidRPr="00815C87">
        <w:rPr>
          <w:sz w:val="22"/>
          <w:szCs w:val="22"/>
          <w:lang w:val="sr-Latn-ME" w:bidi="en-US"/>
        </w:rPr>
        <w:t>rotavirusima</w:t>
      </w:r>
      <w:proofErr w:type="spellEnd"/>
      <w:r w:rsidRPr="00815C87">
        <w:rPr>
          <w:sz w:val="22"/>
          <w:szCs w:val="22"/>
          <w:lang w:val="sr-Latn-ME" w:bidi="en-US"/>
        </w:rPr>
        <w:t xml:space="preserve"> nije potpuno poznat. Za vakcine protiv </w:t>
      </w:r>
      <w:proofErr w:type="spellStart"/>
      <w:r w:rsidRPr="00815C87">
        <w:rPr>
          <w:sz w:val="22"/>
          <w:szCs w:val="22"/>
          <w:lang w:val="sr-Latn-ME" w:bidi="en-US"/>
        </w:rPr>
        <w:t>rotavirusa</w:t>
      </w:r>
      <w:proofErr w:type="spellEnd"/>
      <w:r w:rsidRPr="00815C87">
        <w:rPr>
          <w:sz w:val="22"/>
          <w:szCs w:val="22"/>
          <w:lang w:val="sr-Latn-ME" w:bidi="en-US"/>
        </w:rPr>
        <w:t xml:space="preserve"> povezanost između imunog odgovora i zaštite još nije utvrđena. U studijama faze III kod između 92,5% i 100% vakcinisanih vakcinom </w:t>
      </w:r>
      <w:proofErr w:type="spellStart"/>
      <w:r w:rsidRPr="00815C87">
        <w:rPr>
          <w:sz w:val="22"/>
          <w:szCs w:val="22"/>
          <w:lang w:val="sr-Latn-ME" w:bidi="en-US"/>
        </w:rPr>
        <w:t>RotaTeq</w:t>
      </w:r>
      <w:proofErr w:type="spellEnd"/>
      <w:r w:rsidRPr="00815C87">
        <w:rPr>
          <w:b/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 xml:space="preserve">došlo je do značajnog porasta serumskih </w:t>
      </w:r>
      <w:proofErr w:type="spellStart"/>
      <w:r w:rsidRPr="00815C87">
        <w:rPr>
          <w:sz w:val="22"/>
          <w:szCs w:val="22"/>
          <w:lang w:val="sr-Latn-ME" w:bidi="en-US"/>
        </w:rPr>
        <w:t>antirotavirusnih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IgA</w:t>
      </w:r>
      <w:proofErr w:type="spellEnd"/>
      <w:r w:rsidRPr="00815C87">
        <w:rPr>
          <w:sz w:val="22"/>
          <w:szCs w:val="22"/>
          <w:lang w:val="sr-Latn-ME" w:bidi="en-US"/>
        </w:rPr>
        <w:t xml:space="preserve"> antit</w:t>
      </w:r>
      <w:r w:rsidR="002F6D6E" w:rsidRPr="00815C87">
        <w:rPr>
          <w:sz w:val="22"/>
          <w:szCs w:val="22"/>
          <w:lang w:val="sr-Latn-ME" w:bidi="en-US"/>
        </w:rPr>
        <w:t>ij</w:t>
      </w:r>
      <w:r w:rsidRPr="00815C87">
        <w:rPr>
          <w:sz w:val="22"/>
          <w:szCs w:val="22"/>
          <w:lang w:val="sr-Latn-ME" w:bidi="en-US"/>
        </w:rPr>
        <w:t xml:space="preserve">ela nakon davanja sve tri doze. Vakcina indukuje imuni odgovor (na primjer pojava serumskih </w:t>
      </w:r>
      <w:proofErr w:type="spellStart"/>
      <w:r w:rsidRPr="00815C87">
        <w:rPr>
          <w:sz w:val="22"/>
          <w:szCs w:val="22"/>
          <w:lang w:val="sr-Latn-ME" w:bidi="en-US"/>
        </w:rPr>
        <w:t>neutrališućih</w:t>
      </w:r>
      <w:proofErr w:type="spellEnd"/>
      <w:r w:rsidRPr="00815C87">
        <w:rPr>
          <w:sz w:val="22"/>
          <w:szCs w:val="22"/>
          <w:lang w:val="sr-Latn-ME" w:bidi="en-US"/>
        </w:rPr>
        <w:t xml:space="preserve"> antitijela) na pet humanih </w:t>
      </w:r>
      <w:proofErr w:type="spellStart"/>
      <w:r w:rsidRPr="00815C87">
        <w:rPr>
          <w:sz w:val="22"/>
          <w:szCs w:val="22"/>
          <w:lang w:val="sr-Latn-ME" w:bidi="en-US"/>
        </w:rPr>
        <w:t>rotavirusnih</w:t>
      </w:r>
      <w:proofErr w:type="spellEnd"/>
      <w:r w:rsidRPr="00815C87">
        <w:rPr>
          <w:sz w:val="22"/>
          <w:szCs w:val="22"/>
          <w:lang w:val="sr-Latn-ME" w:bidi="en-US"/>
        </w:rPr>
        <w:t xml:space="preserve"> proteina uključenih u </w:t>
      </w:r>
      <w:proofErr w:type="spellStart"/>
      <w:r w:rsidRPr="00815C87">
        <w:rPr>
          <w:sz w:val="22"/>
          <w:szCs w:val="22"/>
          <w:lang w:val="sr-Latn-ME" w:bidi="en-US"/>
        </w:rPr>
        <w:t>reasortirane</w:t>
      </w:r>
      <w:proofErr w:type="spellEnd"/>
      <w:r w:rsidRPr="00815C87">
        <w:rPr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sz w:val="22"/>
          <w:szCs w:val="22"/>
          <w:lang w:val="sr-Latn-ME" w:bidi="en-US"/>
        </w:rPr>
        <w:t>rotaviruse</w:t>
      </w:r>
      <w:proofErr w:type="spellEnd"/>
      <w:r w:rsidRPr="00815C87">
        <w:rPr>
          <w:sz w:val="22"/>
          <w:szCs w:val="22"/>
          <w:lang w:val="sr-Latn-ME" w:bidi="en-US"/>
        </w:rPr>
        <w:t xml:space="preserve"> (</w:t>
      </w:r>
      <w:proofErr w:type="spellStart"/>
      <w:r w:rsidRPr="00815C87">
        <w:rPr>
          <w:sz w:val="22"/>
          <w:szCs w:val="22"/>
          <w:lang w:val="sr-Latn-ME" w:bidi="en-US"/>
        </w:rPr>
        <w:t>G1</w:t>
      </w:r>
      <w:proofErr w:type="spellEnd"/>
      <w:r w:rsidRPr="00815C87">
        <w:rPr>
          <w:sz w:val="22"/>
          <w:szCs w:val="22"/>
          <w:lang w:val="sr-Latn-ME" w:bidi="en-US"/>
        </w:rPr>
        <w:t xml:space="preserve">, </w:t>
      </w:r>
      <w:proofErr w:type="spellStart"/>
      <w:r w:rsidRPr="00815C87">
        <w:rPr>
          <w:sz w:val="22"/>
          <w:szCs w:val="22"/>
          <w:lang w:val="sr-Latn-ME" w:bidi="en-US"/>
        </w:rPr>
        <w:t>G2</w:t>
      </w:r>
      <w:proofErr w:type="spellEnd"/>
      <w:r w:rsidRPr="00815C87">
        <w:rPr>
          <w:sz w:val="22"/>
          <w:szCs w:val="22"/>
          <w:lang w:val="sr-Latn-ME" w:bidi="en-US"/>
        </w:rPr>
        <w:t xml:space="preserve">, </w:t>
      </w:r>
      <w:proofErr w:type="spellStart"/>
      <w:r w:rsidRPr="00815C87">
        <w:rPr>
          <w:sz w:val="22"/>
          <w:szCs w:val="22"/>
          <w:lang w:val="sr-Latn-ME" w:bidi="en-US"/>
        </w:rPr>
        <w:t>G3</w:t>
      </w:r>
      <w:proofErr w:type="spellEnd"/>
      <w:r w:rsidRPr="00815C87">
        <w:rPr>
          <w:sz w:val="22"/>
          <w:szCs w:val="22"/>
          <w:lang w:val="sr-Latn-ME" w:bidi="en-US"/>
        </w:rPr>
        <w:t xml:space="preserve">, </w:t>
      </w:r>
      <w:proofErr w:type="spellStart"/>
      <w:r w:rsidRPr="00815C87">
        <w:rPr>
          <w:sz w:val="22"/>
          <w:szCs w:val="22"/>
          <w:lang w:val="sr-Latn-ME" w:bidi="en-US"/>
        </w:rPr>
        <w:t>G4</w:t>
      </w:r>
      <w:proofErr w:type="spellEnd"/>
      <w:r w:rsidRPr="00815C87">
        <w:rPr>
          <w:sz w:val="22"/>
          <w:szCs w:val="22"/>
          <w:lang w:val="sr-Latn-ME" w:bidi="en-US"/>
        </w:rPr>
        <w:t xml:space="preserve"> i </w:t>
      </w:r>
      <w:proofErr w:type="spellStart"/>
      <w:r w:rsidR="00375F8C" w:rsidRPr="00A90659">
        <w:rPr>
          <w:sz w:val="22"/>
          <w:szCs w:val="22"/>
          <w:lang w:bidi="en-US"/>
        </w:rPr>
        <w:t>P</w:t>
      </w:r>
      <w:r w:rsidR="00375F8C" w:rsidRPr="00A90659">
        <w:rPr>
          <w:rFonts w:ascii="Symbol" w:hAnsi="Symbol"/>
          <w:sz w:val="22"/>
          <w:szCs w:val="22"/>
          <w:lang w:bidi="en-US"/>
        </w:rPr>
        <w:t></w:t>
      </w:r>
      <w:r w:rsidR="00375F8C" w:rsidRPr="00A90659">
        <w:rPr>
          <w:sz w:val="22"/>
          <w:szCs w:val="22"/>
          <w:lang w:bidi="en-US"/>
        </w:rPr>
        <w:t>8</w:t>
      </w:r>
      <w:proofErr w:type="spellEnd"/>
      <w:r w:rsidR="00375F8C" w:rsidRPr="00A90659">
        <w:rPr>
          <w:rFonts w:ascii="Symbol" w:hAnsi="Symbol"/>
          <w:sz w:val="22"/>
          <w:szCs w:val="22"/>
          <w:lang w:bidi="en-US"/>
        </w:rPr>
        <w:t></w:t>
      </w:r>
      <w:r w:rsidRPr="00815C87">
        <w:rPr>
          <w:sz w:val="22"/>
          <w:szCs w:val="22"/>
          <w:lang w:val="sr-Latn-ME" w:bidi="en-US"/>
        </w:rPr>
        <w:t>).</w:t>
      </w:r>
    </w:p>
    <w:p w14:paraId="04CA8757" w14:textId="77777777" w:rsidR="009212E3" w:rsidRPr="00815C87" w:rsidRDefault="009212E3" w:rsidP="00A9065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8B6BA11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5.2.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proofErr w:type="spellStart"/>
      <w:r w:rsidRPr="00815C87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815C87">
        <w:rPr>
          <w:b/>
          <w:bCs/>
          <w:sz w:val="22"/>
          <w:szCs w:val="22"/>
          <w:lang w:val="sr-Latn-ME"/>
        </w:rPr>
        <w:t xml:space="preserve"> podaci</w:t>
      </w:r>
      <w:r w:rsidR="003A7059" w:rsidRPr="00815C87">
        <w:rPr>
          <w:b/>
          <w:bCs/>
          <w:sz w:val="22"/>
          <w:szCs w:val="22"/>
          <w:lang w:val="sr-Latn-ME"/>
        </w:rPr>
        <w:t xml:space="preserve"> </w:t>
      </w:r>
    </w:p>
    <w:p w14:paraId="450D177C" w14:textId="623BD3F5" w:rsidR="00A90659" w:rsidRPr="00815C87" w:rsidRDefault="00DA6DB8" w:rsidP="00852481">
      <w:pPr>
        <w:widowControl w:val="0"/>
        <w:autoSpaceDE w:val="0"/>
        <w:autoSpaceDN w:val="0"/>
        <w:spacing w:before="139"/>
        <w:jc w:val="both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Nije </w:t>
      </w:r>
      <w:proofErr w:type="spellStart"/>
      <w:r w:rsidRPr="00815C87">
        <w:rPr>
          <w:sz w:val="22"/>
          <w:szCs w:val="22"/>
          <w:lang w:val="sr-Latn-ME" w:bidi="en-US"/>
        </w:rPr>
        <w:t>primen</w:t>
      </w:r>
      <w:r w:rsidR="002F6D6E" w:rsidRPr="00815C87">
        <w:rPr>
          <w:sz w:val="22"/>
          <w:szCs w:val="22"/>
          <w:lang w:val="sr-Latn-ME" w:bidi="en-US"/>
        </w:rPr>
        <w:t>l</w:t>
      </w:r>
      <w:r w:rsidRPr="00815C87">
        <w:rPr>
          <w:sz w:val="22"/>
          <w:szCs w:val="22"/>
          <w:lang w:val="sr-Latn-ME" w:bidi="en-US"/>
        </w:rPr>
        <w:t>jivo</w:t>
      </w:r>
      <w:proofErr w:type="spellEnd"/>
      <w:r w:rsidRPr="00815C87">
        <w:rPr>
          <w:sz w:val="22"/>
          <w:szCs w:val="22"/>
          <w:lang w:val="sr-Latn-ME" w:bidi="en-US"/>
        </w:rPr>
        <w:t>.</w:t>
      </w:r>
    </w:p>
    <w:p w14:paraId="224ACCCF" w14:textId="77777777" w:rsidR="0072020E" w:rsidRPr="00815C87" w:rsidRDefault="0072020E" w:rsidP="008524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B9EECF" w14:textId="77777777" w:rsidR="00375F8C" w:rsidRDefault="00375F8C" w:rsidP="008524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9FF618" w14:textId="0ED3F711" w:rsidR="0072020E" w:rsidRPr="00815C87" w:rsidRDefault="0072020E" w:rsidP="008524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5.3.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proofErr w:type="spellStart"/>
      <w:r w:rsidRPr="00815C87">
        <w:rPr>
          <w:b/>
          <w:bCs/>
          <w:sz w:val="22"/>
          <w:szCs w:val="22"/>
          <w:lang w:val="sr-Latn-ME"/>
        </w:rPr>
        <w:t>Pretklinički</w:t>
      </w:r>
      <w:proofErr w:type="spellEnd"/>
      <w:r w:rsidRPr="00815C87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578BFC67" w14:textId="77777777" w:rsidR="00375F8C" w:rsidRDefault="00375F8C" w:rsidP="00375F8C">
      <w:pPr>
        <w:widowControl w:val="0"/>
        <w:autoSpaceDE w:val="0"/>
        <w:autoSpaceDN w:val="0"/>
        <w:ind w:right="442"/>
        <w:jc w:val="both"/>
        <w:rPr>
          <w:sz w:val="22"/>
          <w:szCs w:val="22"/>
          <w:lang w:val="sr-Latn-ME" w:bidi="en-US"/>
        </w:rPr>
      </w:pPr>
    </w:p>
    <w:p w14:paraId="28449148" w14:textId="77777777" w:rsidR="00375F8C" w:rsidRPr="00375F8C" w:rsidRDefault="00375F8C" w:rsidP="00375F8C">
      <w:pPr>
        <w:tabs>
          <w:tab w:val="left" w:pos="540"/>
          <w:tab w:val="left" w:pos="569"/>
        </w:tabs>
        <w:jc w:val="both"/>
        <w:rPr>
          <w:sz w:val="22"/>
          <w:szCs w:val="22"/>
          <w:lang w:bidi="en-US"/>
        </w:rPr>
      </w:pPr>
      <w:proofErr w:type="spellStart"/>
      <w:r w:rsidRPr="00375F8C">
        <w:rPr>
          <w:sz w:val="22"/>
          <w:szCs w:val="22"/>
          <w:lang w:bidi="en-US"/>
        </w:rPr>
        <w:t>Ispitivanja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toksičnosti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pojedinačne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ponovljenih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oralnih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doza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proofErr w:type="gramStart"/>
      <w:r w:rsidRPr="00375F8C">
        <w:rPr>
          <w:sz w:val="22"/>
          <w:szCs w:val="22"/>
          <w:lang w:bidi="en-US"/>
        </w:rPr>
        <w:t>na</w:t>
      </w:r>
      <w:proofErr w:type="spellEnd"/>
      <w:proofErr w:type="gram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miševima</w:t>
      </w:r>
      <w:proofErr w:type="spellEnd"/>
      <w:r w:rsidRPr="00375F8C">
        <w:rPr>
          <w:sz w:val="22"/>
          <w:szCs w:val="22"/>
          <w:lang w:bidi="en-US"/>
        </w:rPr>
        <w:t xml:space="preserve"> ne </w:t>
      </w:r>
      <w:proofErr w:type="spellStart"/>
      <w:r w:rsidRPr="00375F8C">
        <w:rPr>
          <w:sz w:val="22"/>
          <w:szCs w:val="22"/>
          <w:lang w:bidi="en-US"/>
        </w:rPr>
        <w:t>ukazuju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na</w:t>
      </w:r>
      <w:proofErr w:type="spellEnd"/>
      <w:r w:rsidRPr="00375F8C">
        <w:rPr>
          <w:sz w:val="22"/>
          <w:szCs w:val="22"/>
          <w:lang w:bidi="en-US"/>
        </w:rPr>
        <w:t xml:space="preserve"> to da </w:t>
      </w:r>
      <w:proofErr w:type="spellStart"/>
      <w:r w:rsidRPr="00375F8C">
        <w:rPr>
          <w:sz w:val="22"/>
          <w:szCs w:val="22"/>
          <w:lang w:bidi="en-US"/>
        </w:rPr>
        <w:t>postoji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posebna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opasnost</w:t>
      </w:r>
      <w:proofErr w:type="spellEnd"/>
      <w:r w:rsidRPr="00375F8C">
        <w:rPr>
          <w:sz w:val="22"/>
          <w:szCs w:val="22"/>
          <w:lang w:bidi="en-US"/>
        </w:rPr>
        <w:t xml:space="preserve"> za </w:t>
      </w:r>
      <w:proofErr w:type="spellStart"/>
      <w:r w:rsidRPr="00375F8C">
        <w:rPr>
          <w:sz w:val="22"/>
          <w:szCs w:val="22"/>
          <w:lang w:bidi="en-US"/>
        </w:rPr>
        <w:t>ljude</w:t>
      </w:r>
      <w:proofErr w:type="spellEnd"/>
      <w:r w:rsidRPr="00375F8C">
        <w:rPr>
          <w:sz w:val="22"/>
          <w:szCs w:val="22"/>
          <w:lang w:bidi="en-US"/>
        </w:rPr>
        <w:t xml:space="preserve">. </w:t>
      </w:r>
      <w:proofErr w:type="spellStart"/>
      <w:r w:rsidRPr="00375F8C">
        <w:rPr>
          <w:sz w:val="22"/>
          <w:szCs w:val="22"/>
          <w:lang w:bidi="en-US"/>
        </w:rPr>
        <w:t>Doza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koju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su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dobili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miševi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iznosila</w:t>
      </w:r>
      <w:proofErr w:type="spellEnd"/>
      <w:r w:rsidRPr="00375F8C">
        <w:rPr>
          <w:sz w:val="22"/>
          <w:szCs w:val="22"/>
          <w:lang w:bidi="en-US"/>
        </w:rPr>
        <w:t xml:space="preserve"> je </w:t>
      </w:r>
      <w:proofErr w:type="spellStart"/>
      <w:r w:rsidRPr="00375F8C">
        <w:rPr>
          <w:sz w:val="22"/>
          <w:szCs w:val="22"/>
          <w:lang w:bidi="en-US"/>
        </w:rPr>
        <w:t>oko</w:t>
      </w:r>
      <w:proofErr w:type="spellEnd"/>
      <w:r w:rsidRPr="00375F8C">
        <w:rPr>
          <w:sz w:val="22"/>
          <w:szCs w:val="22"/>
          <w:lang w:bidi="en-US"/>
        </w:rPr>
        <w:t xml:space="preserve"> 2</w:t>
      </w:r>
      <w:proofErr w:type="gramStart"/>
      <w:r w:rsidRPr="00375F8C">
        <w:rPr>
          <w:sz w:val="22"/>
          <w:szCs w:val="22"/>
          <w:lang w:bidi="en-US"/>
        </w:rPr>
        <w:t>,79</w:t>
      </w:r>
      <w:proofErr w:type="gramEnd"/>
      <w:r w:rsidRPr="00375F8C">
        <w:rPr>
          <w:sz w:val="22"/>
          <w:szCs w:val="22"/>
          <w:lang w:bidi="en-US"/>
        </w:rPr>
        <w:t xml:space="preserve"> x 10</w:t>
      </w:r>
      <w:r w:rsidRPr="00375F8C">
        <w:rPr>
          <w:sz w:val="22"/>
          <w:szCs w:val="22"/>
          <w:vertAlign w:val="superscript"/>
          <w:lang w:bidi="en-US"/>
        </w:rPr>
        <w:t>8</w:t>
      </w:r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infektivnih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jedinica</w:t>
      </w:r>
      <w:proofErr w:type="spellEnd"/>
      <w:r w:rsidRPr="00375F8C">
        <w:rPr>
          <w:sz w:val="22"/>
          <w:szCs w:val="22"/>
          <w:lang w:bidi="en-US"/>
        </w:rPr>
        <w:t xml:space="preserve"> </w:t>
      </w:r>
      <w:proofErr w:type="spellStart"/>
      <w:r w:rsidRPr="00375F8C">
        <w:rPr>
          <w:sz w:val="22"/>
          <w:szCs w:val="22"/>
          <w:lang w:bidi="en-US"/>
        </w:rPr>
        <w:t>po</w:t>
      </w:r>
      <w:proofErr w:type="spellEnd"/>
      <w:r w:rsidRPr="00375F8C">
        <w:rPr>
          <w:sz w:val="22"/>
          <w:szCs w:val="22"/>
          <w:lang w:bidi="en-US"/>
        </w:rPr>
        <w:t xml:space="preserve"> kg (</w:t>
      </w:r>
      <w:proofErr w:type="spellStart"/>
      <w:r w:rsidRPr="00375F8C">
        <w:rPr>
          <w:sz w:val="22"/>
          <w:szCs w:val="22"/>
          <w:lang w:bidi="en-US"/>
        </w:rPr>
        <w:t>oko</w:t>
      </w:r>
      <w:proofErr w:type="spellEnd"/>
      <w:r w:rsidRPr="00375F8C">
        <w:rPr>
          <w:sz w:val="22"/>
          <w:szCs w:val="22"/>
          <w:lang w:bidi="en-US"/>
        </w:rPr>
        <w:t xml:space="preserve"> 14 puta </w:t>
      </w:r>
      <w:proofErr w:type="spellStart"/>
      <w:r w:rsidRPr="00375F8C">
        <w:rPr>
          <w:sz w:val="22"/>
          <w:szCs w:val="22"/>
          <w:lang w:bidi="en-US"/>
        </w:rPr>
        <w:t>veća</w:t>
      </w:r>
      <w:proofErr w:type="spellEnd"/>
      <w:r w:rsidRPr="00375F8C">
        <w:rPr>
          <w:sz w:val="22"/>
          <w:szCs w:val="22"/>
          <w:lang w:bidi="en-US"/>
        </w:rPr>
        <w:t xml:space="preserve"> od </w:t>
      </w:r>
      <w:proofErr w:type="spellStart"/>
      <w:r w:rsidRPr="00375F8C">
        <w:rPr>
          <w:sz w:val="22"/>
          <w:szCs w:val="22"/>
          <w:lang w:bidi="en-US"/>
        </w:rPr>
        <w:t>predviđene</w:t>
      </w:r>
      <w:proofErr w:type="spellEnd"/>
      <w:r w:rsidRPr="00375F8C">
        <w:rPr>
          <w:sz w:val="22"/>
          <w:szCs w:val="22"/>
          <w:lang w:bidi="en-US"/>
        </w:rPr>
        <w:t xml:space="preserve"> doze za </w:t>
      </w:r>
      <w:proofErr w:type="spellStart"/>
      <w:r w:rsidRPr="00375F8C">
        <w:rPr>
          <w:sz w:val="22"/>
          <w:szCs w:val="22"/>
          <w:lang w:bidi="en-US"/>
        </w:rPr>
        <w:t>odojčad</w:t>
      </w:r>
      <w:proofErr w:type="spellEnd"/>
      <w:r w:rsidRPr="00375F8C">
        <w:rPr>
          <w:sz w:val="22"/>
          <w:szCs w:val="22"/>
          <w:lang w:bidi="en-US"/>
        </w:rPr>
        <w:t>).</w:t>
      </w:r>
    </w:p>
    <w:p w14:paraId="7A15BCF0" w14:textId="77777777" w:rsidR="00836B35" w:rsidRPr="00815C8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FE456A" w14:textId="77777777" w:rsidR="00396DFD" w:rsidRPr="00815C87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B9C1A8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6.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FARMACEUTSKI PODACI</w:t>
      </w:r>
    </w:p>
    <w:p w14:paraId="5047352E" w14:textId="3C879287" w:rsidR="00836B35" w:rsidRPr="00815C8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CFF5F5" w14:textId="009AFCC5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6.1.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Lista pomoćnih supstanci</w:t>
      </w:r>
      <w:r w:rsidR="002E0135" w:rsidRPr="00815C87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815C87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815C87">
        <w:rPr>
          <w:b/>
          <w:bCs/>
          <w:sz w:val="22"/>
          <w:szCs w:val="22"/>
          <w:lang w:val="sr-Latn-ME"/>
        </w:rPr>
        <w:t>)</w:t>
      </w:r>
    </w:p>
    <w:p w14:paraId="54DFC2B8" w14:textId="77777777" w:rsidR="002F6D6E" w:rsidRPr="00815C87" w:rsidRDefault="002F6D6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31BA674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 xml:space="preserve">Saharoza </w:t>
      </w:r>
    </w:p>
    <w:p w14:paraId="56CD5993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 xml:space="preserve">Natrijum </w:t>
      </w:r>
      <w:proofErr w:type="spellStart"/>
      <w:r w:rsidRPr="00815C87">
        <w:rPr>
          <w:bCs/>
          <w:sz w:val="22"/>
          <w:szCs w:val="22"/>
          <w:lang w:val="sr-Latn-ME" w:bidi="en-US"/>
        </w:rPr>
        <w:t>citrat</w:t>
      </w:r>
      <w:proofErr w:type="spellEnd"/>
    </w:p>
    <w:p w14:paraId="1EF24768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 xml:space="preserve">Natrijum </w:t>
      </w:r>
      <w:proofErr w:type="spellStart"/>
      <w:r w:rsidRPr="00815C87">
        <w:rPr>
          <w:bCs/>
          <w:sz w:val="22"/>
          <w:szCs w:val="22"/>
          <w:lang w:val="sr-Latn-ME" w:bidi="en-US"/>
        </w:rPr>
        <w:t>dihidrogenfosfat</w:t>
      </w:r>
      <w:proofErr w:type="spellEnd"/>
      <w:r w:rsidRPr="00815C87">
        <w:rPr>
          <w:bCs/>
          <w:sz w:val="22"/>
          <w:szCs w:val="22"/>
          <w:lang w:val="sr-Latn-ME" w:bidi="en-US"/>
        </w:rPr>
        <w:t xml:space="preserve"> </w:t>
      </w:r>
      <w:proofErr w:type="spellStart"/>
      <w:r w:rsidRPr="00815C87">
        <w:rPr>
          <w:bCs/>
          <w:sz w:val="22"/>
          <w:szCs w:val="22"/>
          <w:lang w:val="sr-Latn-ME" w:bidi="en-US"/>
        </w:rPr>
        <w:t>monohidrat</w:t>
      </w:r>
      <w:proofErr w:type="spellEnd"/>
      <w:r w:rsidRPr="00815C87">
        <w:rPr>
          <w:bCs/>
          <w:sz w:val="22"/>
          <w:szCs w:val="22"/>
          <w:lang w:val="sr-Latn-ME" w:bidi="en-US"/>
        </w:rPr>
        <w:t xml:space="preserve"> </w:t>
      </w:r>
    </w:p>
    <w:p w14:paraId="4FAA1395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>Natrijum hidroksid</w:t>
      </w:r>
    </w:p>
    <w:p w14:paraId="4ABE1AD0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proofErr w:type="spellStart"/>
      <w:r w:rsidRPr="00815C87">
        <w:rPr>
          <w:bCs/>
          <w:sz w:val="22"/>
          <w:szCs w:val="22"/>
          <w:lang w:val="sr-Latn-ME" w:bidi="en-US"/>
        </w:rPr>
        <w:t>Polisorbat</w:t>
      </w:r>
      <w:proofErr w:type="spellEnd"/>
      <w:r w:rsidRPr="00815C87">
        <w:rPr>
          <w:bCs/>
          <w:sz w:val="22"/>
          <w:szCs w:val="22"/>
          <w:lang w:val="sr-Latn-ME" w:bidi="en-US"/>
        </w:rPr>
        <w:t xml:space="preserve"> 80</w:t>
      </w:r>
    </w:p>
    <w:p w14:paraId="7A1775AD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 xml:space="preserve">Hranljiva podloga (koji sadrži neorganske soli, </w:t>
      </w:r>
      <w:proofErr w:type="spellStart"/>
      <w:r w:rsidRPr="00815C87">
        <w:rPr>
          <w:bCs/>
          <w:sz w:val="22"/>
          <w:szCs w:val="22"/>
          <w:lang w:val="sr-Latn-ME" w:bidi="en-US"/>
        </w:rPr>
        <w:t>amino</w:t>
      </w:r>
      <w:proofErr w:type="spellEnd"/>
      <w:r w:rsidRPr="00815C87">
        <w:rPr>
          <w:bCs/>
          <w:sz w:val="22"/>
          <w:szCs w:val="22"/>
          <w:lang w:val="sr-Latn-ME" w:bidi="en-US"/>
        </w:rPr>
        <w:t xml:space="preserve"> kiseline i vitamine) </w:t>
      </w:r>
    </w:p>
    <w:p w14:paraId="710A5F10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>Prečišćena voda</w:t>
      </w:r>
    </w:p>
    <w:p w14:paraId="35EDD456" w14:textId="77777777" w:rsidR="0072020E" w:rsidRPr="00815C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F7B3E4" w14:textId="3D58F40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6.2.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Inkompatibilnost</w:t>
      </w:r>
      <w:r w:rsidR="002846DB" w:rsidRPr="00815C87">
        <w:rPr>
          <w:b/>
          <w:bCs/>
          <w:sz w:val="22"/>
          <w:szCs w:val="22"/>
          <w:lang w:val="sr-Latn-ME"/>
        </w:rPr>
        <w:t>i</w:t>
      </w:r>
    </w:p>
    <w:p w14:paraId="18967781" w14:textId="77777777" w:rsidR="002F6D6E" w:rsidRPr="00815C87" w:rsidRDefault="002F6D6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CBD2B10" w14:textId="77777777" w:rsidR="0072020E" w:rsidRPr="00815C87" w:rsidRDefault="00A906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>U odsustvu studija kompatibilnosti, ova vakcina se ne smije miješati sa drugim ljekovima.</w:t>
      </w:r>
    </w:p>
    <w:p w14:paraId="6029DAC1" w14:textId="77777777" w:rsidR="00A90659" w:rsidRPr="00815C87" w:rsidRDefault="00A906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BA0511" w14:textId="4CF03ECD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>6.3.</w:t>
      </w:r>
      <w:r w:rsidR="00C05DF8" w:rsidRPr="00815C87">
        <w:rPr>
          <w:b/>
          <w:bCs/>
          <w:sz w:val="22"/>
          <w:szCs w:val="22"/>
          <w:lang w:val="sr-Latn-ME"/>
        </w:rPr>
        <w:t xml:space="preserve">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Rok upotrebe</w:t>
      </w:r>
    </w:p>
    <w:p w14:paraId="37A62A5F" w14:textId="77777777" w:rsidR="0075512A" w:rsidRPr="00815C87" w:rsidRDefault="0075512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B6126AE" w14:textId="7CB44790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>2 godine.</w:t>
      </w:r>
    </w:p>
    <w:p w14:paraId="2B2A6356" w14:textId="77777777" w:rsidR="0075512A" w:rsidRPr="00815C87" w:rsidRDefault="0075512A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</w:p>
    <w:p w14:paraId="1915C252" w14:textId="77777777" w:rsidR="0072020E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 xml:space="preserve">Vakcina </w:t>
      </w:r>
      <w:proofErr w:type="spellStart"/>
      <w:r w:rsidRPr="00815C87">
        <w:rPr>
          <w:bCs/>
          <w:sz w:val="22"/>
          <w:szCs w:val="22"/>
          <w:lang w:val="sr-Latn-ME" w:bidi="en-US"/>
        </w:rPr>
        <w:t>RotaTeq</w:t>
      </w:r>
      <w:proofErr w:type="spellEnd"/>
      <w:r w:rsidRPr="00815C87">
        <w:rPr>
          <w:b/>
          <w:bCs/>
          <w:sz w:val="22"/>
          <w:szCs w:val="22"/>
          <w:lang w:val="sr-Latn-ME" w:bidi="en-US"/>
        </w:rPr>
        <w:t xml:space="preserve"> </w:t>
      </w:r>
      <w:r w:rsidRPr="00815C87">
        <w:rPr>
          <w:bCs/>
          <w:sz w:val="22"/>
          <w:szCs w:val="22"/>
          <w:lang w:val="sr-Latn-ME" w:bidi="en-US"/>
        </w:rPr>
        <w:t>se mora primijeniti odmah nakon vađenja iz frižidera.</w:t>
      </w:r>
    </w:p>
    <w:p w14:paraId="72CC86D9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5E227A" w14:textId="4A576646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6.4.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815C87">
        <w:rPr>
          <w:b/>
          <w:bCs/>
          <w:sz w:val="22"/>
          <w:szCs w:val="22"/>
          <w:lang w:val="sr-Latn-ME"/>
        </w:rPr>
        <w:t xml:space="preserve"> lijeka</w:t>
      </w:r>
    </w:p>
    <w:p w14:paraId="15FB6CB1" w14:textId="77777777" w:rsidR="002F6D6E" w:rsidRPr="00815C87" w:rsidRDefault="002F6D6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5D6EAC" w14:textId="54B0BDCF" w:rsidR="00A90659" w:rsidRPr="00815C87" w:rsidRDefault="00A90659" w:rsidP="00A90659">
      <w:pPr>
        <w:pStyle w:val="TableParagraph"/>
        <w:spacing w:before="35"/>
        <w:rPr>
          <w:lang w:val="sr-Latn-ME"/>
        </w:rPr>
      </w:pPr>
      <w:r w:rsidRPr="00815C87">
        <w:rPr>
          <w:lang w:val="sr-Latn-ME"/>
        </w:rPr>
        <w:t>Čuvati</w:t>
      </w:r>
      <w:r w:rsidR="00604ACE" w:rsidRPr="00815C87">
        <w:rPr>
          <w:lang w:val="sr-Latn-ME"/>
        </w:rPr>
        <w:t xml:space="preserve"> i transportovati </w:t>
      </w:r>
      <w:r w:rsidRPr="00815C87">
        <w:rPr>
          <w:lang w:val="sr-Latn-ME"/>
        </w:rPr>
        <w:t xml:space="preserve">u frižideru </w:t>
      </w:r>
      <w:r w:rsidR="00956605" w:rsidRPr="00815C87">
        <w:rPr>
          <w:lang w:val="sr-Latn-ME"/>
        </w:rPr>
        <w:t>(od</w:t>
      </w:r>
      <w:r w:rsidRPr="00815C87">
        <w:rPr>
          <w:lang w:val="sr-Latn-ME"/>
        </w:rPr>
        <w:t xml:space="preserve"> 2°C do 8°C</w:t>
      </w:r>
      <w:r w:rsidR="00956605" w:rsidRPr="00815C87">
        <w:rPr>
          <w:lang w:val="sr-Latn-ME"/>
        </w:rPr>
        <w:t>)</w:t>
      </w:r>
      <w:r w:rsidRPr="00815C87">
        <w:rPr>
          <w:lang w:val="sr-Latn-ME"/>
        </w:rPr>
        <w:t>.</w:t>
      </w:r>
    </w:p>
    <w:p w14:paraId="7C6B99D7" w14:textId="77777777" w:rsidR="00A90659" w:rsidRPr="00815C87" w:rsidRDefault="00A90659" w:rsidP="00A90659">
      <w:pPr>
        <w:pStyle w:val="TableParagraph"/>
        <w:rPr>
          <w:lang w:val="sr-Latn-ME"/>
        </w:rPr>
      </w:pPr>
    </w:p>
    <w:p w14:paraId="46F9D9BF" w14:textId="77777777" w:rsidR="00EC2532" w:rsidRPr="00815C87" w:rsidRDefault="00A90659" w:rsidP="00A9065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15C87">
        <w:rPr>
          <w:sz w:val="22"/>
          <w:szCs w:val="22"/>
          <w:lang w:val="sr-Latn-ME"/>
        </w:rPr>
        <w:t>Tuba za doziranje mora da se čuva u originalnoj spoljašnjoj ambalaži radi zaštite od svjetlosti.</w:t>
      </w:r>
    </w:p>
    <w:p w14:paraId="7A234BFA" w14:textId="77777777" w:rsidR="00A90659" w:rsidRPr="00815C87" w:rsidRDefault="00A90659" w:rsidP="00A9065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269C9F" w14:textId="36A3ED55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6.5.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="002846DB" w:rsidRPr="00815C87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815C87">
        <w:rPr>
          <w:b/>
          <w:bCs/>
          <w:sz w:val="22"/>
          <w:szCs w:val="22"/>
          <w:lang w:val="sr-Latn-ME"/>
        </w:rPr>
        <w:t>pakovanja</w:t>
      </w:r>
      <w:r w:rsidR="00C06864" w:rsidRPr="00815C87">
        <w:rPr>
          <w:b/>
          <w:bCs/>
          <w:sz w:val="22"/>
          <w:szCs w:val="22"/>
          <w:lang w:val="sr-Latn-ME"/>
        </w:rPr>
        <w:t xml:space="preserve"> </w:t>
      </w:r>
    </w:p>
    <w:p w14:paraId="49D4B629" w14:textId="77777777" w:rsidR="002F6D6E" w:rsidRPr="00815C87" w:rsidRDefault="002F6D6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029503E" w14:textId="77777777" w:rsidR="002F6D6E" w:rsidRPr="00815C87" w:rsidRDefault="00A90659" w:rsidP="00375F8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 w:bidi="en-US"/>
        </w:rPr>
        <w:t>2 ml rastvora u prethodno napunjenoj tubi (LDPE) iz koje može da se istisne rastvor sa poklopcem na odvrtanje (HDPE) u zaštitnoj kesici.</w:t>
      </w:r>
      <w:r w:rsidR="00643647" w:rsidRPr="00815C87">
        <w:rPr>
          <w:sz w:val="22"/>
          <w:szCs w:val="22"/>
          <w:lang w:val="sr-Latn-ME"/>
        </w:rPr>
        <w:t xml:space="preserve"> </w:t>
      </w:r>
    </w:p>
    <w:p w14:paraId="462EDCAE" w14:textId="0FE9A067" w:rsidR="00643647" w:rsidRPr="00815C87" w:rsidRDefault="00643647" w:rsidP="00643647">
      <w:pPr>
        <w:tabs>
          <w:tab w:val="left" w:pos="540"/>
          <w:tab w:val="left" w:pos="569"/>
        </w:tabs>
        <w:rPr>
          <w:bCs/>
          <w:sz w:val="22"/>
          <w:szCs w:val="22"/>
          <w:lang w:val="sr-Latn-ME" w:bidi="en-US"/>
        </w:rPr>
      </w:pPr>
      <w:r w:rsidRPr="00815C87">
        <w:rPr>
          <w:bCs/>
          <w:sz w:val="22"/>
          <w:szCs w:val="22"/>
          <w:lang w:val="sr-Latn-ME" w:bidi="en-US"/>
        </w:rPr>
        <w:t xml:space="preserve">Spoljašnje pakovanje je </w:t>
      </w:r>
      <w:proofErr w:type="spellStart"/>
      <w:r w:rsidRPr="00815C87">
        <w:rPr>
          <w:bCs/>
          <w:sz w:val="22"/>
          <w:szCs w:val="22"/>
          <w:lang w:val="sr-Latn-ME" w:bidi="en-US"/>
        </w:rPr>
        <w:t>složiva</w:t>
      </w:r>
      <w:proofErr w:type="spellEnd"/>
      <w:r w:rsidRPr="00815C87">
        <w:rPr>
          <w:bCs/>
          <w:sz w:val="22"/>
          <w:szCs w:val="22"/>
          <w:lang w:val="sr-Latn-ME" w:bidi="en-US"/>
        </w:rPr>
        <w:t xml:space="preserve"> kartonska kutija u kojoj se nalazi jedna tuba (u zaštitnoj kesici) i Uputstvo za l</w:t>
      </w:r>
      <w:r w:rsidR="00656B9A" w:rsidRPr="00815C87">
        <w:rPr>
          <w:bCs/>
          <w:sz w:val="22"/>
          <w:szCs w:val="22"/>
          <w:lang w:val="sr-Latn-ME" w:bidi="en-US"/>
        </w:rPr>
        <w:t>ij</w:t>
      </w:r>
      <w:r w:rsidRPr="00815C87">
        <w:rPr>
          <w:bCs/>
          <w:sz w:val="22"/>
          <w:szCs w:val="22"/>
          <w:lang w:val="sr-Latn-ME" w:bidi="en-US"/>
        </w:rPr>
        <w:t>ek.</w:t>
      </w:r>
    </w:p>
    <w:p w14:paraId="190744FB" w14:textId="77777777" w:rsidR="00175480" w:rsidRPr="00815C87" w:rsidRDefault="00175480" w:rsidP="0064364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EE2182" w14:textId="4AA04AC9" w:rsidR="002846DB" w:rsidRPr="00815C87" w:rsidRDefault="0072020E" w:rsidP="00375F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6.6.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815C87">
        <w:rPr>
          <w:b/>
          <w:bCs/>
          <w:sz w:val="22"/>
          <w:szCs w:val="22"/>
          <w:lang w:val="sr-Latn-ME"/>
        </w:rPr>
        <w:t xml:space="preserve"> </w:t>
      </w:r>
      <w:r w:rsidR="00310F03" w:rsidRPr="00815C87">
        <w:rPr>
          <w:b/>
          <w:bCs/>
          <w:sz w:val="22"/>
          <w:szCs w:val="22"/>
          <w:lang w:val="sr-Latn-ME"/>
        </w:rPr>
        <w:t>(i druga uputs</w:t>
      </w:r>
      <w:r w:rsidR="00375F8C">
        <w:rPr>
          <w:b/>
          <w:bCs/>
          <w:sz w:val="22"/>
          <w:szCs w:val="22"/>
          <w:lang w:val="sr-Latn-ME"/>
        </w:rPr>
        <w:t>t</w:t>
      </w:r>
      <w:r w:rsidR="00310F03" w:rsidRPr="00815C87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8884747" w14:textId="77777777" w:rsidR="00B66A70" w:rsidRPr="00815C87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586F8F7" w14:textId="642FBE8A" w:rsidR="00175480" w:rsidRPr="00815C87" w:rsidRDefault="00175480" w:rsidP="00375F8C">
      <w:pPr>
        <w:widowControl w:val="0"/>
        <w:autoSpaceDE w:val="0"/>
        <w:autoSpaceDN w:val="0"/>
        <w:spacing w:before="35" w:line="477" w:lineRule="auto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Vakcina se daje oralno bez m</w:t>
      </w:r>
      <w:r w:rsidR="00656B9A" w:rsidRPr="00815C87">
        <w:rPr>
          <w:sz w:val="22"/>
          <w:szCs w:val="22"/>
          <w:lang w:val="sr-Latn-ME" w:bidi="en-US"/>
        </w:rPr>
        <w:t>ij</w:t>
      </w:r>
      <w:r w:rsidRPr="00815C87">
        <w:rPr>
          <w:sz w:val="22"/>
          <w:szCs w:val="22"/>
          <w:lang w:val="sr-Latn-ME" w:bidi="en-US"/>
        </w:rPr>
        <w:t>ešanja sa bilo kojim drugim vakcinama ili rastvorima. Ne</w:t>
      </w:r>
      <w:r w:rsidR="00375F8C">
        <w:rPr>
          <w:sz w:val="22"/>
          <w:szCs w:val="22"/>
          <w:lang w:val="sr-Latn-ME" w:bidi="en-US"/>
        </w:rPr>
        <w:t xml:space="preserve"> </w:t>
      </w:r>
      <w:r w:rsidRPr="00815C87">
        <w:rPr>
          <w:sz w:val="22"/>
          <w:szCs w:val="22"/>
          <w:lang w:val="sr-Latn-ME" w:bidi="en-US"/>
        </w:rPr>
        <w:t xml:space="preserve">razblaživati. </w:t>
      </w:r>
    </w:p>
    <w:p w14:paraId="48CB0071" w14:textId="77777777" w:rsidR="00175480" w:rsidRPr="00815C87" w:rsidRDefault="0017548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7433"/>
      </w:tblGrid>
      <w:tr w:rsidR="007A6295" w:rsidRPr="00815C87" w14:paraId="065745A8" w14:textId="77777777" w:rsidTr="00852481">
        <w:trPr>
          <w:trHeight w:val="377"/>
          <w:jc w:val="center"/>
        </w:trPr>
        <w:tc>
          <w:tcPr>
            <w:tcW w:w="10459" w:type="dxa"/>
            <w:gridSpan w:val="2"/>
            <w:shd w:val="clear" w:color="auto" w:fill="auto"/>
          </w:tcPr>
          <w:p w14:paraId="4830428F" w14:textId="77777777" w:rsidR="007A6295" w:rsidRPr="00815C87" w:rsidRDefault="007A6295" w:rsidP="007A6295">
            <w:pPr>
              <w:widowControl w:val="0"/>
              <w:autoSpaceDE w:val="0"/>
              <w:autoSpaceDN w:val="0"/>
              <w:spacing w:before="1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Način davanja vakcine:</w:t>
            </w:r>
          </w:p>
          <w:p w14:paraId="6951E8A7" w14:textId="77777777" w:rsidR="007A6295" w:rsidRPr="00815C87" w:rsidRDefault="007A6295" w:rsidP="00175480">
            <w:pPr>
              <w:widowControl w:val="0"/>
              <w:autoSpaceDE w:val="0"/>
              <w:autoSpaceDN w:val="0"/>
              <w:spacing w:before="1"/>
              <w:rPr>
                <w:sz w:val="22"/>
                <w:szCs w:val="22"/>
                <w:lang w:val="sr-Latn-ME" w:bidi="en-US"/>
              </w:rPr>
            </w:pPr>
          </w:p>
        </w:tc>
      </w:tr>
      <w:tr w:rsidR="00175480" w:rsidRPr="00815C87" w14:paraId="63AC763A" w14:textId="77777777" w:rsidTr="00852481">
        <w:trPr>
          <w:trHeight w:val="1970"/>
          <w:jc w:val="center"/>
        </w:trPr>
        <w:tc>
          <w:tcPr>
            <w:tcW w:w="2196" w:type="dxa"/>
            <w:shd w:val="clear" w:color="auto" w:fill="auto"/>
          </w:tcPr>
          <w:p w14:paraId="2EDCC838" w14:textId="77777777" w:rsidR="00175480" w:rsidRPr="00815C87" w:rsidRDefault="00175480" w:rsidP="0017548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15C87">
              <w:rPr>
                <w:b/>
                <w:bCs/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73C093B6" wp14:editId="3DEF96FE">
                  <wp:extent cx="1019175" cy="10763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3" w:type="dxa"/>
            <w:shd w:val="clear" w:color="auto" w:fill="auto"/>
            <w:vAlign w:val="center"/>
          </w:tcPr>
          <w:p w14:paraId="66F9C5A9" w14:textId="77777777" w:rsidR="00175480" w:rsidRPr="00815C87" w:rsidRDefault="00175480" w:rsidP="00175480">
            <w:pPr>
              <w:widowControl w:val="0"/>
              <w:autoSpaceDE w:val="0"/>
              <w:autoSpaceDN w:val="0"/>
              <w:spacing w:before="1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Pocijepati zaštitnu kesicu i iz nje izvaditi tubu za doziranje.</w:t>
            </w:r>
          </w:p>
          <w:p w14:paraId="1720E2E0" w14:textId="77777777" w:rsidR="00175480" w:rsidRPr="00815C87" w:rsidRDefault="00175480" w:rsidP="0017548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175480" w:rsidRPr="00815C87" w14:paraId="267DEFCE" w14:textId="77777777" w:rsidTr="00852481">
        <w:trPr>
          <w:trHeight w:val="1703"/>
          <w:jc w:val="center"/>
        </w:trPr>
        <w:tc>
          <w:tcPr>
            <w:tcW w:w="2196" w:type="dxa"/>
            <w:shd w:val="clear" w:color="auto" w:fill="auto"/>
          </w:tcPr>
          <w:p w14:paraId="6A407A84" w14:textId="77777777" w:rsidR="00175480" w:rsidRPr="00815C87" w:rsidRDefault="00175480" w:rsidP="0017548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15C87">
              <w:rPr>
                <w:b/>
                <w:bCs/>
                <w:noProof/>
                <w:sz w:val="22"/>
                <w:szCs w:val="22"/>
                <w:lang w:val="sr-Latn-ME" w:eastAsia="sr-Latn-ME"/>
              </w:rPr>
              <w:lastRenderedPageBreak/>
              <w:drawing>
                <wp:inline distT="0" distB="0" distL="0" distR="0" wp14:anchorId="2B805B14" wp14:editId="7632C8B5">
                  <wp:extent cx="1209675" cy="10287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3" w:type="dxa"/>
            <w:shd w:val="clear" w:color="auto" w:fill="auto"/>
            <w:vAlign w:val="center"/>
          </w:tcPr>
          <w:p w14:paraId="46A905ED" w14:textId="3C5F5728" w:rsidR="00175480" w:rsidRPr="00815C87" w:rsidRDefault="00175480" w:rsidP="00175480">
            <w:pPr>
              <w:widowControl w:val="0"/>
              <w:autoSpaceDE w:val="0"/>
              <w:autoSpaceDN w:val="0"/>
              <w:spacing w:before="160" w:line="242" w:lineRule="auto"/>
              <w:ind w:right="215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Držati tubu u vertikalnom položaju i tapkanjem po </w:t>
            </w:r>
            <w:r w:rsidR="00643647" w:rsidRPr="00815C87">
              <w:rPr>
                <w:sz w:val="22"/>
                <w:szCs w:val="22"/>
                <w:lang w:val="sr-Latn-ME" w:bidi="en-US"/>
              </w:rPr>
              <w:t xml:space="preserve">zatvaraču na odvrtanje </w:t>
            </w:r>
            <w:r w:rsidRPr="00815C87">
              <w:rPr>
                <w:sz w:val="22"/>
                <w:szCs w:val="22"/>
                <w:lang w:val="sr-Latn-ME" w:bidi="en-US"/>
              </w:rPr>
              <w:t>odstraniti višak tečnosti sa brizgalice.</w:t>
            </w:r>
          </w:p>
          <w:p w14:paraId="5D55251F" w14:textId="77777777" w:rsidR="00175480" w:rsidRPr="00815C87" w:rsidRDefault="00175480" w:rsidP="0017548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175480" w:rsidRPr="00815C87" w14:paraId="6A1E31D8" w14:textId="77777777" w:rsidTr="00852481">
        <w:trPr>
          <w:trHeight w:val="1523"/>
          <w:jc w:val="center"/>
        </w:trPr>
        <w:tc>
          <w:tcPr>
            <w:tcW w:w="2196" w:type="dxa"/>
            <w:shd w:val="clear" w:color="auto" w:fill="auto"/>
          </w:tcPr>
          <w:p w14:paraId="486567A2" w14:textId="77777777" w:rsidR="00175480" w:rsidRPr="00815C87" w:rsidRDefault="00175480" w:rsidP="0017548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15C87">
              <w:rPr>
                <w:b/>
                <w:bCs/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154ABBAC" wp14:editId="6F0E68F5">
                  <wp:extent cx="1057275" cy="10668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3" w:type="dxa"/>
            <w:shd w:val="clear" w:color="auto" w:fill="auto"/>
            <w:vAlign w:val="center"/>
          </w:tcPr>
          <w:p w14:paraId="75459BB9" w14:textId="77777777" w:rsidR="00175480" w:rsidRPr="00815C87" w:rsidRDefault="00175480" w:rsidP="00175480">
            <w:pPr>
              <w:widowControl w:val="0"/>
              <w:autoSpaceDE w:val="0"/>
              <w:autoSpaceDN w:val="0"/>
              <w:spacing w:before="180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Otvoriti tubu za doziranje u dva jednostavna poteza:</w:t>
            </w:r>
          </w:p>
          <w:p w14:paraId="0A73FB4D" w14:textId="77777777" w:rsidR="00175480" w:rsidRPr="00815C87" w:rsidRDefault="00175480" w:rsidP="00175480">
            <w:pPr>
              <w:widowControl w:val="0"/>
              <w:autoSpaceDE w:val="0"/>
              <w:autoSpaceDN w:val="0"/>
              <w:spacing w:before="1"/>
              <w:rPr>
                <w:sz w:val="22"/>
                <w:szCs w:val="22"/>
                <w:lang w:val="sr-Latn-ME" w:bidi="en-US"/>
              </w:rPr>
            </w:pPr>
          </w:p>
          <w:p w14:paraId="1E7C6C73" w14:textId="309F7372" w:rsidR="00175480" w:rsidRPr="00815C87" w:rsidRDefault="00175480" w:rsidP="0085248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272"/>
              </w:tabs>
              <w:autoSpaceDE w:val="0"/>
              <w:autoSpaceDN w:val="0"/>
              <w:ind w:right="238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Probušiti brizgalicu odvrtanjem poklopca </w:t>
            </w:r>
            <w:r w:rsidRPr="00815C87">
              <w:rPr>
                <w:b/>
                <w:sz w:val="22"/>
                <w:szCs w:val="22"/>
                <w:lang w:val="sr-Latn-ME" w:bidi="en-US"/>
              </w:rPr>
              <w:t xml:space="preserve">u smjeru okretanja kazaljke na satu </w:t>
            </w:r>
            <w:r w:rsidRPr="00815C87">
              <w:rPr>
                <w:sz w:val="22"/>
                <w:szCs w:val="22"/>
                <w:lang w:val="sr-Latn-ME" w:bidi="en-US"/>
              </w:rPr>
              <w:t>sve dok više ne može da se</w:t>
            </w:r>
            <w:r w:rsidRPr="00815C87">
              <w:rPr>
                <w:spacing w:val="-1"/>
                <w:sz w:val="22"/>
                <w:szCs w:val="22"/>
                <w:lang w:val="sr-Latn-ME" w:bidi="en-US"/>
              </w:rPr>
              <w:t xml:space="preserve"> </w:t>
            </w:r>
            <w:r w:rsidRPr="00815C87">
              <w:rPr>
                <w:sz w:val="22"/>
                <w:szCs w:val="22"/>
                <w:lang w:val="sr-Latn-ME" w:bidi="en-US"/>
              </w:rPr>
              <w:t>odvrće.</w:t>
            </w:r>
          </w:p>
          <w:p w14:paraId="26594973" w14:textId="77777777" w:rsidR="00175480" w:rsidRPr="00815C87" w:rsidRDefault="00175480" w:rsidP="00175480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 w:bidi="en-US"/>
              </w:rPr>
            </w:pPr>
          </w:p>
          <w:p w14:paraId="4A639A2B" w14:textId="77777777" w:rsidR="00175480" w:rsidRPr="00815C87" w:rsidRDefault="00175480" w:rsidP="0017548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175480" w:rsidRPr="00815C87" w14:paraId="39D60F7A" w14:textId="77777777" w:rsidTr="00852481">
        <w:trPr>
          <w:trHeight w:val="1613"/>
          <w:jc w:val="center"/>
        </w:trPr>
        <w:tc>
          <w:tcPr>
            <w:tcW w:w="2196" w:type="dxa"/>
            <w:shd w:val="clear" w:color="auto" w:fill="auto"/>
          </w:tcPr>
          <w:p w14:paraId="236B1D96" w14:textId="77777777" w:rsidR="00175480" w:rsidRPr="00815C87" w:rsidRDefault="00175480" w:rsidP="0017548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15C87">
              <w:rPr>
                <w:b/>
                <w:bCs/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16DD770B" wp14:editId="492C942C">
                  <wp:extent cx="1133475" cy="10477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3" w:type="dxa"/>
            <w:shd w:val="clear" w:color="auto" w:fill="auto"/>
            <w:vAlign w:val="center"/>
          </w:tcPr>
          <w:p w14:paraId="5F5ACF78" w14:textId="701CB50D" w:rsidR="00175480" w:rsidRPr="00815C87" w:rsidRDefault="007A6295" w:rsidP="00852481">
            <w:pPr>
              <w:pStyle w:val="ListParagraph"/>
              <w:numPr>
                <w:ilvl w:val="0"/>
                <w:numId w:val="20"/>
              </w:num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 xml:space="preserve"> </w:t>
            </w:r>
            <w:r w:rsidR="00175480" w:rsidRPr="00815C87">
              <w:rPr>
                <w:sz w:val="22"/>
                <w:szCs w:val="22"/>
                <w:lang w:val="sr-Latn-ME" w:bidi="en-US"/>
              </w:rPr>
              <w:t xml:space="preserve">Skinuti poklopac okretanjem </w:t>
            </w:r>
            <w:r w:rsidR="00175480" w:rsidRPr="00815C87">
              <w:rPr>
                <w:b/>
                <w:sz w:val="22"/>
                <w:szCs w:val="22"/>
                <w:lang w:val="sr-Latn-ME" w:bidi="en-US"/>
              </w:rPr>
              <w:t>u suprotnom smjeru od okretanja kazaljke na</w:t>
            </w:r>
            <w:r w:rsidR="00175480" w:rsidRPr="00815C87">
              <w:rPr>
                <w:b/>
                <w:spacing w:val="-15"/>
                <w:sz w:val="22"/>
                <w:szCs w:val="22"/>
                <w:lang w:val="sr-Latn-ME" w:bidi="en-US"/>
              </w:rPr>
              <w:t xml:space="preserve"> </w:t>
            </w:r>
            <w:r w:rsidR="00175480" w:rsidRPr="00815C87">
              <w:rPr>
                <w:b/>
                <w:sz w:val="22"/>
                <w:szCs w:val="22"/>
                <w:lang w:val="sr-Latn-ME" w:bidi="en-US"/>
              </w:rPr>
              <w:t>satu.</w:t>
            </w:r>
          </w:p>
        </w:tc>
      </w:tr>
      <w:tr w:rsidR="00175480" w:rsidRPr="00815C87" w14:paraId="335A9E49" w14:textId="77777777" w:rsidTr="00852481">
        <w:trPr>
          <w:trHeight w:val="1847"/>
          <w:jc w:val="center"/>
        </w:trPr>
        <w:tc>
          <w:tcPr>
            <w:tcW w:w="2196" w:type="dxa"/>
            <w:shd w:val="clear" w:color="auto" w:fill="auto"/>
          </w:tcPr>
          <w:p w14:paraId="641C8FD6" w14:textId="77777777" w:rsidR="00175480" w:rsidRPr="00815C87" w:rsidRDefault="00175480" w:rsidP="00175480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15C87">
              <w:rPr>
                <w:b/>
                <w:bCs/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4E3D3825" wp14:editId="1D9FCD51">
                  <wp:extent cx="1247775" cy="9810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3" w:type="dxa"/>
            <w:shd w:val="clear" w:color="auto" w:fill="auto"/>
            <w:vAlign w:val="center"/>
          </w:tcPr>
          <w:p w14:paraId="36C700C0" w14:textId="77777777" w:rsidR="00660A18" w:rsidRPr="00815C87" w:rsidRDefault="00660A18" w:rsidP="00175480">
            <w:pPr>
              <w:widowControl w:val="0"/>
              <w:autoSpaceDE w:val="0"/>
              <w:autoSpaceDN w:val="0"/>
              <w:ind w:right="417"/>
              <w:rPr>
                <w:sz w:val="22"/>
                <w:szCs w:val="22"/>
                <w:lang w:val="sr-Latn-ME" w:bidi="en-US"/>
              </w:rPr>
            </w:pPr>
          </w:p>
          <w:p w14:paraId="0B7490D5" w14:textId="77777777" w:rsidR="00175480" w:rsidRPr="00815C87" w:rsidRDefault="00175480" w:rsidP="00175480">
            <w:pPr>
              <w:widowControl w:val="0"/>
              <w:autoSpaceDE w:val="0"/>
              <w:autoSpaceDN w:val="0"/>
              <w:ind w:right="41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Dati dozu laganim istiskivanjem tečnosti u usta odojčeta u smjeru prema unutrašnjem dijelu obraza sve dok se tuba za doziranje potpuno ne isprazni (može ostati malo preostale kapljice na vrhu tube).</w:t>
            </w:r>
          </w:p>
          <w:p w14:paraId="11E4EF02" w14:textId="77777777" w:rsidR="00175480" w:rsidRPr="00815C87" w:rsidRDefault="00175480" w:rsidP="00175480">
            <w:pPr>
              <w:widowControl w:val="0"/>
              <w:autoSpaceDE w:val="0"/>
              <w:autoSpaceDN w:val="0"/>
              <w:spacing w:before="10"/>
              <w:rPr>
                <w:sz w:val="22"/>
                <w:szCs w:val="22"/>
                <w:lang w:val="sr-Latn-ME" w:bidi="en-US"/>
              </w:rPr>
            </w:pPr>
          </w:p>
          <w:p w14:paraId="3FDD999B" w14:textId="77777777" w:rsidR="00175480" w:rsidRPr="00815C87" w:rsidRDefault="00175480" w:rsidP="00852481">
            <w:pPr>
              <w:widowControl w:val="0"/>
              <w:autoSpaceDE w:val="0"/>
              <w:autoSpaceDN w:val="0"/>
              <w:ind w:right="185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A903FA" w:rsidRPr="00815C87" w14:paraId="2457A0D6" w14:textId="77777777" w:rsidTr="00852481">
        <w:trPr>
          <w:trHeight w:val="827"/>
          <w:jc w:val="center"/>
        </w:trPr>
        <w:tc>
          <w:tcPr>
            <w:tcW w:w="2196" w:type="dxa"/>
            <w:shd w:val="clear" w:color="auto" w:fill="auto"/>
          </w:tcPr>
          <w:p w14:paraId="0CAD5558" w14:textId="77777777" w:rsidR="00A903FA" w:rsidRPr="00815C87" w:rsidRDefault="00A903FA" w:rsidP="00175480">
            <w:pPr>
              <w:tabs>
                <w:tab w:val="left" w:pos="540"/>
                <w:tab w:val="left" w:pos="569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8263" w:type="dxa"/>
            <w:shd w:val="clear" w:color="auto" w:fill="auto"/>
            <w:vAlign w:val="center"/>
          </w:tcPr>
          <w:p w14:paraId="52AAE6DA" w14:textId="77777777" w:rsidR="007A6295" w:rsidRPr="00815C87" w:rsidRDefault="007A6295" w:rsidP="007A6295">
            <w:pPr>
              <w:widowControl w:val="0"/>
              <w:autoSpaceDE w:val="0"/>
              <w:autoSpaceDN w:val="0"/>
              <w:ind w:right="417"/>
              <w:rPr>
                <w:sz w:val="22"/>
                <w:szCs w:val="22"/>
                <w:lang w:val="sr-Latn-ME" w:bidi="en-US"/>
              </w:rPr>
            </w:pPr>
            <w:r w:rsidRPr="00815C87">
              <w:rPr>
                <w:sz w:val="22"/>
                <w:szCs w:val="22"/>
                <w:lang w:val="sr-Latn-ME" w:bidi="en-US"/>
              </w:rPr>
              <w:t>Odstraniti praznu tubu i poklopac u odobrenom kontejneru za biološki otpad u skladu sa lokalnim propisima.</w:t>
            </w:r>
          </w:p>
          <w:p w14:paraId="70AFD3A7" w14:textId="77777777" w:rsidR="00A903FA" w:rsidRPr="00815C87" w:rsidRDefault="00A903FA" w:rsidP="00175480">
            <w:pPr>
              <w:widowControl w:val="0"/>
              <w:autoSpaceDE w:val="0"/>
              <w:autoSpaceDN w:val="0"/>
              <w:ind w:right="417"/>
              <w:rPr>
                <w:sz w:val="22"/>
                <w:szCs w:val="22"/>
                <w:lang w:val="sr-Latn-ME" w:bidi="en-US"/>
              </w:rPr>
            </w:pPr>
          </w:p>
        </w:tc>
      </w:tr>
    </w:tbl>
    <w:p w14:paraId="36771B3B" w14:textId="77777777" w:rsidR="00175480" w:rsidRPr="00815C87" w:rsidRDefault="0017548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F30CBF0" w14:textId="77777777" w:rsidR="00660A18" w:rsidRPr="00815C87" w:rsidRDefault="00660A18" w:rsidP="00480FB1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</w:p>
    <w:p w14:paraId="0E0CB438" w14:textId="0B515BDE" w:rsidR="00175480" w:rsidRPr="00815C87" w:rsidRDefault="0017548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sz w:val="22"/>
          <w:szCs w:val="22"/>
          <w:lang w:val="sr-Latn-ME" w:bidi="en-US"/>
        </w:rPr>
        <w:t>Neiskorišćen</w:t>
      </w:r>
      <w:r w:rsidR="00656B9A" w:rsidRPr="00815C87">
        <w:rPr>
          <w:sz w:val="22"/>
          <w:szCs w:val="22"/>
          <w:lang w:val="sr-Latn-ME" w:bidi="en-US"/>
        </w:rPr>
        <w:t>i</w:t>
      </w:r>
      <w:r w:rsidRPr="00815C87">
        <w:rPr>
          <w:sz w:val="22"/>
          <w:szCs w:val="22"/>
          <w:lang w:val="sr-Latn-ME" w:bidi="en-US"/>
        </w:rPr>
        <w:t xml:space="preserve"> lijek ili otpadni materijal se mora uništiti u skladu sa važećim propisima.</w:t>
      </w:r>
    </w:p>
    <w:p w14:paraId="186A8FE7" w14:textId="77777777" w:rsidR="00175480" w:rsidRPr="00815C87" w:rsidRDefault="0017548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1F564D" w14:textId="77777777" w:rsidR="0072020E" w:rsidRPr="00815C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3EA975" w14:textId="77777777" w:rsidR="00F8570A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7.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NOSILAC DOZVOLE</w:t>
      </w:r>
      <w:r w:rsidR="00483928" w:rsidRPr="00815C87">
        <w:rPr>
          <w:b/>
          <w:bCs/>
          <w:sz w:val="22"/>
          <w:szCs w:val="22"/>
          <w:lang w:val="sr-Latn-ME"/>
        </w:rPr>
        <w:t xml:space="preserve"> </w:t>
      </w:r>
    </w:p>
    <w:p w14:paraId="6FAD3783" w14:textId="77777777" w:rsidR="00375F8C" w:rsidRDefault="00375F8C" w:rsidP="00375F8C">
      <w:pPr>
        <w:widowControl w:val="0"/>
        <w:autoSpaceDE w:val="0"/>
        <w:autoSpaceDN w:val="0"/>
        <w:spacing w:line="252" w:lineRule="exact"/>
        <w:rPr>
          <w:sz w:val="22"/>
          <w:szCs w:val="22"/>
          <w:lang w:val="sr-Latn-ME" w:bidi="en-US"/>
        </w:rPr>
      </w:pPr>
    </w:p>
    <w:p w14:paraId="5AF7AD0B" w14:textId="3723B395" w:rsidR="00C61BE0" w:rsidRPr="00815C87" w:rsidRDefault="00643647" w:rsidP="00375F8C">
      <w:pPr>
        <w:widowControl w:val="0"/>
        <w:autoSpaceDE w:val="0"/>
        <w:autoSpaceDN w:val="0"/>
        <w:spacing w:line="252" w:lineRule="exact"/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Glosarij d.o.o.</w:t>
      </w:r>
      <w:r w:rsidR="00175480" w:rsidRPr="00815C87">
        <w:rPr>
          <w:sz w:val="22"/>
          <w:szCs w:val="22"/>
          <w:lang w:val="sr-Latn-ME" w:bidi="en-US"/>
        </w:rPr>
        <w:t xml:space="preserve">, </w:t>
      </w:r>
      <w:proofErr w:type="spellStart"/>
      <w:r w:rsidR="00175480" w:rsidRPr="00815C87">
        <w:rPr>
          <w:sz w:val="22"/>
          <w:szCs w:val="22"/>
          <w:lang w:val="sr-Latn-ME" w:bidi="en-US"/>
        </w:rPr>
        <w:t>Vojislavljevića</w:t>
      </w:r>
      <w:proofErr w:type="spellEnd"/>
      <w:r w:rsidR="00175480" w:rsidRPr="00815C87">
        <w:rPr>
          <w:sz w:val="22"/>
          <w:szCs w:val="22"/>
          <w:lang w:val="sr-Latn-ME" w:bidi="en-US"/>
        </w:rPr>
        <w:t xml:space="preserve"> 76, Podgorica, Crna Gora</w:t>
      </w:r>
    </w:p>
    <w:p w14:paraId="6AB65A08" w14:textId="771A7D11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3CE68B" w14:textId="77777777" w:rsidR="00815C87" w:rsidRPr="00815C87" w:rsidRDefault="00815C8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A8D958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8.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>BROJ DOZVOLE</w:t>
      </w:r>
      <w:r w:rsidR="008A6D43" w:rsidRPr="00815C8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64B2B19" w14:textId="1AD43A55" w:rsidR="00F45F77" w:rsidRPr="00815C8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CE9C6E" w14:textId="17ED49CF" w:rsidR="002F6D6E" w:rsidRPr="00815C87" w:rsidRDefault="00815C8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15C87">
        <w:rPr>
          <w:bCs/>
          <w:sz w:val="22"/>
          <w:szCs w:val="22"/>
          <w:lang w:val="sr-Latn-ME"/>
        </w:rPr>
        <w:t>2030/24/2045 - 1342</w:t>
      </w:r>
    </w:p>
    <w:p w14:paraId="58F0BB9A" w14:textId="50B30130" w:rsidR="002F6D6E" w:rsidRDefault="002F6D6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E416773" w14:textId="77777777" w:rsidR="00815C87" w:rsidRPr="00815C87" w:rsidRDefault="00815C8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C14530" w14:textId="77777777" w:rsidR="0072020E" w:rsidRPr="00815C8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9.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Pr="00815C87">
        <w:rPr>
          <w:b/>
          <w:bCs/>
          <w:sz w:val="22"/>
          <w:szCs w:val="22"/>
          <w:lang w:val="sr-Latn-ME"/>
        </w:rPr>
        <w:t xml:space="preserve">DATUM </w:t>
      </w:r>
      <w:r w:rsidR="00C05DF8" w:rsidRPr="00815C87">
        <w:rPr>
          <w:b/>
          <w:bCs/>
          <w:sz w:val="22"/>
          <w:szCs w:val="22"/>
          <w:lang w:val="sr-Latn-ME"/>
        </w:rPr>
        <w:t xml:space="preserve">PRVE </w:t>
      </w:r>
      <w:r w:rsidR="008A6D43" w:rsidRPr="00815C87">
        <w:rPr>
          <w:b/>
          <w:bCs/>
          <w:sz w:val="22"/>
          <w:szCs w:val="22"/>
          <w:lang w:val="sr-Latn-ME"/>
        </w:rPr>
        <w:t>DOZVOLE</w:t>
      </w:r>
      <w:r w:rsidR="00C05DF8" w:rsidRPr="00815C87">
        <w:rPr>
          <w:b/>
          <w:bCs/>
          <w:sz w:val="22"/>
          <w:szCs w:val="22"/>
          <w:lang w:val="sr-Latn-ME"/>
        </w:rPr>
        <w:t>/OBNOVE DOZVOLE</w:t>
      </w:r>
      <w:r w:rsidR="008A6D43" w:rsidRPr="00815C8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D87F384" w14:textId="77777777" w:rsidR="0072020E" w:rsidRPr="00815C8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95E7D2" w14:textId="563423E1" w:rsidR="00836B35" w:rsidRPr="00815C87" w:rsidRDefault="002F6D6E" w:rsidP="00480FB1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>Datum prve dozvole</w:t>
      </w:r>
      <w:r w:rsidR="00135BA8" w:rsidRPr="00815C87">
        <w:rPr>
          <w:sz w:val="22"/>
          <w:szCs w:val="22"/>
          <w:lang w:val="sr-Latn-ME" w:bidi="en-US"/>
        </w:rPr>
        <w:t>: 25.02.2013.</w:t>
      </w:r>
      <w:r w:rsidRPr="00815C87">
        <w:rPr>
          <w:sz w:val="22"/>
          <w:szCs w:val="22"/>
          <w:lang w:val="sr-Latn-ME" w:bidi="en-US"/>
        </w:rPr>
        <w:t xml:space="preserve"> godine</w:t>
      </w:r>
    </w:p>
    <w:p w14:paraId="76529A0E" w14:textId="1655741F" w:rsidR="002F6D6E" w:rsidRPr="00815C87" w:rsidRDefault="002F6D6E" w:rsidP="00480FB1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  <w:r w:rsidRPr="00815C87">
        <w:rPr>
          <w:sz w:val="22"/>
          <w:szCs w:val="22"/>
          <w:lang w:val="sr-Latn-ME" w:bidi="en-US"/>
        </w:rPr>
        <w:t xml:space="preserve">Datum </w:t>
      </w:r>
      <w:proofErr w:type="spellStart"/>
      <w:r w:rsidRPr="00815C87">
        <w:rPr>
          <w:sz w:val="22"/>
          <w:szCs w:val="22"/>
          <w:lang w:val="sr-Latn-ME" w:bidi="en-US"/>
        </w:rPr>
        <w:t>poslednje</w:t>
      </w:r>
      <w:proofErr w:type="spellEnd"/>
      <w:r w:rsidRPr="00815C87">
        <w:rPr>
          <w:sz w:val="22"/>
          <w:szCs w:val="22"/>
          <w:lang w:val="sr-Latn-ME" w:bidi="en-US"/>
        </w:rPr>
        <w:t xml:space="preserve"> obnove dozvole:</w:t>
      </w:r>
      <w:r w:rsidR="00815C87">
        <w:rPr>
          <w:sz w:val="22"/>
          <w:szCs w:val="22"/>
          <w:lang w:val="sr-Latn-ME" w:bidi="en-US"/>
        </w:rPr>
        <w:t xml:space="preserve"> </w:t>
      </w:r>
      <w:r w:rsidR="00815C87" w:rsidRPr="00815C87">
        <w:rPr>
          <w:sz w:val="22"/>
          <w:szCs w:val="22"/>
          <w:lang w:val="sr-Latn-ME" w:bidi="en-US"/>
        </w:rPr>
        <w:t>09.04.2024. godine</w:t>
      </w:r>
    </w:p>
    <w:p w14:paraId="1530C2C0" w14:textId="77777777" w:rsidR="002F6D6E" w:rsidRPr="00815C87" w:rsidRDefault="002F6D6E" w:rsidP="00480FB1">
      <w:pPr>
        <w:tabs>
          <w:tab w:val="left" w:pos="540"/>
          <w:tab w:val="left" w:pos="569"/>
        </w:tabs>
        <w:rPr>
          <w:sz w:val="22"/>
          <w:szCs w:val="22"/>
          <w:lang w:val="sr-Latn-ME" w:bidi="en-US"/>
        </w:rPr>
      </w:pPr>
    </w:p>
    <w:p w14:paraId="48EB2719" w14:textId="77777777" w:rsidR="00135BA8" w:rsidRPr="00815C87" w:rsidRDefault="00135BA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47D2B0" w14:textId="77777777" w:rsidR="003F6A59" w:rsidRPr="00815C87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815C87">
        <w:rPr>
          <w:b/>
          <w:bCs/>
          <w:sz w:val="22"/>
          <w:szCs w:val="22"/>
          <w:lang w:val="sr-Latn-ME"/>
        </w:rPr>
        <w:t xml:space="preserve">10. </w:t>
      </w:r>
      <w:r w:rsidR="00480FB1" w:rsidRPr="00815C87">
        <w:rPr>
          <w:b/>
          <w:bCs/>
          <w:sz w:val="22"/>
          <w:szCs w:val="22"/>
          <w:lang w:val="sr-Latn-ME"/>
        </w:rPr>
        <w:tab/>
      </w:r>
      <w:r w:rsidR="002846DB" w:rsidRPr="00815C87">
        <w:rPr>
          <w:b/>
          <w:bCs/>
          <w:sz w:val="22"/>
          <w:szCs w:val="22"/>
          <w:lang w:val="sr-Latn-ME"/>
        </w:rPr>
        <w:t>D</w:t>
      </w:r>
      <w:r w:rsidR="00EC2532" w:rsidRPr="00815C87">
        <w:rPr>
          <w:b/>
          <w:bCs/>
          <w:sz w:val="22"/>
          <w:szCs w:val="22"/>
          <w:lang w:val="sr-Latn-ME"/>
        </w:rPr>
        <w:t xml:space="preserve">ATUM REVIZIJE TEKSTA </w:t>
      </w:r>
    </w:p>
    <w:p w14:paraId="2F1619A2" w14:textId="1A1FD921" w:rsidR="003F6A59" w:rsidRDefault="003F6A59" w:rsidP="00DE3F5C">
      <w:pPr>
        <w:rPr>
          <w:sz w:val="22"/>
          <w:szCs w:val="22"/>
          <w:lang w:val="sr-Latn-ME"/>
        </w:rPr>
      </w:pPr>
    </w:p>
    <w:p w14:paraId="52D98BB2" w14:textId="28AB4D2C" w:rsidR="00815C87" w:rsidRPr="00815C87" w:rsidRDefault="00815C87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April, 2024. godine</w:t>
      </w:r>
    </w:p>
    <w:sectPr w:rsidR="00815C87" w:rsidRPr="00815C87" w:rsidSect="00281113">
      <w:footerReference w:type="default" r:id="rId21"/>
      <w:pgSz w:w="11909" w:h="16834" w:code="9"/>
      <w:pgMar w:top="1032" w:right="1136" w:bottom="720" w:left="1134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A80BD" w14:textId="77777777" w:rsidR="0098550F" w:rsidRDefault="0098550F">
      <w:r>
        <w:separator/>
      </w:r>
    </w:p>
  </w:endnote>
  <w:endnote w:type="continuationSeparator" w:id="0">
    <w:p w14:paraId="20C4A478" w14:textId="77777777" w:rsidR="0098550F" w:rsidRDefault="0098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663D6" w14:textId="18C7738F" w:rsidR="00281113" w:rsidRPr="00597C55" w:rsidRDefault="00281113" w:rsidP="00597C55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B5F83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B5F83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5519A" w14:textId="77777777" w:rsidR="0098550F" w:rsidRDefault="0098550F">
      <w:r>
        <w:separator/>
      </w:r>
    </w:p>
  </w:footnote>
  <w:footnote w:type="continuationSeparator" w:id="0">
    <w:p w14:paraId="5C56C0DD" w14:textId="77777777" w:rsidR="0098550F" w:rsidRDefault="0098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1DC002D"/>
    <w:multiLevelType w:val="hybridMultilevel"/>
    <w:tmpl w:val="5316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0063"/>
    <w:multiLevelType w:val="hybridMultilevel"/>
    <w:tmpl w:val="F0A6D820"/>
    <w:lvl w:ilvl="0" w:tplc="FFC85910">
      <w:start w:val="1"/>
      <w:numFmt w:val="decimal"/>
      <w:lvlText w:val="%1."/>
      <w:lvlJc w:val="left"/>
      <w:pPr>
        <w:ind w:left="2050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7D21BC2">
      <w:numFmt w:val="bullet"/>
      <w:lvlText w:val="•"/>
      <w:lvlJc w:val="left"/>
      <w:pPr>
        <w:ind w:left="2888" w:hanging="221"/>
      </w:pPr>
      <w:rPr>
        <w:rFonts w:hint="default"/>
        <w:lang w:val="en-US" w:eastAsia="en-US" w:bidi="en-US"/>
      </w:rPr>
    </w:lvl>
    <w:lvl w:ilvl="2" w:tplc="307EC8DC">
      <w:numFmt w:val="bullet"/>
      <w:lvlText w:val="•"/>
      <w:lvlJc w:val="left"/>
      <w:pPr>
        <w:ind w:left="3716" w:hanging="221"/>
      </w:pPr>
      <w:rPr>
        <w:rFonts w:hint="default"/>
        <w:lang w:val="en-US" w:eastAsia="en-US" w:bidi="en-US"/>
      </w:rPr>
    </w:lvl>
    <w:lvl w:ilvl="3" w:tplc="323A3E06">
      <w:numFmt w:val="bullet"/>
      <w:lvlText w:val="•"/>
      <w:lvlJc w:val="left"/>
      <w:pPr>
        <w:ind w:left="4544" w:hanging="221"/>
      </w:pPr>
      <w:rPr>
        <w:rFonts w:hint="default"/>
        <w:lang w:val="en-US" w:eastAsia="en-US" w:bidi="en-US"/>
      </w:rPr>
    </w:lvl>
    <w:lvl w:ilvl="4" w:tplc="C18248C8">
      <w:numFmt w:val="bullet"/>
      <w:lvlText w:val="•"/>
      <w:lvlJc w:val="left"/>
      <w:pPr>
        <w:ind w:left="5372" w:hanging="221"/>
      </w:pPr>
      <w:rPr>
        <w:rFonts w:hint="default"/>
        <w:lang w:val="en-US" w:eastAsia="en-US" w:bidi="en-US"/>
      </w:rPr>
    </w:lvl>
    <w:lvl w:ilvl="5" w:tplc="94809008">
      <w:numFmt w:val="bullet"/>
      <w:lvlText w:val="•"/>
      <w:lvlJc w:val="left"/>
      <w:pPr>
        <w:ind w:left="6201" w:hanging="221"/>
      </w:pPr>
      <w:rPr>
        <w:rFonts w:hint="default"/>
        <w:lang w:val="en-US" w:eastAsia="en-US" w:bidi="en-US"/>
      </w:rPr>
    </w:lvl>
    <w:lvl w:ilvl="6" w:tplc="18885A04">
      <w:numFmt w:val="bullet"/>
      <w:lvlText w:val="•"/>
      <w:lvlJc w:val="left"/>
      <w:pPr>
        <w:ind w:left="7029" w:hanging="221"/>
      </w:pPr>
      <w:rPr>
        <w:rFonts w:hint="default"/>
        <w:lang w:val="en-US" w:eastAsia="en-US" w:bidi="en-US"/>
      </w:rPr>
    </w:lvl>
    <w:lvl w:ilvl="7" w:tplc="C5306BD0">
      <w:numFmt w:val="bullet"/>
      <w:lvlText w:val="•"/>
      <w:lvlJc w:val="left"/>
      <w:pPr>
        <w:ind w:left="7857" w:hanging="221"/>
      </w:pPr>
      <w:rPr>
        <w:rFonts w:hint="default"/>
        <w:lang w:val="en-US" w:eastAsia="en-US" w:bidi="en-US"/>
      </w:rPr>
    </w:lvl>
    <w:lvl w:ilvl="8" w:tplc="936064F4">
      <w:numFmt w:val="bullet"/>
      <w:lvlText w:val="•"/>
      <w:lvlJc w:val="left"/>
      <w:pPr>
        <w:ind w:left="8685" w:hanging="221"/>
      </w:pPr>
      <w:rPr>
        <w:rFonts w:hint="default"/>
        <w:lang w:val="en-US" w:eastAsia="en-US" w:bidi="en-US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156390"/>
    <w:multiLevelType w:val="hybridMultilevel"/>
    <w:tmpl w:val="A388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74AD"/>
    <w:multiLevelType w:val="hybridMultilevel"/>
    <w:tmpl w:val="9AB8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38AA"/>
    <w:multiLevelType w:val="hybridMultilevel"/>
    <w:tmpl w:val="23C6B038"/>
    <w:lvl w:ilvl="0" w:tplc="E332862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42C9"/>
    <w:multiLevelType w:val="hybridMultilevel"/>
    <w:tmpl w:val="D8304204"/>
    <w:lvl w:ilvl="0" w:tplc="19EE2634">
      <w:start w:val="1"/>
      <w:numFmt w:val="decimal"/>
      <w:lvlText w:val="%1."/>
      <w:lvlJc w:val="left"/>
      <w:pPr>
        <w:ind w:left="77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A14F438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en-US"/>
      </w:rPr>
    </w:lvl>
    <w:lvl w:ilvl="2" w:tplc="B8A6448C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1756804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4" w:tplc="AD68077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en-US"/>
      </w:rPr>
    </w:lvl>
    <w:lvl w:ilvl="5" w:tplc="158267D0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en-US"/>
      </w:rPr>
    </w:lvl>
    <w:lvl w:ilvl="6" w:tplc="FDBCD352"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en-US"/>
      </w:rPr>
    </w:lvl>
    <w:lvl w:ilvl="7" w:tplc="700CE08E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en-US"/>
      </w:rPr>
    </w:lvl>
    <w:lvl w:ilvl="8" w:tplc="45B21C1A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8441E1"/>
    <w:multiLevelType w:val="hybridMultilevel"/>
    <w:tmpl w:val="38B2779A"/>
    <w:lvl w:ilvl="0" w:tplc="F3908868">
      <w:start w:val="3"/>
      <w:numFmt w:val="lowerLetter"/>
      <w:lvlText w:val="%1."/>
      <w:lvlJc w:val="left"/>
      <w:pPr>
        <w:ind w:left="626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en-US" w:eastAsia="en-US" w:bidi="en-US"/>
      </w:rPr>
    </w:lvl>
    <w:lvl w:ilvl="1" w:tplc="9DD8F18E">
      <w:numFmt w:val="bullet"/>
      <w:lvlText w:val="•"/>
      <w:lvlJc w:val="left"/>
      <w:pPr>
        <w:ind w:left="1628" w:hanging="209"/>
      </w:pPr>
      <w:rPr>
        <w:rFonts w:hint="default"/>
        <w:lang w:val="en-US" w:eastAsia="en-US" w:bidi="en-US"/>
      </w:rPr>
    </w:lvl>
    <w:lvl w:ilvl="2" w:tplc="5B2ADB5E">
      <w:numFmt w:val="bullet"/>
      <w:lvlText w:val="•"/>
      <w:lvlJc w:val="left"/>
      <w:pPr>
        <w:ind w:left="2637" w:hanging="209"/>
      </w:pPr>
      <w:rPr>
        <w:rFonts w:hint="default"/>
        <w:lang w:val="en-US" w:eastAsia="en-US" w:bidi="en-US"/>
      </w:rPr>
    </w:lvl>
    <w:lvl w:ilvl="3" w:tplc="37285716">
      <w:numFmt w:val="bullet"/>
      <w:lvlText w:val="•"/>
      <w:lvlJc w:val="left"/>
      <w:pPr>
        <w:ind w:left="3645" w:hanging="209"/>
      </w:pPr>
      <w:rPr>
        <w:rFonts w:hint="default"/>
        <w:lang w:val="en-US" w:eastAsia="en-US" w:bidi="en-US"/>
      </w:rPr>
    </w:lvl>
    <w:lvl w:ilvl="4" w:tplc="69263CE6">
      <w:numFmt w:val="bullet"/>
      <w:lvlText w:val="•"/>
      <w:lvlJc w:val="left"/>
      <w:pPr>
        <w:ind w:left="4654" w:hanging="209"/>
      </w:pPr>
      <w:rPr>
        <w:rFonts w:hint="default"/>
        <w:lang w:val="en-US" w:eastAsia="en-US" w:bidi="en-US"/>
      </w:rPr>
    </w:lvl>
    <w:lvl w:ilvl="5" w:tplc="A73422D2">
      <w:numFmt w:val="bullet"/>
      <w:lvlText w:val="•"/>
      <w:lvlJc w:val="left"/>
      <w:pPr>
        <w:ind w:left="5663" w:hanging="209"/>
      </w:pPr>
      <w:rPr>
        <w:rFonts w:hint="default"/>
        <w:lang w:val="en-US" w:eastAsia="en-US" w:bidi="en-US"/>
      </w:rPr>
    </w:lvl>
    <w:lvl w:ilvl="6" w:tplc="42DAFAAA">
      <w:numFmt w:val="bullet"/>
      <w:lvlText w:val="•"/>
      <w:lvlJc w:val="left"/>
      <w:pPr>
        <w:ind w:left="6671" w:hanging="209"/>
      </w:pPr>
      <w:rPr>
        <w:rFonts w:hint="default"/>
        <w:lang w:val="en-US" w:eastAsia="en-US" w:bidi="en-US"/>
      </w:rPr>
    </w:lvl>
    <w:lvl w:ilvl="7" w:tplc="EDF6A420">
      <w:numFmt w:val="bullet"/>
      <w:lvlText w:val="•"/>
      <w:lvlJc w:val="left"/>
      <w:pPr>
        <w:ind w:left="7680" w:hanging="209"/>
      </w:pPr>
      <w:rPr>
        <w:rFonts w:hint="default"/>
        <w:lang w:val="en-US" w:eastAsia="en-US" w:bidi="en-US"/>
      </w:rPr>
    </w:lvl>
    <w:lvl w:ilvl="8" w:tplc="F1B2CBD0">
      <w:numFmt w:val="bullet"/>
      <w:lvlText w:val="•"/>
      <w:lvlJc w:val="left"/>
      <w:pPr>
        <w:ind w:left="8689" w:hanging="209"/>
      </w:pPr>
      <w:rPr>
        <w:rFonts w:hint="default"/>
        <w:lang w:val="en-US" w:eastAsia="en-US" w:bidi="en-US"/>
      </w:rPr>
    </w:lvl>
  </w:abstractNum>
  <w:abstractNum w:abstractNumId="14" w15:restartNumberingAfterBreak="0">
    <w:nsid w:val="31611AD1"/>
    <w:multiLevelType w:val="hybridMultilevel"/>
    <w:tmpl w:val="2242B5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EAC67BE"/>
    <w:multiLevelType w:val="hybridMultilevel"/>
    <w:tmpl w:val="60B436D0"/>
    <w:lvl w:ilvl="0" w:tplc="5002F268">
      <w:start w:val="1"/>
      <w:numFmt w:val="lowerLetter"/>
      <w:lvlText w:val="%1."/>
      <w:lvlJc w:val="left"/>
      <w:pPr>
        <w:ind w:left="408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en-US" w:eastAsia="en-US" w:bidi="en-US"/>
      </w:rPr>
    </w:lvl>
    <w:lvl w:ilvl="1" w:tplc="42089D30">
      <w:numFmt w:val="bullet"/>
      <w:lvlText w:val="•"/>
      <w:lvlJc w:val="left"/>
      <w:pPr>
        <w:ind w:left="1397" w:hanging="209"/>
      </w:pPr>
      <w:rPr>
        <w:rFonts w:hint="default"/>
        <w:lang w:val="en-US" w:eastAsia="en-US" w:bidi="en-US"/>
      </w:rPr>
    </w:lvl>
    <w:lvl w:ilvl="2" w:tplc="B77228C2">
      <w:numFmt w:val="bullet"/>
      <w:lvlText w:val="•"/>
      <w:lvlJc w:val="left"/>
      <w:pPr>
        <w:ind w:left="2395" w:hanging="209"/>
      </w:pPr>
      <w:rPr>
        <w:rFonts w:hint="default"/>
        <w:lang w:val="en-US" w:eastAsia="en-US" w:bidi="en-US"/>
      </w:rPr>
    </w:lvl>
    <w:lvl w:ilvl="3" w:tplc="02026B9A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8DCA0600">
      <w:numFmt w:val="bullet"/>
      <w:lvlText w:val="•"/>
      <w:lvlJc w:val="left"/>
      <w:pPr>
        <w:ind w:left="4390" w:hanging="209"/>
      </w:pPr>
      <w:rPr>
        <w:rFonts w:hint="default"/>
        <w:lang w:val="en-US" w:eastAsia="en-US" w:bidi="en-US"/>
      </w:rPr>
    </w:lvl>
    <w:lvl w:ilvl="5" w:tplc="AFFE1290">
      <w:numFmt w:val="bullet"/>
      <w:lvlText w:val="•"/>
      <w:lvlJc w:val="left"/>
      <w:pPr>
        <w:ind w:left="5388" w:hanging="209"/>
      </w:pPr>
      <w:rPr>
        <w:rFonts w:hint="default"/>
        <w:lang w:val="en-US" w:eastAsia="en-US" w:bidi="en-US"/>
      </w:rPr>
    </w:lvl>
    <w:lvl w:ilvl="6" w:tplc="A1BAF69C">
      <w:numFmt w:val="bullet"/>
      <w:lvlText w:val="•"/>
      <w:lvlJc w:val="left"/>
      <w:pPr>
        <w:ind w:left="6385" w:hanging="209"/>
      </w:pPr>
      <w:rPr>
        <w:rFonts w:hint="default"/>
        <w:lang w:val="en-US" w:eastAsia="en-US" w:bidi="en-US"/>
      </w:rPr>
    </w:lvl>
    <w:lvl w:ilvl="7" w:tplc="57BC46A0">
      <w:numFmt w:val="bullet"/>
      <w:lvlText w:val="•"/>
      <w:lvlJc w:val="left"/>
      <w:pPr>
        <w:ind w:left="7383" w:hanging="209"/>
      </w:pPr>
      <w:rPr>
        <w:rFonts w:hint="default"/>
        <w:lang w:val="en-US" w:eastAsia="en-US" w:bidi="en-US"/>
      </w:rPr>
    </w:lvl>
    <w:lvl w:ilvl="8" w:tplc="E3EA2128">
      <w:numFmt w:val="bullet"/>
      <w:lvlText w:val="•"/>
      <w:lvlJc w:val="left"/>
      <w:pPr>
        <w:ind w:left="8380" w:hanging="209"/>
      </w:pPr>
      <w:rPr>
        <w:rFonts w:hint="default"/>
        <w:lang w:val="en-US" w:eastAsia="en-US" w:bidi="en-US"/>
      </w:rPr>
    </w:lvl>
  </w:abstractNum>
  <w:abstractNum w:abstractNumId="17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73855DF"/>
    <w:multiLevelType w:val="hybridMultilevel"/>
    <w:tmpl w:val="429E3C70"/>
    <w:lvl w:ilvl="0" w:tplc="1A440174">
      <w:numFmt w:val="bullet"/>
      <w:lvlText w:val="-"/>
      <w:lvlJc w:val="left"/>
      <w:pPr>
        <w:ind w:left="51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308CD4BE">
      <w:numFmt w:val="bullet"/>
      <w:lvlText w:val="•"/>
      <w:lvlJc w:val="left"/>
      <w:pPr>
        <w:ind w:left="743" w:hanging="125"/>
      </w:pPr>
      <w:rPr>
        <w:rFonts w:hint="default"/>
        <w:lang w:val="en-US" w:eastAsia="en-US" w:bidi="en-US"/>
      </w:rPr>
    </w:lvl>
    <w:lvl w:ilvl="2" w:tplc="3CA2A284">
      <w:numFmt w:val="bullet"/>
      <w:lvlText w:val="•"/>
      <w:lvlJc w:val="left"/>
      <w:pPr>
        <w:ind w:left="967" w:hanging="125"/>
      </w:pPr>
      <w:rPr>
        <w:rFonts w:hint="default"/>
        <w:lang w:val="en-US" w:eastAsia="en-US" w:bidi="en-US"/>
      </w:rPr>
    </w:lvl>
    <w:lvl w:ilvl="3" w:tplc="14CE70CA">
      <w:numFmt w:val="bullet"/>
      <w:lvlText w:val="•"/>
      <w:lvlJc w:val="left"/>
      <w:pPr>
        <w:ind w:left="1191" w:hanging="125"/>
      </w:pPr>
      <w:rPr>
        <w:rFonts w:hint="default"/>
        <w:lang w:val="en-US" w:eastAsia="en-US" w:bidi="en-US"/>
      </w:rPr>
    </w:lvl>
    <w:lvl w:ilvl="4" w:tplc="6400B0AA">
      <w:numFmt w:val="bullet"/>
      <w:lvlText w:val="•"/>
      <w:lvlJc w:val="left"/>
      <w:pPr>
        <w:ind w:left="1415" w:hanging="125"/>
      </w:pPr>
      <w:rPr>
        <w:rFonts w:hint="default"/>
        <w:lang w:val="en-US" w:eastAsia="en-US" w:bidi="en-US"/>
      </w:rPr>
    </w:lvl>
    <w:lvl w:ilvl="5" w:tplc="1E12FF68">
      <w:numFmt w:val="bullet"/>
      <w:lvlText w:val="•"/>
      <w:lvlJc w:val="left"/>
      <w:pPr>
        <w:ind w:left="1639" w:hanging="125"/>
      </w:pPr>
      <w:rPr>
        <w:rFonts w:hint="default"/>
        <w:lang w:val="en-US" w:eastAsia="en-US" w:bidi="en-US"/>
      </w:rPr>
    </w:lvl>
    <w:lvl w:ilvl="6" w:tplc="E6AAA7C2">
      <w:numFmt w:val="bullet"/>
      <w:lvlText w:val="•"/>
      <w:lvlJc w:val="left"/>
      <w:pPr>
        <w:ind w:left="1862" w:hanging="125"/>
      </w:pPr>
      <w:rPr>
        <w:rFonts w:hint="default"/>
        <w:lang w:val="en-US" w:eastAsia="en-US" w:bidi="en-US"/>
      </w:rPr>
    </w:lvl>
    <w:lvl w:ilvl="7" w:tplc="683C3ED2">
      <w:numFmt w:val="bullet"/>
      <w:lvlText w:val="•"/>
      <w:lvlJc w:val="left"/>
      <w:pPr>
        <w:ind w:left="2086" w:hanging="125"/>
      </w:pPr>
      <w:rPr>
        <w:rFonts w:hint="default"/>
        <w:lang w:val="en-US" w:eastAsia="en-US" w:bidi="en-US"/>
      </w:rPr>
    </w:lvl>
    <w:lvl w:ilvl="8" w:tplc="7166EB3E">
      <w:numFmt w:val="bullet"/>
      <w:lvlText w:val="•"/>
      <w:lvlJc w:val="left"/>
      <w:pPr>
        <w:ind w:left="2310" w:hanging="125"/>
      </w:pPr>
      <w:rPr>
        <w:rFonts w:hint="default"/>
        <w:lang w:val="en-US" w:eastAsia="en-US" w:bidi="en-US"/>
      </w:rPr>
    </w:lvl>
  </w:abstractNum>
  <w:abstractNum w:abstractNumId="1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17"/>
  </w:num>
  <w:num w:numId="5">
    <w:abstractNumId w:val="10"/>
  </w:num>
  <w:num w:numId="6">
    <w:abstractNumId w:val="3"/>
  </w:num>
  <w:num w:numId="7">
    <w:abstractNumId w:val="15"/>
  </w:num>
  <w:num w:numId="8">
    <w:abstractNumId w:val="9"/>
  </w:num>
  <w:num w:numId="9">
    <w:abstractNumId w:val="12"/>
  </w:num>
  <w:num w:numId="10">
    <w:abstractNumId w:val="20"/>
  </w:num>
  <w:num w:numId="11">
    <w:abstractNumId w:val="11"/>
  </w:num>
  <w:num w:numId="12">
    <w:abstractNumId w:val="16"/>
  </w:num>
  <w:num w:numId="13">
    <w:abstractNumId w:val="13"/>
  </w:num>
  <w:num w:numId="14">
    <w:abstractNumId w:val="7"/>
  </w:num>
  <w:num w:numId="15">
    <w:abstractNumId w:val="18"/>
  </w:num>
  <w:num w:numId="16">
    <w:abstractNumId w:val="1"/>
  </w:num>
  <w:num w:numId="17">
    <w:abstractNumId w:val="0"/>
  </w:num>
  <w:num w:numId="18">
    <w:abstractNumId w:val="6"/>
  </w:num>
  <w:num w:numId="19">
    <w:abstractNumId w:val="14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46584"/>
    <w:rsid w:val="00057E35"/>
    <w:rsid w:val="00072109"/>
    <w:rsid w:val="00076726"/>
    <w:rsid w:val="00076F36"/>
    <w:rsid w:val="00080303"/>
    <w:rsid w:val="000866AE"/>
    <w:rsid w:val="000A3F58"/>
    <w:rsid w:val="000C1E22"/>
    <w:rsid w:val="000D2343"/>
    <w:rsid w:val="000D3449"/>
    <w:rsid w:val="000D425A"/>
    <w:rsid w:val="000D60CC"/>
    <w:rsid w:val="000E2084"/>
    <w:rsid w:val="000E6F55"/>
    <w:rsid w:val="000E7F54"/>
    <w:rsid w:val="000F4F63"/>
    <w:rsid w:val="000F77FA"/>
    <w:rsid w:val="00107BF7"/>
    <w:rsid w:val="00122C6F"/>
    <w:rsid w:val="00126F53"/>
    <w:rsid w:val="00127C66"/>
    <w:rsid w:val="00135BA8"/>
    <w:rsid w:val="0014766D"/>
    <w:rsid w:val="001536CC"/>
    <w:rsid w:val="00175480"/>
    <w:rsid w:val="00191107"/>
    <w:rsid w:val="001A3FBA"/>
    <w:rsid w:val="001A5518"/>
    <w:rsid w:val="001B1C6A"/>
    <w:rsid w:val="001B6ABE"/>
    <w:rsid w:val="001C1263"/>
    <w:rsid w:val="001C1417"/>
    <w:rsid w:val="001C3F62"/>
    <w:rsid w:val="001E390B"/>
    <w:rsid w:val="001E4807"/>
    <w:rsid w:val="001F42FB"/>
    <w:rsid w:val="001F719A"/>
    <w:rsid w:val="002031B3"/>
    <w:rsid w:val="00215931"/>
    <w:rsid w:val="00227BDB"/>
    <w:rsid w:val="00234CB1"/>
    <w:rsid w:val="002352F8"/>
    <w:rsid w:val="00242F4B"/>
    <w:rsid w:val="002510A5"/>
    <w:rsid w:val="00254A0A"/>
    <w:rsid w:val="00266046"/>
    <w:rsid w:val="00276BB7"/>
    <w:rsid w:val="00281113"/>
    <w:rsid w:val="002811EA"/>
    <w:rsid w:val="00283EDB"/>
    <w:rsid w:val="002846DB"/>
    <w:rsid w:val="00284CCD"/>
    <w:rsid w:val="002A66F1"/>
    <w:rsid w:val="002C6637"/>
    <w:rsid w:val="002E0135"/>
    <w:rsid w:val="002E37A5"/>
    <w:rsid w:val="002F6D6E"/>
    <w:rsid w:val="00300B0A"/>
    <w:rsid w:val="00300F03"/>
    <w:rsid w:val="003038E5"/>
    <w:rsid w:val="00310F03"/>
    <w:rsid w:val="00312713"/>
    <w:rsid w:val="003247D2"/>
    <w:rsid w:val="003302F7"/>
    <w:rsid w:val="003445C1"/>
    <w:rsid w:val="00355B61"/>
    <w:rsid w:val="00362686"/>
    <w:rsid w:val="00363DC8"/>
    <w:rsid w:val="00371510"/>
    <w:rsid w:val="00375F8C"/>
    <w:rsid w:val="00396DFD"/>
    <w:rsid w:val="003A7059"/>
    <w:rsid w:val="003B64F5"/>
    <w:rsid w:val="003B7A36"/>
    <w:rsid w:val="003C17AB"/>
    <w:rsid w:val="003C7823"/>
    <w:rsid w:val="003E1DCC"/>
    <w:rsid w:val="003F34B0"/>
    <w:rsid w:val="003F6A59"/>
    <w:rsid w:val="004065C8"/>
    <w:rsid w:val="00411B4B"/>
    <w:rsid w:val="00413413"/>
    <w:rsid w:val="00415BEE"/>
    <w:rsid w:val="00420E58"/>
    <w:rsid w:val="00427F85"/>
    <w:rsid w:val="00436F42"/>
    <w:rsid w:val="004378B4"/>
    <w:rsid w:val="00451314"/>
    <w:rsid w:val="00452E9D"/>
    <w:rsid w:val="004534C7"/>
    <w:rsid w:val="004634C1"/>
    <w:rsid w:val="004671AA"/>
    <w:rsid w:val="00480FB1"/>
    <w:rsid w:val="00483928"/>
    <w:rsid w:val="004975E3"/>
    <w:rsid w:val="004D1F80"/>
    <w:rsid w:val="004D6103"/>
    <w:rsid w:val="004E3BCE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95E18"/>
    <w:rsid w:val="00597C55"/>
    <w:rsid w:val="005A0B2E"/>
    <w:rsid w:val="005A23D2"/>
    <w:rsid w:val="005A36CB"/>
    <w:rsid w:val="005B3DF5"/>
    <w:rsid w:val="005B49B8"/>
    <w:rsid w:val="005C0741"/>
    <w:rsid w:val="005C5EF4"/>
    <w:rsid w:val="005E2E0B"/>
    <w:rsid w:val="005E3569"/>
    <w:rsid w:val="005E6D5D"/>
    <w:rsid w:val="005E7A7D"/>
    <w:rsid w:val="005F697A"/>
    <w:rsid w:val="00604ACE"/>
    <w:rsid w:val="00606EF3"/>
    <w:rsid w:val="00643647"/>
    <w:rsid w:val="00646BD1"/>
    <w:rsid w:val="006561C2"/>
    <w:rsid w:val="00656B9A"/>
    <w:rsid w:val="00660A18"/>
    <w:rsid w:val="00671CB3"/>
    <w:rsid w:val="00674BAF"/>
    <w:rsid w:val="00682200"/>
    <w:rsid w:val="006A1497"/>
    <w:rsid w:val="006A347C"/>
    <w:rsid w:val="006B0BD1"/>
    <w:rsid w:val="006B5F83"/>
    <w:rsid w:val="006C29A0"/>
    <w:rsid w:val="006D20A5"/>
    <w:rsid w:val="006D37BF"/>
    <w:rsid w:val="006E08AB"/>
    <w:rsid w:val="006E481E"/>
    <w:rsid w:val="006F05A4"/>
    <w:rsid w:val="00702E22"/>
    <w:rsid w:val="00704C00"/>
    <w:rsid w:val="0072020E"/>
    <w:rsid w:val="00735994"/>
    <w:rsid w:val="00737D85"/>
    <w:rsid w:val="0075512A"/>
    <w:rsid w:val="00765C3E"/>
    <w:rsid w:val="00786071"/>
    <w:rsid w:val="00794281"/>
    <w:rsid w:val="007A3ECB"/>
    <w:rsid w:val="007A6295"/>
    <w:rsid w:val="007C4C9A"/>
    <w:rsid w:val="007C640D"/>
    <w:rsid w:val="007D124E"/>
    <w:rsid w:val="007E0995"/>
    <w:rsid w:val="007E1B4E"/>
    <w:rsid w:val="007E712F"/>
    <w:rsid w:val="007F1C44"/>
    <w:rsid w:val="00815C87"/>
    <w:rsid w:val="00824AB9"/>
    <w:rsid w:val="00836B35"/>
    <w:rsid w:val="00843BDE"/>
    <w:rsid w:val="00845A8D"/>
    <w:rsid w:val="00852481"/>
    <w:rsid w:val="0089705C"/>
    <w:rsid w:val="008A6D43"/>
    <w:rsid w:val="008B491E"/>
    <w:rsid w:val="008B5868"/>
    <w:rsid w:val="008C1A28"/>
    <w:rsid w:val="008C2E98"/>
    <w:rsid w:val="008E49BD"/>
    <w:rsid w:val="008E53E9"/>
    <w:rsid w:val="008E5771"/>
    <w:rsid w:val="008F1636"/>
    <w:rsid w:val="009212E3"/>
    <w:rsid w:val="00940B9B"/>
    <w:rsid w:val="00956605"/>
    <w:rsid w:val="0095676E"/>
    <w:rsid w:val="00956983"/>
    <w:rsid w:val="00963CF0"/>
    <w:rsid w:val="00964BB1"/>
    <w:rsid w:val="00975632"/>
    <w:rsid w:val="009775D9"/>
    <w:rsid w:val="0098550F"/>
    <w:rsid w:val="00997175"/>
    <w:rsid w:val="009A1847"/>
    <w:rsid w:val="009B062A"/>
    <w:rsid w:val="009E7C6F"/>
    <w:rsid w:val="009F1793"/>
    <w:rsid w:val="009F2D23"/>
    <w:rsid w:val="00A01D69"/>
    <w:rsid w:val="00A02335"/>
    <w:rsid w:val="00A359E5"/>
    <w:rsid w:val="00A46C9A"/>
    <w:rsid w:val="00A619F3"/>
    <w:rsid w:val="00A62A73"/>
    <w:rsid w:val="00A81139"/>
    <w:rsid w:val="00A87FF6"/>
    <w:rsid w:val="00A903FA"/>
    <w:rsid w:val="00A90659"/>
    <w:rsid w:val="00A94485"/>
    <w:rsid w:val="00AA0A3B"/>
    <w:rsid w:val="00AA24E1"/>
    <w:rsid w:val="00AA2763"/>
    <w:rsid w:val="00AA33B6"/>
    <w:rsid w:val="00AB50CA"/>
    <w:rsid w:val="00AB6D64"/>
    <w:rsid w:val="00AC53CE"/>
    <w:rsid w:val="00AC7A49"/>
    <w:rsid w:val="00AD2193"/>
    <w:rsid w:val="00AF2AC7"/>
    <w:rsid w:val="00AF74CE"/>
    <w:rsid w:val="00AF7AD6"/>
    <w:rsid w:val="00B0002F"/>
    <w:rsid w:val="00B208DB"/>
    <w:rsid w:val="00B23F69"/>
    <w:rsid w:val="00B60619"/>
    <w:rsid w:val="00B66A70"/>
    <w:rsid w:val="00B67366"/>
    <w:rsid w:val="00B80EE1"/>
    <w:rsid w:val="00B84135"/>
    <w:rsid w:val="00C04374"/>
    <w:rsid w:val="00C04D34"/>
    <w:rsid w:val="00C05DF8"/>
    <w:rsid w:val="00C06864"/>
    <w:rsid w:val="00C10F54"/>
    <w:rsid w:val="00C2077B"/>
    <w:rsid w:val="00C23D8D"/>
    <w:rsid w:val="00C2667F"/>
    <w:rsid w:val="00C37AA3"/>
    <w:rsid w:val="00C37FD7"/>
    <w:rsid w:val="00C43419"/>
    <w:rsid w:val="00C44CF3"/>
    <w:rsid w:val="00C61BE0"/>
    <w:rsid w:val="00C702BF"/>
    <w:rsid w:val="00C70B0E"/>
    <w:rsid w:val="00C773CA"/>
    <w:rsid w:val="00C83785"/>
    <w:rsid w:val="00C94C0D"/>
    <w:rsid w:val="00CA1FEB"/>
    <w:rsid w:val="00CB5645"/>
    <w:rsid w:val="00CD4F85"/>
    <w:rsid w:val="00CD6F02"/>
    <w:rsid w:val="00CE246D"/>
    <w:rsid w:val="00CF07A0"/>
    <w:rsid w:val="00CF3E03"/>
    <w:rsid w:val="00D0082A"/>
    <w:rsid w:val="00D15E9C"/>
    <w:rsid w:val="00D168B6"/>
    <w:rsid w:val="00D21455"/>
    <w:rsid w:val="00D37A3B"/>
    <w:rsid w:val="00D4229F"/>
    <w:rsid w:val="00D47634"/>
    <w:rsid w:val="00D709B3"/>
    <w:rsid w:val="00D87CDD"/>
    <w:rsid w:val="00DA2ED6"/>
    <w:rsid w:val="00DA6DB8"/>
    <w:rsid w:val="00DB1392"/>
    <w:rsid w:val="00DB76B8"/>
    <w:rsid w:val="00DC2EA1"/>
    <w:rsid w:val="00DD6AAF"/>
    <w:rsid w:val="00DE3F5C"/>
    <w:rsid w:val="00DF1D20"/>
    <w:rsid w:val="00E21324"/>
    <w:rsid w:val="00E246B9"/>
    <w:rsid w:val="00E31FEA"/>
    <w:rsid w:val="00E35D4F"/>
    <w:rsid w:val="00E45169"/>
    <w:rsid w:val="00E45887"/>
    <w:rsid w:val="00E47787"/>
    <w:rsid w:val="00E51C30"/>
    <w:rsid w:val="00E573CD"/>
    <w:rsid w:val="00E64180"/>
    <w:rsid w:val="00E74AEE"/>
    <w:rsid w:val="00E85210"/>
    <w:rsid w:val="00E868E5"/>
    <w:rsid w:val="00E9237A"/>
    <w:rsid w:val="00E939FA"/>
    <w:rsid w:val="00EA5765"/>
    <w:rsid w:val="00EC2532"/>
    <w:rsid w:val="00EC32BD"/>
    <w:rsid w:val="00ED7812"/>
    <w:rsid w:val="00EE2AE7"/>
    <w:rsid w:val="00EE2B65"/>
    <w:rsid w:val="00EE6763"/>
    <w:rsid w:val="00EF3B86"/>
    <w:rsid w:val="00F06287"/>
    <w:rsid w:val="00F20C7C"/>
    <w:rsid w:val="00F240E2"/>
    <w:rsid w:val="00F317E9"/>
    <w:rsid w:val="00F34554"/>
    <w:rsid w:val="00F44A96"/>
    <w:rsid w:val="00F45F77"/>
    <w:rsid w:val="00F5167F"/>
    <w:rsid w:val="00F52258"/>
    <w:rsid w:val="00F53397"/>
    <w:rsid w:val="00F80F98"/>
    <w:rsid w:val="00F8570A"/>
    <w:rsid w:val="00F91C7B"/>
    <w:rsid w:val="00FC4B3F"/>
    <w:rsid w:val="00FD366A"/>
    <w:rsid w:val="00FE458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622E2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7F54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E7F54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E7F54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rsid w:val="0017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480"/>
    <w:pPr>
      <w:ind w:left="720"/>
      <w:contextualSpacing/>
    </w:pPr>
  </w:style>
  <w:style w:type="character" w:styleId="Hyperlink">
    <w:name w:val="Hyperlink"/>
    <w:basedOn w:val="DefaultParagraphFont"/>
    <w:rsid w:val="002811E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347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imaryreporting.who-umc.org/ME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7B21CF573AB4A8546461AB49B0DC5" ma:contentTypeVersion="10" ma:contentTypeDescription="Create a new document." ma:contentTypeScope="" ma:versionID="a83c4a662eacc9971e70fde204167339">
  <xsd:schema xmlns:xsd="http://www.w3.org/2001/XMLSchema" xmlns:xs="http://www.w3.org/2001/XMLSchema" xmlns:p="http://schemas.microsoft.com/office/2006/metadata/properties" xmlns:ns3="6273f22a-3b07-40cd-89b3-11e9dcb350c9" targetNamespace="http://schemas.microsoft.com/office/2006/metadata/properties" ma:root="true" ma:fieldsID="4a5b56e25b26cc8f9321e715aceaac64" ns3:_="">
    <xsd:import namespace="6273f22a-3b07-40cd-89b3-11e9dcb350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f22a-3b07-40cd-89b3-11e9dcb35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DE00-1B80-4588-8333-9EC774578C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F1E3A0-00C8-40B6-8512-0D74D89FC53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7A64DE1-640D-4525-A937-7ACE581D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3f22a-3b07-40cd-89b3-11e9dcb35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5B060-2B19-4901-8BBC-D768F26D1B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120651-74C9-48ED-B000-38919876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28941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7</cp:revision>
  <dcterms:created xsi:type="dcterms:W3CDTF">2024-04-06T04:41:00Z</dcterms:created>
  <dcterms:modified xsi:type="dcterms:W3CDTF">2024-04-10T06:15:00Z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6ac84b69-a2af-4d4d-b3c1-f93aa8e32066</vt:lpwstr>
  </property>
  <property fmtid="{D5CDD505-2E9C-101B-9397-08002B2CF9AE}" pid="4" name="bjSaver">
    <vt:lpwstr>uAwnKnXobSYgT49wYGOWihqzAroYtJ02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6" name="bjDocumentLabelXML-0">
    <vt:lpwstr>ames.com/2008/01/sie/internal/label"&gt;&lt;element uid="9920fcc9-9f43-4d43-9e3e-b98a219cfd55" value="" /&gt;&lt;/sisl&gt;</vt:lpwstr>
  </property>
  <property fmtid="{D5CDD505-2E9C-101B-9397-08002B2CF9AE}" pid="7" name="bjDocumentSecurityLabel">
    <vt:lpwstr>Not Classified</vt:lpwstr>
  </property>
  <property fmtid="{D5CDD505-2E9C-101B-9397-08002B2CF9AE}" pid="8" name="ContentTypeId">
    <vt:lpwstr>0x010100FE97B21CF573AB4A8546461AB49B0DC5</vt:lpwstr>
  </property>
  <property fmtid="{D5CDD505-2E9C-101B-9397-08002B2CF9AE}" pid="9" name="MSIP_Label_e81acc0d-dcc4-4dc9-a2c5-be70b05a2fe6_Enabled">
    <vt:lpwstr>true</vt:lpwstr>
  </property>
  <property fmtid="{D5CDD505-2E9C-101B-9397-08002B2CF9AE}" pid="10" name="MSIP_Label_e81acc0d-dcc4-4dc9-a2c5-be70b05a2fe6_SetDate">
    <vt:lpwstr>2024-04-03T09:08:45Z</vt:lpwstr>
  </property>
  <property fmtid="{D5CDD505-2E9C-101B-9397-08002B2CF9AE}" pid="11" name="MSIP_Label_e81acc0d-dcc4-4dc9-a2c5-be70b05a2fe6_Method">
    <vt:lpwstr>Privileged</vt:lpwstr>
  </property>
  <property fmtid="{D5CDD505-2E9C-101B-9397-08002B2CF9AE}" pid="12" name="MSIP_Label_e81acc0d-dcc4-4dc9-a2c5-be70b05a2fe6_Name">
    <vt:lpwstr>e81acc0d-dcc4-4dc9-a2c5-be70b05a2fe6</vt:lpwstr>
  </property>
  <property fmtid="{D5CDD505-2E9C-101B-9397-08002B2CF9AE}" pid="13" name="MSIP_Label_e81acc0d-dcc4-4dc9-a2c5-be70b05a2fe6_SiteId">
    <vt:lpwstr>a00de4ec-48a8-43a6-be74-e31274e2060d</vt:lpwstr>
  </property>
  <property fmtid="{D5CDD505-2E9C-101B-9397-08002B2CF9AE}" pid="14" name="MSIP_Label_e81acc0d-dcc4-4dc9-a2c5-be70b05a2fe6_ActionId">
    <vt:lpwstr>7ff493ef-42ce-44a5-a3e4-84c554fab5e8</vt:lpwstr>
  </property>
  <property fmtid="{D5CDD505-2E9C-101B-9397-08002B2CF9AE}" pid="15" name="MSIP_Label_e81acc0d-dcc4-4dc9-a2c5-be70b05a2fe6_ContentBits">
    <vt:lpwstr>0</vt:lpwstr>
  </property>
</Properties>
</file>