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1B856" w14:textId="77777777" w:rsidR="00054D7D" w:rsidRPr="00456B23" w:rsidRDefault="00054D7D" w:rsidP="00054D7D">
      <w:pPr>
        <w:jc w:val="center"/>
        <w:rPr>
          <w:b/>
          <w:szCs w:val="22"/>
          <w:u w:val="single"/>
          <w:lang w:val="sr-Latn-ME"/>
        </w:rPr>
      </w:pPr>
      <w:r w:rsidRPr="00456B23">
        <w:rPr>
          <w:b/>
          <w:szCs w:val="22"/>
          <w:u w:val="single"/>
          <w:lang w:val="sr-Latn-ME"/>
        </w:rPr>
        <w:t>SAŽETAK KARAKTERISTIKA LIJEKA</w:t>
      </w:r>
    </w:p>
    <w:p w14:paraId="4A8997EE" w14:textId="77777777" w:rsidR="00C65CEF" w:rsidRPr="00456B23" w:rsidRDefault="00C65CEF" w:rsidP="00054D7D">
      <w:pPr>
        <w:jc w:val="center"/>
        <w:rPr>
          <w:b/>
          <w:szCs w:val="22"/>
          <w:u w:val="single"/>
          <w:lang w:val="sr-Latn-ME"/>
        </w:rPr>
      </w:pPr>
    </w:p>
    <w:p w14:paraId="1B965364" w14:textId="77777777" w:rsidR="00C65CEF" w:rsidRPr="00456B23" w:rsidRDefault="00C65CEF" w:rsidP="00054D7D">
      <w:pPr>
        <w:jc w:val="center"/>
        <w:rPr>
          <w:b/>
          <w:szCs w:val="22"/>
          <w:u w:val="single"/>
          <w:lang w:val="sr-Latn-ME"/>
        </w:rPr>
      </w:pPr>
    </w:p>
    <w:p w14:paraId="7109D334" w14:textId="77777777" w:rsidR="00054D7D" w:rsidRPr="00456B23" w:rsidRDefault="00054D7D" w:rsidP="006B28D6">
      <w:pPr>
        <w:pStyle w:val="Heading1"/>
        <w:spacing w:before="0" w:after="0"/>
        <w:rPr>
          <w:szCs w:val="22"/>
          <w:lang w:val="sr-Latn-ME"/>
        </w:rPr>
      </w:pPr>
      <w:r w:rsidRPr="00456B23">
        <w:rPr>
          <w:szCs w:val="22"/>
          <w:lang w:val="sr-Latn-ME"/>
        </w:rPr>
        <w:t>NAZIV LIJEKA</w:t>
      </w:r>
    </w:p>
    <w:p w14:paraId="20F874B8" w14:textId="77777777" w:rsidR="00C65CEF" w:rsidRPr="00456B23" w:rsidRDefault="00C65CEF" w:rsidP="006B28D6">
      <w:pPr>
        <w:rPr>
          <w:szCs w:val="22"/>
          <w:lang w:val="sr-Latn-ME"/>
        </w:rPr>
      </w:pPr>
    </w:p>
    <w:p w14:paraId="76A27003" w14:textId="03F579EB" w:rsidR="00054D7D" w:rsidRPr="00456B23" w:rsidRDefault="00054D7D" w:rsidP="00172AC1">
      <w:pPr>
        <w:rPr>
          <w:szCs w:val="22"/>
          <w:lang w:val="sr-Latn-ME"/>
        </w:rPr>
      </w:pPr>
      <w:r w:rsidRPr="00456B23">
        <w:rPr>
          <w:szCs w:val="22"/>
          <w:lang w:val="sr-Latn-ME"/>
        </w:rPr>
        <w:t>NIZON</w:t>
      </w:r>
      <w:r w:rsidR="00ED0D07" w:rsidRPr="00456B23">
        <w:rPr>
          <w:szCs w:val="22"/>
          <w:lang w:val="sr-Latn-ME"/>
        </w:rPr>
        <w:t>,</w:t>
      </w:r>
      <w:r w:rsidRPr="00456B23">
        <w:rPr>
          <w:szCs w:val="22"/>
          <w:lang w:val="sr-Latn-ME"/>
        </w:rPr>
        <w:t xml:space="preserve"> 5 mg</w:t>
      </w:r>
      <w:r w:rsidR="00ED0D07" w:rsidRPr="00456B23">
        <w:rPr>
          <w:szCs w:val="22"/>
          <w:lang w:val="sr-Latn-ME"/>
        </w:rPr>
        <w:t>,</w:t>
      </w:r>
      <w:r w:rsidRPr="00456B23">
        <w:rPr>
          <w:szCs w:val="22"/>
          <w:lang w:val="sr-Latn-ME"/>
        </w:rPr>
        <w:t xml:space="preserve"> tablet</w:t>
      </w:r>
      <w:r w:rsidR="00C65CEF" w:rsidRPr="00456B23">
        <w:rPr>
          <w:szCs w:val="22"/>
          <w:lang w:val="sr-Latn-ME"/>
        </w:rPr>
        <w:t>a</w:t>
      </w:r>
    </w:p>
    <w:p w14:paraId="50B013A2" w14:textId="77777777" w:rsidR="00054D7D" w:rsidRPr="00456B23" w:rsidRDefault="00054D7D" w:rsidP="00172AC1">
      <w:pPr>
        <w:rPr>
          <w:color w:val="000000"/>
          <w:szCs w:val="22"/>
          <w:lang w:val="sr-Latn-ME"/>
        </w:rPr>
      </w:pPr>
    </w:p>
    <w:p w14:paraId="0DEE011A" w14:textId="77777777" w:rsidR="00054D7D" w:rsidRPr="00456B23" w:rsidRDefault="00054D7D" w:rsidP="00172AC1">
      <w:pPr>
        <w:rPr>
          <w:color w:val="000000"/>
          <w:szCs w:val="22"/>
          <w:lang w:val="sr-Latn-ME"/>
        </w:rPr>
      </w:pPr>
      <w:r w:rsidRPr="00456B23">
        <w:rPr>
          <w:color w:val="000000"/>
          <w:szCs w:val="22"/>
          <w:lang w:val="sr-Latn-ME"/>
        </w:rPr>
        <w:t>INN: prednizon</w:t>
      </w:r>
    </w:p>
    <w:p w14:paraId="7EACEE5A" w14:textId="77777777" w:rsidR="009439F3" w:rsidRPr="00456B23" w:rsidRDefault="009439F3" w:rsidP="00172AC1">
      <w:pPr>
        <w:rPr>
          <w:i/>
          <w:color w:val="808080"/>
          <w:szCs w:val="22"/>
          <w:lang w:val="sr-Latn-ME"/>
        </w:rPr>
      </w:pPr>
    </w:p>
    <w:p w14:paraId="4B40DD78" w14:textId="77777777" w:rsidR="00C65CEF" w:rsidRPr="00456B23" w:rsidRDefault="00C65CEF" w:rsidP="00172AC1">
      <w:pPr>
        <w:rPr>
          <w:i/>
          <w:color w:val="808080"/>
          <w:szCs w:val="22"/>
          <w:lang w:val="sr-Latn-ME"/>
        </w:rPr>
      </w:pPr>
    </w:p>
    <w:p w14:paraId="127D184B" w14:textId="77777777" w:rsidR="00054D7D" w:rsidRPr="00456B23" w:rsidRDefault="00054D7D" w:rsidP="006B28D6">
      <w:pPr>
        <w:pStyle w:val="Heading1"/>
        <w:spacing w:before="0" w:after="0"/>
        <w:rPr>
          <w:color w:val="000000"/>
          <w:szCs w:val="22"/>
          <w:lang w:val="sr-Latn-ME"/>
        </w:rPr>
      </w:pPr>
      <w:r w:rsidRPr="00456B23">
        <w:rPr>
          <w:color w:val="000000"/>
          <w:szCs w:val="22"/>
          <w:lang w:val="sr-Latn-ME"/>
        </w:rPr>
        <w:t>kvalitativni i kvantitativni sastav</w:t>
      </w:r>
    </w:p>
    <w:p w14:paraId="6419A499" w14:textId="77777777" w:rsidR="00C65CEF" w:rsidRPr="00456B23" w:rsidRDefault="00C65CEF" w:rsidP="00172AC1">
      <w:pPr>
        <w:ind w:left="3600" w:hanging="3600"/>
        <w:rPr>
          <w:color w:val="000000"/>
          <w:szCs w:val="22"/>
          <w:lang w:val="sr-Latn-ME"/>
        </w:rPr>
      </w:pPr>
    </w:p>
    <w:p w14:paraId="46CC79FE" w14:textId="472789CA" w:rsidR="00054D7D" w:rsidRPr="00456B23" w:rsidRDefault="00054D7D" w:rsidP="00172AC1">
      <w:pPr>
        <w:ind w:left="3600" w:hanging="3600"/>
        <w:rPr>
          <w:color w:val="000000"/>
          <w:szCs w:val="22"/>
          <w:lang w:val="sr-Latn-ME"/>
        </w:rPr>
      </w:pPr>
      <w:r w:rsidRPr="00456B23">
        <w:rPr>
          <w:color w:val="000000"/>
          <w:szCs w:val="22"/>
          <w:lang w:val="sr-Latn-ME"/>
        </w:rPr>
        <w:t xml:space="preserve">Jedna </w:t>
      </w:r>
      <w:r w:rsidR="00ED0D07" w:rsidRPr="00456B23">
        <w:rPr>
          <w:color w:val="000000"/>
          <w:szCs w:val="22"/>
          <w:lang w:val="sr-Latn-ME"/>
        </w:rPr>
        <w:t xml:space="preserve">tableta </w:t>
      </w:r>
      <w:r w:rsidRPr="00456B23">
        <w:rPr>
          <w:color w:val="000000"/>
          <w:szCs w:val="22"/>
          <w:lang w:val="sr-Latn-ME"/>
        </w:rPr>
        <w:t>sadrži</w:t>
      </w:r>
      <w:r w:rsidR="00C65CEF" w:rsidRPr="00456B23">
        <w:rPr>
          <w:color w:val="000000"/>
          <w:szCs w:val="22"/>
          <w:lang w:val="sr-Latn-ME"/>
        </w:rPr>
        <w:t xml:space="preserve"> 5 mg</w:t>
      </w:r>
      <w:r w:rsidRPr="00456B23">
        <w:rPr>
          <w:color w:val="000000"/>
          <w:szCs w:val="22"/>
          <w:lang w:val="sr-Latn-ME"/>
        </w:rPr>
        <w:t xml:space="preserve"> prednizona.</w:t>
      </w:r>
    </w:p>
    <w:p w14:paraId="2D70DB25" w14:textId="77777777" w:rsidR="00054D7D" w:rsidRPr="00456B23" w:rsidRDefault="00054D7D" w:rsidP="00172AC1">
      <w:pPr>
        <w:ind w:left="3600" w:hanging="3600"/>
        <w:rPr>
          <w:color w:val="000000"/>
          <w:szCs w:val="22"/>
          <w:lang w:val="sr-Latn-ME"/>
        </w:rPr>
      </w:pPr>
    </w:p>
    <w:p w14:paraId="5D93D40F" w14:textId="2CDF314F" w:rsidR="00054D7D" w:rsidRPr="00456B23" w:rsidRDefault="00054D7D" w:rsidP="00172AC1">
      <w:pPr>
        <w:rPr>
          <w:szCs w:val="22"/>
          <w:lang w:val="sr-Latn-ME"/>
        </w:rPr>
      </w:pPr>
      <w:r w:rsidRPr="00456B23">
        <w:rPr>
          <w:szCs w:val="22"/>
          <w:lang w:val="sr-Latn-ME"/>
        </w:rPr>
        <w:t>Pomoćn</w:t>
      </w:r>
      <w:r w:rsidR="00C65CEF" w:rsidRPr="00456B23">
        <w:rPr>
          <w:szCs w:val="22"/>
          <w:lang w:val="sr-Latn-ME"/>
        </w:rPr>
        <w:t>a</w:t>
      </w:r>
      <w:r w:rsidRPr="00456B23">
        <w:rPr>
          <w:szCs w:val="22"/>
          <w:lang w:val="sr-Latn-ME"/>
        </w:rPr>
        <w:t xml:space="preserve"> supstanc</w:t>
      </w:r>
      <w:r w:rsidR="00C65CEF" w:rsidRPr="00456B23">
        <w:rPr>
          <w:szCs w:val="22"/>
          <w:lang w:val="sr-Latn-ME"/>
        </w:rPr>
        <w:t>a</w:t>
      </w:r>
      <w:r w:rsidRPr="00456B23">
        <w:rPr>
          <w:szCs w:val="22"/>
          <w:lang w:val="sr-Latn-ME"/>
        </w:rPr>
        <w:t xml:space="preserve"> s</w:t>
      </w:r>
      <w:r w:rsidR="00C65CEF" w:rsidRPr="00456B23">
        <w:rPr>
          <w:szCs w:val="22"/>
          <w:lang w:val="sr-Latn-ME"/>
        </w:rPr>
        <w:t>a</w:t>
      </w:r>
      <w:r w:rsidRPr="00456B23">
        <w:rPr>
          <w:szCs w:val="22"/>
          <w:lang w:val="sr-Latn-ME"/>
        </w:rPr>
        <w:t xml:space="preserve"> </w:t>
      </w:r>
      <w:r w:rsidR="00C65CEF" w:rsidRPr="00456B23">
        <w:rPr>
          <w:szCs w:val="22"/>
          <w:lang w:val="sr-Latn-ME"/>
        </w:rPr>
        <w:t xml:space="preserve">potvrđenim </w:t>
      </w:r>
      <w:r w:rsidRPr="00456B23">
        <w:rPr>
          <w:szCs w:val="22"/>
          <w:lang w:val="sr-Latn-ME"/>
        </w:rPr>
        <w:t>dejstvom: laktoza</w:t>
      </w:r>
      <w:r w:rsidR="003F5010" w:rsidRPr="00456B23">
        <w:rPr>
          <w:szCs w:val="22"/>
          <w:lang w:val="sr-Latn-ME"/>
        </w:rPr>
        <w:t xml:space="preserve"> DC</w:t>
      </w:r>
      <w:r w:rsidRPr="00456B23">
        <w:rPr>
          <w:szCs w:val="22"/>
          <w:lang w:val="sr-Latn-ME"/>
        </w:rPr>
        <w:t>.</w:t>
      </w:r>
    </w:p>
    <w:p w14:paraId="72D09B0C" w14:textId="282DE53B" w:rsidR="0028478E" w:rsidRPr="00456B23" w:rsidRDefault="0028478E" w:rsidP="00172AC1">
      <w:pPr>
        <w:rPr>
          <w:szCs w:val="22"/>
          <w:lang w:val="sr-Latn-ME"/>
        </w:rPr>
      </w:pPr>
      <w:r w:rsidRPr="00456B23">
        <w:rPr>
          <w:szCs w:val="22"/>
          <w:lang w:val="sr-Latn-ME"/>
        </w:rPr>
        <w:t xml:space="preserve">Jedna tableta sadrži </w:t>
      </w:r>
      <w:r w:rsidRPr="00456B23">
        <w:rPr>
          <w:rFonts w:eastAsia="TimesNewRoman"/>
          <w:szCs w:val="22"/>
          <w:lang w:val="sr-Latn-ME"/>
        </w:rPr>
        <w:t xml:space="preserve">179 mg laktoze. </w:t>
      </w:r>
    </w:p>
    <w:p w14:paraId="0B3B3771" w14:textId="77777777" w:rsidR="00054D7D" w:rsidRPr="00456B23" w:rsidRDefault="00054D7D" w:rsidP="00172AC1">
      <w:pPr>
        <w:rPr>
          <w:szCs w:val="22"/>
          <w:lang w:val="sr-Latn-ME"/>
        </w:rPr>
      </w:pPr>
    </w:p>
    <w:p w14:paraId="79CAA46B" w14:textId="77777777" w:rsidR="00054D7D" w:rsidRPr="00456B23" w:rsidRDefault="00054D7D" w:rsidP="00172AC1">
      <w:pPr>
        <w:tabs>
          <w:tab w:val="left" w:pos="8505"/>
        </w:tabs>
        <w:rPr>
          <w:szCs w:val="22"/>
          <w:lang w:val="sr-Latn-ME"/>
        </w:rPr>
      </w:pPr>
      <w:r w:rsidRPr="00456B23">
        <w:rPr>
          <w:szCs w:val="22"/>
          <w:lang w:val="sr-Latn-ME"/>
        </w:rPr>
        <w:t>Za spisak svih ekscipijenasa, pogledati dio 6.1.</w:t>
      </w:r>
    </w:p>
    <w:p w14:paraId="6E1289D0" w14:textId="77777777" w:rsidR="009439F3" w:rsidRPr="00456B23" w:rsidRDefault="009439F3" w:rsidP="00172AC1">
      <w:pPr>
        <w:tabs>
          <w:tab w:val="left" w:pos="8505"/>
        </w:tabs>
        <w:rPr>
          <w:color w:val="000000"/>
          <w:szCs w:val="22"/>
          <w:lang w:val="sr-Latn-ME"/>
        </w:rPr>
      </w:pPr>
    </w:p>
    <w:p w14:paraId="583DF4F6" w14:textId="77777777" w:rsidR="00C65CEF" w:rsidRPr="00456B23" w:rsidRDefault="00C65CEF" w:rsidP="00172AC1">
      <w:pPr>
        <w:tabs>
          <w:tab w:val="left" w:pos="8505"/>
        </w:tabs>
        <w:rPr>
          <w:color w:val="000000"/>
          <w:szCs w:val="22"/>
          <w:lang w:val="sr-Latn-ME"/>
        </w:rPr>
      </w:pPr>
    </w:p>
    <w:p w14:paraId="5BEB59B5" w14:textId="77777777" w:rsidR="00054D7D" w:rsidRPr="00456B23" w:rsidRDefault="00054D7D" w:rsidP="006B28D6">
      <w:pPr>
        <w:pStyle w:val="Heading1"/>
        <w:spacing w:before="0" w:after="0"/>
        <w:rPr>
          <w:bCs/>
          <w:color w:val="000000"/>
          <w:szCs w:val="22"/>
          <w:lang w:val="sr-Latn-ME"/>
        </w:rPr>
      </w:pPr>
      <w:r w:rsidRPr="00456B23">
        <w:rPr>
          <w:bCs/>
          <w:color w:val="000000"/>
          <w:szCs w:val="22"/>
          <w:lang w:val="sr-Latn-ME"/>
        </w:rPr>
        <w:t xml:space="preserve">farmaceutski oblik </w:t>
      </w:r>
    </w:p>
    <w:p w14:paraId="6EDD5482" w14:textId="77777777" w:rsidR="00C65CEF" w:rsidRPr="00456B23" w:rsidRDefault="00C65CEF" w:rsidP="006B28D6">
      <w:pPr>
        <w:rPr>
          <w:szCs w:val="22"/>
          <w:lang w:val="sr-Latn-ME"/>
        </w:rPr>
      </w:pPr>
    </w:p>
    <w:p w14:paraId="3C0004AD" w14:textId="77777777" w:rsidR="00054D7D" w:rsidRPr="00456B23" w:rsidRDefault="00054D7D" w:rsidP="00172AC1">
      <w:pPr>
        <w:rPr>
          <w:color w:val="000000"/>
          <w:szCs w:val="22"/>
          <w:lang w:val="sr-Latn-ME"/>
        </w:rPr>
      </w:pPr>
      <w:r w:rsidRPr="00456B23">
        <w:rPr>
          <w:color w:val="000000"/>
          <w:szCs w:val="22"/>
          <w:lang w:val="sr-Latn-ME"/>
        </w:rPr>
        <w:t>Tableta.</w:t>
      </w:r>
    </w:p>
    <w:p w14:paraId="67C027A7" w14:textId="77777777" w:rsidR="00C65CEF" w:rsidRPr="00456B23" w:rsidRDefault="00C65CEF" w:rsidP="00172AC1">
      <w:pPr>
        <w:rPr>
          <w:color w:val="000000"/>
          <w:szCs w:val="22"/>
          <w:lang w:val="sr-Latn-ME"/>
        </w:rPr>
      </w:pPr>
    </w:p>
    <w:p w14:paraId="51BE2475" w14:textId="7AD16937" w:rsidR="00054D7D" w:rsidRPr="00456B23" w:rsidRDefault="00054D7D" w:rsidP="00172AC1">
      <w:pPr>
        <w:rPr>
          <w:color w:val="000000"/>
          <w:szCs w:val="22"/>
          <w:lang w:val="sr-Latn-ME"/>
        </w:rPr>
      </w:pPr>
      <w:r w:rsidRPr="00456B23">
        <w:rPr>
          <w:color w:val="000000"/>
          <w:szCs w:val="22"/>
          <w:lang w:val="sr-Latn-ME"/>
        </w:rPr>
        <w:t>Tableta bijele boje, okruglog oblika, s</w:t>
      </w:r>
      <w:r w:rsidR="00C65CEF" w:rsidRPr="00456B23">
        <w:rPr>
          <w:color w:val="000000"/>
          <w:szCs w:val="22"/>
          <w:lang w:val="sr-Latn-ME"/>
        </w:rPr>
        <w:t>a</w:t>
      </w:r>
      <w:r w:rsidRPr="00456B23">
        <w:rPr>
          <w:color w:val="000000"/>
          <w:szCs w:val="22"/>
          <w:lang w:val="sr-Latn-ME"/>
        </w:rPr>
        <w:t xml:space="preserve"> </w:t>
      </w:r>
      <w:r w:rsidR="00C65CEF" w:rsidRPr="00456B23">
        <w:rPr>
          <w:color w:val="000000"/>
          <w:szCs w:val="22"/>
          <w:lang w:val="sr-Latn-ME"/>
        </w:rPr>
        <w:t xml:space="preserve">podionom </w:t>
      </w:r>
      <w:r w:rsidRPr="00456B23">
        <w:rPr>
          <w:color w:val="000000"/>
          <w:szCs w:val="22"/>
          <w:lang w:val="sr-Latn-ME"/>
        </w:rPr>
        <w:t>crtom s</w:t>
      </w:r>
      <w:r w:rsidR="00C65CEF" w:rsidRPr="00456B23">
        <w:rPr>
          <w:color w:val="000000"/>
          <w:szCs w:val="22"/>
          <w:lang w:val="sr-Latn-ME"/>
        </w:rPr>
        <w:t>a</w:t>
      </w:r>
      <w:r w:rsidRPr="00456B23">
        <w:rPr>
          <w:color w:val="000000"/>
          <w:szCs w:val="22"/>
          <w:lang w:val="sr-Latn-ME"/>
        </w:rPr>
        <w:t xml:space="preserve"> jedne strane.</w:t>
      </w:r>
    </w:p>
    <w:p w14:paraId="068980D6" w14:textId="77777777" w:rsidR="00054D7D" w:rsidRPr="00456B23" w:rsidRDefault="00054D7D" w:rsidP="00172AC1">
      <w:pPr>
        <w:rPr>
          <w:color w:val="000000"/>
          <w:szCs w:val="22"/>
          <w:lang w:val="sr-Latn-ME"/>
        </w:rPr>
      </w:pPr>
    </w:p>
    <w:p w14:paraId="64204D88" w14:textId="77777777" w:rsidR="00054D7D" w:rsidRPr="00456B23" w:rsidRDefault="00054D7D" w:rsidP="00172AC1">
      <w:pPr>
        <w:rPr>
          <w:bCs/>
          <w:szCs w:val="22"/>
          <w:lang w:val="sr-Latn-ME"/>
        </w:rPr>
      </w:pPr>
      <w:r w:rsidRPr="00456B23">
        <w:rPr>
          <w:bCs/>
          <w:szCs w:val="22"/>
          <w:lang w:val="sr-Latn-ME"/>
        </w:rPr>
        <w:t>Tableta se može podijeliti na dvije jednake doze.</w:t>
      </w:r>
    </w:p>
    <w:p w14:paraId="464B58A9" w14:textId="77777777" w:rsidR="009439F3" w:rsidRPr="00456B23" w:rsidRDefault="009439F3" w:rsidP="00172AC1">
      <w:pPr>
        <w:rPr>
          <w:color w:val="000000"/>
          <w:szCs w:val="22"/>
          <w:lang w:val="sr-Latn-ME"/>
        </w:rPr>
      </w:pPr>
    </w:p>
    <w:p w14:paraId="539527B5" w14:textId="77777777" w:rsidR="00C65CEF" w:rsidRPr="00456B23" w:rsidRDefault="00C65CEF" w:rsidP="00172AC1">
      <w:pPr>
        <w:rPr>
          <w:color w:val="000000"/>
          <w:szCs w:val="22"/>
          <w:lang w:val="sr-Latn-ME"/>
        </w:rPr>
      </w:pPr>
    </w:p>
    <w:p w14:paraId="1C211C34" w14:textId="77777777" w:rsidR="00054D7D" w:rsidRPr="00456B23" w:rsidRDefault="00054D7D" w:rsidP="006B28D6">
      <w:pPr>
        <w:pStyle w:val="Heading1"/>
        <w:numPr>
          <w:ilvl w:val="0"/>
          <w:numId w:val="3"/>
        </w:numPr>
        <w:spacing w:before="0" w:after="0"/>
        <w:rPr>
          <w:bCs/>
          <w:szCs w:val="22"/>
          <w:lang w:val="sr-Latn-ME"/>
        </w:rPr>
      </w:pPr>
      <w:r w:rsidRPr="00456B23">
        <w:rPr>
          <w:bCs/>
          <w:szCs w:val="22"/>
          <w:lang w:val="sr-Latn-ME"/>
        </w:rPr>
        <w:t>kliničkI PODACI</w:t>
      </w:r>
    </w:p>
    <w:p w14:paraId="3D43BB60" w14:textId="77777777" w:rsidR="00C65CEF" w:rsidRPr="00456B23" w:rsidRDefault="00C65CEF" w:rsidP="006B28D6">
      <w:pPr>
        <w:rPr>
          <w:szCs w:val="22"/>
          <w:lang w:val="sr-Latn-ME"/>
        </w:rPr>
      </w:pPr>
    </w:p>
    <w:p w14:paraId="6A782C76" w14:textId="6C19AB41" w:rsidR="00054D7D" w:rsidRPr="00456B23" w:rsidRDefault="00054D7D" w:rsidP="006B28D6">
      <w:pPr>
        <w:pStyle w:val="Heading2"/>
        <w:numPr>
          <w:ilvl w:val="1"/>
          <w:numId w:val="3"/>
        </w:numPr>
        <w:spacing w:before="0" w:after="0" w:line="360" w:lineRule="auto"/>
        <w:rPr>
          <w:szCs w:val="22"/>
          <w:lang w:val="sr-Latn-ME"/>
        </w:rPr>
      </w:pPr>
      <w:r w:rsidRPr="00456B23">
        <w:rPr>
          <w:szCs w:val="22"/>
          <w:lang w:val="sr-Latn-ME"/>
        </w:rPr>
        <w:t xml:space="preserve">Terapijske indikacije </w:t>
      </w:r>
    </w:p>
    <w:p w14:paraId="1F4E9BDD" w14:textId="77777777" w:rsidR="00C65CEF" w:rsidRPr="00456B23" w:rsidRDefault="00C65CEF" w:rsidP="006B28D6">
      <w:pPr>
        <w:rPr>
          <w:szCs w:val="22"/>
          <w:lang w:val="sr-Latn-ME"/>
        </w:rPr>
      </w:pPr>
    </w:p>
    <w:p w14:paraId="1ED48C52" w14:textId="5A7591AF" w:rsidR="00600B37" w:rsidRPr="00456B23" w:rsidRDefault="00600B37" w:rsidP="00172AC1">
      <w:pPr>
        <w:autoSpaceDE w:val="0"/>
        <w:autoSpaceDN w:val="0"/>
        <w:adjustRightInd w:val="0"/>
        <w:rPr>
          <w:szCs w:val="22"/>
          <w:lang w:val="sr-Latn-ME"/>
        </w:rPr>
      </w:pPr>
      <w:r w:rsidRPr="00456B23">
        <w:rPr>
          <w:szCs w:val="22"/>
          <w:lang w:val="sr-Latn-ME"/>
        </w:rPr>
        <w:t>B</w:t>
      </w:r>
      <w:r w:rsidR="00054D7D" w:rsidRPr="00456B23">
        <w:rPr>
          <w:szCs w:val="22"/>
          <w:lang w:val="sr-Latn-ME"/>
        </w:rPr>
        <w:t xml:space="preserve">olesti kod kojih je </w:t>
      </w:r>
      <w:r w:rsidRPr="00456B23">
        <w:rPr>
          <w:szCs w:val="22"/>
          <w:lang w:val="sr-Latn-ME"/>
        </w:rPr>
        <w:t xml:space="preserve">potrebno </w:t>
      </w:r>
      <w:r w:rsidR="00054D7D" w:rsidRPr="00456B23">
        <w:rPr>
          <w:szCs w:val="22"/>
          <w:lang w:val="sr-Latn-ME"/>
        </w:rPr>
        <w:t>sistemsk</w:t>
      </w:r>
      <w:r w:rsidRPr="00456B23">
        <w:rPr>
          <w:szCs w:val="22"/>
          <w:lang w:val="sr-Latn-ME"/>
        </w:rPr>
        <w:t>o liječenje</w:t>
      </w:r>
      <w:r w:rsidR="00C64916" w:rsidRPr="00456B23">
        <w:rPr>
          <w:szCs w:val="22"/>
          <w:lang w:val="sr-Latn-ME"/>
        </w:rPr>
        <w:t xml:space="preserve"> glukokortikoidima. Za</w:t>
      </w:r>
      <w:r w:rsidR="00054D7D" w:rsidRPr="00456B23">
        <w:rPr>
          <w:szCs w:val="22"/>
          <w:lang w:val="sr-Latn-ME"/>
        </w:rPr>
        <w:t>visno o</w:t>
      </w:r>
      <w:r w:rsidR="00C64916" w:rsidRPr="00456B23">
        <w:rPr>
          <w:szCs w:val="22"/>
          <w:lang w:val="sr-Latn-ME"/>
        </w:rPr>
        <w:t>d tipa i težine</w:t>
      </w:r>
      <w:r w:rsidR="00054D7D" w:rsidRPr="00456B23">
        <w:rPr>
          <w:szCs w:val="22"/>
          <w:lang w:val="sr-Latn-ME"/>
        </w:rPr>
        <w:t xml:space="preserve"> bolesti, to uključuje</w:t>
      </w:r>
      <w:r w:rsidRPr="00456B23">
        <w:rPr>
          <w:szCs w:val="22"/>
          <w:lang w:val="sr-Latn-ME"/>
        </w:rPr>
        <w:t>:</w:t>
      </w:r>
    </w:p>
    <w:p w14:paraId="25BE1D77" w14:textId="5513B986" w:rsidR="00054D7D" w:rsidRPr="00456B23" w:rsidRDefault="00054D7D" w:rsidP="00172AC1">
      <w:pPr>
        <w:autoSpaceDE w:val="0"/>
        <w:autoSpaceDN w:val="0"/>
        <w:adjustRightInd w:val="0"/>
        <w:rPr>
          <w:szCs w:val="22"/>
          <w:lang w:val="sr-Latn-ME"/>
        </w:rPr>
      </w:pPr>
      <w:r w:rsidRPr="00456B23">
        <w:rPr>
          <w:szCs w:val="22"/>
          <w:lang w:val="sr-Latn-ME"/>
        </w:rPr>
        <w:t>(</w:t>
      </w:r>
      <w:r w:rsidR="00600B37" w:rsidRPr="00456B23">
        <w:rPr>
          <w:szCs w:val="22"/>
          <w:lang w:val="sr-Latn-ME"/>
        </w:rPr>
        <w:t>S</w:t>
      </w:r>
      <w:r w:rsidRPr="00456B23">
        <w:rPr>
          <w:szCs w:val="22"/>
          <w:lang w:val="sr-Latn-ME"/>
        </w:rPr>
        <w:t>heme doziranja (SD) od „a“ do „d“ opisane su u dijelu 4.2. Doziranje i način primjene)</w:t>
      </w:r>
      <w:r w:rsidR="00600B37" w:rsidRPr="00456B23">
        <w:rPr>
          <w:szCs w:val="22"/>
          <w:lang w:val="sr-Latn-ME"/>
        </w:rPr>
        <w:t>.</w:t>
      </w:r>
    </w:p>
    <w:p w14:paraId="22AF09CB" w14:textId="6FBA3D7F" w:rsidR="00054D7D" w:rsidRPr="00456B23" w:rsidRDefault="00054D7D" w:rsidP="00172AC1">
      <w:pPr>
        <w:rPr>
          <w:szCs w:val="22"/>
          <w:lang w:val="sr-Latn-ME"/>
        </w:rPr>
      </w:pPr>
      <w:r w:rsidRPr="00456B23">
        <w:rPr>
          <w:rFonts w:eastAsia="Univers Condensed"/>
          <w:szCs w:val="22"/>
          <w:lang w:val="sr-Latn-ME"/>
        </w:rPr>
        <w:t>NIZON</w:t>
      </w:r>
      <w:r w:rsidR="00C64916" w:rsidRPr="00456B23">
        <w:rPr>
          <w:szCs w:val="22"/>
          <w:lang w:val="sr-Latn-ME"/>
        </w:rPr>
        <w:t xml:space="preserve"> se primjenjuje kod</w:t>
      </w:r>
      <w:r w:rsidRPr="00456B23">
        <w:rPr>
          <w:szCs w:val="22"/>
          <w:lang w:val="sr-Latn-ME"/>
        </w:rPr>
        <w:t xml:space="preserve"> odraslih, djece svih </w:t>
      </w:r>
      <w:r w:rsidR="00172AC1" w:rsidRPr="00456B23">
        <w:rPr>
          <w:szCs w:val="22"/>
          <w:lang w:val="sr-Latn-ME"/>
        </w:rPr>
        <w:t xml:space="preserve">starosnih </w:t>
      </w:r>
      <w:r w:rsidRPr="00456B23">
        <w:rPr>
          <w:szCs w:val="22"/>
          <w:lang w:val="sr-Latn-ME"/>
        </w:rPr>
        <w:t>grupa i adolescenata.</w:t>
      </w:r>
    </w:p>
    <w:p w14:paraId="30176E7D" w14:textId="77777777" w:rsidR="00054D7D" w:rsidRPr="00456B23" w:rsidRDefault="00054D7D" w:rsidP="00172AC1">
      <w:pPr>
        <w:autoSpaceDE w:val="0"/>
        <w:autoSpaceDN w:val="0"/>
        <w:adjustRightInd w:val="0"/>
        <w:rPr>
          <w:b/>
          <w:bCs/>
          <w:szCs w:val="22"/>
          <w:lang w:val="sr-Latn-ME"/>
        </w:rPr>
      </w:pPr>
    </w:p>
    <w:p w14:paraId="0DF67EAA" w14:textId="77777777" w:rsidR="00054D7D" w:rsidRPr="00456B23" w:rsidRDefault="00C64916" w:rsidP="00172AC1">
      <w:pPr>
        <w:autoSpaceDE w:val="0"/>
        <w:autoSpaceDN w:val="0"/>
        <w:adjustRightInd w:val="0"/>
        <w:rPr>
          <w:szCs w:val="22"/>
          <w:lang w:val="sr-Latn-ME"/>
        </w:rPr>
      </w:pPr>
      <w:r w:rsidRPr="00456B23">
        <w:rPr>
          <w:b/>
          <w:bCs/>
          <w:szCs w:val="22"/>
          <w:lang w:val="sr-Latn-ME"/>
        </w:rPr>
        <w:t>Dopunsko</w:t>
      </w:r>
      <w:r w:rsidR="00054D7D" w:rsidRPr="00456B23">
        <w:rPr>
          <w:b/>
          <w:bCs/>
          <w:szCs w:val="22"/>
          <w:lang w:val="sr-Latn-ME"/>
        </w:rPr>
        <w:t xml:space="preserve"> liječenje </w:t>
      </w:r>
    </w:p>
    <w:p w14:paraId="4465FDA6" w14:textId="77777777" w:rsidR="00054D7D" w:rsidRPr="00456B23" w:rsidRDefault="00054D7D" w:rsidP="00172AC1">
      <w:pPr>
        <w:numPr>
          <w:ilvl w:val="0"/>
          <w:numId w:val="5"/>
        </w:numPr>
        <w:autoSpaceDE w:val="0"/>
        <w:autoSpaceDN w:val="0"/>
        <w:adjustRightInd w:val="0"/>
        <w:spacing w:after="200"/>
        <w:contextualSpacing/>
        <w:rPr>
          <w:rFonts w:eastAsia="Calibri"/>
          <w:szCs w:val="22"/>
          <w:lang w:val="sr-Latn-ME"/>
        </w:rPr>
      </w:pPr>
      <w:r w:rsidRPr="00456B23">
        <w:rPr>
          <w:rFonts w:eastAsia="Calibri"/>
          <w:szCs w:val="22"/>
          <w:lang w:val="sr-Latn-ME"/>
        </w:rPr>
        <w:t xml:space="preserve">Adrenokortikalna insuficijencija bilo kojeg porijekla (npr. Addisonova bolest, adrenogenitalni sindrom, adrenalektomija, nedostatak ACTH-a), koja se pojavljuje nakon perioda rasta (ljekovi prvog izbora su hidrokortizon i kortizon). </w:t>
      </w:r>
    </w:p>
    <w:p w14:paraId="17C0A47F" w14:textId="77777777" w:rsidR="00054D7D" w:rsidRPr="00456B23" w:rsidRDefault="00054D7D" w:rsidP="00172AC1">
      <w:pPr>
        <w:numPr>
          <w:ilvl w:val="0"/>
          <w:numId w:val="5"/>
        </w:numPr>
        <w:autoSpaceDE w:val="0"/>
        <w:autoSpaceDN w:val="0"/>
        <w:adjustRightInd w:val="0"/>
        <w:spacing w:after="200"/>
        <w:contextualSpacing/>
        <w:rPr>
          <w:rFonts w:eastAsia="Calibri"/>
          <w:szCs w:val="22"/>
          <w:lang w:val="sr-Latn-ME"/>
        </w:rPr>
      </w:pPr>
      <w:r w:rsidRPr="00456B23">
        <w:rPr>
          <w:rFonts w:eastAsia="Calibri"/>
          <w:szCs w:val="22"/>
          <w:lang w:val="sr-Latn-ME"/>
        </w:rPr>
        <w:t xml:space="preserve">Stanja stresa nakon dugotrajnog liječenja s kortikosteroidima. </w:t>
      </w:r>
      <w:r w:rsidRPr="00456B23">
        <w:rPr>
          <w:rFonts w:eastAsia="Calibri"/>
          <w:szCs w:val="22"/>
          <w:lang w:val="sr-Latn-ME"/>
        </w:rPr>
        <w:tab/>
      </w:r>
    </w:p>
    <w:p w14:paraId="547351C9" w14:textId="77777777" w:rsidR="00054D7D" w:rsidRPr="00456B23" w:rsidRDefault="00054D7D" w:rsidP="00172AC1">
      <w:pPr>
        <w:autoSpaceDE w:val="0"/>
        <w:autoSpaceDN w:val="0"/>
        <w:adjustRightInd w:val="0"/>
        <w:spacing w:after="200"/>
        <w:ind w:left="720"/>
        <w:contextualSpacing/>
        <w:rPr>
          <w:rFonts w:eastAsia="Calibri"/>
          <w:szCs w:val="22"/>
          <w:lang w:val="sr-Latn-ME"/>
        </w:rPr>
      </w:pPr>
    </w:p>
    <w:p w14:paraId="671567F4" w14:textId="77777777" w:rsidR="00054D7D" w:rsidRPr="00456B23" w:rsidRDefault="00054D7D" w:rsidP="00172AC1">
      <w:pPr>
        <w:autoSpaceDE w:val="0"/>
        <w:autoSpaceDN w:val="0"/>
        <w:adjustRightInd w:val="0"/>
        <w:rPr>
          <w:b/>
          <w:szCs w:val="22"/>
          <w:lang w:val="sr-Latn-ME"/>
        </w:rPr>
      </w:pPr>
      <w:r w:rsidRPr="00456B23">
        <w:rPr>
          <w:b/>
          <w:szCs w:val="22"/>
          <w:lang w:val="sr-Latn-ME"/>
        </w:rPr>
        <w:t xml:space="preserve">Reumatske bolesti </w:t>
      </w:r>
    </w:p>
    <w:p w14:paraId="3B41F6F9" w14:textId="77777777" w:rsidR="00054D7D" w:rsidRPr="00456B23" w:rsidRDefault="00054D7D" w:rsidP="00172AC1">
      <w:pPr>
        <w:numPr>
          <w:ilvl w:val="0"/>
          <w:numId w:val="6"/>
        </w:numPr>
        <w:autoSpaceDE w:val="0"/>
        <w:autoSpaceDN w:val="0"/>
        <w:adjustRightInd w:val="0"/>
        <w:contextualSpacing/>
        <w:rPr>
          <w:rFonts w:eastAsia="Calibri"/>
          <w:szCs w:val="22"/>
          <w:lang w:val="sr-Latn-ME"/>
        </w:rPr>
      </w:pPr>
      <w:r w:rsidRPr="00456B23">
        <w:rPr>
          <w:rFonts w:eastAsia="Calibri"/>
          <w:szCs w:val="22"/>
          <w:lang w:val="sr-Latn-ME"/>
        </w:rPr>
        <w:t xml:space="preserve">Aktivne faze sistemskog vaskulitisa: </w:t>
      </w:r>
    </w:p>
    <w:p w14:paraId="6CAC878B" w14:textId="02396A3B" w:rsidR="00054D7D" w:rsidRPr="00456B23" w:rsidRDefault="00054D7D" w:rsidP="00172AC1">
      <w:pPr>
        <w:numPr>
          <w:ilvl w:val="0"/>
          <w:numId w:val="7"/>
        </w:numPr>
        <w:autoSpaceDE w:val="0"/>
        <w:autoSpaceDN w:val="0"/>
        <w:adjustRightInd w:val="0"/>
        <w:ind w:left="1276" w:hanging="283"/>
        <w:contextualSpacing/>
        <w:rPr>
          <w:rFonts w:eastAsia="Calibri"/>
          <w:szCs w:val="22"/>
          <w:lang w:val="sr-Latn-ME"/>
        </w:rPr>
      </w:pPr>
      <w:r w:rsidRPr="00456B23">
        <w:rPr>
          <w:rFonts w:eastAsia="Calibri"/>
          <w:szCs w:val="22"/>
          <w:lang w:val="sr-Latn-ME"/>
        </w:rPr>
        <w:t xml:space="preserve">nodozni </w:t>
      </w:r>
      <w:r w:rsidR="00EB1C82" w:rsidRPr="00456B23">
        <w:rPr>
          <w:rFonts w:eastAsia="Calibri"/>
          <w:szCs w:val="22"/>
          <w:lang w:val="sr-Latn-ME"/>
        </w:rPr>
        <w:t xml:space="preserve">poliarteritis </w:t>
      </w:r>
      <w:r w:rsidRPr="00456B23">
        <w:rPr>
          <w:rFonts w:eastAsia="Calibri"/>
          <w:szCs w:val="22"/>
          <w:lang w:val="sr-Latn-ME"/>
        </w:rPr>
        <w:t xml:space="preserve">(SD: a, b, kod pozitivne serologije na hepatitis B, trajanje liječenja ograničeno je na dvije sedmice); </w:t>
      </w:r>
    </w:p>
    <w:p w14:paraId="31D8DE93" w14:textId="77777777" w:rsidR="00054D7D" w:rsidRPr="00456B23" w:rsidRDefault="00054D7D" w:rsidP="00172AC1">
      <w:pPr>
        <w:numPr>
          <w:ilvl w:val="0"/>
          <w:numId w:val="7"/>
        </w:numPr>
        <w:autoSpaceDE w:val="0"/>
        <w:autoSpaceDN w:val="0"/>
        <w:adjustRightInd w:val="0"/>
        <w:ind w:left="1276" w:hanging="283"/>
        <w:contextualSpacing/>
        <w:rPr>
          <w:rFonts w:eastAsia="Calibri"/>
          <w:szCs w:val="22"/>
          <w:lang w:val="sr-Latn-ME"/>
        </w:rPr>
      </w:pPr>
      <w:r w:rsidRPr="00456B23">
        <w:rPr>
          <w:rFonts w:eastAsia="Calibri"/>
          <w:szCs w:val="22"/>
          <w:lang w:val="sr-Latn-ME"/>
        </w:rPr>
        <w:t>gigantocelularni arteritis, reumatska polimijalgija (SD: c);</w:t>
      </w:r>
    </w:p>
    <w:p w14:paraId="67DF89A3" w14:textId="4D56EF30" w:rsidR="00054D7D" w:rsidRPr="00456B23" w:rsidRDefault="00054D7D" w:rsidP="00172AC1">
      <w:pPr>
        <w:numPr>
          <w:ilvl w:val="0"/>
          <w:numId w:val="7"/>
        </w:numPr>
        <w:autoSpaceDE w:val="0"/>
        <w:autoSpaceDN w:val="0"/>
        <w:adjustRightInd w:val="0"/>
        <w:ind w:left="1276" w:hanging="283"/>
        <w:contextualSpacing/>
        <w:rPr>
          <w:rFonts w:eastAsia="Calibri"/>
          <w:szCs w:val="22"/>
          <w:lang w:val="sr-Latn-ME"/>
        </w:rPr>
      </w:pPr>
      <w:r w:rsidRPr="00456B23">
        <w:rPr>
          <w:rFonts w:eastAsia="Calibri"/>
          <w:szCs w:val="22"/>
          <w:lang w:val="sr-Latn-ME"/>
        </w:rPr>
        <w:lastRenderedPageBreak/>
        <w:t>temporalni arteritis (SD: a, kod akutnog gubitka vida primjenjuje se inicijalna intravenska udarna terapija s viso</w:t>
      </w:r>
      <w:r w:rsidR="00D232A9" w:rsidRPr="00456B23">
        <w:rPr>
          <w:rFonts w:eastAsia="Calibri"/>
          <w:szCs w:val="22"/>
          <w:lang w:val="sr-Latn-ME"/>
        </w:rPr>
        <w:t>kim dozama glukokortikoida i</w:t>
      </w:r>
      <w:r w:rsidRPr="00456B23">
        <w:rPr>
          <w:rFonts w:eastAsia="Calibri"/>
          <w:szCs w:val="22"/>
          <w:lang w:val="sr-Latn-ME"/>
        </w:rPr>
        <w:t xml:space="preserve"> dugotrajno liječenje uz praćenje sedimentacije eritrocita);</w:t>
      </w:r>
    </w:p>
    <w:p w14:paraId="05B02310" w14:textId="55D9721B" w:rsidR="00054D7D" w:rsidRPr="00456B23" w:rsidRDefault="00054D7D" w:rsidP="00172AC1">
      <w:pPr>
        <w:numPr>
          <w:ilvl w:val="0"/>
          <w:numId w:val="7"/>
        </w:numPr>
        <w:autoSpaceDE w:val="0"/>
        <w:autoSpaceDN w:val="0"/>
        <w:adjustRightInd w:val="0"/>
        <w:ind w:left="1276" w:hanging="283"/>
        <w:contextualSpacing/>
        <w:rPr>
          <w:rFonts w:eastAsia="Calibri"/>
          <w:szCs w:val="22"/>
          <w:lang w:val="sr-Latn-ME"/>
        </w:rPr>
      </w:pPr>
      <w:r w:rsidRPr="00456B23">
        <w:rPr>
          <w:rFonts w:eastAsia="Calibri"/>
          <w:szCs w:val="22"/>
          <w:lang w:val="sr-Latn-ME"/>
        </w:rPr>
        <w:t xml:space="preserve">Wegenerova </w:t>
      </w:r>
      <w:r w:rsidR="00196762" w:rsidRPr="00456B23">
        <w:rPr>
          <w:rFonts w:eastAsia="Calibri"/>
          <w:szCs w:val="22"/>
          <w:lang w:val="sr-Latn-ME"/>
        </w:rPr>
        <w:t>bolest</w:t>
      </w:r>
      <w:r w:rsidRPr="00456B23">
        <w:rPr>
          <w:rFonts w:eastAsia="Calibri"/>
          <w:szCs w:val="22"/>
          <w:lang w:val="sr-Latn-ME"/>
        </w:rPr>
        <w:t xml:space="preserve">: primjenjuje se indukcijska terapija (SD: a-b) u kombinaciji s metotreksatom (blaži slučajevi kod kojih nijesu zahvaćeni bubrezi) ili prema Faucijevoj shemi (teški slučajevi kod kojih su zahvaćeni bubrezi i/ili pluća), za održavanje stanja remisije: (SD: d, uz postepeno smanjivanje doze) u kombinaciji s imunosupresivima; </w:t>
      </w:r>
    </w:p>
    <w:p w14:paraId="513DBF0E" w14:textId="77777777" w:rsidR="00054D7D" w:rsidRPr="00456B23" w:rsidRDefault="00054D7D" w:rsidP="00172AC1">
      <w:pPr>
        <w:numPr>
          <w:ilvl w:val="0"/>
          <w:numId w:val="7"/>
        </w:numPr>
        <w:autoSpaceDE w:val="0"/>
        <w:autoSpaceDN w:val="0"/>
        <w:adjustRightInd w:val="0"/>
        <w:ind w:left="1276" w:hanging="283"/>
        <w:contextualSpacing/>
        <w:rPr>
          <w:rFonts w:eastAsia="Calibri"/>
          <w:szCs w:val="22"/>
          <w:lang w:val="sr-Latn-ME"/>
        </w:rPr>
      </w:pPr>
      <w:r w:rsidRPr="00456B23">
        <w:rPr>
          <w:rFonts w:eastAsia="Calibri"/>
          <w:szCs w:val="22"/>
          <w:lang w:val="sr-Latn-ME"/>
        </w:rPr>
        <w:t>Churg-Straussov sindrom: početno liječenje (SD: a-b) kod organskih manifestacija i teških slučajeva u kombinaciji s imunosupresivima, a za održavanje stanja remisije (SD: d).</w:t>
      </w:r>
    </w:p>
    <w:p w14:paraId="48D7564D" w14:textId="77777777" w:rsidR="00054D7D" w:rsidRPr="00456B23" w:rsidRDefault="00054D7D" w:rsidP="00172AC1">
      <w:pPr>
        <w:autoSpaceDE w:val="0"/>
        <w:autoSpaceDN w:val="0"/>
        <w:adjustRightInd w:val="0"/>
        <w:ind w:left="1276"/>
        <w:contextualSpacing/>
        <w:rPr>
          <w:rFonts w:eastAsia="Calibri"/>
          <w:szCs w:val="22"/>
          <w:lang w:val="sr-Latn-ME"/>
        </w:rPr>
      </w:pPr>
    </w:p>
    <w:p w14:paraId="08169620" w14:textId="77777777" w:rsidR="00054D7D" w:rsidRPr="00456B23" w:rsidRDefault="00054D7D" w:rsidP="00172AC1">
      <w:pPr>
        <w:numPr>
          <w:ilvl w:val="0"/>
          <w:numId w:val="6"/>
        </w:numPr>
        <w:autoSpaceDE w:val="0"/>
        <w:autoSpaceDN w:val="0"/>
        <w:adjustRightInd w:val="0"/>
        <w:contextualSpacing/>
        <w:rPr>
          <w:rFonts w:eastAsia="Calibri"/>
          <w:szCs w:val="22"/>
          <w:lang w:val="sr-Latn-ME"/>
        </w:rPr>
      </w:pPr>
      <w:r w:rsidRPr="00456B23">
        <w:rPr>
          <w:rFonts w:eastAsia="Calibri"/>
          <w:szCs w:val="22"/>
          <w:lang w:val="sr-Latn-ME"/>
        </w:rPr>
        <w:t>Aktivne faze sistemskih reumatskih bolesti (SD: a, b):</w:t>
      </w:r>
    </w:p>
    <w:p w14:paraId="658A0E68" w14:textId="77777777" w:rsidR="00054D7D" w:rsidRPr="00456B23" w:rsidRDefault="00054D7D" w:rsidP="00172AC1">
      <w:pPr>
        <w:numPr>
          <w:ilvl w:val="0"/>
          <w:numId w:val="8"/>
        </w:numPr>
        <w:autoSpaceDE w:val="0"/>
        <w:autoSpaceDN w:val="0"/>
        <w:adjustRightInd w:val="0"/>
        <w:ind w:left="1276" w:hanging="283"/>
        <w:contextualSpacing/>
        <w:rPr>
          <w:rFonts w:eastAsia="Calibri"/>
          <w:szCs w:val="22"/>
          <w:lang w:val="sr-Latn-ME"/>
        </w:rPr>
      </w:pPr>
      <w:r w:rsidRPr="00456B23">
        <w:rPr>
          <w:rFonts w:eastAsia="Calibri"/>
          <w:szCs w:val="22"/>
          <w:lang w:val="sr-Latn-ME"/>
        </w:rPr>
        <w:t>sistemski lupus eritematozus;</w:t>
      </w:r>
    </w:p>
    <w:p w14:paraId="7C57A23D" w14:textId="77777777" w:rsidR="00054D7D" w:rsidRPr="00456B23" w:rsidRDefault="00054D7D" w:rsidP="00172AC1">
      <w:pPr>
        <w:numPr>
          <w:ilvl w:val="0"/>
          <w:numId w:val="8"/>
        </w:numPr>
        <w:autoSpaceDE w:val="0"/>
        <w:autoSpaceDN w:val="0"/>
        <w:adjustRightInd w:val="0"/>
        <w:ind w:left="1276" w:hanging="283"/>
        <w:contextualSpacing/>
        <w:rPr>
          <w:rFonts w:eastAsia="Calibri"/>
          <w:szCs w:val="22"/>
          <w:lang w:val="sr-Latn-ME"/>
        </w:rPr>
      </w:pPr>
      <w:r w:rsidRPr="00456B23">
        <w:rPr>
          <w:rFonts w:eastAsia="Calibri"/>
          <w:szCs w:val="22"/>
          <w:lang w:val="sr-Latn-ME"/>
        </w:rPr>
        <w:t>polimiozitis/hronični atrofijski polihondritis;</w:t>
      </w:r>
    </w:p>
    <w:p w14:paraId="48F80508" w14:textId="77777777" w:rsidR="00054D7D" w:rsidRPr="00456B23" w:rsidRDefault="00054D7D" w:rsidP="00172AC1">
      <w:pPr>
        <w:numPr>
          <w:ilvl w:val="0"/>
          <w:numId w:val="8"/>
        </w:numPr>
        <w:autoSpaceDE w:val="0"/>
        <w:autoSpaceDN w:val="0"/>
        <w:adjustRightInd w:val="0"/>
        <w:ind w:left="1276" w:hanging="283"/>
        <w:contextualSpacing/>
        <w:rPr>
          <w:rFonts w:eastAsia="Calibri"/>
          <w:szCs w:val="22"/>
          <w:lang w:val="sr-Latn-ME"/>
        </w:rPr>
      </w:pPr>
      <w:r w:rsidRPr="00456B23">
        <w:rPr>
          <w:rFonts w:eastAsia="Calibri"/>
          <w:szCs w:val="22"/>
          <w:lang w:val="sr-Latn-ME"/>
        </w:rPr>
        <w:t xml:space="preserve">miješane kolagenoze. </w:t>
      </w:r>
    </w:p>
    <w:p w14:paraId="6DE5DBF2" w14:textId="77777777" w:rsidR="00054D7D" w:rsidRPr="00456B23" w:rsidRDefault="00054D7D" w:rsidP="00172AC1">
      <w:pPr>
        <w:numPr>
          <w:ilvl w:val="0"/>
          <w:numId w:val="6"/>
        </w:numPr>
        <w:autoSpaceDE w:val="0"/>
        <w:autoSpaceDN w:val="0"/>
        <w:adjustRightInd w:val="0"/>
        <w:contextualSpacing/>
        <w:rPr>
          <w:rFonts w:eastAsia="Calibri"/>
          <w:szCs w:val="22"/>
          <w:lang w:val="sr-Latn-ME"/>
        </w:rPr>
      </w:pPr>
      <w:r w:rsidRPr="00456B23">
        <w:rPr>
          <w:rFonts w:eastAsia="Calibri"/>
          <w:szCs w:val="22"/>
          <w:lang w:val="sr-Latn-ME"/>
        </w:rPr>
        <w:t>Aktivni reumatoidni artritis (SD: a do d) s teškim progresivnim tokom, npr. destruktivni oblici</w:t>
      </w:r>
    </w:p>
    <w:p w14:paraId="2633BD2A" w14:textId="77777777" w:rsidR="00054D7D" w:rsidRPr="00456B23" w:rsidRDefault="00054D7D" w:rsidP="00172AC1">
      <w:pPr>
        <w:autoSpaceDE w:val="0"/>
        <w:autoSpaceDN w:val="0"/>
        <w:adjustRightInd w:val="0"/>
        <w:rPr>
          <w:szCs w:val="22"/>
          <w:lang w:val="sr-Latn-ME"/>
        </w:rPr>
      </w:pPr>
      <w:r w:rsidRPr="00456B23">
        <w:rPr>
          <w:szCs w:val="22"/>
          <w:lang w:val="sr-Latn-ME"/>
        </w:rPr>
        <w:t>(SD: a) i/ili ekstraartikularne manifestacije (SD: b).</w:t>
      </w:r>
    </w:p>
    <w:p w14:paraId="29ECBD9D" w14:textId="4537F289" w:rsidR="00054D7D" w:rsidRPr="00456B23" w:rsidRDefault="00054D7D" w:rsidP="00172AC1">
      <w:pPr>
        <w:numPr>
          <w:ilvl w:val="0"/>
          <w:numId w:val="6"/>
        </w:numPr>
        <w:autoSpaceDE w:val="0"/>
        <w:autoSpaceDN w:val="0"/>
        <w:adjustRightInd w:val="0"/>
        <w:rPr>
          <w:szCs w:val="22"/>
          <w:lang w:val="sr-Latn-ME"/>
        </w:rPr>
      </w:pPr>
      <w:r w:rsidRPr="00456B23">
        <w:rPr>
          <w:rFonts w:eastAsia="Calibri"/>
          <w:szCs w:val="22"/>
          <w:lang w:val="sr-Latn-ME"/>
        </w:rPr>
        <w:t xml:space="preserve">Drugi oblici upalnog reumatskog artritisa, gdje je radi težine kliničke slike potrebna terapija, a ne mogu </w:t>
      </w:r>
      <w:r w:rsidR="00D232A9" w:rsidRPr="00456B23">
        <w:rPr>
          <w:rFonts w:eastAsia="Calibri"/>
          <w:szCs w:val="22"/>
          <w:lang w:val="sr-Latn-ME"/>
        </w:rPr>
        <w:t xml:space="preserve">se primijeniti nesteroidni </w:t>
      </w:r>
      <w:r w:rsidR="00EB1C82" w:rsidRPr="00456B23">
        <w:rPr>
          <w:rFonts w:eastAsia="Calibri"/>
          <w:szCs w:val="22"/>
          <w:lang w:val="sr-Latn-ME"/>
        </w:rPr>
        <w:t xml:space="preserve">antiinflamatorni </w:t>
      </w:r>
      <w:r w:rsidRPr="00456B23">
        <w:rPr>
          <w:rFonts w:eastAsia="Calibri"/>
          <w:szCs w:val="22"/>
          <w:lang w:val="sr-Latn-ME"/>
        </w:rPr>
        <w:t>ljekovi (NSAIL):</w:t>
      </w:r>
    </w:p>
    <w:p w14:paraId="7A330334" w14:textId="3C4684B2" w:rsidR="00054D7D" w:rsidRPr="00456B23" w:rsidRDefault="00054D7D" w:rsidP="00172AC1">
      <w:pPr>
        <w:numPr>
          <w:ilvl w:val="0"/>
          <w:numId w:val="9"/>
        </w:numPr>
        <w:autoSpaceDE w:val="0"/>
        <w:autoSpaceDN w:val="0"/>
        <w:adjustRightInd w:val="0"/>
        <w:ind w:left="1276" w:hanging="283"/>
        <w:contextualSpacing/>
        <w:rPr>
          <w:rFonts w:eastAsia="Calibri"/>
          <w:szCs w:val="22"/>
          <w:lang w:val="sr-Latn-ME"/>
        </w:rPr>
      </w:pPr>
      <w:r w:rsidRPr="00456B23">
        <w:rPr>
          <w:rFonts w:eastAsia="Calibri"/>
          <w:szCs w:val="22"/>
          <w:lang w:val="sr-Latn-ME"/>
        </w:rPr>
        <w:t xml:space="preserve">spondartritis (ankilozantni spondilitis koji uključuje periferne zglobove (SD: b, c), psorijatični artritis (SD: c, d), enteropatska artropatija s visokom upalnom aktivnošću (SD: a); </w:t>
      </w:r>
    </w:p>
    <w:p w14:paraId="120ED38F" w14:textId="77777777" w:rsidR="00054D7D" w:rsidRPr="00456B23" w:rsidRDefault="00054D7D" w:rsidP="00172AC1">
      <w:pPr>
        <w:numPr>
          <w:ilvl w:val="0"/>
          <w:numId w:val="9"/>
        </w:numPr>
        <w:autoSpaceDE w:val="0"/>
        <w:autoSpaceDN w:val="0"/>
        <w:adjustRightInd w:val="0"/>
        <w:ind w:left="1276" w:hanging="283"/>
        <w:contextualSpacing/>
        <w:rPr>
          <w:rFonts w:eastAsia="Calibri"/>
          <w:szCs w:val="22"/>
          <w:lang w:val="sr-Latn-ME"/>
        </w:rPr>
      </w:pPr>
      <w:r w:rsidRPr="00456B23">
        <w:rPr>
          <w:rFonts w:eastAsia="Calibri"/>
          <w:szCs w:val="22"/>
          <w:lang w:val="sr-Latn-ME"/>
        </w:rPr>
        <w:t xml:space="preserve">reaktivni artritis (SD: c); </w:t>
      </w:r>
    </w:p>
    <w:p w14:paraId="5DD6DD8E" w14:textId="77777777" w:rsidR="00054D7D" w:rsidRPr="00456B23" w:rsidRDefault="00054D7D" w:rsidP="00172AC1">
      <w:pPr>
        <w:numPr>
          <w:ilvl w:val="0"/>
          <w:numId w:val="9"/>
        </w:numPr>
        <w:autoSpaceDE w:val="0"/>
        <w:autoSpaceDN w:val="0"/>
        <w:adjustRightInd w:val="0"/>
        <w:ind w:left="1276" w:hanging="283"/>
        <w:contextualSpacing/>
        <w:rPr>
          <w:rFonts w:eastAsia="Calibri"/>
          <w:szCs w:val="22"/>
          <w:lang w:val="sr-Latn-ME"/>
        </w:rPr>
      </w:pPr>
      <w:r w:rsidRPr="00456B23">
        <w:rPr>
          <w:rFonts w:eastAsia="Calibri"/>
          <w:szCs w:val="22"/>
          <w:lang w:val="sr-Latn-ME"/>
        </w:rPr>
        <w:t xml:space="preserve">sarkoidni artritis (SD: b inicijalno). </w:t>
      </w:r>
    </w:p>
    <w:p w14:paraId="16FE6ACD" w14:textId="77777777" w:rsidR="00054D7D" w:rsidRPr="00456B23" w:rsidRDefault="00054D7D" w:rsidP="00172AC1">
      <w:pPr>
        <w:numPr>
          <w:ilvl w:val="0"/>
          <w:numId w:val="6"/>
        </w:numPr>
        <w:autoSpaceDE w:val="0"/>
        <w:autoSpaceDN w:val="0"/>
        <w:adjustRightInd w:val="0"/>
        <w:contextualSpacing/>
        <w:rPr>
          <w:rFonts w:eastAsia="Calibri"/>
          <w:szCs w:val="22"/>
          <w:lang w:val="sr-Latn-ME"/>
        </w:rPr>
      </w:pPr>
      <w:r w:rsidRPr="00456B23">
        <w:rPr>
          <w:rFonts w:eastAsia="Calibri"/>
          <w:szCs w:val="22"/>
          <w:lang w:val="sr-Latn-ME"/>
        </w:rPr>
        <w:t>Karditis kod reumatske groznice, u teškim slučajevima tokom 2-3 mjeseca (SD: a).</w:t>
      </w:r>
    </w:p>
    <w:p w14:paraId="395408A0" w14:textId="77777777" w:rsidR="00054D7D" w:rsidRPr="00456B23" w:rsidRDefault="00054D7D" w:rsidP="00172AC1">
      <w:pPr>
        <w:numPr>
          <w:ilvl w:val="0"/>
          <w:numId w:val="6"/>
        </w:numPr>
        <w:autoSpaceDE w:val="0"/>
        <w:autoSpaceDN w:val="0"/>
        <w:adjustRightInd w:val="0"/>
        <w:contextualSpacing/>
        <w:rPr>
          <w:rFonts w:eastAsia="Calibri"/>
          <w:szCs w:val="22"/>
          <w:lang w:val="sr-Latn-ME"/>
        </w:rPr>
      </w:pPr>
      <w:r w:rsidRPr="00456B23">
        <w:rPr>
          <w:rFonts w:eastAsia="Calibri"/>
          <w:szCs w:val="22"/>
          <w:lang w:val="sr-Latn-ME"/>
        </w:rPr>
        <w:t>Juvenilni idiopatski artritis s teškim sistemskim oblikom (Stillova bolest) ili s iridociklitisom koji se ne može liječiti lokalno (SD: a).</w:t>
      </w:r>
    </w:p>
    <w:p w14:paraId="67DBA6E8" w14:textId="77777777" w:rsidR="00054D7D" w:rsidRPr="00456B23" w:rsidRDefault="00054D7D" w:rsidP="00172AC1">
      <w:pPr>
        <w:autoSpaceDE w:val="0"/>
        <w:autoSpaceDN w:val="0"/>
        <w:adjustRightInd w:val="0"/>
        <w:ind w:left="720"/>
        <w:contextualSpacing/>
        <w:rPr>
          <w:rFonts w:eastAsia="Calibri"/>
          <w:szCs w:val="22"/>
          <w:lang w:val="sr-Latn-ME"/>
        </w:rPr>
      </w:pPr>
    </w:p>
    <w:p w14:paraId="709F08BE" w14:textId="77777777" w:rsidR="00054D7D" w:rsidRPr="00456B23" w:rsidRDefault="00054D7D" w:rsidP="00172AC1">
      <w:pPr>
        <w:autoSpaceDE w:val="0"/>
        <w:autoSpaceDN w:val="0"/>
        <w:adjustRightInd w:val="0"/>
        <w:rPr>
          <w:rFonts w:eastAsia="Calibri"/>
          <w:szCs w:val="22"/>
          <w:lang w:val="sr-Latn-ME"/>
        </w:rPr>
      </w:pPr>
      <w:r w:rsidRPr="00456B23">
        <w:rPr>
          <w:rFonts w:eastAsia="Calibri"/>
          <w:b/>
          <w:bCs/>
          <w:szCs w:val="22"/>
          <w:lang w:val="sr-Latn-ME"/>
        </w:rPr>
        <w:t xml:space="preserve">Bolesti pluća i bronha </w:t>
      </w:r>
    </w:p>
    <w:p w14:paraId="201F4189" w14:textId="77777777" w:rsidR="00054D7D" w:rsidRPr="00456B23" w:rsidRDefault="00054D7D" w:rsidP="00172AC1">
      <w:pPr>
        <w:numPr>
          <w:ilvl w:val="0"/>
          <w:numId w:val="10"/>
        </w:numPr>
        <w:autoSpaceDE w:val="0"/>
        <w:autoSpaceDN w:val="0"/>
        <w:adjustRightInd w:val="0"/>
        <w:rPr>
          <w:rFonts w:eastAsia="Calibri"/>
          <w:szCs w:val="22"/>
          <w:lang w:val="sr-Latn-ME"/>
        </w:rPr>
      </w:pPr>
      <w:r w:rsidRPr="00456B23">
        <w:rPr>
          <w:rFonts w:eastAsia="Calibri"/>
          <w:szCs w:val="22"/>
          <w:lang w:val="sr-Latn-ME"/>
        </w:rPr>
        <w:t xml:space="preserve">Bronhijalna astma (SD: c do a), preporučuje se istovremena primjena bronhodilatatora. </w:t>
      </w:r>
    </w:p>
    <w:p w14:paraId="6A21D672" w14:textId="77777777" w:rsidR="00054D7D" w:rsidRPr="00456B23" w:rsidRDefault="00054D7D" w:rsidP="00172AC1">
      <w:pPr>
        <w:numPr>
          <w:ilvl w:val="0"/>
          <w:numId w:val="10"/>
        </w:numPr>
        <w:autoSpaceDE w:val="0"/>
        <w:autoSpaceDN w:val="0"/>
        <w:adjustRightInd w:val="0"/>
        <w:rPr>
          <w:rFonts w:eastAsia="Calibri"/>
          <w:szCs w:val="22"/>
          <w:lang w:val="sr-Latn-ME"/>
        </w:rPr>
      </w:pPr>
      <w:r w:rsidRPr="00456B23">
        <w:rPr>
          <w:rFonts w:eastAsia="Calibri"/>
          <w:szCs w:val="22"/>
          <w:lang w:val="sr-Latn-ME"/>
        </w:rPr>
        <w:t xml:space="preserve">Akutna egzacerbacija hronične opstruktivne plućne bolesti (SD: b), preporučeno trajanje terapije je do 10 dana. </w:t>
      </w:r>
    </w:p>
    <w:p w14:paraId="6274EBF6" w14:textId="45FCA97E" w:rsidR="00054D7D" w:rsidRPr="00456B23" w:rsidRDefault="00054D7D" w:rsidP="0043443B">
      <w:pPr>
        <w:numPr>
          <w:ilvl w:val="0"/>
          <w:numId w:val="10"/>
        </w:numPr>
        <w:autoSpaceDE w:val="0"/>
        <w:autoSpaceDN w:val="0"/>
        <w:adjustRightInd w:val="0"/>
        <w:rPr>
          <w:rFonts w:eastAsia="Calibri"/>
          <w:szCs w:val="22"/>
          <w:lang w:val="sr-Latn-ME"/>
        </w:rPr>
      </w:pPr>
      <w:r w:rsidRPr="00456B23">
        <w:rPr>
          <w:rFonts w:eastAsia="Calibri"/>
          <w:szCs w:val="22"/>
          <w:lang w:val="sr-Latn-ME"/>
        </w:rPr>
        <w:t>Intersticijske plućne bolesti, kao što su akutni alveolitis (SD: b), plućna fibroza (SD: b), bronhiolitis obliterans organizirajuća pneumonija (BOOP) (SD: b, uz postepeno smanjivanje doze), kada je potrebno u kombinaciji s imunosupresivima, hronična eozinofilna pneumonija (SD: b, uz postepeno smanjivanje doze), dugotrajno liječenje hroničnih oblika sarkoidoze stadij</w:t>
      </w:r>
      <w:r w:rsidR="00EB1C82" w:rsidRPr="00456B23">
        <w:rPr>
          <w:rFonts w:eastAsia="Calibri"/>
          <w:szCs w:val="22"/>
          <w:lang w:val="sr-Latn-ME"/>
        </w:rPr>
        <w:t>uma</w:t>
      </w:r>
      <w:r w:rsidRPr="00456B23">
        <w:rPr>
          <w:rFonts w:eastAsia="Calibri"/>
          <w:szCs w:val="22"/>
          <w:lang w:val="sr-Latn-ME"/>
        </w:rPr>
        <w:t xml:space="preserve"> II i III (kod dispneje, kašlja i pogoršanja vrijednosti pokazatelja plućne funkcije) (SD: b). </w:t>
      </w:r>
    </w:p>
    <w:p w14:paraId="3A8D27F7" w14:textId="77777777" w:rsidR="00054D7D" w:rsidRPr="00456B23" w:rsidRDefault="00054D7D" w:rsidP="00172AC1">
      <w:pPr>
        <w:autoSpaceDE w:val="0"/>
        <w:autoSpaceDN w:val="0"/>
        <w:adjustRightInd w:val="0"/>
        <w:ind w:left="720"/>
        <w:contextualSpacing/>
        <w:rPr>
          <w:rFonts w:eastAsia="Calibri"/>
          <w:szCs w:val="22"/>
          <w:lang w:val="sr-Latn-ME"/>
        </w:rPr>
      </w:pPr>
    </w:p>
    <w:p w14:paraId="54430246" w14:textId="77777777" w:rsidR="00054D7D" w:rsidRPr="00456B23" w:rsidRDefault="00054D7D" w:rsidP="00172AC1">
      <w:pPr>
        <w:autoSpaceDE w:val="0"/>
        <w:autoSpaceDN w:val="0"/>
        <w:adjustRightInd w:val="0"/>
        <w:rPr>
          <w:rFonts w:eastAsia="Calibri"/>
          <w:szCs w:val="22"/>
          <w:lang w:val="sr-Latn-ME"/>
        </w:rPr>
      </w:pPr>
      <w:r w:rsidRPr="00456B23">
        <w:rPr>
          <w:rFonts w:eastAsia="Calibri"/>
          <w:b/>
          <w:bCs/>
          <w:szCs w:val="22"/>
          <w:lang w:val="sr-Latn-ME"/>
        </w:rPr>
        <w:t xml:space="preserve">Bolesti gornjih disajnih puteva </w:t>
      </w:r>
    </w:p>
    <w:p w14:paraId="29BB2593" w14:textId="77777777" w:rsidR="00054D7D" w:rsidRPr="00456B23" w:rsidRDefault="00054D7D" w:rsidP="00172AC1">
      <w:pPr>
        <w:numPr>
          <w:ilvl w:val="0"/>
          <w:numId w:val="11"/>
        </w:numPr>
        <w:autoSpaceDE w:val="0"/>
        <w:autoSpaceDN w:val="0"/>
        <w:adjustRightInd w:val="0"/>
        <w:rPr>
          <w:rFonts w:eastAsia="Calibri"/>
          <w:szCs w:val="22"/>
          <w:lang w:val="sr-Latn-ME"/>
        </w:rPr>
      </w:pPr>
      <w:r w:rsidRPr="00456B23">
        <w:rPr>
          <w:rFonts w:eastAsia="Calibri"/>
          <w:szCs w:val="22"/>
          <w:lang w:val="sr-Latn-ME"/>
        </w:rPr>
        <w:t xml:space="preserve">Teški oblici polenoze i alergijskog rinitisa, kod kojih se intranazalna primjena glukokortikoida pokazala neefikasnom (SD: c). </w:t>
      </w:r>
    </w:p>
    <w:p w14:paraId="0B9D52B2" w14:textId="77777777" w:rsidR="00054D7D" w:rsidRPr="00456B23" w:rsidRDefault="00054D7D" w:rsidP="00172AC1">
      <w:pPr>
        <w:numPr>
          <w:ilvl w:val="0"/>
          <w:numId w:val="11"/>
        </w:numPr>
        <w:autoSpaceDE w:val="0"/>
        <w:autoSpaceDN w:val="0"/>
        <w:adjustRightInd w:val="0"/>
        <w:rPr>
          <w:rFonts w:eastAsia="Calibri"/>
          <w:szCs w:val="22"/>
          <w:lang w:val="sr-Latn-ME"/>
        </w:rPr>
      </w:pPr>
      <w:r w:rsidRPr="00456B23">
        <w:rPr>
          <w:rFonts w:eastAsia="Calibri"/>
          <w:szCs w:val="22"/>
          <w:lang w:val="sr-Latn-ME"/>
        </w:rPr>
        <w:t xml:space="preserve">Akutne laringealne i trahealne stenoze: Quinckeov edem, opstruktivni subglotički laringitis (pseudokrup) (SD: b do a). </w:t>
      </w:r>
    </w:p>
    <w:p w14:paraId="2D7A256C" w14:textId="77777777" w:rsidR="00054D7D" w:rsidRPr="00456B23" w:rsidRDefault="00054D7D" w:rsidP="00172AC1">
      <w:pPr>
        <w:autoSpaceDE w:val="0"/>
        <w:autoSpaceDN w:val="0"/>
        <w:adjustRightInd w:val="0"/>
        <w:rPr>
          <w:rFonts w:eastAsia="Calibri"/>
          <w:szCs w:val="22"/>
          <w:lang w:val="sr-Latn-ME"/>
        </w:rPr>
      </w:pPr>
    </w:p>
    <w:p w14:paraId="41FA60E6" w14:textId="77777777" w:rsidR="00054D7D" w:rsidRPr="00456B23" w:rsidRDefault="00054D7D" w:rsidP="00172AC1">
      <w:pPr>
        <w:autoSpaceDE w:val="0"/>
        <w:autoSpaceDN w:val="0"/>
        <w:adjustRightInd w:val="0"/>
        <w:rPr>
          <w:rFonts w:eastAsia="Calibri"/>
          <w:b/>
          <w:bCs/>
          <w:szCs w:val="22"/>
          <w:lang w:val="sr-Latn-ME"/>
        </w:rPr>
      </w:pPr>
      <w:r w:rsidRPr="00456B23">
        <w:rPr>
          <w:rFonts w:eastAsia="Calibri"/>
          <w:b/>
          <w:bCs/>
          <w:szCs w:val="22"/>
          <w:lang w:val="sr-Latn-ME"/>
        </w:rPr>
        <w:t xml:space="preserve">Kožne bolesti </w:t>
      </w:r>
    </w:p>
    <w:p w14:paraId="3D642807" w14:textId="77777777" w:rsidR="00054D7D" w:rsidRPr="00456B23" w:rsidRDefault="00054D7D" w:rsidP="00172AC1">
      <w:pPr>
        <w:autoSpaceDE w:val="0"/>
        <w:autoSpaceDN w:val="0"/>
        <w:adjustRightInd w:val="0"/>
        <w:rPr>
          <w:rFonts w:eastAsia="Calibri"/>
          <w:szCs w:val="22"/>
          <w:lang w:val="sr-Latn-ME"/>
        </w:rPr>
      </w:pPr>
      <w:r w:rsidRPr="00456B23">
        <w:rPr>
          <w:rFonts w:eastAsia="Calibri"/>
          <w:szCs w:val="22"/>
          <w:lang w:val="sr-Latn-ME"/>
        </w:rPr>
        <w:t>Bolesti kože i sluznica, koje zbog svoje težine ili stepena sistemske zahvaćenosti ne mogu biti odgovarajuće liječene topikalnim glukokortikoidima, kao što su:</w:t>
      </w:r>
    </w:p>
    <w:p w14:paraId="46607187" w14:textId="6E05FE69" w:rsidR="00054D7D" w:rsidRPr="00456B23" w:rsidRDefault="00054D7D" w:rsidP="00172AC1">
      <w:pPr>
        <w:numPr>
          <w:ilvl w:val="0"/>
          <w:numId w:val="12"/>
        </w:numPr>
        <w:autoSpaceDE w:val="0"/>
        <w:autoSpaceDN w:val="0"/>
        <w:adjustRightInd w:val="0"/>
        <w:spacing w:after="200"/>
        <w:contextualSpacing/>
        <w:rPr>
          <w:rFonts w:eastAsia="Calibri"/>
          <w:szCs w:val="22"/>
          <w:lang w:val="sr-Latn-ME"/>
        </w:rPr>
      </w:pPr>
      <w:r w:rsidRPr="00456B23">
        <w:rPr>
          <w:rFonts w:eastAsia="Calibri"/>
          <w:szCs w:val="22"/>
          <w:lang w:val="sr-Latn-ME"/>
        </w:rPr>
        <w:t>Alergijske, pseudoalergijske i infektivno-alergijske bolesti, npr. akutna urtikarija, anafilaktoidne reakcije, egzantem uzrokovan ljekovima, multiformni eksudativni eritem, toksična epidermalna nekroliza (Lyellov sindrom), akutna generaliz</w:t>
      </w:r>
      <w:r w:rsidR="0043443B" w:rsidRPr="00456B23">
        <w:rPr>
          <w:rFonts w:eastAsia="Calibri"/>
          <w:szCs w:val="22"/>
          <w:lang w:val="sr-Latn-ME"/>
        </w:rPr>
        <w:t>ovana</w:t>
      </w:r>
      <w:r w:rsidRPr="00456B23">
        <w:rPr>
          <w:rFonts w:eastAsia="Calibri"/>
          <w:szCs w:val="22"/>
          <w:lang w:val="sr-Latn-ME"/>
        </w:rPr>
        <w:t xml:space="preserve"> pustuloza, nodozni eritem, akutna febrilna neutrofilna dermatoza (Sweetov sindrom), alergijski kontaktni dermatitis (SD: a); </w:t>
      </w:r>
    </w:p>
    <w:p w14:paraId="7CF031D7" w14:textId="1194393F" w:rsidR="00054D7D" w:rsidRPr="00456B23" w:rsidRDefault="00054D7D" w:rsidP="00172AC1">
      <w:pPr>
        <w:numPr>
          <w:ilvl w:val="0"/>
          <w:numId w:val="12"/>
        </w:numPr>
        <w:autoSpaceDE w:val="0"/>
        <w:autoSpaceDN w:val="0"/>
        <w:adjustRightInd w:val="0"/>
        <w:spacing w:after="200"/>
        <w:contextualSpacing/>
        <w:rPr>
          <w:rFonts w:eastAsia="Calibri"/>
          <w:szCs w:val="22"/>
          <w:lang w:val="sr-Latn-ME"/>
        </w:rPr>
      </w:pPr>
      <w:r w:rsidRPr="00456B23">
        <w:rPr>
          <w:rFonts w:eastAsia="Calibri"/>
          <w:szCs w:val="22"/>
          <w:lang w:val="sr-Latn-ME"/>
        </w:rPr>
        <w:lastRenderedPageBreak/>
        <w:t xml:space="preserve">Ekcem: npr. atopijski </w:t>
      </w:r>
      <w:r w:rsidR="0043443B" w:rsidRPr="00456B23">
        <w:rPr>
          <w:rFonts w:eastAsia="Calibri"/>
          <w:szCs w:val="22"/>
          <w:lang w:val="sr-Latn-ME"/>
        </w:rPr>
        <w:t>dermatitis</w:t>
      </w:r>
      <w:r w:rsidRPr="00456B23">
        <w:rPr>
          <w:rFonts w:eastAsia="Calibri"/>
          <w:szCs w:val="22"/>
          <w:lang w:val="sr-Latn-ME"/>
        </w:rPr>
        <w:t xml:space="preserve">, kontaktni </w:t>
      </w:r>
      <w:r w:rsidR="0043443B" w:rsidRPr="00456B23">
        <w:rPr>
          <w:rFonts w:eastAsia="Calibri"/>
          <w:szCs w:val="22"/>
          <w:lang w:val="sr-Latn-ME"/>
        </w:rPr>
        <w:t>dermatitis</w:t>
      </w:r>
      <w:r w:rsidRPr="00456B23">
        <w:rPr>
          <w:rFonts w:eastAsia="Calibri"/>
          <w:szCs w:val="22"/>
          <w:lang w:val="sr-Latn-ME"/>
        </w:rPr>
        <w:t xml:space="preserve">, mikrobni (numularni) </w:t>
      </w:r>
      <w:r w:rsidR="0043443B" w:rsidRPr="00456B23">
        <w:rPr>
          <w:rFonts w:eastAsia="Calibri"/>
          <w:szCs w:val="22"/>
          <w:lang w:val="sr-Latn-ME"/>
        </w:rPr>
        <w:t>dermatitis</w:t>
      </w:r>
      <w:r w:rsidRPr="00456B23">
        <w:rPr>
          <w:rFonts w:eastAsia="Calibri"/>
          <w:szCs w:val="22"/>
          <w:lang w:val="sr-Latn-ME"/>
        </w:rPr>
        <w:t xml:space="preserve"> (SD: b do a); </w:t>
      </w:r>
    </w:p>
    <w:p w14:paraId="25B4F13B" w14:textId="77777777" w:rsidR="00054D7D" w:rsidRPr="00456B23" w:rsidRDefault="00054D7D" w:rsidP="00172AC1">
      <w:pPr>
        <w:numPr>
          <w:ilvl w:val="0"/>
          <w:numId w:val="12"/>
        </w:numPr>
        <w:autoSpaceDE w:val="0"/>
        <w:autoSpaceDN w:val="0"/>
        <w:adjustRightInd w:val="0"/>
        <w:spacing w:after="200"/>
        <w:contextualSpacing/>
        <w:rPr>
          <w:rFonts w:eastAsia="Calibri"/>
          <w:szCs w:val="22"/>
          <w:lang w:val="sr-Latn-ME"/>
        </w:rPr>
      </w:pPr>
      <w:r w:rsidRPr="00456B23">
        <w:rPr>
          <w:rFonts w:eastAsia="Calibri"/>
          <w:szCs w:val="22"/>
          <w:lang w:val="sr-Latn-ME"/>
        </w:rPr>
        <w:t xml:space="preserve">Granulomatozne bolesti: sarkoidoza, granulomatozni heilitis (monosimptomatski Melkersson-Rosenthalov sindrom) (SD: b do a); </w:t>
      </w:r>
    </w:p>
    <w:p w14:paraId="29971C1B" w14:textId="77777777" w:rsidR="00054D7D" w:rsidRPr="00456B23" w:rsidRDefault="00054D7D" w:rsidP="00172AC1">
      <w:pPr>
        <w:numPr>
          <w:ilvl w:val="0"/>
          <w:numId w:val="12"/>
        </w:numPr>
        <w:autoSpaceDE w:val="0"/>
        <w:autoSpaceDN w:val="0"/>
        <w:adjustRightInd w:val="0"/>
        <w:spacing w:after="200"/>
        <w:contextualSpacing/>
        <w:rPr>
          <w:rFonts w:eastAsia="Calibri"/>
          <w:szCs w:val="22"/>
          <w:lang w:val="sr-Latn-ME"/>
        </w:rPr>
      </w:pPr>
      <w:r w:rsidRPr="00456B23">
        <w:rPr>
          <w:rFonts w:eastAsia="Calibri"/>
          <w:szCs w:val="22"/>
          <w:lang w:val="sr-Latn-ME"/>
        </w:rPr>
        <w:t>Bulozne dermatoze: npr. pemfigus vulgaris, bulozni pemfigoid, benigni pemfigoid mukoznih membrana, IgA-linearna dermatoza (SD: b do a);</w:t>
      </w:r>
    </w:p>
    <w:p w14:paraId="251E1013" w14:textId="77777777" w:rsidR="00054D7D" w:rsidRPr="00456B23" w:rsidRDefault="00054D7D" w:rsidP="00172AC1">
      <w:pPr>
        <w:numPr>
          <w:ilvl w:val="0"/>
          <w:numId w:val="12"/>
        </w:numPr>
        <w:autoSpaceDE w:val="0"/>
        <w:autoSpaceDN w:val="0"/>
        <w:adjustRightInd w:val="0"/>
        <w:spacing w:after="200"/>
        <w:contextualSpacing/>
        <w:rPr>
          <w:rFonts w:eastAsia="Calibri"/>
          <w:szCs w:val="22"/>
          <w:lang w:val="sr-Latn-ME"/>
        </w:rPr>
      </w:pPr>
      <w:r w:rsidRPr="00456B23">
        <w:rPr>
          <w:rFonts w:eastAsia="Calibri"/>
          <w:szCs w:val="22"/>
          <w:lang w:val="sr-Latn-ME"/>
        </w:rPr>
        <w:t>Vaskulitis: npr. alergijski vaskulitis, nodozni poliarteritis (SD: b do a);</w:t>
      </w:r>
    </w:p>
    <w:p w14:paraId="0D5B81B2" w14:textId="77777777" w:rsidR="00054D7D" w:rsidRPr="00456B23" w:rsidRDefault="00054D7D" w:rsidP="00172AC1">
      <w:pPr>
        <w:numPr>
          <w:ilvl w:val="0"/>
          <w:numId w:val="12"/>
        </w:numPr>
        <w:autoSpaceDE w:val="0"/>
        <w:autoSpaceDN w:val="0"/>
        <w:adjustRightInd w:val="0"/>
        <w:spacing w:after="200"/>
        <w:contextualSpacing/>
        <w:rPr>
          <w:rFonts w:eastAsia="Calibri"/>
          <w:szCs w:val="22"/>
          <w:lang w:val="sr-Latn-ME"/>
        </w:rPr>
      </w:pPr>
      <w:r w:rsidRPr="00456B23">
        <w:rPr>
          <w:rFonts w:eastAsia="Calibri"/>
          <w:szCs w:val="22"/>
          <w:lang w:val="sr-Latn-ME"/>
        </w:rPr>
        <w:t>Autoimune bolesti: npr. dermatomiozitis, sistemska skleroderm</w:t>
      </w:r>
      <w:r w:rsidR="0043443B" w:rsidRPr="00456B23">
        <w:rPr>
          <w:rFonts w:eastAsia="Calibri"/>
          <w:szCs w:val="22"/>
          <w:lang w:val="sr-Latn-ME"/>
        </w:rPr>
        <w:t>ij</w:t>
      </w:r>
      <w:r w:rsidRPr="00456B23">
        <w:rPr>
          <w:rFonts w:eastAsia="Calibri"/>
          <w:szCs w:val="22"/>
          <w:lang w:val="sr-Latn-ME"/>
        </w:rPr>
        <w:t>a (faza induracije), hronični diskoidni i subakutni kutani lupus eritematozus (SD: b do a);</w:t>
      </w:r>
    </w:p>
    <w:p w14:paraId="0A8B4682" w14:textId="2709E012" w:rsidR="00054D7D" w:rsidRPr="00456B23" w:rsidRDefault="00054D7D" w:rsidP="00172AC1">
      <w:pPr>
        <w:numPr>
          <w:ilvl w:val="0"/>
          <w:numId w:val="12"/>
        </w:numPr>
        <w:autoSpaceDE w:val="0"/>
        <w:autoSpaceDN w:val="0"/>
        <w:adjustRightInd w:val="0"/>
        <w:spacing w:after="200"/>
        <w:contextualSpacing/>
        <w:rPr>
          <w:rFonts w:eastAsia="Calibri"/>
          <w:szCs w:val="22"/>
          <w:lang w:val="sr-Latn-ME"/>
        </w:rPr>
      </w:pPr>
      <w:r w:rsidRPr="00456B23">
        <w:rPr>
          <w:rFonts w:eastAsia="Calibri"/>
          <w:szCs w:val="22"/>
          <w:lang w:val="sr-Latn-ME"/>
        </w:rPr>
        <w:t xml:space="preserve">Dermatoze u trudnoći (pogledati takođe dio 4.6.): npr. gestacijski </w:t>
      </w:r>
      <w:r w:rsidR="0043443B" w:rsidRPr="00456B23">
        <w:rPr>
          <w:rFonts w:eastAsia="Calibri"/>
          <w:szCs w:val="22"/>
          <w:lang w:val="sr-Latn-ME"/>
        </w:rPr>
        <w:t>pemfigoid</w:t>
      </w:r>
      <w:r w:rsidRPr="00456B23">
        <w:rPr>
          <w:rFonts w:eastAsia="Calibri"/>
          <w:szCs w:val="22"/>
          <w:lang w:val="sr-Latn-ME"/>
        </w:rPr>
        <w:t xml:space="preserve">, herpetiformni </w:t>
      </w:r>
      <w:r w:rsidR="0043443B" w:rsidRPr="00456B23">
        <w:rPr>
          <w:rFonts w:eastAsia="Calibri"/>
          <w:szCs w:val="22"/>
          <w:lang w:val="sr-Latn-ME"/>
        </w:rPr>
        <w:t xml:space="preserve">dermatitis </w:t>
      </w:r>
      <w:r w:rsidRPr="00456B23">
        <w:rPr>
          <w:rFonts w:eastAsia="Calibri"/>
          <w:szCs w:val="22"/>
          <w:lang w:val="sr-Latn-ME"/>
        </w:rPr>
        <w:t>(SD: d do a);</w:t>
      </w:r>
    </w:p>
    <w:p w14:paraId="1C1CAF96" w14:textId="77777777" w:rsidR="00054D7D" w:rsidRPr="00456B23" w:rsidRDefault="00054D7D" w:rsidP="00172AC1">
      <w:pPr>
        <w:numPr>
          <w:ilvl w:val="0"/>
          <w:numId w:val="12"/>
        </w:numPr>
        <w:autoSpaceDE w:val="0"/>
        <w:autoSpaceDN w:val="0"/>
        <w:adjustRightInd w:val="0"/>
        <w:spacing w:after="200"/>
        <w:contextualSpacing/>
        <w:rPr>
          <w:rFonts w:eastAsia="Calibri"/>
          <w:szCs w:val="22"/>
          <w:lang w:val="sr-Latn-ME"/>
        </w:rPr>
      </w:pPr>
      <w:r w:rsidRPr="00456B23">
        <w:rPr>
          <w:rFonts w:eastAsia="Calibri"/>
          <w:szCs w:val="22"/>
          <w:lang w:val="sr-Latn-ME"/>
        </w:rPr>
        <w:t xml:space="preserve">Eritematoskvamozne dermatoze: npr. pustularna psorijaza, </w:t>
      </w:r>
      <w:r w:rsidRPr="00456B23">
        <w:rPr>
          <w:rFonts w:eastAsia="Calibri"/>
          <w:i/>
          <w:szCs w:val="22"/>
          <w:lang w:val="sr-Latn-ME"/>
        </w:rPr>
        <w:t>pityriasis rubra pilaris</w:t>
      </w:r>
      <w:r w:rsidRPr="00456B23">
        <w:rPr>
          <w:rFonts w:eastAsia="Calibri"/>
          <w:szCs w:val="22"/>
          <w:lang w:val="sr-Latn-ME"/>
        </w:rPr>
        <w:t>, grupa parapsorijaze (SD: c do a);</w:t>
      </w:r>
    </w:p>
    <w:p w14:paraId="1388D67A" w14:textId="77777777" w:rsidR="00054D7D" w:rsidRPr="00456B23" w:rsidRDefault="00054D7D" w:rsidP="00172AC1">
      <w:pPr>
        <w:numPr>
          <w:ilvl w:val="0"/>
          <w:numId w:val="12"/>
        </w:numPr>
        <w:autoSpaceDE w:val="0"/>
        <w:autoSpaceDN w:val="0"/>
        <w:adjustRightInd w:val="0"/>
        <w:spacing w:after="200"/>
        <w:contextualSpacing/>
        <w:rPr>
          <w:rFonts w:eastAsia="Calibri"/>
          <w:szCs w:val="22"/>
          <w:lang w:val="sr-Latn-ME"/>
        </w:rPr>
      </w:pPr>
      <w:r w:rsidRPr="00456B23">
        <w:rPr>
          <w:rFonts w:eastAsia="Calibri"/>
          <w:szCs w:val="22"/>
          <w:lang w:val="sr-Latn-ME"/>
        </w:rPr>
        <w:t>Eritrodermija, takođe i kod sindroma Sézary (SD: c do a);</w:t>
      </w:r>
    </w:p>
    <w:p w14:paraId="0398B6A7" w14:textId="77777777" w:rsidR="00054D7D" w:rsidRPr="00456B23" w:rsidRDefault="00054D7D" w:rsidP="00172AC1">
      <w:pPr>
        <w:numPr>
          <w:ilvl w:val="0"/>
          <w:numId w:val="12"/>
        </w:numPr>
        <w:autoSpaceDE w:val="0"/>
        <w:autoSpaceDN w:val="0"/>
        <w:adjustRightInd w:val="0"/>
        <w:spacing w:after="200"/>
        <w:contextualSpacing/>
        <w:rPr>
          <w:rFonts w:eastAsia="Calibri"/>
          <w:szCs w:val="22"/>
          <w:lang w:val="sr-Latn-ME"/>
        </w:rPr>
      </w:pPr>
      <w:r w:rsidRPr="00456B23">
        <w:rPr>
          <w:rFonts w:eastAsia="Calibri"/>
          <w:szCs w:val="22"/>
          <w:lang w:val="sr-Latn-ME"/>
        </w:rPr>
        <w:t xml:space="preserve">Druge bolesti: Jarisch-Herxheimerova reakcija kod liječenja sifilisa s penicilinom, brzorastući kavernozni hemangiom, Behçetova bolest, gangrenozna pioderma, eozinofilni fasciitis, </w:t>
      </w:r>
      <w:r w:rsidRPr="00456B23">
        <w:rPr>
          <w:rFonts w:eastAsia="Calibri"/>
          <w:i/>
          <w:szCs w:val="22"/>
          <w:lang w:val="sr-Latn-ME"/>
        </w:rPr>
        <w:t>lichen ruber exanthematicus</w:t>
      </w:r>
      <w:r w:rsidRPr="00456B23">
        <w:rPr>
          <w:rFonts w:eastAsia="Calibri"/>
          <w:szCs w:val="22"/>
          <w:lang w:val="sr-Latn-ME"/>
        </w:rPr>
        <w:t>; nasljedna bulozna epidermoliza (SD: c do a).</w:t>
      </w:r>
    </w:p>
    <w:p w14:paraId="14A3DE37" w14:textId="77777777" w:rsidR="00054D7D" w:rsidRPr="00456B23" w:rsidRDefault="00054D7D" w:rsidP="00172AC1">
      <w:pPr>
        <w:autoSpaceDE w:val="0"/>
        <w:autoSpaceDN w:val="0"/>
        <w:adjustRightInd w:val="0"/>
        <w:spacing w:after="200"/>
        <w:ind w:left="720"/>
        <w:contextualSpacing/>
        <w:rPr>
          <w:rFonts w:eastAsia="Calibri"/>
          <w:szCs w:val="22"/>
          <w:lang w:val="sr-Latn-ME"/>
        </w:rPr>
      </w:pPr>
    </w:p>
    <w:p w14:paraId="6D90AAA3" w14:textId="77777777" w:rsidR="00054D7D" w:rsidRPr="00456B23" w:rsidRDefault="00054D7D" w:rsidP="00172AC1">
      <w:pPr>
        <w:autoSpaceDE w:val="0"/>
        <w:autoSpaceDN w:val="0"/>
        <w:adjustRightInd w:val="0"/>
        <w:rPr>
          <w:rFonts w:eastAsia="Calibri"/>
          <w:b/>
          <w:szCs w:val="22"/>
          <w:lang w:val="sr-Latn-ME"/>
        </w:rPr>
      </w:pPr>
      <w:r w:rsidRPr="00456B23">
        <w:rPr>
          <w:rFonts w:eastAsia="Calibri"/>
          <w:b/>
          <w:szCs w:val="22"/>
          <w:lang w:val="sr-Latn-ME"/>
        </w:rPr>
        <w:t>Hematološke/onkološke bolesti</w:t>
      </w:r>
    </w:p>
    <w:p w14:paraId="61EF1411" w14:textId="52CB6D5D" w:rsidR="00054D7D" w:rsidRPr="00456B23" w:rsidRDefault="00054D7D" w:rsidP="00172AC1">
      <w:pPr>
        <w:numPr>
          <w:ilvl w:val="0"/>
          <w:numId w:val="13"/>
        </w:numPr>
        <w:autoSpaceDE w:val="0"/>
        <w:autoSpaceDN w:val="0"/>
        <w:adjustRightInd w:val="0"/>
        <w:rPr>
          <w:rFonts w:eastAsia="Calibri"/>
          <w:szCs w:val="22"/>
          <w:lang w:val="sr-Latn-ME"/>
        </w:rPr>
      </w:pPr>
      <w:r w:rsidRPr="00456B23">
        <w:rPr>
          <w:rFonts w:eastAsia="Calibri"/>
          <w:szCs w:val="22"/>
          <w:lang w:val="sr-Latn-ME"/>
        </w:rPr>
        <w:t>Autoimuna hemolitička anemija (SD: c do a); idiopatska trombocitopeni</w:t>
      </w:r>
      <w:r w:rsidR="0043443B" w:rsidRPr="00456B23">
        <w:rPr>
          <w:rFonts w:eastAsia="Calibri"/>
          <w:szCs w:val="22"/>
          <w:lang w:val="sr-Latn-ME"/>
        </w:rPr>
        <w:t>jska</w:t>
      </w:r>
      <w:r w:rsidRPr="00456B23">
        <w:rPr>
          <w:rFonts w:eastAsia="Calibri"/>
          <w:szCs w:val="22"/>
          <w:lang w:val="sr-Latn-ME"/>
        </w:rPr>
        <w:t xml:space="preserve"> purpura (Werlhofova bolest) (SD: a), akutna intermitentna trombocitopenija (SD: a).</w:t>
      </w:r>
    </w:p>
    <w:p w14:paraId="2BE1BCE6" w14:textId="77777777" w:rsidR="00054D7D" w:rsidRPr="00456B23" w:rsidRDefault="00054D7D" w:rsidP="00172AC1">
      <w:pPr>
        <w:numPr>
          <w:ilvl w:val="0"/>
          <w:numId w:val="13"/>
        </w:numPr>
        <w:autoSpaceDE w:val="0"/>
        <w:autoSpaceDN w:val="0"/>
        <w:adjustRightInd w:val="0"/>
        <w:rPr>
          <w:rFonts w:eastAsia="Calibri"/>
          <w:szCs w:val="22"/>
          <w:lang w:val="sr-Latn-ME"/>
        </w:rPr>
      </w:pPr>
      <w:r w:rsidRPr="00456B23">
        <w:rPr>
          <w:rFonts w:eastAsia="Calibri"/>
          <w:szCs w:val="22"/>
          <w:lang w:val="sr-Latn-ME"/>
        </w:rPr>
        <w:t>Akutna limfoblastična leukemija, Hodgkinova bolest, non-Hodgkinov limfom, hronična limfatična leukemija, Waldenströmova bolest, multipli mijelom (SD: e).</w:t>
      </w:r>
    </w:p>
    <w:p w14:paraId="0E188C8A" w14:textId="77777777" w:rsidR="00054D7D" w:rsidRPr="00456B23" w:rsidRDefault="00054D7D" w:rsidP="00172AC1">
      <w:pPr>
        <w:numPr>
          <w:ilvl w:val="0"/>
          <w:numId w:val="13"/>
        </w:numPr>
        <w:autoSpaceDE w:val="0"/>
        <w:autoSpaceDN w:val="0"/>
        <w:adjustRightInd w:val="0"/>
        <w:rPr>
          <w:rFonts w:eastAsia="Calibri"/>
          <w:szCs w:val="22"/>
          <w:lang w:val="sr-Latn-ME"/>
        </w:rPr>
      </w:pPr>
      <w:r w:rsidRPr="00456B23">
        <w:rPr>
          <w:rFonts w:eastAsia="Calibri"/>
          <w:szCs w:val="22"/>
          <w:lang w:val="sr-Latn-ME"/>
        </w:rPr>
        <w:t>Hiperkalcijemija kod primarnih malignih bolesti (SD: c do a).</w:t>
      </w:r>
    </w:p>
    <w:p w14:paraId="5ED43A76" w14:textId="77777777" w:rsidR="00054D7D" w:rsidRPr="00456B23" w:rsidRDefault="00054D7D" w:rsidP="00172AC1">
      <w:pPr>
        <w:numPr>
          <w:ilvl w:val="0"/>
          <w:numId w:val="13"/>
        </w:numPr>
        <w:autoSpaceDE w:val="0"/>
        <w:autoSpaceDN w:val="0"/>
        <w:adjustRightInd w:val="0"/>
        <w:rPr>
          <w:rFonts w:eastAsia="Calibri"/>
          <w:szCs w:val="22"/>
          <w:lang w:val="sr-Latn-ME"/>
        </w:rPr>
      </w:pPr>
      <w:r w:rsidRPr="00456B23">
        <w:rPr>
          <w:rFonts w:eastAsia="Calibri"/>
          <w:szCs w:val="22"/>
          <w:lang w:val="sr-Latn-ME"/>
        </w:rPr>
        <w:t>Profilaksa i terapija povraćanja uzrokovanog citostaticima (SD: b do a), primjena u okviru antiemetičkih shema.</w:t>
      </w:r>
    </w:p>
    <w:p w14:paraId="0ED3A0C7" w14:textId="77777777" w:rsidR="00054D7D" w:rsidRPr="00456B23" w:rsidRDefault="00054D7D" w:rsidP="00172AC1">
      <w:pPr>
        <w:numPr>
          <w:ilvl w:val="0"/>
          <w:numId w:val="13"/>
        </w:numPr>
        <w:autoSpaceDE w:val="0"/>
        <w:autoSpaceDN w:val="0"/>
        <w:adjustRightInd w:val="0"/>
        <w:rPr>
          <w:rFonts w:eastAsia="Calibri"/>
          <w:szCs w:val="22"/>
          <w:lang w:val="sr-Latn-ME"/>
        </w:rPr>
      </w:pPr>
      <w:r w:rsidRPr="00456B23">
        <w:rPr>
          <w:rFonts w:eastAsia="Calibri"/>
          <w:szCs w:val="22"/>
          <w:lang w:val="sr-Latn-ME"/>
        </w:rPr>
        <w:t>Palijativna terapija malignih bolesti (SD: c do a).</w:t>
      </w:r>
    </w:p>
    <w:p w14:paraId="67CBB8F3" w14:textId="77777777" w:rsidR="00054D7D" w:rsidRPr="00456B23" w:rsidRDefault="00054D7D" w:rsidP="006B28D6">
      <w:pPr>
        <w:autoSpaceDE w:val="0"/>
        <w:autoSpaceDN w:val="0"/>
        <w:adjustRightInd w:val="0"/>
        <w:rPr>
          <w:rFonts w:eastAsia="Calibri"/>
          <w:szCs w:val="22"/>
          <w:lang w:val="sr-Latn-ME"/>
        </w:rPr>
      </w:pPr>
      <w:r w:rsidRPr="00456B23">
        <w:rPr>
          <w:rFonts w:eastAsia="Calibri"/>
          <w:b/>
          <w:szCs w:val="22"/>
          <w:lang w:val="sr-Latn-ME"/>
        </w:rPr>
        <w:t>Pažnja:</w:t>
      </w:r>
      <w:r w:rsidRPr="00456B23">
        <w:rPr>
          <w:rFonts w:eastAsia="Calibri"/>
          <w:szCs w:val="22"/>
          <w:lang w:val="sr-Latn-ME"/>
        </w:rPr>
        <w:t xml:space="preserve"> prednizon se za ublažavanje simptoma, kao što su manjak apetita, anoreksija i opšta slabost kod uznapredovalih malignih bolesti, može primjenjivati tek nakon što su iscrpljene specifične terapijske mogućnosti. Detalji se mogu pronaći u važećoj specijalističkoj literaturi o ovoj temi.</w:t>
      </w:r>
    </w:p>
    <w:p w14:paraId="0D832722" w14:textId="77777777" w:rsidR="00054D7D" w:rsidRPr="00456B23" w:rsidRDefault="00054D7D" w:rsidP="00172AC1">
      <w:pPr>
        <w:autoSpaceDE w:val="0"/>
        <w:autoSpaceDN w:val="0"/>
        <w:adjustRightInd w:val="0"/>
        <w:rPr>
          <w:rFonts w:eastAsia="Calibri"/>
          <w:b/>
          <w:bCs/>
          <w:szCs w:val="22"/>
          <w:lang w:val="sr-Latn-ME"/>
        </w:rPr>
      </w:pPr>
    </w:p>
    <w:p w14:paraId="7B81098E" w14:textId="77777777" w:rsidR="00054D7D" w:rsidRPr="00456B23" w:rsidRDefault="00054D7D" w:rsidP="00172AC1">
      <w:pPr>
        <w:autoSpaceDE w:val="0"/>
        <w:autoSpaceDN w:val="0"/>
        <w:adjustRightInd w:val="0"/>
        <w:rPr>
          <w:rFonts w:eastAsia="Calibri"/>
          <w:szCs w:val="22"/>
          <w:lang w:val="sr-Latn-ME"/>
        </w:rPr>
      </w:pPr>
      <w:r w:rsidRPr="00456B23">
        <w:rPr>
          <w:rFonts w:eastAsia="Calibri"/>
          <w:b/>
          <w:bCs/>
          <w:szCs w:val="22"/>
          <w:lang w:val="sr-Latn-ME"/>
        </w:rPr>
        <w:t xml:space="preserve">Neurološke bolesti </w:t>
      </w:r>
      <w:r w:rsidRPr="00456B23">
        <w:rPr>
          <w:rFonts w:eastAsia="Calibri"/>
          <w:szCs w:val="22"/>
          <w:lang w:val="sr-Latn-ME"/>
        </w:rPr>
        <w:t xml:space="preserve">(SD: a) </w:t>
      </w:r>
    </w:p>
    <w:p w14:paraId="2058945C" w14:textId="77777777" w:rsidR="00054D7D" w:rsidRPr="00456B23" w:rsidRDefault="00054D7D" w:rsidP="00172AC1">
      <w:pPr>
        <w:numPr>
          <w:ilvl w:val="0"/>
          <w:numId w:val="14"/>
        </w:numPr>
        <w:autoSpaceDE w:val="0"/>
        <w:autoSpaceDN w:val="0"/>
        <w:adjustRightInd w:val="0"/>
        <w:rPr>
          <w:rFonts w:eastAsia="Calibri"/>
          <w:szCs w:val="22"/>
          <w:lang w:val="sr-Latn-ME"/>
        </w:rPr>
      </w:pPr>
      <w:r w:rsidRPr="00456B23">
        <w:rPr>
          <w:rFonts w:eastAsia="Calibri"/>
          <w:szCs w:val="22"/>
          <w:lang w:val="sr-Latn-ME"/>
        </w:rPr>
        <w:t xml:space="preserve">Miastenija gravis (lijek prvog izbora je azatioprin). </w:t>
      </w:r>
    </w:p>
    <w:p w14:paraId="014045FF" w14:textId="77777777" w:rsidR="00054D7D" w:rsidRPr="00456B23" w:rsidRDefault="00054D7D" w:rsidP="00172AC1">
      <w:pPr>
        <w:numPr>
          <w:ilvl w:val="0"/>
          <w:numId w:val="14"/>
        </w:numPr>
        <w:autoSpaceDE w:val="0"/>
        <w:autoSpaceDN w:val="0"/>
        <w:adjustRightInd w:val="0"/>
        <w:rPr>
          <w:rFonts w:eastAsia="Calibri"/>
          <w:szCs w:val="22"/>
          <w:lang w:val="sr-Latn-ME"/>
        </w:rPr>
      </w:pPr>
      <w:r w:rsidRPr="00456B23">
        <w:rPr>
          <w:rFonts w:eastAsia="Calibri"/>
          <w:szCs w:val="22"/>
          <w:lang w:val="sr-Latn-ME"/>
        </w:rPr>
        <w:t xml:space="preserve">Hronični Guillain-Barreov sindrom. </w:t>
      </w:r>
    </w:p>
    <w:p w14:paraId="19CA006F" w14:textId="77777777" w:rsidR="00054D7D" w:rsidRPr="00456B23" w:rsidRDefault="00054D7D" w:rsidP="00172AC1">
      <w:pPr>
        <w:numPr>
          <w:ilvl w:val="0"/>
          <w:numId w:val="14"/>
        </w:numPr>
        <w:autoSpaceDE w:val="0"/>
        <w:autoSpaceDN w:val="0"/>
        <w:adjustRightInd w:val="0"/>
        <w:rPr>
          <w:rFonts w:eastAsia="Calibri"/>
          <w:szCs w:val="22"/>
          <w:lang w:val="sr-Latn-ME"/>
        </w:rPr>
      </w:pPr>
      <w:r w:rsidRPr="00456B23">
        <w:rPr>
          <w:rFonts w:eastAsia="Calibri"/>
          <w:szCs w:val="22"/>
          <w:lang w:val="sr-Latn-ME"/>
        </w:rPr>
        <w:t xml:space="preserve">Tolosa-Huntov sindrom. </w:t>
      </w:r>
    </w:p>
    <w:p w14:paraId="757F7006" w14:textId="38B8AF8D" w:rsidR="00054D7D" w:rsidRPr="00456B23" w:rsidRDefault="00054D7D" w:rsidP="00172AC1">
      <w:pPr>
        <w:numPr>
          <w:ilvl w:val="0"/>
          <w:numId w:val="14"/>
        </w:numPr>
        <w:autoSpaceDE w:val="0"/>
        <w:autoSpaceDN w:val="0"/>
        <w:adjustRightInd w:val="0"/>
        <w:rPr>
          <w:rFonts w:eastAsia="Calibri"/>
          <w:szCs w:val="22"/>
          <w:lang w:val="sr-Latn-ME"/>
        </w:rPr>
      </w:pPr>
      <w:r w:rsidRPr="00456B23">
        <w:rPr>
          <w:rFonts w:eastAsia="Calibri"/>
          <w:szCs w:val="22"/>
          <w:lang w:val="sr-Latn-ME"/>
        </w:rPr>
        <w:t xml:space="preserve">Polineuropatija </w:t>
      </w:r>
      <w:r w:rsidR="00196762" w:rsidRPr="00456B23">
        <w:rPr>
          <w:rFonts w:eastAsia="Calibri"/>
          <w:szCs w:val="22"/>
          <w:lang w:val="sr-Latn-ME"/>
        </w:rPr>
        <w:t xml:space="preserve">i </w:t>
      </w:r>
      <w:r w:rsidRPr="00456B23">
        <w:rPr>
          <w:rFonts w:eastAsia="Calibri"/>
          <w:szCs w:val="22"/>
          <w:lang w:val="sr-Latn-ME"/>
        </w:rPr>
        <w:t>monoklonaln</w:t>
      </w:r>
      <w:r w:rsidR="00196762" w:rsidRPr="00456B23">
        <w:rPr>
          <w:rFonts w:eastAsia="Calibri"/>
          <w:szCs w:val="22"/>
          <w:lang w:val="sr-Latn-ME"/>
        </w:rPr>
        <w:t>a</w:t>
      </w:r>
      <w:r w:rsidRPr="00456B23">
        <w:rPr>
          <w:rFonts w:eastAsia="Calibri"/>
          <w:szCs w:val="22"/>
          <w:lang w:val="sr-Latn-ME"/>
        </w:rPr>
        <w:t xml:space="preserve"> gamopatij</w:t>
      </w:r>
      <w:r w:rsidR="00196762" w:rsidRPr="00456B23">
        <w:rPr>
          <w:rFonts w:eastAsia="Calibri"/>
          <w:szCs w:val="22"/>
          <w:lang w:val="sr-Latn-ME"/>
        </w:rPr>
        <w:t>a</w:t>
      </w:r>
      <w:r w:rsidRPr="00456B23">
        <w:rPr>
          <w:rFonts w:eastAsia="Calibri"/>
          <w:szCs w:val="22"/>
          <w:lang w:val="sr-Latn-ME"/>
        </w:rPr>
        <w:t xml:space="preserve">. </w:t>
      </w:r>
    </w:p>
    <w:p w14:paraId="34F98962" w14:textId="77777777" w:rsidR="00054D7D" w:rsidRPr="00456B23" w:rsidRDefault="00054D7D" w:rsidP="00172AC1">
      <w:pPr>
        <w:numPr>
          <w:ilvl w:val="0"/>
          <w:numId w:val="14"/>
        </w:numPr>
        <w:autoSpaceDE w:val="0"/>
        <w:autoSpaceDN w:val="0"/>
        <w:adjustRightInd w:val="0"/>
        <w:rPr>
          <w:rFonts w:eastAsia="Calibri"/>
          <w:szCs w:val="22"/>
          <w:lang w:val="sr-Latn-ME"/>
        </w:rPr>
      </w:pPr>
      <w:r w:rsidRPr="00456B23">
        <w:rPr>
          <w:rFonts w:eastAsia="Calibri"/>
          <w:szCs w:val="22"/>
          <w:lang w:val="sr-Latn-ME"/>
        </w:rPr>
        <w:t xml:space="preserve">Multipla skleroza (za podešavanje oralnih doza nakon parenteralne primjene visokih doza glukokortikoida u toku akutne epizode). </w:t>
      </w:r>
    </w:p>
    <w:p w14:paraId="641845BF" w14:textId="77777777" w:rsidR="00054D7D" w:rsidRPr="00456B23" w:rsidRDefault="00054D7D" w:rsidP="00172AC1">
      <w:pPr>
        <w:numPr>
          <w:ilvl w:val="0"/>
          <w:numId w:val="14"/>
        </w:numPr>
        <w:autoSpaceDE w:val="0"/>
        <w:autoSpaceDN w:val="0"/>
        <w:adjustRightInd w:val="0"/>
        <w:rPr>
          <w:rFonts w:eastAsia="Calibri"/>
          <w:szCs w:val="22"/>
          <w:lang w:val="sr-Latn-ME"/>
        </w:rPr>
      </w:pPr>
      <w:r w:rsidRPr="00456B23">
        <w:rPr>
          <w:color w:val="000000"/>
          <w:szCs w:val="22"/>
          <w:lang w:val="sr-Latn-ME"/>
        </w:rPr>
        <w:t>„</w:t>
      </w:r>
      <w:r w:rsidRPr="00456B23">
        <w:rPr>
          <w:i/>
          <w:color w:val="000000"/>
          <w:szCs w:val="22"/>
          <w:lang w:val="sr-Latn-ME"/>
        </w:rPr>
        <w:t>Jackknife</w:t>
      </w:r>
      <w:r w:rsidRPr="00456B23">
        <w:rPr>
          <w:color w:val="000000"/>
          <w:szCs w:val="22"/>
          <w:lang w:val="sr-Latn-ME"/>
        </w:rPr>
        <w:t xml:space="preserve">“ </w:t>
      </w:r>
      <w:r w:rsidRPr="00456B23">
        <w:rPr>
          <w:rFonts w:eastAsia="Calibri"/>
          <w:szCs w:val="22"/>
          <w:lang w:val="sr-Latn-ME"/>
        </w:rPr>
        <w:t xml:space="preserve">konvulzije. </w:t>
      </w:r>
    </w:p>
    <w:p w14:paraId="1238A5BA" w14:textId="77777777" w:rsidR="00054D7D" w:rsidRPr="00456B23" w:rsidRDefault="00054D7D" w:rsidP="00172AC1">
      <w:pPr>
        <w:autoSpaceDE w:val="0"/>
        <w:autoSpaceDN w:val="0"/>
        <w:adjustRightInd w:val="0"/>
        <w:rPr>
          <w:rFonts w:eastAsia="Calibri"/>
          <w:szCs w:val="22"/>
          <w:lang w:val="sr-Latn-ME"/>
        </w:rPr>
      </w:pPr>
    </w:p>
    <w:p w14:paraId="223A9548" w14:textId="77777777" w:rsidR="00054D7D" w:rsidRPr="00456B23" w:rsidRDefault="00054D7D" w:rsidP="00172AC1">
      <w:pPr>
        <w:autoSpaceDE w:val="0"/>
        <w:autoSpaceDN w:val="0"/>
        <w:adjustRightInd w:val="0"/>
        <w:rPr>
          <w:rFonts w:eastAsia="Calibri"/>
          <w:szCs w:val="22"/>
          <w:lang w:val="sr-Latn-ME"/>
        </w:rPr>
      </w:pPr>
      <w:r w:rsidRPr="00456B23">
        <w:rPr>
          <w:rFonts w:eastAsia="Calibri"/>
          <w:b/>
          <w:bCs/>
          <w:szCs w:val="22"/>
          <w:lang w:val="sr-Latn-ME"/>
        </w:rPr>
        <w:t xml:space="preserve">Infektivne bolesti </w:t>
      </w:r>
    </w:p>
    <w:p w14:paraId="3C7DB449" w14:textId="77777777" w:rsidR="00054D7D" w:rsidRPr="00456B23" w:rsidRDefault="00054D7D" w:rsidP="00172AC1">
      <w:pPr>
        <w:numPr>
          <w:ilvl w:val="0"/>
          <w:numId w:val="15"/>
        </w:numPr>
        <w:autoSpaceDE w:val="0"/>
        <w:autoSpaceDN w:val="0"/>
        <w:adjustRightInd w:val="0"/>
        <w:rPr>
          <w:rFonts w:eastAsia="Calibri"/>
          <w:szCs w:val="22"/>
          <w:lang w:val="sr-Latn-ME"/>
        </w:rPr>
      </w:pPr>
      <w:r w:rsidRPr="00456B23">
        <w:rPr>
          <w:rFonts w:eastAsia="Calibri"/>
          <w:szCs w:val="22"/>
          <w:lang w:val="sr-Latn-ME"/>
        </w:rPr>
        <w:t xml:space="preserve">Toksična stanja kod teških infektivnih bolesti (u kombinaciji s antibioticima/hemoterapeuticima), npr. tuberkolozni meningitis (SD: a), teški, progresivni oblik tuberkuloze pluća (SD: b). </w:t>
      </w:r>
    </w:p>
    <w:p w14:paraId="3D7A3926" w14:textId="77777777" w:rsidR="00054D7D" w:rsidRPr="00456B23" w:rsidRDefault="00054D7D" w:rsidP="00172AC1">
      <w:pPr>
        <w:autoSpaceDE w:val="0"/>
        <w:autoSpaceDN w:val="0"/>
        <w:adjustRightInd w:val="0"/>
        <w:rPr>
          <w:rFonts w:eastAsia="Calibri"/>
          <w:szCs w:val="22"/>
          <w:lang w:val="sr-Latn-ME"/>
        </w:rPr>
      </w:pPr>
    </w:p>
    <w:p w14:paraId="14EF3E79" w14:textId="77777777" w:rsidR="00054D7D" w:rsidRPr="00456B23" w:rsidRDefault="00054D7D" w:rsidP="00172AC1">
      <w:pPr>
        <w:autoSpaceDE w:val="0"/>
        <w:autoSpaceDN w:val="0"/>
        <w:adjustRightInd w:val="0"/>
        <w:rPr>
          <w:rFonts w:eastAsia="Calibri"/>
          <w:szCs w:val="22"/>
          <w:lang w:val="sr-Latn-ME"/>
        </w:rPr>
      </w:pPr>
      <w:r w:rsidRPr="00456B23">
        <w:rPr>
          <w:rFonts w:eastAsia="Calibri"/>
          <w:b/>
          <w:bCs/>
          <w:szCs w:val="22"/>
          <w:lang w:val="sr-Latn-ME"/>
        </w:rPr>
        <w:t xml:space="preserve">Bolesti oka (SD: b do a) </w:t>
      </w:r>
    </w:p>
    <w:p w14:paraId="393C6F5D" w14:textId="6DA28649" w:rsidR="00054D7D" w:rsidRPr="00456B23" w:rsidRDefault="00054D7D" w:rsidP="00172AC1">
      <w:pPr>
        <w:numPr>
          <w:ilvl w:val="0"/>
          <w:numId w:val="15"/>
        </w:numPr>
        <w:autoSpaceDE w:val="0"/>
        <w:autoSpaceDN w:val="0"/>
        <w:adjustRightInd w:val="0"/>
        <w:rPr>
          <w:rFonts w:eastAsia="Calibri"/>
          <w:szCs w:val="22"/>
          <w:lang w:val="sr-Latn-ME"/>
        </w:rPr>
      </w:pPr>
      <w:r w:rsidRPr="00456B23">
        <w:rPr>
          <w:rFonts w:eastAsia="Calibri"/>
          <w:szCs w:val="22"/>
          <w:lang w:val="sr-Latn-ME"/>
        </w:rPr>
        <w:t>Kod sistemskih bol</w:t>
      </w:r>
      <w:r w:rsidR="00D63B7C" w:rsidRPr="00456B23">
        <w:rPr>
          <w:rFonts w:eastAsia="Calibri"/>
          <w:szCs w:val="22"/>
          <w:lang w:val="sr-Latn-ME"/>
        </w:rPr>
        <w:t>esti kojima je zahvaćeno oko i</w:t>
      </w:r>
      <w:r w:rsidRPr="00456B23">
        <w:rPr>
          <w:rFonts w:eastAsia="Calibri"/>
          <w:szCs w:val="22"/>
          <w:lang w:val="sr-Latn-ME"/>
        </w:rPr>
        <w:t xml:space="preserve"> kod imunoloških procesa u orbiti i u oku: optička neuropatija (npr. gigantocelularni arteritis, anteriorna ishemi</w:t>
      </w:r>
      <w:r w:rsidR="008B64D2" w:rsidRPr="00456B23">
        <w:rPr>
          <w:rFonts w:eastAsia="Calibri"/>
          <w:szCs w:val="22"/>
          <w:lang w:val="sr-Latn-ME"/>
        </w:rPr>
        <w:t>jska</w:t>
      </w:r>
      <w:r w:rsidRPr="00456B23">
        <w:rPr>
          <w:rFonts w:eastAsia="Calibri"/>
          <w:szCs w:val="22"/>
          <w:lang w:val="sr-Latn-ME"/>
        </w:rPr>
        <w:t xml:space="preserve"> optička neuropatija (AION), traumatska optička neuropatija) Behçetova bolest, sarkoidoza, endokrina orbitopatija, pseudotumor orbite, odbacivanje transplantata i određeni oblici uveitisa, kao što su Harada sindrom i simpatička oftalmija. </w:t>
      </w:r>
    </w:p>
    <w:p w14:paraId="5E892098" w14:textId="6EC15ACC" w:rsidR="00054D7D" w:rsidRPr="00456B23" w:rsidRDefault="00D63B7C" w:rsidP="00172AC1">
      <w:pPr>
        <w:numPr>
          <w:ilvl w:val="0"/>
          <w:numId w:val="15"/>
        </w:numPr>
        <w:autoSpaceDE w:val="0"/>
        <w:autoSpaceDN w:val="0"/>
        <w:adjustRightInd w:val="0"/>
        <w:rPr>
          <w:rFonts w:eastAsia="Calibri"/>
          <w:szCs w:val="22"/>
          <w:lang w:val="sr-Latn-ME"/>
        </w:rPr>
      </w:pPr>
      <w:r w:rsidRPr="00456B23">
        <w:rPr>
          <w:rFonts w:eastAsia="Calibri"/>
          <w:szCs w:val="22"/>
          <w:lang w:val="sr-Latn-ME"/>
        </w:rPr>
        <w:lastRenderedPageBreak/>
        <w:t>Sistemsko liječenje indikova</w:t>
      </w:r>
      <w:r w:rsidR="00054D7D" w:rsidRPr="00456B23">
        <w:rPr>
          <w:rFonts w:eastAsia="Calibri"/>
          <w:szCs w:val="22"/>
          <w:lang w:val="sr-Latn-ME"/>
        </w:rPr>
        <w:t>no je samo nakon neuspješnog lokalnog liječenja kod sljedećih bolesti: skleritis, episkleritis, keratitis, hronični ciklitis, uveitis, alergijski konjunktivitis, alkalne opekotine, u</w:t>
      </w:r>
      <w:r w:rsidR="008B64D2" w:rsidRPr="00456B23">
        <w:rPr>
          <w:rFonts w:eastAsia="Calibri"/>
          <w:szCs w:val="22"/>
          <w:lang w:val="sr-Latn-ME"/>
        </w:rPr>
        <w:t>z</w:t>
      </w:r>
      <w:r w:rsidR="00054D7D" w:rsidRPr="00456B23">
        <w:rPr>
          <w:rFonts w:eastAsia="Calibri"/>
          <w:szCs w:val="22"/>
          <w:lang w:val="sr-Latn-ME"/>
        </w:rPr>
        <w:t xml:space="preserve"> antimikrobn</w:t>
      </w:r>
      <w:r w:rsidR="008B64D2" w:rsidRPr="00456B23">
        <w:rPr>
          <w:rFonts w:eastAsia="Calibri"/>
          <w:szCs w:val="22"/>
          <w:lang w:val="sr-Latn-ME"/>
        </w:rPr>
        <w:t>u</w:t>
      </w:r>
      <w:r w:rsidR="00054D7D" w:rsidRPr="00456B23">
        <w:rPr>
          <w:rFonts w:eastAsia="Calibri"/>
          <w:szCs w:val="22"/>
          <w:lang w:val="sr-Latn-ME"/>
        </w:rPr>
        <w:t xml:space="preserve"> terapij</w:t>
      </w:r>
      <w:r w:rsidR="008B64D2" w:rsidRPr="00456B23">
        <w:rPr>
          <w:rFonts w:eastAsia="Calibri"/>
          <w:szCs w:val="22"/>
          <w:lang w:val="sr-Latn-ME"/>
        </w:rPr>
        <w:t>u</w:t>
      </w:r>
      <w:r w:rsidR="00054D7D" w:rsidRPr="00456B23">
        <w:rPr>
          <w:rFonts w:eastAsia="Calibri"/>
          <w:szCs w:val="22"/>
          <w:lang w:val="sr-Latn-ME"/>
        </w:rPr>
        <w:t xml:space="preserve"> intersticijskog keratitisa kao autoimune bolesti ili kao posljedice sifilisa, kod stromalnog herpes</w:t>
      </w:r>
      <w:r w:rsidR="00054D7D" w:rsidRPr="00456B23">
        <w:rPr>
          <w:rFonts w:eastAsia="Calibri"/>
          <w:i/>
          <w:szCs w:val="22"/>
          <w:lang w:val="sr-Latn-ME"/>
        </w:rPr>
        <w:t xml:space="preserve"> simplex</w:t>
      </w:r>
      <w:r w:rsidR="00054D7D" w:rsidRPr="00456B23">
        <w:rPr>
          <w:rFonts w:eastAsia="Calibri"/>
          <w:szCs w:val="22"/>
          <w:lang w:val="sr-Latn-ME"/>
        </w:rPr>
        <w:t xml:space="preserve"> keratitisa (samo u slučaju intaktnog kornealnog epitela i uz redovne oftamološke kontrole). </w:t>
      </w:r>
    </w:p>
    <w:p w14:paraId="4DB450F1" w14:textId="77777777" w:rsidR="00054D7D" w:rsidRPr="00456B23" w:rsidRDefault="00054D7D" w:rsidP="00172AC1">
      <w:pPr>
        <w:autoSpaceDE w:val="0"/>
        <w:autoSpaceDN w:val="0"/>
        <w:adjustRightInd w:val="0"/>
        <w:rPr>
          <w:rFonts w:eastAsia="Calibri"/>
          <w:b/>
          <w:bCs/>
          <w:szCs w:val="22"/>
          <w:lang w:val="sr-Latn-ME"/>
        </w:rPr>
      </w:pPr>
    </w:p>
    <w:p w14:paraId="199212B5" w14:textId="77777777" w:rsidR="00054D7D" w:rsidRPr="00456B23" w:rsidRDefault="00054D7D" w:rsidP="00172AC1">
      <w:pPr>
        <w:autoSpaceDE w:val="0"/>
        <w:autoSpaceDN w:val="0"/>
        <w:adjustRightInd w:val="0"/>
        <w:rPr>
          <w:rFonts w:eastAsia="Calibri"/>
          <w:szCs w:val="22"/>
          <w:lang w:val="sr-Latn-ME"/>
        </w:rPr>
      </w:pPr>
      <w:r w:rsidRPr="00456B23">
        <w:rPr>
          <w:rFonts w:eastAsia="Calibri"/>
          <w:b/>
          <w:bCs/>
          <w:szCs w:val="22"/>
          <w:lang w:val="sr-Latn-ME"/>
        </w:rPr>
        <w:t xml:space="preserve">Bolesti gastrointestinalnog trakta i jetre </w:t>
      </w:r>
    </w:p>
    <w:p w14:paraId="13E4657A" w14:textId="77777777" w:rsidR="00054D7D" w:rsidRPr="00456B23" w:rsidRDefault="00054D7D" w:rsidP="00172AC1">
      <w:pPr>
        <w:numPr>
          <w:ilvl w:val="0"/>
          <w:numId w:val="16"/>
        </w:numPr>
        <w:autoSpaceDE w:val="0"/>
        <w:autoSpaceDN w:val="0"/>
        <w:adjustRightInd w:val="0"/>
        <w:rPr>
          <w:rFonts w:eastAsia="Calibri"/>
          <w:szCs w:val="22"/>
          <w:lang w:val="sr-Latn-ME"/>
        </w:rPr>
      </w:pPr>
      <w:r w:rsidRPr="00456B23">
        <w:rPr>
          <w:rFonts w:eastAsia="Calibri"/>
          <w:szCs w:val="22"/>
          <w:lang w:val="sr-Latn-ME"/>
        </w:rPr>
        <w:t xml:space="preserve">Ulcerozni kolitis (SD: b do c). </w:t>
      </w:r>
    </w:p>
    <w:p w14:paraId="3C15A3E1" w14:textId="77777777" w:rsidR="00054D7D" w:rsidRPr="00456B23" w:rsidRDefault="00054D7D" w:rsidP="00172AC1">
      <w:pPr>
        <w:numPr>
          <w:ilvl w:val="0"/>
          <w:numId w:val="16"/>
        </w:numPr>
        <w:autoSpaceDE w:val="0"/>
        <w:autoSpaceDN w:val="0"/>
        <w:adjustRightInd w:val="0"/>
        <w:contextualSpacing/>
        <w:rPr>
          <w:rFonts w:eastAsia="Calibri"/>
          <w:szCs w:val="22"/>
          <w:lang w:val="sr-Latn-ME"/>
        </w:rPr>
      </w:pPr>
      <w:r w:rsidRPr="00456B23">
        <w:rPr>
          <w:rFonts w:eastAsia="Calibri"/>
          <w:szCs w:val="22"/>
          <w:lang w:val="sr-Latn-ME"/>
        </w:rPr>
        <w:t xml:space="preserve">Crohnova bolest (SD: b). </w:t>
      </w:r>
    </w:p>
    <w:p w14:paraId="253CCF2C" w14:textId="77777777" w:rsidR="00054D7D" w:rsidRPr="00456B23" w:rsidRDefault="00054D7D" w:rsidP="00172AC1">
      <w:pPr>
        <w:numPr>
          <w:ilvl w:val="0"/>
          <w:numId w:val="16"/>
        </w:numPr>
        <w:autoSpaceDE w:val="0"/>
        <w:autoSpaceDN w:val="0"/>
        <w:adjustRightInd w:val="0"/>
        <w:contextualSpacing/>
        <w:rPr>
          <w:rFonts w:eastAsia="Calibri"/>
          <w:szCs w:val="22"/>
          <w:lang w:val="sr-Latn-ME"/>
        </w:rPr>
      </w:pPr>
      <w:r w:rsidRPr="00456B23">
        <w:rPr>
          <w:rFonts w:eastAsia="Calibri"/>
          <w:szCs w:val="22"/>
          <w:lang w:val="sr-Latn-ME"/>
        </w:rPr>
        <w:t xml:space="preserve">Autoimuni hepatitis (SD: b). </w:t>
      </w:r>
    </w:p>
    <w:p w14:paraId="28E49C0F" w14:textId="77777777" w:rsidR="00054D7D" w:rsidRPr="00456B23" w:rsidRDefault="00054D7D" w:rsidP="00172AC1">
      <w:pPr>
        <w:numPr>
          <w:ilvl w:val="0"/>
          <w:numId w:val="16"/>
        </w:numPr>
        <w:autoSpaceDE w:val="0"/>
        <w:autoSpaceDN w:val="0"/>
        <w:adjustRightInd w:val="0"/>
        <w:contextualSpacing/>
        <w:rPr>
          <w:rFonts w:eastAsia="Calibri"/>
          <w:szCs w:val="22"/>
          <w:lang w:val="sr-Latn-ME"/>
        </w:rPr>
      </w:pPr>
      <w:r w:rsidRPr="00456B23">
        <w:rPr>
          <w:rFonts w:eastAsia="Calibri"/>
          <w:szCs w:val="22"/>
          <w:lang w:val="sr-Latn-ME"/>
        </w:rPr>
        <w:t xml:space="preserve">Opekotine ezofagusa (SD: a). </w:t>
      </w:r>
    </w:p>
    <w:p w14:paraId="6543B374" w14:textId="77777777" w:rsidR="008B64D2" w:rsidRPr="00456B23" w:rsidRDefault="008B64D2" w:rsidP="00172AC1">
      <w:pPr>
        <w:autoSpaceDE w:val="0"/>
        <w:autoSpaceDN w:val="0"/>
        <w:adjustRightInd w:val="0"/>
        <w:rPr>
          <w:rFonts w:eastAsia="Calibri"/>
          <w:b/>
          <w:bCs/>
          <w:szCs w:val="22"/>
          <w:lang w:val="sr-Latn-ME"/>
        </w:rPr>
      </w:pPr>
    </w:p>
    <w:p w14:paraId="71485855" w14:textId="77777777" w:rsidR="00054D7D" w:rsidRPr="00456B23" w:rsidRDefault="00054D7D" w:rsidP="00172AC1">
      <w:pPr>
        <w:autoSpaceDE w:val="0"/>
        <w:autoSpaceDN w:val="0"/>
        <w:adjustRightInd w:val="0"/>
        <w:rPr>
          <w:rFonts w:eastAsia="Calibri"/>
          <w:szCs w:val="22"/>
          <w:lang w:val="sr-Latn-ME"/>
        </w:rPr>
      </w:pPr>
      <w:r w:rsidRPr="00456B23">
        <w:rPr>
          <w:rFonts w:eastAsia="Calibri"/>
          <w:b/>
          <w:bCs/>
          <w:szCs w:val="22"/>
          <w:lang w:val="sr-Latn-ME"/>
        </w:rPr>
        <w:t>Nefrološke bolesti</w:t>
      </w:r>
    </w:p>
    <w:p w14:paraId="7F71A3FE" w14:textId="77777777" w:rsidR="00054D7D" w:rsidRPr="00456B23" w:rsidRDefault="00054D7D" w:rsidP="00172AC1">
      <w:pPr>
        <w:numPr>
          <w:ilvl w:val="0"/>
          <w:numId w:val="17"/>
        </w:numPr>
        <w:autoSpaceDE w:val="0"/>
        <w:autoSpaceDN w:val="0"/>
        <w:adjustRightInd w:val="0"/>
        <w:rPr>
          <w:rFonts w:eastAsia="Calibri"/>
          <w:szCs w:val="22"/>
          <w:lang w:val="sr-Latn-ME"/>
        </w:rPr>
      </w:pPr>
      <w:r w:rsidRPr="00456B23">
        <w:rPr>
          <w:rFonts w:eastAsia="Calibri"/>
          <w:szCs w:val="22"/>
          <w:lang w:val="sr-Latn-ME"/>
        </w:rPr>
        <w:t xml:space="preserve">Glomerulonefritis s minimalnim promjenama (SD: a). </w:t>
      </w:r>
    </w:p>
    <w:p w14:paraId="45AD55DD" w14:textId="77777777" w:rsidR="00054D7D" w:rsidRPr="00456B23" w:rsidRDefault="00054D7D" w:rsidP="00172AC1">
      <w:pPr>
        <w:numPr>
          <w:ilvl w:val="0"/>
          <w:numId w:val="17"/>
        </w:numPr>
        <w:rPr>
          <w:rFonts w:eastAsia="Calibri"/>
          <w:szCs w:val="22"/>
          <w:lang w:val="sr-Latn-ME"/>
        </w:rPr>
      </w:pPr>
      <w:r w:rsidRPr="00456B23">
        <w:rPr>
          <w:rFonts w:eastAsia="Calibri"/>
          <w:szCs w:val="22"/>
          <w:lang w:val="sr-Latn-ME"/>
        </w:rPr>
        <w:t xml:space="preserve">Ekstrakapilarni proliferativni glomerulonefritis (rapidni progresivni glomerulonefritis) (SD: udarna terapija s visokim dozama, obično u kombinaciji s citostaticima), kod Goodpastureovog sindroma redukcija i prestanak liječenja, a kod svih ostalih oblika, dugotrajni nastavak liječenja (SD: d) </w:t>
      </w:r>
    </w:p>
    <w:p w14:paraId="25C3CC3D" w14:textId="77777777" w:rsidR="00054D7D" w:rsidRPr="00456B23" w:rsidRDefault="00054D7D" w:rsidP="00172AC1">
      <w:pPr>
        <w:numPr>
          <w:ilvl w:val="0"/>
          <w:numId w:val="17"/>
        </w:numPr>
        <w:rPr>
          <w:color w:val="000000"/>
          <w:szCs w:val="22"/>
          <w:lang w:val="sr-Latn-ME"/>
        </w:rPr>
      </w:pPr>
      <w:r w:rsidRPr="00456B23">
        <w:rPr>
          <w:rFonts w:eastAsia="Calibri"/>
          <w:szCs w:val="22"/>
          <w:lang w:val="sr-Latn-ME"/>
        </w:rPr>
        <w:t xml:space="preserve">Idiopatska retroperitonealna fibroza (SD: b). </w:t>
      </w:r>
    </w:p>
    <w:p w14:paraId="637F088A" w14:textId="77777777" w:rsidR="008B64D2" w:rsidRPr="00456B23" w:rsidRDefault="008B64D2" w:rsidP="006B28D6">
      <w:pPr>
        <w:ind w:left="720"/>
        <w:rPr>
          <w:color w:val="000000"/>
          <w:szCs w:val="22"/>
          <w:lang w:val="sr-Latn-ME"/>
        </w:rPr>
      </w:pPr>
    </w:p>
    <w:p w14:paraId="1B7781CF" w14:textId="77777777" w:rsidR="003D6377" w:rsidRPr="00456B23" w:rsidRDefault="00054D7D" w:rsidP="006B28D6">
      <w:pPr>
        <w:pStyle w:val="Heading2"/>
        <w:numPr>
          <w:ilvl w:val="1"/>
          <w:numId w:val="3"/>
        </w:numPr>
        <w:spacing w:before="0" w:after="0" w:line="360" w:lineRule="auto"/>
        <w:rPr>
          <w:bCs/>
          <w:color w:val="000000"/>
          <w:szCs w:val="22"/>
          <w:lang w:val="sr-Latn-ME"/>
        </w:rPr>
      </w:pPr>
      <w:r w:rsidRPr="00456B23">
        <w:rPr>
          <w:bCs/>
          <w:color w:val="000000"/>
          <w:szCs w:val="22"/>
          <w:lang w:val="sr-Latn-ME"/>
        </w:rPr>
        <w:t xml:space="preserve"> Doziranje i način primjene</w:t>
      </w:r>
    </w:p>
    <w:p w14:paraId="52BB9659" w14:textId="77777777" w:rsidR="003D6377" w:rsidRPr="00456B23" w:rsidRDefault="003D6377" w:rsidP="006B28D6">
      <w:pPr>
        <w:rPr>
          <w:szCs w:val="22"/>
          <w:lang w:val="sr-Latn-ME"/>
        </w:rPr>
      </w:pPr>
    </w:p>
    <w:p w14:paraId="0183BE5C" w14:textId="77777777" w:rsidR="00054D7D" w:rsidRPr="00456B23" w:rsidRDefault="00054D7D" w:rsidP="00172AC1">
      <w:pPr>
        <w:tabs>
          <w:tab w:val="left" w:pos="540"/>
          <w:tab w:val="left" w:pos="569"/>
        </w:tabs>
        <w:rPr>
          <w:b/>
          <w:bCs/>
          <w:szCs w:val="22"/>
          <w:u w:val="single"/>
          <w:lang w:val="sr-Latn-ME"/>
        </w:rPr>
      </w:pPr>
      <w:r w:rsidRPr="00456B23">
        <w:rPr>
          <w:b/>
          <w:bCs/>
          <w:szCs w:val="22"/>
          <w:u w:val="single"/>
          <w:lang w:val="sr-Latn-ME"/>
        </w:rPr>
        <w:t>Doziranje</w:t>
      </w:r>
    </w:p>
    <w:p w14:paraId="362A83B9" w14:textId="77777777" w:rsidR="00054D7D" w:rsidRPr="00456B23" w:rsidRDefault="00054D7D" w:rsidP="00172AC1">
      <w:pPr>
        <w:tabs>
          <w:tab w:val="left" w:pos="540"/>
          <w:tab w:val="left" w:pos="569"/>
        </w:tabs>
        <w:rPr>
          <w:b/>
          <w:bCs/>
          <w:szCs w:val="22"/>
          <w:u w:val="single"/>
          <w:lang w:val="sr-Latn-ME"/>
        </w:rPr>
      </w:pPr>
    </w:p>
    <w:p w14:paraId="180C21CF" w14:textId="43060846" w:rsidR="00054D7D" w:rsidRPr="00456B23" w:rsidRDefault="00054D7D" w:rsidP="00172AC1">
      <w:pPr>
        <w:autoSpaceDE w:val="0"/>
        <w:autoSpaceDN w:val="0"/>
        <w:adjustRightInd w:val="0"/>
        <w:rPr>
          <w:szCs w:val="22"/>
          <w:lang w:val="sr-Latn-ME"/>
        </w:rPr>
      </w:pPr>
      <w:r w:rsidRPr="00456B23">
        <w:rPr>
          <w:szCs w:val="22"/>
          <w:lang w:val="sr-Latn-ME"/>
        </w:rPr>
        <w:t>Doziranje zavisi od vrste i težine bolesti, kao i od individualnog odgovora pacijenta. Generalno, inicijalno se primjenjuju relativno visoke doze, koje kod teških akutnih oblika moraju biti značajno vi</w:t>
      </w:r>
      <w:r w:rsidR="00D63B7C" w:rsidRPr="00456B23">
        <w:rPr>
          <w:szCs w:val="22"/>
          <w:lang w:val="sr-Latn-ME"/>
        </w:rPr>
        <w:t>še nego kod hroničnih bolesti. Za</w:t>
      </w:r>
      <w:r w:rsidRPr="00456B23">
        <w:rPr>
          <w:szCs w:val="22"/>
          <w:lang w:val="sr-Latn-ME"/>
        </w:rPr>
        <w:t>visno o</w:t>
      </w:r>
      <w:r w:rsidR="00D63B7C" w:rsidRPr="00456B23">
        <w:rPr>
          <w:szCs w:val="22"/>
          <w:lang w:val="sr-Latn-ME"/>
        </w:rPr>
        <w:t>d kliničkih</w:t>
      </w:r>
      <w:r w:rsidRPr="00456B23">
        <w:rPr>
          <w:szCs w:val="22"/>
          <w:lang w:val="sr-Latn-ME"/>
        </w:rPr>
        <w:t xml:space="preserve"> simpt</w:t>
      </w:r>
      <w:r w:rsidR="00D63B7C" w:rsidRPr="00456B23">
        <w:rPr>
          <w:szCs w:val="22"/>
          <w:lang w:val="sr-Latn-ME"/>
        </w:rPr>
        <w:t>oma i individualnog odgovora</w:t>
      </w:r>
      <w:r w:rsidRPr="00456B23">
        <w:rPr>
          <w:szCs w:val="22"/>
          <w:lang w:val="sr-Latn-ME"/>
        </w:rPr>
        <w:t xml:space="preserve"> pacijenta, doza se može različitom brzinom (u različitim vremenskim intervalima) smanjiti do najniže moguće doze održavanja (</w:t>
      </w:r>
      <w:r w:rsidR="008B64D2" w:rsidRPr="00456B23">
        <w:rPr>
          <w:szCs w:val="22"/>
          <w:lang w:val="sr-Latn-ME"/>
        </w:rPr>
        <w:t>po</w:t>
      </w:r>
      <w:r w:rsidRPr="00456B23">
        <w:rPr>
          <w:szCs w:val="22"/>
          <w:lang w:val="sr-Latn-ME"/>
        </w:rPr>
        <w:t xml:space="preserve"> pravilu između 5 i 15 mg prednizona dnevno). Hronične bolesti često zahtijevaju dugotrajno liječenje s niskim dozama održavanja. </w:t>
      </w:r>
    </w:p>
    <w:p w14:paraId="2479B9B9" w14:textId="77777777" w:rsidR="00054D7D" w:rsidRPr="00456B23" w:rsidRDefault="00054D7D" w:rsidP="00172AC1">
      <w:pPr>
        <w:autoSpaceDE w:val="0"/>
        <w:autoSpaceDN w:val="0"/>
        <w:adjustRightInd w:val="0"/>
        <w:rPr>
          <w:szCs w:val="22"/>
          <w:lang w:val="sr-Latn-ME"/>
        </w:rPr>
      </w:pPr>
    </w:p>
    <w:p w14:paraId="6CD6B889" w14:textId="67C34E43" w:rsidR="00054D7D" w:rsidRPr="00456B23" w:rsidRDefault="00054D7D" w:rsidP="00172AC1">
      <w:pPr>
        <w:rPr>
          <w:szCs w:val="22"/>
          <w:lang w:val="sr-Latn-ME"/>
        </w:rPr>
      </w:pPr>
      <w:r w:rsidRPr="00456B23">
        <w:rPr>
          <w:szCs w:val="22"/>
          <w:lang w:val="sr-Latn-ME"/>
        </w:rPr>
        <w:t>Ako nije drugačije propisano, primjenjuj</w:t>
      </w:r>
      <w:r w:rsidR="0056489B" w:rsidRPr="00456B23">
        <w:rPr>
          <w:szCs w:val="22"/>
          <w:lang w:val="sr-Latn-ME"/>
        </w:rPr>
        <w:t>e se prema sljedećoj shemi</w:t>
      </w:r>
      <w:r w:rsidRPr="00456B23">
        <w:rPr>
          <w:szCs w:val="22"/>
          <w:lang w:val="sr-Latn-ME"/>
        </w:rPr>
        <w:t xml:space="preserve"> doziranj</w:t>
      </w:r>
      <w:r w:rsidR="0056489B" w:rsidRPr="00456B23">
        <w:rPr>
          <w:szCs w:val="22"/>
          <w:lang w:val="sr-Latn-ME"/>
        </w:rPr>
        <w:t>a</w:t>
      </w:r>
      <w:r w:rsidRPr="00456B23">
        <w:rPr>
          <w:szCs w:val="22"/>
          <w:lang w:val="sr-Latn-ME"/>
        </w:rPr>
        <w:t>:</w:t>
      </w:r>
    </w:p>
    <w:p w14:paraId="047240CE" w14:textId="77777777" w:rsidR="00054D7D" w:rsidRPr="00456B23" w:rsidRDefault="00054D7D" w:rsidP="00172AC1">
      <w:pPr>
        <w:rPr>
          <w:szCs w:val="22"/>
          <w:lang w:val="sr-Latn-ME"/>
        </w:rPr>
      </w:pPr>
    </w:p>
    <w:p w14:paraId="2E2CDB01" w14:textId="77777777" w:rsidR="00054D7D" w:rsidRPr="00456B23" w:rsidRDefault="00F70D46" w:rsidP="00172AC1">
      <w:pPr>
        <w:autoSpaceDE w:val="0"/>
        <w:autoSpaceDN w:val="0"/>
        <w:adjustRightInd w:val="0"/>
        <w:ind w:right="-28"/>
        <w:rPr>
          <w:szCs w:val="22"/>
          <w:lang w:val="sr-Latn-ME"/>
        </w:rPr>
      </w:pPr>
      <w:r w:rsidRPr="00456B23">
        <w:rPr>
          <w:b/>
          <w:bCs/>
          <w:i/>
          <w:iCs/>
          <w:szCs w:val="22"/>
          <w:lang w:val="sr-Latn-ME"/>
        </w:rPr>
        <w:t>Dopunsko</w:t>
      </w:r>
      <w:r w:rsidR="00054D7D" w:rsidRPr="00456B23">
        <w:rPr>
          <w:b/>
          <w:bCs/>
          <w:i/>
          <w:iCs/>
          <w:szCs w:val="22"/>
          <w:lang w:val="sr-Latn-ME"/>
        </w:rPr>
        <w:t xml:space="preserve"> liječenje (nakon perioda rasta) </w:t>
      </w:r>
    </w:p>
    <w:p w14:paraId="09DA89BC" w14:textId="77777777" w:rsidR="00054D7D" w:rsidRPr="00456B23" w:rsidRDefault="00054D7D" w:rsidP="00172AC1">
      <w:pPr>
        <w:autoSpaceDE w:val="0"/>
        <w:autoSpaceDN w:val="0"/>
        <w:adjustRightInd w:val="0"/>
        <w:ind w:right="-28"/>
        <w:rPr>
          <w:szCs w:val="22"/>
          <w:lang w:val="sr-Latn-ME"/>
        </w:rPr>
      </w:pPr>
      <w:r w:rsidRPr="00456B23">
        <w:rPr>
          <w:szCs w:val="22"/>
          <w:lang w:val="sr-Latn-ME"/>
        </w:rPr>
        <w:t>5-7,5 mg prednizona dnevno, podijeljeno u dvije pojedinačne doze (ujutro i u podne, a kod adrenogeni</w:t>
      </w:r>
      <w:r w:rsidR="00F70D46" w:rsidRPr="00456B23">
        <w:rPr>
          <w:szCs w:val="22"/>
          <w:lang w:val="sr-Latn-ME"/>
        </w:rPr>
        <w:t>talnog sindroma ujutro i uveče</w:t>
      </w:r>
      <w:r w:rsidRPr="00456B23">
        <w:rPr>
          <w:szCs w:val="22"/>
          <w:lang w:val="sr-Latn-ME"/>
        </w:rPr>
        <w:t xml:space="preserve">). Kod adrenogenitalnog sindroma, večernja doza namijenjena je smanjivanju noćnog povećanja ACTH-a, a time i sprječavanju hiperplazije nadbubrežne žlijezde. Ako je potrebno, može se dodati i mineralokortikoid (fludrokortizon). U slučaju naročitog tjelesnog stresa (traume, hirurški zahvati), interkurentnih infekcija itd., može biti potrebno povećanje doze za 2-3 puta, a kod ekstremnog stresa (npr. porod) i do 10 puta. </w:t>
      </w:r>
    </w:p>
    <w:p w14:paraId="1FE2B901" w14:textId="77777777" w:rsidR="00054D7D" w:rsidRPr="00456B23" w:rsidRDefault="00054D7D" w:rsidP="00172AC1">
      <w:pPr>
        <w:autoSpaceDE w:val="0"/>
        <w:autoSpaceDN w:val="0"/>
        <w:adjustRightInd w:val="0"/>
        <w:ind w:right="-29"/>
        <w:rPr>
          <w:szCs w:val="22"/>
          <w:lang w:val="sr-Latn-ME"/>
        </w:rPr>
      </w:pPr>
    </w:p>
    <w:p w14:paraId="57E02EAF" w14:textId="5E53FD8C" w:rsidR="00054D7D" w:rsidRPr="00456B23" w:rsidRDefault="00054D7D" w:rsidP="00172AC1">
      <w:pPr>
        <w:autoSpaceDE w:val="0"/>
        <w:autoSpaceDN w:val="0"/>
        <w:adjustRightInd w:val="0"/>
        <w:ind w:right="-29"/>
        <w:rPr>
          <w:szCs w:val="22"/>
          <w:lang w:val="sr-Latn-ME"/>
        </w:rPr>
      </w:pPr>
      <w:r w:rsidRPr="00456B23">
        <w:rPr>
          <w:szCs w:val="22"/>
          <w:lang w:val="sr-Latn-ME"/>
        </w:rPr>
        <w:t xml:space="preserve">U stanjima stresa nakon dugotrajnog liječenja s glukortikoidima: </w:t>
      </w:r>
      <w:r w:rsidR="00196762" w:rsidRPr="00456B23">
        <w:rPr>
          <w:szCs w:val="22"/>
          <w:lang w:val="sr-Latn-ME"/>
        </w:rPr>
        <w:t>primjena viših doza</w:t>
      </w:r>
      <w:r w:rsidRPr="00456B23">
        <w:rPr>
          <w:szCs w:val="22"/>
          <w:lang w:val="sr-Latn-ME"/>
        </w:rPr>
        <w:t xml:space="preserve"> do 50 mg prednizona dnevno. Nakon toga, postepeno smanjivanje doze, tokom nekoliko dana. </w:t>
      </w:r>
    </w:p>
    <w:p w14:paraId="4E6BC8D0" w14:textId="77777777" w:rsidR="00054D7D" w:rsidRPr="00456B23" w:rsidRDefault="00054D7D" w:rsidP="00172AC1">
      <w:pPr>
        <w:autoSpaceDE w:val="0"/>
        <w:autoSpaceDN w:val="0"/>
        <w:adjustRightInd w:val="0"/>
        <w:ind w:right="-29"/>
        <w:rPr>
          <w:szCs w:val="22"/>
          <w:lang w:val="sr-Latn-ME"/>
        </w:rPr>
      </w:pPr>
    </w:p>
    <w:p w14:paraId="1803BA38" w14:textId="77777777" w:rsidR="00054D7D" w:rsidRPr="00456B23" w:rsidRDefault="00054D7D" w:rsidP="00172AC1">
      <w:pPr>
        <w:autoSpaceDE w:val="0"/>
        <w:autoSpaceDN w:val="0"/>
        <w:adjustRightInd w:val="0"/>
        <w:ind w:right="-29"/>
        <w:rPr>
          <w:szCs w:val="22"/>
          <w:lang w:val="sr-Latn-ME"/>
        </w:rPr>
      </w:pPr>
      <w:r w:rsidRPr="00456B23">
        <w:rPr>
          <w:b/>
          <w:bCs/>
          <w:i/>
          <w:iCs/>
          <w:szCs w:val="22"/>
          <w:lang w:val="sr-Latn-ME"/>
        </w:rPr>
        <w:t xml:space="preserve">Farmakološko liječenje </w:t>
      </w:r>
    </w:p>
    <w:p w14:paraId="620BA3F9" w14:textId="77777777" w:rsidR="00054D7D" w:rsidRPr="00456B23" w:rsidRDefault="00054D7D" w:rsidP="00172AC1">
      <w:pPr>
        <w:autoSpaceDE w:val="0"/>
        <w:autoSpaceDN w:val="0"/>
        <w:adjustRightInd w:val="0"/>
        <w:rPr>
          <w:szCs w:val="22"/>
          <w:lang w:val="sr-Latn-ME"/>
        </w:rPr>
      </w:pPr>
      <w:r w:rsidRPr="00456B23">
        <w:rPr>
          <w:szCs w:val="22"/>
          <w:lang w:val="sr-Latn-ME"/>
        </w:rPr>
        <w:t xml:space="preserve">Sljedeće tabele prikazuju pregled opštih smjernica za doziranje, u skladu s važećim specijalističkim literaturnim podacima: </w:t>
      </w:r>
    </w:p>
    <w:p w14:paraId="739E790C" w14:textId="77777777" w:rsidR="00342495" w:rsidRPr="00456B23" w:rsidRDefault="00342495">
      <w:pPr>
        <w:spacing w:after="160" w:line="259" w:lineRule="auto"/>
        <w:jc w:val="left"/>
        <w:rPr>
          <w:szCs w:val="22"/>
          <w:lang w:val="sr-Latn-ME"/>
        </w:rPr>
      </w:pPr>
      <w:r w:rsidRPr="00456B23">
        <w:rPr>
          <w:szCs w:val="22"/>
          <w:lang w:val="sr-Latn-ME"/>
        </w:rPr>
        <w:br w:type="page"/>
      </w:r>
    </w:p>
    <w:p w14:paraId="2BE92CF6" w14:textId="77777777" w:rsidR="00054D7D" w:rsidRPr="00456B23" w:rsidRDefault="00054D7D" w:rsidP="00172AC1">
      <w:pPr>
        <w:rPr>
          <w:i/>
          <w:szCs w:val="22"/>
          <w:lang w:val="sr-Latn-ME"/>
        </w:rPr>
      </w:pPr>
      <w:r w:rsidRPr="00456B23">
        <w:rPr>
          <w:i/>
          <w:szCs w:val="22"/>
          <w:lang w:val="sr-Latn-ME"/>
        </w:rPr>
        <w:lastRenderedPageBreak/>
        <w:t>Odrasli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835"/>
        <w:gridCol w:w="2835"/>
      </w:tblGrid>
      <w:tr w:rsidR="00054D7D" w:rsidRPr="00456B23" w14:paraId="71B8D669" w14:textId="77777777" w:rsidTr="00172AC1">
        <w:tc>
          <w:tcPr>
            <w:tcW w:w="2518" w:type="dxa"/>
            <w:shd w:val="clear" w:color="auto" w:fill="auto"/>
          </w:tcPr>
          <w:p w14:paraId="2B6EB23C" w14:textId="77777777" w:rsidR="00054D7D" w:rsidRPr="00456B23" w:rsidRDefault="00054D7D">
            <w:pPr>
              <w:keepNext/>
              <w:spacing w:before="240" w:after="120"/>
              <w:jc w:val="center"/>
              <w:outlineLvl w:val="1"/>
              <w:rPr>
                <w:rFonts w:eastAsia="Calibri"/>
                <w:b/>
                <w:szCs w:val="22"/>
                <w:lang w:val="sr-Latn-ME"/>
              </w:rPr>
            </w:pPr>
            <w:r w:rsidRPr="00456B23">
              <w:rPr>
                <w:rFonts w:eastAsia="Calibri"/>
                <w:b/>
                <w:szCs w:val="22"/>
                <w:lang w:val="sr-Latn-ME"/>
              </w:rPr>
              <w:t>Doza</w:t>
            </w:r>
          </w:p>
        </w:tc>
        <w:tc>
          <w:tcPr>
            <w:tcW w:w="2835" w:type="dxa"/>
            <w:shd w:val="clear" w:color="auto" w:fill="auto"/>
          </w:tcPr>
          <w:p w14:paraId="50B86B9B" w14:textId="77777777" w:rsidR="00054D7D" w:rsidRPr="00456B23" w:rsidRDefault="00054D7D">
            <w:pPr>
              <w:keepNext/>
              <w:spacing w:before="240" w:after="120"/>
              <w:jc w:val="center"/>
              <w:outlineLvl w:val="1"/>
              <w:rPr>
                <w:rFonts w:eastAsia="Calibri"/>
                <w:b/>
                <w:szCs w:val="22"/>
                <w:lang w:val="sr-Latn-ME"/>
              </w:rPr>
            </w:pPr>
            <w:r w:rsidRPr="00456B23">
              <w:rPr>
                <w:rFonts w:eastAsia="Calibri"/>
                <w:b/>
                <w:szCs w:val="22"/>
                <w:lang w:val="sr-Latn-ME"/>
              </w:rPr>
              <w:t>Doza u mg/dan</w:t>
            </w:r>
          </w:p>
        </w:tc>
        <w:tc>
          <w:tcPr>
            <w:tcW w:w="2835" w:type="dxa"/>
            <w:shd w:val="clear" w:color="auto" w:fill="auto"/>
          </w:tcPr>
          <w:p w14:paraId="4E0501E8" w14:textId="77777777" w:rsidR="00054D7D" w:rsidRPr="00456B23" w:rsidRDefault="00054D7D" w:rsidP="006B28D6">
            <w:pPr>
              <w:jc w:val="center"/>
              <w:rPr>
                <w:rFonts w:eastAsia="Calibri"/>
                <w:szCs w:val="22"/>
                <w:lang w:val="sr-Latn-ME"/>
              </w:rPr>
            </w:pPr>
          </w:p>
          <w:tbl>
            <w:tblPr>
              <w:tblW w:w="0" w:type="auto"/>
              <w:tblBorders>
                <w:top w:val="nil"/>
                <w:left w:val="nil"/>
                <w:bottom w:val="nil"/>
                <w:right w:val="nil"/>
              </w:tblBorders>
              <w:tblLook w:val="0000" w:firstRow="0" w:lastRow="0" w:firstColumn="0" w:lastColumn="0" w:noHBand="0" w:noVBand="0"/>
            </w:tblPr>
            <w:tblGrid>
              <w:gridCol w:w="2313"/>
            </w:tblGrid>
            <w:tr w:rsidR="00054D7D" w:rsidRPr="00456B23" w14:paraId="42C4002C" w14:textId="77777777" w:rsidTr="00172AC1">
              <w:trPr>
                <w:trHeight w:val="147"/>
              </w:trPr>
              <w:tc>
                <w:tcPr>
                  <w:tcW w:w="2313" w:type="dxa"/>
                </w:tcPr>
                <w:p w14:paraId="31271100" w14:textId="77777777" w:rsidR="00054D7D" w:rsidRPr="00456B23" w:rsidRDefault="00054D7D">
                  <w:pPr>
                    <w:autoSpaceDE w:val="0"/>
                    <w:autoSpaceDN w:val="0"/>
                    <w:adjustRightInd w:val="0"/>
                    <w:jc w:val="center"/>
                    <w:rPr>
                      <w:b/>
                      <w:szCs w:val="22"/>
                      <w:lang w:val="sr-Latn-ME"/>
                    </w:rPr>
                  </w:pPr>
                  <w:r w:rsidRPr="00456B23">
                    <w:rPr>
                      <w:b/>
                      <w:szCs w:val="22"/>
                      <w:lang w:val="sr-Latn-ME"/>
                    </w:rPr>
                    <w:t>Doza u mg/kg TT/dan</w:t>
                  </w:r>
                </w:p>
              </w:tc>
            </w:tr>
          </w:tbl>
          <w:p w14:paraId="74476349" w14:textId="77777777" w:rsidR="00054D7D" w:rsidRPr="00456B23" w:rsidRDefault="00054D7D" w:rsidP="006B28D6">
            <w:pPr>
              <w:keepNext/>
              <w:spacing w:before="240" w:after="120"/>
              <w:jc w:val="center"/>
              <w:outlineLvl w:val="1"/>
              <w:rPr>
                <w:rFonts w:eastAsia="Calibri"/>
                <w:szCs w:val="22"/>
                <w:lang w:val="sr-Latn-ME"/>
              </w:rPr>
            </w:pPr>
          </w:p>
        </w:tc>
      </w:tr>
      <w:tr w:rsidR="00054D7D" w:rsidRPr="00456B23" w14:paraId="7C48FF62" w14:textId="77777777" w:rsidTr="00172AC1">
        <w:tc>
          <w:tcPr>
            <w:tcW w:w="2518" w:type="dxa"/>
            <w:shd w:val="clear" w:color="auto" w:fill="auto"/>
          </w:tcPr>
          <w:p w14:paraId="5B0673C0" w14:textId="77777777" w:rsidR="00054D7D" w:rsidRPr="00456B23" w:rsidRDefault="00054D7D" w:rsidP="006B28D6">
            <w:pPr>
              <w:keepNext/>
              <w:numPr>
                <w:ilvl w:val="0"/>
                <w:numId w:val="18"/>
              </w:numPr>
              <w:spacing w:before="240" w:after="120"/>
              <w:contextualSpacing/>
              <w:jc w:val="center"/>
              <w:outlineLvl w:val="1"/>
              <w:rPr>
                <w:rFonts w:eastAsia="Calibri"/>
                <w:szCs w:val="22"/>
                <w:lang w:val="sr-Latn-ME"/>
              </w:rPr>
            </w:pPr>
            <w:r w:rsidRPr="00456B23">
              <w:rPr>
                <w:rFonts w:eastAsia="Calibri"/>
                <w:szCs w:val="22"/>
                <w:lang w:val="sr-Latn-ME"/>
              </w:rPr>
              <w:t>Visoka</w:t>
            </w:r>
          </w:p>
        </w:tc>
        <w:tc>
          <w:tcPr>
            <w:tcW w:w="2835" w:type="dxa"/>
            <w:shd w:val="clear" w:color="auto" w:fill="auto"/>
          </w:tcPr>
          <w:p w14:paraId="21938576" w14:textId="77777777" w:rsidR="00054D7D" w:rsidRPr="00456B23" w:rsidRDefault="00054D7D">
            <w:pPr>
              <w:keepNext/>
              <w:spacing w:before="240" w:after="120"/>
              <w:jc w:val="center"/>
              <w:outlineLvl w:val="1"/>
              <w:rPr>
                <w:rFonts w:eastAsia="Calibri"/>
                <w:szCs w:val="22"/>
                <w:lang w:val="sr-Latn-ME"/>
              </w:rPr>
            </w:pPr>
            <w:r w:rsidRPr="00456B23">
              <w:rPr>
                <w:rFonts w:eastAsia="Calibri"/>
                <w:szCs w:val="22"/>
                <w:lang w:val="sr-Latn-ME"/>
              </w:rPr>
              <w:t>80 -100 (250)</w:t>
            </w:r>
          </w:p>
        </w:tc>
        <w:tc>
          <w:tcPr>
            <w:tcW w:w="2835" w:type="dxa"/>
            <w:shd w:val="clear" w:color="auto" w:fill="auto"/>
          </w:tcPr>
          <w:p w14:paraId="3373CB3F" w14:textId="77777777" w:rsidR="00054D7D" w:rsidRPr="00456B23" w:rsidRDefault="00054D7D">
            <w:pPr>
              <w:keepNext/>
              <w:spacing w:before="240" w:after="120"/>
              <w:jc w:val="center"/>
              <w:outlineLvl w:val="1"/>
              <w:rPr>
                <w:rFonts w:eastAsia="Calibri"/>
                <w:szCs w:val="22"/>
                <w:lang w:val="sr-Latn-ME"/>
              </w:rPr>
            </w:pPr>
            <w:r w:rsidRPr="00456B23">
              <w:rPr>
                <w:rFonts w:eastAsia="Calibri"/>
                <w:szCs w:val="22"/>
                <w:lang w:val="sr-Latn-ME"/>
              </w:rPr>
              <w:t>1,0-3,0</w:t>
            </w:r>
          </w:p>
        </w:tc>
      </w:tr>
      <w:tr w:rsidR="00054D7D" w:rsidRPr="00456B23" w14:paraId="6C6AFCA0" w14:textId="77777777" w:rsidTr="00172AC1">
        <w:tc>
          <w:tcPr>
            <w:tcW w:w="2518" w:type="dxa"/>
            <w:shd w:val="clear" w:color="auto" w:fill="auto"/>
          </w:tcPr>
          <w:p w14:paraId="177A4818" w14:textId="77777777" w:rsidR="00054D7D" w:rsidRPr="00456B23" w:rsidRDefault="00054D7D" w:rsidP="006B28D6">
            <w:pPr>
              <w:keepNext/>
              <w:numPr>
                <w:ilvl w:val="0"/>
                <w:numId w:val="18"/>
              </w:numPr>
              <w:spacing w:before="240" w:after="120"/>
              <w:contextualSpacing/>
              <w:jc w:val="center"/>
              <w:outlineLvl w:val="1"/>
              <w:rPr>
                <w:rFonts w:eastAsia="Calibri"/>
                <w:szCs w:val="22"/>
                <w:lang w:val="sr-Latn-ME"/>
              </w:rPr>
            </w:pPr>
            <w:r w:rsidRPr="00456B23">
              <w:rPr>
                <w:rFonts w:eastAsia="Calibri"/>
                <w:szCs w:val="22"/>
                <w:lang w:val="sr-Latn-ME"/>
              </w:rPr>
              <w:t>Srednja</w:t>
            </w:r>
          </w:p>
        </w:tc>
        <w:tc>
          <w:tcPr>
            <w:tcW w:w="2835" w:type="dxa"/>
            <w:shd w:val="clear" w:color="auto" w:fill="auto"/>
          </w:tcPr>
          <w:p w14:paraId="492C6D00" w14:textId="77777777" w:rsidR="00054D7D" w:rsidRPr="00456B23" w:rsidRDefault="00054D7D">
            <w:pPr>
              <w:keepNext/>
              <w:spacing w:before="240" w:after="120"/>
              <w:jc w:val="center"/>
              <w:outlineLvl w:val="1"/>
              <w:rPr>
                <w:rFonts w:eastAsia="Calibri"/>
                <w:szCs w:val="22"/>
                <w:lang w:val="sr-Latn-ME"/>
              </w:rPr>
            </w:pPr>
            <w:r w:rsidRPr="00456B23">
              <w:rPr>
                <w:rFonts w:eastAsia="Calibri"/>
                <w:szCs w:val="22"/>
                <w:lang w:val="sr-Latn-ME"/>
              </w:rPr>
              <w:t>40-80</w:t>
            </w:r>
          </w:p>
        </w:tc>
        <w:tc>
          <w:tcPr>
            <w:tcW w:w="2835" w:type="dxa"/>
            <w:shd w:val="clear" w:color="auto" w:fill="auto"/>
          </w:tcPr>
          <w:p w14:paraId="485E8040" w14:textId="77777777" w:rsidR="00054D7D" w:rsidRPr="00456B23" w:rsidRDefault="00054D7D">
            <w:pPr>
              <w:keepNext/>
              <w:spacing w:before="240" w:after="120"/>
              <w:jc w:val="center"/>
              <w:outlineLvl w:val="1"/>
              <w:rPr>
                <w:rFonts w:eastAsia="Calibri"/>
                <w:szCs w:val="22"/>
                <w:lang w:val="sr-Latn-ME"/>
              </w:rPr>
            </w:pPr>
            <w:r w:rsidRPr="00456B23">
              <w:rPr>
                <w:rFonts w:eastAsia="Calibri"/>
                <w:szCs w:val="22"/>
                <w:lang w:val="sr-Latn-ME"/>
              </w:rPr>
              <w:t>0,5-1,0</w:t>
            </w:r>
          </w:p>
        </w:tc>
      </w:tr>
      <w:tr w:rsidR="00054D7D" w:rsidRPr="00456B23" w14:paraId="7DC4F24C" w14:textId="77777777" w:rsidTr="00172AC1">
        <w:tc>
          <w:tcPr>
            <w:tcW w:w="2518" w:type="dxa"/>
            <w:shd w:val="clear" w:color="auto" w:fill="auto"/>
          </w:tcPr>
          <w:p w14:paraId="5F6A7D1C" w14:textId="77777777" w:rsidR="00054D7D" w:rsidRPr="00456B23" w:rsidRDefault="00054D7D" w:rsidP="006B28D6">
            <w:pPr>
              <w:keepNext/>
              <w:numPr>
                <w:ilvl w:val="0"/>
                <w:numId w:val="18"/>
              </w:numPr>
              <w:spacing w:before="240" w:after="120"/>
              <w:ind w:left="589"/>
              <w:contextualSpacing/>
              <w:jc w:val="center"/>
              <w:outlineLvl w:val="1"/>
              <w:rPr>
                <w:rFonts w:eastAsia="Calibri"/>
                <w:szCs w:val="22"/>
                <w:lang w:val="sr-Latn-ME"/>
              </w:rPr>
            </w:pPr>
            <w:r w:rsidRPr="00456B23">
              <w:rPr>
                <w:rFonts w:eastAsia="Calibri"/>
                <w:szCs w:val="22"/>
                <w:lang w:val="sr-Latn-ME"/>
              </w:rPr>
              <w:t>Niska</w:t>
            </w:r>
          </w:p>
        </w:tc>
        <w:tc>
          <w:tcPr>
            <w:tcW w:w="2835" w:type="dxa"/>
            <w:shd w:val="clear" w:color="auto" w:fill="auto"/>
          </w:tcPr>
          <w:p w14:paraId="134E8619" w14:textId="77777777" w:rsidR="00054D7D" w:rsidRPr="00456B23" w:rsidRDefault="00054D7D">
            <w:pPr>
              <w:keepNext/>
              <w:spacing w:before="240" w:after="120"/>
              <w:jc w:val="center"/>
              <w:outlineLvl w:val="1"/>
              <w:rPr>
                <w:rFonts w:eastAsia="Calibri"/>
                <w:szCs w:val="22"/>
                <w:lang w:val="sr-Latn-ME"/>
              </w:rPr>
            </w:pPr>
            <w:r w:rsidRPr="00456B23">
              <w:rPr>
                <w:rFonts w:eastAsia="Calibri"/>
                <w:szCs w:val="22"/>
                <w:lang w:val="sr-Latn-ME"/>
              </w:rPr>
              <w:t>10-40</w:t>
            </w:r>
          </w:p>
        </w:tc>
        <w:tc>
          <w:tcPr>
            <w:tcW w:w="2835" w:type="dxa"/>
            <w:shd w:val="clear" w:color="auto" w:fill="auto"/>
          </w:tcPr>
          <w:p w14:paraId="467B2846" w14:textId="77777777" w:rsidR="00054D7D" w:rsidRPr="00456B23" w:rsidRDefault="00054D7D">
            <w:pPr>
              <w:keepNext/>
              <w:spacing w:before="240" w:after="120"/>
              <w:jc w:val="center"/>
              <w:outlineLvl w:val="1"/>
              <w:rPr>
                <w:rFonts w:eastAsia="Calibri"/>
                <w:szCs w:val="22"/>
                <w:lang w:val="sr-Latn-ME"/>
              </w:rPr>
            </w:pPr>
            <w:r w:rsidRPr="00456B23">
              <w:rPr>
                <w:rFonts w:eastAsia="Calibri"/>
                <w:szCs w:val="22"/>
                <w:lang w:val="sr-Latn-ME"/>
              </w:rPr>
              <w:t>0,25-0,5</w:t>
            </w:r>
          </w:p>
        </w:tc>
      </w:tr>
      <w:tr w:rsidR="00054D7D" w:rsidRPr="00456B23" w14:paraId="1A9908C2" w14:textId="77777777" w:rsidTr="00172AC1">
        <w:tc>
          <w:tcPr>
            <w:tcW w:w="2518" w:type="dxa"/>
            <w:shd w:val="clear" w:color="auto" w:fill="auto"/>
          </w:tcPr>
          <w:p w14:paraId="07904AE5" w14:textId="77777777" w:rsidR="00054D7D" w:rsidRPr="00456B23" w:rsidRDefault="00054D7D" w:rsidP="006B28D6">
            <w:pPr>
              <w:keepNext/>
              <w:numPr>
                <w:ilvl w:val="0"/>
                <w:numId w:val="18"/>
              </w:numPr>
              <w:spacing w:before="240" w:after="120"/>
              <w:ind w:hanging="273"/>
              <w:contextualSpacing/>
              <w:jc w:val="center"/>
              <w:outlineLvl w:val="1"/>
              <w:rPr>
                <w:rFonts w:eastAsia="Calibri"/>
                <w:szCs w:val="22"/>
                <w:lang w:val="sr-Latn-ME"/>
              </w:rPr>
            </w:pPr>
            <w:r w:rsidRPr="00456B23">
              <w:rPr>
                <w:rFonts w:eastAsia="Calibri"/>
                <w:szCs w:val="22"/>
                <w:lang w:val="sr-Latn-ME"/>
              </w:rPr>
              <w:t>Vrlo niska</w:t>
            </w:r>
          </w:p>
        </w:tc>
        <w:tc>
          <w:tcPr>
            <w:tcW w:w="2835" w:type="dxa"/>
            <w:shd w:val="clear" w:color="auto" w:fill="auto"/>
          </w:tcPr>
          <w:p w14:paraId="4595DB47" w14:textId="77777777" w:rsidR="00054D7D" w:rsidRPr="00456B23" w:rsidRDefault="00054D7D">
            <w:pPr>
              <w:keepNext/>
              <w:spacing w:before="240" w:after="120"/>
              <w:jc w:val="center"/>
              <w:outlineLvl w:val="1"/>
              <w:rPr>
                <w:rFonts w:eastAsia="Calibri"/>
                <w:szCs w:val="22"/>
                <w:lang w:val="sr-Latn-ME"/>
              </w:rPr>
            </w:pPr>
            <w:r w:rsidRPr="00456B23">
              <w:rPr>
                <w:rFonts w:eastAsia="Calibri"/>
                <w:szCs w:val="22"/>
                <w:lang w:val="sr-Latn-ME"/>
              </w:rPr>
              <w:t>1,5-7,5 (10)</w:t>
            </w:r>
          </w:p>
        </w:tc>
        <w:tc>
          <w:tcPr>
            <w:tcW w:w="2835" w:type="dxa"/>
            <w:shd w:val="clear" w:color="auto" w:fill="auto"/>
          </w:tcPr>
          <w:p w14:paraId="210A1374" w14:textId="77777777" w:rsidR="00054D7D" w:rsidRPr="00456B23" w:rsidRDefault="00054D7D">
            <w:pPr>
              <w:keepNext/>
              <w:spacing w:before="240" w:after="120"/>
              <w:jc w:val="center"/>
              <w:outlineLvl w:val="1"/>
              <w:rPr>
                <w:rFonts w:eastAsia="Calibri"/>
                <w:szCs w:val="22"/>
                <w:lang w:val="sr-Latn-ME"/>
              </w:rPr>
            </w:pPr>
            <w:r w:rsidRPr="00456B23">
              <w:rPr>
                <w:rFonts w:eastAsia="Calibri"/>
                <w:szCs w:val="22"/>
                <w:lang w:val="sr-Latn-ME"/>
              </w:rPr>
              <w:t>-/-</w:t>
            </w:r>
          </w:p>
        </w:tc>
      </w:tr>
      <w:tr w:rsidR="00054D7D" w:rsidRPr="00456B23" w14:paraId="02E48D38" w14:textId="77777777" w:rsidTr="00172AC1">
        <w:tc>
          <w:tcPr>
            <w:tcW w:w="8188" w:type="dxa"/>
            <w:gridSpan w:val="3"/>
            <w:shd w:val="clear" w:color="auto" w:fill="auto"/>
          </w:tcPr>
          <w:p w14:paraId="7BF1B61E" w14:textId="77777777" w:rsidR="00054D7D" w:rsidRPr="00456B23" w:rsidRDefault="00054D7D" w:rsidP="006B28D6">
            <w:pPr>
              <w:numPr>
                <w:ilvl w:val="0"/>
                <w:numId w:val="18"/>
              </w:numPr>
              <w:contextualSpacing/>
              <w:jc w:val="center"/>
              <w:rPr>
                <w:rFonts w:eastAsia="Calibri"/>
                <w:szCs w:val="22"/>
                <w:lang w:val="sr-Latn-ME"/>
              </w:rPr>
            </w:pPr>
            <w:r w:rsidRPr="00456B23">
              <w:rPr>
                <w:rFonts w:eastAsia="Calibri"/>
                <w:szCs w:val="22"/>
                <w:lang w:val="sr-Latn-ME"/>
              </w:rPr>
              <w:t>Za kombinaciju s hemoterapijom, pogledati shemu doziranja „e“ (SD: e)</w:t>
            </w:r>
          </w:p>
        </w:tc>
      </w:tr>
    </w:tbl>
    <w:p w14:paraId="150A5B9D" w14:textId="77777777" w:rsidR="00054D7D" w:rsidRPr="00456B23" w:rsidRDefault="00054D7D" w:rsidP="00172AC1">
      <w:pPr>
        <w:keepNext/>
        <w:outlineLvl w:val="1"/>
        <w:rPr>
          <w:szCs w:val="22"/>
          <w:lang w:val="sr-Latn-ME"/>
        </w:rPr>
      </w:pPr>
    </w:p>
    <w:p w14:paraId="49694757" w14:textId="7049E163" w:rsidR="00054D7D" w:rsidRPr="00456B23" w:rsidRDefault="00054D7D" w:rsidP="00172AC1">
      <w:pPr>
        <w:rPr>
          <w:szCs w:val="22"/>
          <w:lang w:val="sr-Latn-ME"/>
        </w:rPr>
      </w:pPr>
      <w:r w:rsidRPr="00456B23">
        <w:rPr>
          <w:szCs w:val="22"/>
          <w:lang w:val="sr-Latn-ME"/>
        </w:rPr>
        <w:t>U pravilu, čitava dnevna doza uzima se rano ujutro između 6.00 i 8.00 sati (cirkadija</w:t>
      </w:r>
      <w:r w:rsidR="00196762" w:rsidRPr="00456B23">
        <w:rPr>
          <w:szCs w:val="22"/>
          <w:lang w:val="sr-Latn-ME"/>
        </w:rPr>
        <w:t>l</w:t>
      </w:r>
      <w:r w:rsidRPr="00456B23">
        <w:rPr>
          <w:szCs w:val="22"/>
          <w:lang w:val="sr-Latn-ME"/>
        </w:rPr>
        <w:t>no liječenje). Visoke dnevne doze mogu se takođe podijeliti u 2 do 4 pojedinačne doze, a srednje dnevne d</w:t>
      </w:r>
      <w:r w:rsidR="00F70D46" w:rsidRPr="00456B23">
        <w:rPr>
          <w:szCs w:val="22"/>
          <w:lang w:val="sr-Latn-ME"/>
        </w:rPr>
        <w:t>oze u 2 do 3 pojedinačne doze, za</w:t>
      </w:r>
      <w:r w:rsidRPr="00456B23">
        <w:rPr>
          <w:szCs w:val="22"/>
          <w:lang w:val="sr-Latn-ME"/>
        </w:rPr>
        <w:t>visno o</w:t>
      </w:r>
      <w:r w:rsidR="00F70D46" w:rsidRPr="00456B23">
        <w:rPr>
          <w:szCs w:val="22"/>
          <w:lang w:val="sr-Latn-ME"/>
        </w:rPr>
        <w:t>d</w:t>
      </w:r>
      <w:r w:rsidRPr="00456B23">
        <w:rPr>
          <w:szCs w:val="22"/>
          <w:lang w:val="sr-Latn-ME"/>
        </w:rPr>
        <w:t xml:space="preserve"> bolesti koja se liječi.</w:t>
      </w:r>
    </w:p>
    <w:p w14:paraId="66E2B303" w14:textId="77777777" w:rsidR="00054D7D" w:rsidRPr="00456B23" w:rsidRDefault="00054D7D" w:rsidP="00172AC1">
      <w:pPr>
        <w:rPr>
          <w:szCs w:val="22"/>
          <w:lang w:val="sr-Latn-ME"/>
        </w:rPr>
      </w:pPr>
    </w:p>
    <w:p w14:paraId="21FA7533" w14:textId="77777777" w:rsidR="00054D7D" w:rsidRPr="00456B23" w:rsidRDefault="00054D7D" w:rsidP="00172AC1">
      <w:pPr>
        <w:tabs>
          <w:tab w:val="left" w:pos="3023"/>
        </w:tabs>
        <w:rPr>
          <w:i/>
          <w:szCs w:val="22"/>
          <w:lang w:val="sr-Latn-ME"/>
        </w:rPr>
      </w:pPr>
      <w:r w:rsidRPr="00456B23">
        <w:rPr>
          <w:i/>
          <w:szCs w:val="22"/>
          <w:lang w:val="sr-Latn-ME"/>
        </w:rPr>
        <w:t>Pedijatrijska populacija</w:t>
      </w:r>
      <w:r w:rsidRPr="00456B23">
        <w:rPr>
          <w:i/>
          <w:szCs w:val="22"/>
          <w:lang w:val="sr-Latn-M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969"/>
      </w:tblGrid>
      <w:tr w:rsidR="00054D7D" w:rsidRPr="00456B23" w14:paraId="1F27E947" w14:textId="77777777" w:rsidTr="00172AC1">
        <w:tc>
          <w:tcPr>
            <w:tcW w:w="3510" w:type="dxa"/>
            <w:shd w:val="clear" w:color="auto" w:fill="auto"/>
          </w:tcPr>
          <w:p w14:paraId="206EE9B7" w14:textId="77777777" w:rsidR="00054D7D" w:rsidRPr="00456B23" w:rsidRDefault="00054D7D" w:rsidP="006B28D6">
            <w:pPr>
              <w:keepNext/>
              <w:spacing w:before="240" w:after="120"/>
              <w:outlineLvl w:val="1"/>
              <w:rPr>
                <w:rFonts w:eastAsia="Calibri"/>
                <w:b/>
                <w:szCs w:val="22"/>
                <w:lang w:val="sr-Latn-ME"/>
              </w:rPr>
            </w:pPr>
            <w:r w:rsidRPr="00456B23">
              <w:rPr>
                <w:rFonts w:eastAsia="Calibri"/>
                <w:b/>
                <w:szCs w:val="22"/>
                <w:lang w:val="sr-Latn-ME"/>
              </w:rPr>
              <w:t>Doza</w:t>
            </w:r>
          </w:p>
        </w:tc>
        <w:tc>
          <w:tcPr>
            <w:tcW w:w="3969" w:type="dxa"/>
            <w:shd w:val="clear" w:color="auto" w:fill="auto"/>
          </w:tcPr>
          <w:p w14:paraId="5A08D032" w14:textId="77777777" w:rsidR="00054D7D" w:rsidRPr="00456B23" w:rsidRDefault="00054D7D" w:rsidP="006B28D6">
            <w:pPr>
              <w:keepNext/>
              <w:spacing w:before="240" w:after="120"/>
              <w:outlineLvl w:val="1"/>
              <w:rPr>
                <w:rFonts w:eastAsia="Calibri"/>
                <w:b/>
                <w:szCs w:val="22"/>
                <w:lang w:val="sr-Latn-ME"/>
              </w:rPr>
            </w:pPr>
            <w:r w:rsidRPr="00456B23">
              <w:rPr>
                <w:rFonts w:eastAsia="Calibri"/>
                <w:b/>
                <w:szCs w:val="22"/>
                <w:lang w:val="sr-Latn-ME"/>
              </w:rPr>
              <w:t>Doza u mg/kg TT/dan</w:t>
            </w:r>
          </w:p>
        </w:tc>
      </w:tr>
      <w:tr w:rsidR="00054D7D" w:rsidRPr="00456B23" w14:paraId="1C19DF12" w14:textId="77777777" w:rsidTr="00172AC1">
        <w:tc>
          <w:tcPr>
            <w:tcW w:w="3510" w:type="dxa"/>
            <w:shd w:val="clear" w:color="auto" w:fill="auto"/>
          </w:tcPr>
          <w:p w14:paraId="592D1DD6" w14:textId="77777777" w:rsidR="00054D7D" w:rsidRPr="00456B23" w:rsidRDefault="00054D7D" w:rsidP="00172AC1">
            <w:pPr>
              <w:keepNext/>
              <w:spacing w:before="240" w:after="120"/>
              <w:outlineLvl w:val="1"/>
              <w:rPr>
                <w:rFonts w:eastAsia="Calibri"/>
                <w:szCs w:val="22"/>
                <w:lang w:val="sr-Latn-ME"/>
              </w:rPr>
            </w:pPr>
            <w:r w:rsidRPr="00456B23">
              <w:rPr>
                <w:rFonts w:eastAsia="Calibri"/>
                <w:szCs w:val="22"/>
                <w:lang w:val="sr-Latn-ME"/>
              </w:rPr>
              <w:t>Visoka doza</w:t>
            </w:r>
          </w:p>
        </w:tc>
        <w:tc>
          <w:tcPr>
            <w:tcW w:w="3969" w:type="dxa"/>
            <w:shd w:val="clear" w:color="auto" w:fill="auto"/>
          </w:tcPr>
          <w:p w14:paraId="32DE7ACD" w14:textId="77777777" w:rsidR="00054D7D" w:rsidRPr="00456B23" w:rsidRDefault="00054D7D" w:rsidP="006B28D6">
            <w:pPr>
              <w:keepNext/>
              <w:spacing w:before="240" w:after="120"/>
              <w:outlineLvl w:val="1"/>
              <w:rPr>
                <w:rFonts w:eastAsia="Calibri"/>
                <w:szCs w:val="22"/>
                <w:lang w:val="sr-Latn-ME"/>
              </w:rPr>
            </w:pPr>
            <w:r w:rsidRPr="00456B23">
              <w:rPr>
                <w:rFonts w:eastAsia="Calibri"/>
                <w:szCs w:val="22"/>
                <w:lang w:val="sr-Latn-ME"/>
              </w:rPr>
              <w:t>2-3</w:t>
            </w:r>
          </w:p>
        </w:tc>
      </w:tr>
      <w:tr w:rsidR="00054D7D" w:rsidRPr="00456B23" w14:paraId="241F42F9" w14:textId="77777777" w:rsidTr="00172AC1">
        <w:tc>
          <w:tcPr>
            <w:tcW w:w="3510" w:type="dxa"/>
            <w:shd w:val="clear" w:color="auto" w:fill="auto"/>
          </w:tcPr>
          <w:p w14:paraId="278F6BCA" w14:textId="77777777" w:rsidR="00054D7D" w:rsidRPr="00456B23" w:rsidRDefault="00054D7D" w:rsidP="00172AC1">
            <w:pPr>
              <w:keepNext/>
              <w:spacing w:before="240" w:after="120"/>
              <w:outlineLvl w:val="1"/>
              <w:rPr>
                <w:rFonts w:eastAsia="Calibri"/>
                <w:szCs w:val="22"/>
                <w:lang w:val="sr-Latn-ME"/>
              </w:rPr>
            </w:pPr>
            <w:r w:rsidRPr="00456B23">
              <w:rPr>
                <w:rFonts w:eastAsia="Calibri"/>
                <w:szCs w:val="22"/>
                <w:lang w:val="sr-Latn-ME"/>
              </w:rPr>
              <w:t xml:space="preserve">Srednja doza </w:t>
            </w:r>
          </w:p>
        </w:tc>
        <w:tc>
          <w:tcPr>
            <w:tcW w:w="3969" w:type="dxa"/>
            <w:shd w:val="clear" w:color="auto" w:fill="auto"/>
          </w:tcPr>
          <w:p w14:paraId="4426EB57" w14:textId="77777777" w:rsidR="00054D7D" w:rsidRPr="00456B23" w:rsidRDefault="00054D7D" w:rsidP="006B28D6">
            <w:pPr>
              <w:keepNext/>
              <w:spacing w:before="240" w:after="120"/>
              <w:outlineLvl w:val="1"/>
              <w:rPr>
                <w:rFonts w:eastAsia="Calibri"/>
                <w:szCs w:val="22"/>
                <w:lang w:val="sr-Latn-ME"/>
              </w:rPr>
            </w:pPr>
            <w:r w:rsidRPr="00456B23">
              <w:rPr>
                <w:rFonts w:eastAsia="Calibri"/>
                <w:szCs w:val="22"/>
                <w:lang w:val="sr-Latn-ME"/>
              </w:rPr>
              <w:t>1-2</w:t>
            </w:r>
          </w:p>
        </w:tc>
      </w:tr>
      <w:tr w:rsidR="00054D7D" w:rsidRPr="00456B23" w14:paraId="29BEC93F" w14:textId="77777777" w:rsidTr="00172AC1">
        <w:tc>
          <w:tcPr>
            <w:tcW w:w="3510" w:type="dxa"/>
            <w:shd w:val="clear" w:color="auto" w:fill="auto"/>
          </w:tcPr>
          <w:p w14:paraId="5E59002E" w14:textId="77777777" w:rsidR="00054D7D" w:rsidRPr="00456B23" w:rsidRDefault="00054D7D" w:rsidP="00172AC1">
            <w:pPr>
              <w:keepNext/>
              <w:spacing w:before="240" w:after="120"/>
              <w:outlineLvl w:val="1"/>
              <w:rPr>
                <w:rFonts w:eastAsia="Calibri"/>
                <w:szCs w:val="22"/>
                <w:lang w:val="sr-Latn-ME"/>
              </w:rPr>
            </w:pPr>
            <w:r w:rsidRPr="00456B23">
              <w:rPr>
                <w:rFonts w:eastAsia="Calibri"/>
                <w:szCs w:val="22"/>
                <w:lang w:val="sr-Latn-ME"/>
              </w:rPr>
              <w:t>Doza održavanja</w:t>
            </w:r>
          </w:p>
        </w:tc>
        <w:tc>
          <w:tcPr>
            <w:tcW w:w="3969" w:type="dxa"/>
            <w:shd w:val="clear" w:color="auto" w:fill="auto"/>
          </w:tcPr>
          <w:p w14:paraId="1768C79E" w14:textId="77777777" w:rsidR="00054D7D" w:rsidRPr="00456B23" w:rsidRDefault="00054D7D" w:rsidP="006B28D6">
            <w:pPr>
              <w:keepNext/>
              <w:spacing w:before="240" w:after="120"/>
              <w:outlineLvl w:val="1"/>
              <w:rPr>
                <w:rFonts w:eastAsia="Calibri"/>
                <w:szCs w:val="22"/>
                <w:lang w:val="sr-Latn-ME"/>
              </w:rPr>
            </w:pPr>
            <w:r w:rsidRPr="00456B23">
              <w:rPr>
                <w:rFonts w:eastAsia="Calibri"/>
                <w:szCs w:val="22"/>
                <w:lang w:val="sr-Latn-ME"/>
              </w:rPr>
              <w:t>0,25</w:t>
            </w:r>
          </w:p>
        </w:tc>
      </w:tr>
    </w:tbl>
    <w:p w14:paraId="173B4F5B" w14:textId="77777777" w:rsidR="00054D7D" w:rsidRPr="00456B23" w:rsidRDefault="00054D7D" w:rsidP="00172AC1">
      <w:pPr>
        <w:rPr>
          <w:szCs w:val="22"/>
          <w:lang w:val="sr-Latn-ME"/>
        </w:rPr>
      </w:pPr>
    </w:p>
    <w:p w14:paraId="596004E3" w14:textId="3112AEC5" w:rsidR="00054D7D" w:rsidRPr="00456B23" w:rsidRDefault="00822454" w:rsidP="00172AC1">
      <w:pPr>
        <w:rPr>
          <w:szCs w:val="22"/>
          <w:lang w:val="sr-Latn-ME"/>
        </w:rPr>
      </w:pPr>
      <w:r w:rsidRPr="00456B23">
        <w:rPr>
          <w:szCs w:val="22"/>
          <w:lang w:val="sr-Latn-ME"/>
        </w:rPr>
        <w:t>Kod</w:t>
      </w:r>
      <w:r w:rsidR="00054D7D" w:rsidRPr="00456B23">
        <w:rPr>
          <w:szCs w:val="22"/>
          <w:lang w:val="sr-Latn-ME"/>
        </w:rPr>
        <w:t xml:space="preserve"> djece (period rasta), liječenje prednizonom bi trebalo biti altern</w:t>
      </w:r>
      <w:r w:rsidR="003E6311" w:rsidRPr="00456B23">
        <w:rPr>
          <w:szCs w:val="22"/>
          <w:lang w:val="sr-Latn-ME"/>
        </w:rPr>
        <w:t>ativno</w:t>
      </w:r>
      <w:r w:rsidR="00054D7D" w:rsidRPr="00456B23">
        <w:rPr>
          <w:szCs w:val="22"/>
          <w:lang w:val="sr-Latn-ME"/>
        </w:rPr>
        <w:t xml:space="preserve"> ili intermitentno. Odstupanje od ove preporuke moguće je u posebnim slučajevima (npr. „</w:t>
      </w:r>
      <w:r w:rsidR="00054D7D" w:rsidRPr="00456B23">
        <w:rPr>
          <w:i/>
          <w:szCs w:val="22"/>
          <w:lang w:val="sr-Latn-ME"/>
        </w:rPr>
        <w:t>jackknife</w:t>
      </w:r>
      <w:r w:rsidR="00054D7D" w:rsidRPr="00456B23">
        <w:rPr>
          <w:szCs w:val="22"/>
          <w:lang w:val="sr-Latn-ME"/>
        </w:rPr>
        <w:t>“ konvulzije).</w:t>
      </w:r>
    </w:p>
    <w:p w14:paraId="53A86675" w14:textId="77777777" w:rsidR="00054D7D" w:rsidRPr="00456B23" w:rsidRDefault="00054D7D" w:rsidP="00172AC1">
      <w:pPr>
        <w:rPr>
          <w:szCs w:val="22"/>
          <w:lang w:val="sr-Latn-ME"/>
        </w:rPr>
      </w:pPr>
    </w:p>
    <w:p w14:paraId="7E6F8937" w14:textId="77777777" w:rsidR="00054D7D" w:rsidRPr="00456B23" w:rsidRDefault="00054D7D" w:rsidP="00172AC1">
      <w:pPr>
        <w:rPr>
          <w:b/>
          <w:i/>
          <w:szCs w:val="22"/>
          <w:lang w:val="sr-Latn-ME"/>
        </w:rPr>
      </w:pPr>
      <w:r w:rsidRPr="00456B23">
        <w:rPr>
          <w:b/>
          <w:i/>
          <w:szCs w:val="22"/>
          <w:lang w:val="sr-Latn-ME"/>
        </w:rPr>
        <w:t>Redukcija doze</w:t>
      </w:r>
    </w:p>
    <w:p w14:paraId="17F006B5" w14:textId="77777777" w:rsidR="00054D7D" w:rsidRPr="00456B23" w:rsidRDefault="00054D7D" w:rsidP="00EB1C82">
      <w:pPr>
        <w:rPr>
          <w:szCs w:val="22"/>
          <w:lang w:val="sr-Latn-ME"/>
        </w:rPr>
      </w:pPr>
      <w:r w:rsidRPr="00456B23">
        <w:rPr>
          <w:szCs w:val="22"/>
          <w:lang w:val="sr-Latn-ME"/>
        </w:rPr>
        <w:t>Kada je posti</w:t>
      </w:r>
      <w:r w:rsidR="00822454" w:rsidRPr="00456B23">
        <w:rPr>
          <w:szCs w:val="22"/>
          <w:lang w:val="sr-Latn-ME"/>
        </w:rPr>
        <w:t>gnut željeni klinički efekat i za</w:t>
      </w:r>
      <w:r w:rsidRPr="00456B23">
        <w:rPr>
          <w:szCs w:val="22"/>
          <w:lang w:val="sr-Latn-ME"/>
        </w:rPr>
        <w:t>visno o</w:t>
      </w:r>
      <w:r w:rsidR="00822454" w:rsidRPr="00456B23">
        <w:rPr>
          <w:szCs w:val="22"/>
          <w:lang w:val="sr-Latn-ME"/>
        </w:rPr>
        <w:t>d primar</w:t>
      </w:r>
      <w:r w:rsidR="00253FB0" w:rsidRPr="00456B23">
        <w:rPr>
          <w:szCs w:val="22"/>
          <w:lang w:val="sr-Latn-ME"/>
        </w:rPr>
        <w:t>n</w:t>
      </w:r>
      <w:r w:rsidR="00822454" w:rsidRPr="00456B23">
        <w:rPr>
          <w:szCs w:val="22"/>
          <w:lang w:val="sr-Latn-ME"/>
        </w:rPr>
        <w:t>e</w:t>
      </w:r>
      <w:r w:rsidRPr="00456B23">
        <w:rPr>
          <w:szCs w:val="22"/>
          <w:lang w:val="sr-Latn-ME"/>
        </w:rPr>
        <w:t xml:space="preserve"> bolesti, započinje se s redukcijom doze. Ako je dnevna doza podijeljena u nekoliko pojedin</w:t>
      </w:r>
      <w:r w:rsidR="00822454" w:rsidRPr="00456B23">
        <w:rPr>
          <w:szCs w:val="22"/>
          <w:lang w:val="sr-Latn-ME"/>
        </w:rPr>
        <w:t>ačnih doza, najprije se redukuje</w:t>
      </w:r>
      <w:r w:rsidRPr="00456B23">
        <w:rPr>
          <w:szCs w:val="22"/>
          <w:lang w:val="sr-Latn-ME"/>
        </w:rPr>
        <w:t xml:space="preserve"> večernja doza, a zatim, ako je to primjenljivo, podnevna doza. U početku, doza se smanjuje u nešto većim koracima, a od doze od oko 30 mg dnevno prema niže, u manjim koracima. Klinička situacija određuje da li liječenje treba u potpunosti prekinuti ili je potrebna doza održavanja. Uz pažljivo praćenje toka bolesti, kao orijentacija za smanjivanje doze, može se primijeniti sljedeća shema:</w:t>
      </w:r>
    </w:p>
    <w:p w14:paraId="6E3E0DD1" w14:textId="4E3785C3" w:rsidR="00054D7D" w:rsidRPr="00456B23" w:rsidRDefault="00054D7D">
      <w:pPr>
        <w:numPr>
          <w:ilvl w:val="0"/>
          <w:numId w:val="17"/>
        </w:numPr>
        <w:rPr>
          <w:szCs w:val="22"/>
          <w:lang w:val="sr-Latn-ME"/>
        </w:rPr>
      </w:pPr>
      <w:r w:rsidRPr="00456B23">
        <w:rPr>
          <w:szCs w:val="22"/>
          <w:lang w:val="sr-Latn-ME"/>
        </w:rPr>
        <w:t>kod &gt;30 mg: smanjenje po 10 mg, svakih 2-5 dana;</w:t>
      </w:r>
    </w:p>
    <w:p w14:paraId="5DA4F061" w14:textId="47AA4E27" w:rsidR="00054D7D" w:rsidRPr="00456B23" w:rsidRDefault="00054D7D">
      <w:pPr>
        <w:numPr>
          <w:ilvl w:val="0"/>
          <w:numId w:val="17"/>
        </w:numPr>
        <w:rPr>
          <w:szCs w:val="22"/>
          <w:lang w:val="sr-Latn-ME"/>
        </w:rPr>
      </w:pPr>
      <w:r w:rsidRPr="00456B23">
        <w:rPr>
          <w:szCs w:val="22"/>
          <w:lang w:val="sr-Latn-ME"/>
        </w:rPr>
        <w:t>kod 30 do 15 mg: smanjenje po 5 mg, svakih 7 dana;</w:t>
      </w:r>
    </w:p>
    <w:p w14:paraId="1BA690FB" w14:textId="52C9B348" w:rsidR="00054D7D" w:rsidRPr="00456B23" w:rsidRDefault="00054D7D">
      <w:pPr>
        <w:numPr>
          <w:ilvl w:val="0"/>
          <w:numId w:val="17"/>
        </w:numPr>
        <w:rPr>
          <w:szCs w:val="22"/>
          <w:lang w:val="sr-Latn-ME"/>
        </w:rPr>
      </w:pPr>
      <w:r w:rsidRPr="00456B23">
        <w:rPr>
          <w:szCs w:val="22"/>
          <w:lang w:val="sr-Latn-ME"/>
        </w:rPr>
        <w:t>kod 15 do 10 mg: smanjenje po 2,5 mg, svakih 1-2 sedmice;</w:t>
      </w:r>
    </w:p>
    <w:p w14:paraId="6014BB8F" w14:textId="63AF6751" w:rsidR="00054D7D" w:rsidRPr="00456B23" w:rsidRDefault="00054D7D">
      <w:pPr>
        <w:numPr>
          <w:ilvl w:val="0"/>
          <w:numId w:val="17"/>
        </w:numPr>
        <w:rPr>
          <w:szCs w:val="22"/>
          <w:lang w:val="sr-Latn-ME"/>
        </w:rPr>
      </w:pPr>
      <w:r w:rsidRPr="00456B23">
        <w:rPr>
          <w:szCs w:val="22"/>
          <w:lang w:val="sr-Latn-ME"/>
        </w:rPr>
        <w:t>kod 10 do 6 mg: smanjenje po 1 mg, svakih 2-4 sedmice;</w:t>
      </w:r>
    </w:p>
    <w:p w14:paraId="166C36A4" w14:textId="04EFF423" w:rsidR="00054D7D" w:rsidRPr="00456B23" w:rsidRDefault="00054D7D">
      <w:pPr>
        <w:numPr>
          <w:ilvl w:val="0"/>
          <w:numId w:val="17"/>
        </w:numPr>
        <w:rPr>
          <w:szCs w:val="22"/>
          <w:lang w:val="sr-Latn-ME"/>
        </w:rPr>
      </w:pPr>
      <w:r w:rsidRPr="00456B23">
        <w:rPr>
          <w:szCs w:val="22"/>
          <w:lang w:val="sr-Latn-ME"/>
        </w:rPr>
        <w:t>kod &lt;6 mg: smanjenje po 0,5 mg, svakih 4-8 sedmica.</w:t>
      </w:r>
    </w:p>
    <w:p w14:paraId="5078F550" w14:textId="77777777" w:rsidR="00054D7D" w:rsidRPr="00456B23" w:rsidRDefault="00054D7D">
      <w:pPr>
        <w:keepNext/>
        <w:spacing w:before="240" w:after="120"/>
        <w:ind w:left="720"/>
        <w:contextualSpacing/>
        <w:outlineLvl w:val="1"/>
        <w:rPr>
          <w:szCs w:val="22"/>
          <w:lang w:val="sr-Latn-ME"/>
        </w:rPr>
      </w:pPr>
    </w:p>
    <w:p w14:paraId="4B67DFB2" w14:textId="2391B4E1" w:rsidR="00054D7D" w:rsidRPr="00456B23" w:rsidRDefault="00054D7D">
      <w:pPr>
        <w:rPr>
          <w:szCs w:val="22"/>
          <w:lang w:val="sr-Latn-ME"/>
        </w:rPr>
      </w:pPr>
      <w:r w:rsidRPr="00456B23">
        <w:rPr>
          <w:szCs w:val="22"/>
          <w:lang w:val="sr-Latn-ME"/>
        </w:rPr>
        <w:t>Visoke i najviše doze, primijenjene tokom nekoliko dana, mogu se prekinu</w:t>
      </w:r>
      <w:r w:rsidR="00822454" w:rsidRPr="00456B23">
        <w:rPr>
          <w:szCs w:val="22"/>
          <w:lang w:val="sr-Latn-ME"/>
        </w:rPr>
        <w:t>ti bez postepenog smanjivanja, za</w:t>
      </w:r>
      <w:r w:rsidRPr="00456B23">
        <w:rPr>
          <w:szCs w:val="22"/>
          <w:lang w:val="sr-Latn-ME"/>
        </w:rPr>
        <w:t>visno o</w:t>
      </w:r>
      <w:r w:rsidR="00822454" w:rsidRPr="00456B23">
        <w:rPr>
          <w:szCs w:val="22"/>
          <w:lang w:val="sr-Latn-ME"/>
        </w:rPr>
        <w:t>d</w:t>
      </w:r>
      <w:r w:rsidRPr="00456B23">
        <w:rPr>
          <w:szCs w:val="22"/>
          <w:lang w:val="sr-Latn-ME"/>
        </w:rPr>
        <w:t xml:space="preserve"> pr</w:t>
      </w:r>
      <w:r w:rsidR="00822454" w:rsidRPr="00456B23">
        <w:rPr>
          <w:szCs w:val="22"/>
          <w:lang w:val="sr-Latn-ME"/>
        </w:rPr>
        <w:t>imarne</w:t>
      </w:r>
      <w:r w:rsidRPr="00456B23">
        <w:rPr>
          <w:szCs w:val="22"/>
          <w:lang w:val="sr-Latn-ME"/>
        </w:rPr>
        <w:t xml:space="preserve"> bolesti i kliničkom odgovoru.</w:t>
      </w:r>
    </w:p>
    <w:p w14:paraId="27D4D7AF" w14:textId="77777777" w:rsidR="00196762" w:rsidRPr="00456B23" w:rsidRDefault="00196762">
      <w:pPr>
        <w:rPr>
          <w:szCs w:val="22"/>
          <w:lang w:val="sr-Latn-ME"/>
        </w:rPr>
      </w:pPr>
    </w:p>
    <w:p w14:paraId="19B6A0E0" w14:textId="77777777" w:rsidR="00054D7D" w:rsidRPr="00456B23" w:rsidRDefault="00054D7D">
      <w:pPr>
        <w:autoSpaceDE w:val="0"/>
        <w:autoSpaceDN w:val="0"/>
        <w:adjustRightInd w:val="0"/>
        <w:rPr>
          <w:b/>
          <w:i/>
          <w:szCs w:val="22"/>
          <w:lang w:val="sr-Latn-ME"/>
        </w:rPr>
      </w:pPr>
      <w:r w:rsidRPr="00456B23">
        <w:rPr>
          <w:b/>
          <w:i/>
          <w:szCs w:val="22"/>
          <w:lang w:val="sr-Latn-ME"/>
        </w:rPr>
        <w:lastRenderedPageBreak/>
        <w:t xml:space="preserve">Shema doziranja „e“ (SD: e) </w:t>
      </w:r>
    </w:p>
    <w:p w14:paraId="0E468047" w14:textId="1ADC2A4D" w:rsidR="00054D7D" w:rsidRPr="00456B23" w:rsidRDefault="00054D7D">
      <w:pPr>
        <w:rPr>
          <w:szCs w:val="22"/>
          <w:lang w:val="sr-Latn-ME"/>
        </w:rPr>
      </w:pPr>
      <w:r w:rsidRPr="00456B23">
        <w:rPr>
          <w:szCs w:val="22"/>
          <w:lang w:val="sr-Latn-ME"/>
        </w:rPr>
        <w:t xml:space="preserve">Liječenje u onkološkim područjima primjene u kontekstu kombinovane hemoterapije, trebalo bi se bazirati na trenutno važeće protokole. </w:t>
      </w:r>
      <w:r w:rsidR="009439F3" w:rsidRPr="00456B23">
        <w:rPr>
          <w:szCs w:val="22"/>
          <w:lang w:val="sr-Latn-ME"/>
        </w:rPr>
        <w:t>Po</w:t>
      </w:r>
      <w:r w:rsidRPr="00456B23">
        <w:rPr>
          <w:szCs w:val="22"/>
          <w:lang w:val="sr-Latn-ME"/>
        </w:rPr>
        <w:t xml:space="preserve"> pravilu, prednizon se daje u jednoj dozi i ne zahtijeva se postepeno smanjivanje doze na kraju liječenja. Relevantna specijalistička literatura daje sljedeće primjere odgovarajućih doza prednizona kod utvrđenih hemoterapijskih protokola:</w:t>
      </w:r>
    </w:p>
    <w:p w14:paraId="41B3E189" w14:textId="77777777" w:rsidR="009439F3" w:rsidRPr="00456B23" w:rsidRDefault="00054D7D">
      <w:pPr>
        <w:numPr>
          <w:ilvl w:val="0"/>
          <w:numId w:val="17"/>
        </w:numPr>
        <w:rPr>
          <w:rFonts w:eastAsia="Calibri"/>
          <w:szCs w:val="22"/>
          <w:lang w:val="sr-Latn-ME"/>
        </w:rPr>
      </w:pPr>
      <w:r w:rsidRPr="00456B23">
        <w:rPr>
          <w:rFonts w:eastAsia="Calibri"/>
          <w:szCs w:val="22"/>
          <w:lang w:val="sr-Latn-ME"/>
        </w:rPr>
        <w:t>Non-Hodgkinov limfom: CHOP shema, prednizon 100 mg/m</w:t>
      </w:r>
      <w:r w:rsidRPr="00456B23">
        <w:rPr>
          <w:rFonts w:eastAsia="Calibri"/>
          <w:position w:val="8"/>
          <w:szCs w:val="22"/>
          <w:vertAlign w:val="superscript"/>
          <w:lang w:val="sr-Latn-ME"/>
        </w:rPr>
        <w:t>2</w:t>
      </w:r>
      <w:r w:rsidRPr="00456B23">
        <w:rPr>
          <w:rFonts w:eastAsia="Calibri"/>
          <w:szCs w:val="22"/>
          <w:lang w:val="sr-Latn-ME"/>
        </w:rPr>
        <w:t>, dan 1-5;</w:t>
      </w:r>
    </w:p>
    <w:p w14:paraId="2CE01206" w14:textId="04F741E3" w:rsidR="00054D7D" w:rsidRPr="00456B23" w:rsidRDefault="00054D7D">
      <w:pPr>
        <w:numPr>
          <w:ilvl w:val="0"/>
          <w:numId w:val="17"/>
        </w:numPr>
        <w:rPr>
          <w:rFonts w:eastAsia="Calibri"/>
          <w:szCs w:val="22"/>
          <w:lang w:val="sr-Latn-ME"/>
        </w:rPr>
      </w:pPr>
      <w:r w:rsidRPr="00456B23">
        <w:rPr>
          <w:rFonts w:eastAsia="Calibri"/>
          <w:szCs w:val="22"/>
          <w:lang w:val="sr-Latn-ME"/>
        </w:rPr>
        <w:t>COP shema, prednizon 100 mg/m</w:t>
      </w:r>
      <w:r w:rsidRPr="00456B23">
        <w:rPr>
          <w:rFonts w:eastAsia="Calibri"/>
          <w:position w:val="8"/>
          <w:szCs w:val="22"/>
          <w:vertAlign w:val="superscript"/>
          <w:lang w:val="sr-Latn-ME"/>
        </w:rPr>
        <w:t>2</w:t>
      </w:r>
      <w:r w:rsidRPr="00456B23">
        <w:rPr>
          <w:rFonts w:eastAsia="Calibri"/>
          <w:szCs w:val="22"/>
          <w:lang w:val="sr-Latn-ME"/>
        </w:rPr>
        <w:t xml:space="preserve">, dan 1-5; </w:t>
      </w:r>
    </w:p>
    <w:p w14:paraId="2B202E12" w14:textId="77777777" w:rsidR="00054D7D" w:rsidRPr="00456B23" w:rsidRDefault="00054D7D">
      <w:pPr>
        <w:numPr>
          <w:ilvl w:val="0"/>
          <w:numId w:val="17"/>
        </w:numPr>
        <w:rPr>
          <w:rFonts w:eastAsia="Calibri"/>
          <w:szCs w:val="22"/>
          <w:lang w:val="sr-Latn-ME"/>
        </w:rPr>
      </w:pPr>
      <w:r w:rsidRPr="00456B23">
        <w:rPr>
          <w:rFonts w:eastAsia="Calibri"/>
          <w:szCs w:val="22"/>
          <w:lang w:val="sr-Latn-ME"/>
        </w:rPr>
        <w:t xml:space="preserve">Hronična limfocitna leukemija: Knospe shema, prednizon 75/50/25 mg, dan 1-3; </w:t>
      </w:r>
    </w:p>
    <w:p w14:paraId="0C9443BB" w14:textId="77777777" w:rsidR="00054D7D" w:rsidRPr="00456B23" w:rsidRDefault="00054D7D">
      <w:pPr>
        <w:numPr>
          <w:ilvl w:val="0"/>
          <w:numId w:val="17"/>
        </w:numPr>
        <w:rPr>
          <w:rFonts w:eastAsia="Calibri"/>
          <w:szCs w:val="22"/>
          <w:lang w:val="sr-Latn-ME"/>
        </w:rPr>
      </w:pPr>
      <w:r w:rsidRPr="00456B23">
        <w:rPr>
          <w:rFonts w:eastAsia="Calibri"/>
          <w:szCs w:val="22"/>
          <w:lang w:val="sr-Latn-ME"/>
        </w:rPr>
        <w:t>Hodgkinova bolest: COPP-ABVD shema, prednizon 40 mg/m</w:t>
      </w:r>
      <w:r w:rsidRPr="00456B23">
        <w:rPr>
          <w:rFonts w:eastAsia="Calibri"/>
          <w:position w:val="8"/>
          <w:szCs w:val="22"/>
          <w:vertAlign w:val="superscript"/>
          <w:lang w:val="sr-Latn-ME"/>
        </w:rPr>
        <w:t>2</w:t>
      </w:r>
      <w:r w:rsidRPr="00456B23">
        <w:rPr>
          <w:rFonts w:eastAsia="Calibri"/>
          <w:szCs w:val="22"/>
          <w:lang w:val="sr-Latn-ME"/>
        </w:rPr>
        <w:t xml:space="preserve">, dan 1-14; </w:t>
      </w:r>
    </w:p>
    <w:p w14:paraId="2EF71295" w14:textId="77777777" w:rsidR="00054D7D" w:rsidRPr="00456B23" w:rsidRDefault="00054D7D">
      <w:pPr>
        <w:numPr>
          <w:ilvl w:val="0"/>
          <w:numId w:val="17"/>
        </w:numPr>
        <w:rPr>
          <w:rFonts w:eastAsia="Calibri"/>
          <w:szCs w:val="22"/>
          <w:lang w:val="sr-Latn-ME"/>
        </w:rPr>
      </w:pPr>
      <w:r w:rsidRPr="00456B23">
        <w:rPr>
          <w:rFonts w:eastAsia="Calibri"/>
          <w:szCs w:val="22"/>
          <w:lang w:val="sr-Latn-ME"/>
        </w:rPr>
        <w:t xml:space="preserve">Multipli mijelom: Alexanian shema, prednizon 2 mg/kg TT, dan 1-4. </w:t>
      </w:r>
    </w:p>
    <w:p w14:paraId="5790BA11" w14:textId="77777777" w:rsidR="00054D7D" w:rsidRPr="00456B23" w:rsidRDefault="00054D7D">
      <w:pPr>
        <w:autoSpaceDE w:val="0"/>
        <w:autoSpaceDN w:val="0"/>
        <w:adjustRightInd w:val="0"/>
        <w:ind w:left="360"/>
        <w:contextualSpacing/>
        <w:rPr>
          <w:rFonts w:eastAsia="Calibri"/>
          <w:szCs w:val="22"/>
          <w:lang w:val="sr-Latn-ME"/>
        </w:rPr>
      </w:pPr>
    </w:p>
    <w:p w14:paraId="1B4BB699" w14:textId="77777777" w:rsidR="00054D7D" w:rsidRPr="00456B23" w:rsidRDefault="00054D7D">
      <w:pPr>
        <w:autoSpaceDE w:val="0"/>
        <w:autoSpaceDN w:val="0"/>
        <w:adjustRightInd w:val="0"/>
        <w:rPr>
          <w:szCs w:val="22"/>
          <w:lang w:val="sr-Latn-ME"/>
        </w:rPr>
      </w:pPr>
      <w:r w:rsidRPr="00456B23">
        <w:rPr>
          <w:szCs w:val="22"/>
          <w:lang w:val="sr-Latn-ME"/>
        </w:rPr>
        <w:t>Kod određivanja terapije s lijekom NIZON, potrebno je ispitati m</w:t>
      </w:r>
      <w:r w:rsidR="004140A6" w:rsidRPr="00456B23">
        <w:rPr>
          <w:szCs w:val="22"/>
          <w:lang w:val="sr-Latn-ME"/>
        </w:rPr>
        <w:t>ogućnost uvođenja alternativnog</w:t>
      </w:r>
      <w:r w:rsidRPr="00456B23">
        <w:rPr>
          <w:szCs w:val="22"/>
          <w:lang w:val="sr-Latn-ME"/>
        </w:rPr>
        <w:t xml:space="preserve"> liječenja. </w:t>
      </w:r>
    </w:p>
    <w:p w14:paraId="42A8D9BB" w14:textId="11FBD428" w:rsidR="00054D7D" w:rsidRPr="00456B23" w:rsidRDefault="004140A6">
      <w:pPr>
        <w:autoSpaceDE w:val="0"/>
        <w:autoSpaceDN w:val="0"/>
        <w:adjustRightInd w:val="0"/>
        <w:rPr>
          <w:szCs w:val="22"/>
          <w:lang w:val="sr-Latn-ME"/>
        </w:rPr>
      </w:pPr>
      <w:r w:rsidRPr="00456B23">
        <w:rPr>
          <w:szCs w:val="22"/>
          <w:lang w:val="sr-Latn-ME"/>
        </w:rPr>
        <w:t>Za</w:t>
      </w:r>
      <w:r w:rsidR="00054D7D" w:rsidRPr="00456B23">
        <w:rPr>
          <w:szCs w:val="22"/>
          <w:lang w:val="sr-Latn-ME"/>
        </w:rPr>
        <w:t>visno o</w:t>
      </w:r>
      <w:r w:rsidRPr="00456B23">
        <w:rPr>
          <w:szCs w:val="22"/>
          <w:lang w:val="sr-Latn-ME"/>
        </w:rPr>
        <w:t>d primarne</w:t>
      </w:r>
      <w:r w:rsidR="00054D7D" w:rsidRPr="00456B23">
        <w:rPr>
          <w:szCs w:val="22"/>
          <w:lang w:val="sr-Latn-ME"/>
        </w:rPr>
        <w:t xml:space="preserve"> bolesti koja se liječi, čim se postigne zadovoljavajući terapijski uspjeh, doza se smanjuje na potrebnu dozu održavanja ili se ukida, uz po potrebi praćenje odgovora adrenalnog sistema. </w:t>
      </w:r>
    </w:p>
    <w:p w14:paraId="62B5C614" w14:textId="77777777" w:rsidR="00054D7D" w:rsidRPr="00456B23" w:rsidRDefault="00054D7D">
      <w:pPr>
        <w:autoSpaceDE w:val="0"/>
        <w:autoSpaceDN w:val="0"/>
        <w:adjustRightInd w:val="0"/>
        <w:rPr>
          <w:szCs w:val="22"/>
          <w:lang w:val="sr-Latn-ME"/>
        </w:rPr>
      </w:pPr>
    </w:p>
    <w:p w14:paraId="727CE3B9" w14:textId="00A1545B" w:rsidR="00054D7D" w:rsidRPr="00456B23" w:rsidRDefault="00054D7D">
      <w:pPr>
        <w:rPr>
          <w:szCs w:val="22"/>
          <w:lang w:val="sr-Latn-ME"/>
        </w:rPr>
      </w:pPr>
      <w:r w:rsidRPr="00456B23">
        <w:rPr>
          <w:szCs w:val="22"/>
          <w:lang w:val="sr-Latn-ME"/>
        </w:rPr>
        <w:t xml:space="preserve">Kod hipotireoze ili ciroze jetre, </w:t>
      </w:r>
      <w:r w:rsidR="004140A6" w:rsidRPr="00456B23">
        <w:rPr>
          <w:szCs w:val="22"/>
          <w:lang w:val="sr-Latn-ME"/>
        </w:rPr>
        <w:t>s</w:t>
      </w:r>
      <w:r w:rsidRPr="00456B23">
        <w:rPr>
          <w:szCs w:val="22"/>
          <w:lang w:val="sr-Latn-ME"/>
        </w:rPr>
        <w:t>razmjerno niske doze mogu biti dovoljne ili može biti potrebno smanjenje doze.</w:t>
      </w:r>
    </w:p>
    <w:p w14:paraId="482DD9B6" w14:textId="56095464" w:rsidR="00196762" w:rsidRPr="00456B23" w:rsidRDefault="00196762">
      <w:pPr>
        <w:rPr>
          <w:szCs w:val="22"/>
          <w:lang w:val="sr-Latn-ME"/>
        </w:rPr>
      </w:pPr>
    </w:p>
    <w:p w14:paraId="442A9A30" w14:textId="77777777" w:rsidR="00196762" w:rsidRPr="00456B23" w:rsidRDefault="00196762" w:rsidP="00196762">
      <w:pPr>
        <w:tabs>
          <w:tab w:val="left" w:pos="540"/>
          <w:tab w:val="left" w:pos="569"/>
        </w:tabs>
        <w:rPr>
          <w:bCs/>
          <w:szCs w:val="22"/>
          <w:u w:val="single"/>
          <w:lang w:val="sr-Latn-ME"/>
        </w:rPr>
      </w:pPr>
      <w:r w:rsidRPr="00456B23">
        <w:rPr>
          <w:bCs/>
          <w:szCs w:val="22"/>
          <w:u w:val="single"/>
          <w:lang w:val="sr-Latn-ME"/>
        </w:rPr>
        <w:t>Način primjene</w:t>
      </w:r>
    </w:p>
    <w:p w14:paraId="316A0CDD" w14:textId="77777777" w:rsidR="00196762" w:rsidRPr="00456B23" w:rsidRDefault="00196762" w:rsidP="00196762">
      <w:pPr>
        <w:tabs>
          <w:tab w:val="left" w:pos="540"/>
          <w:tab w:val="left" w:pos="569"/>
        </w:tabs>
        <w:rPr>
          <w:bCs/>
          <w:szCs w:val="22"/>
          <w:u w:val="single"/>
          <w:lang w:val="sr-Latn-ME"/>
        </w:rPr>
      </w:pPr>
    </w:p>
    <w:p w14:paraId="4C7C4391" w14:textId="77777777" w:rsidR="00196762" w:rsidRPr="00456B23" w:rsidRDefault="00196762" w:rsidP="00196762">
      <w:pPr>
        <w:autoSpaceDE w:val="0"/>
        <w:autoSpaceDN w:val="0"/>
        <w:adjustRightInd w:val="0"/>
        <w:rPr>
          <w:szCs w:val="22"/>
          <w:lang w:val="sr-Latn-ME"/>
        </w:rPr>
      </w:pPr>
      <w:r w:rsidRPr="00456B23">
        <w:rPr>
          <w:szCs w:val="22"/>
          <w:lang w:val="sr-Latn-ME"/>
        </w:rPr>
        <w:t>NIZON 5 mg tablete su namijenjene za oralnu primjenu.</w:t>
      </w:r>
    </w:p>
    <w:p w14:paraId="5638DDE0" w14:textId="77777777" w:rsidR="00196762" w:rsidRPr="00456B23" w:rsidRDefault="00196762" w:rsidP="00196762">
      <w:pPr>
        <w:autoSpaceDE w:val="0"/>
        <w:autoSpaceDN w:val="0"/>
        <w:adjustRightInd w:val="0"/>
        <w:rPr>
          <w:szCs w:val="22"/>
          <w:lang w:val="sr-Latn-ME"/>
        </w:rPr>
      </w:pPr>
    </w:p>
    <w:p w14:paraId="5EA4D029" w14:textId="77777777" w:rsidR="00196762" w:rsidRPr="00456B23" w:rsidRDefault="00196762" w:rsidP="00196762">
      <w:pPr>
        <w:autoSpaceDE w:val="0"/>
        <w:autoSpaceDN w:val="0"/>
        <w:adjustRightInd w:val="0"/>
        <w:rPr>
          <w:szCs w:val="22"/>
          <w:lang w:val="sr-Latn-ME"/>
        </w:rPr>
      </w:pPr>
      <w:r w:rsidRPr="00456B23">
        <w:rPr>
          <w:szCs w:val="22"/>
          <w:lang w:val="sr-Latn-ME"/>
        </w:rPr>
        <w:t>Tabletu/e treba progutati s dovoljno tečnosti, za vrijeme ili nakon obroka, prvenstveno nakon doručka. Tableta ima podionu crtu, koja omogućava doziranje u skladu s individualnim potrebama.</w:t>
      </w:r>
    </w:p>
    <w:p w14:paraId="3EF75D51" w14:textId="77777777" w:rsidR="00196762" w:rsidRPr="00456B23" w:rsidRDefault="00196762">
      <w:pPr>
        <w:rPr>
          <w:szCs w:val="22"/>
          <w:lang w:val="sr-Latn-ME"/>
        </w:rPr>
      </w:pPr>
    </w:p>
    <w:p w14:paraId="3C393714" w14:textId="77777777" w:rsidR="009439F3" w:rsidRPr="00456B23" w:rsidRDefault="009439F3">
      <w:pPr>
        <w:rPr>
          <w:szCs w:val="22"/>
          <w:lang w:val="sr-Latn-ME"/>
        </w:rPr>
      </w:pPr>
    </w:p>
    <w:p w14:paraId="7A02D24E" w14:textId="77777777" w:rsidR="00054D7D" w:rsidRPr="00456B23" w:rsidRDefault="00054D7D" w:rsidP="006B28D6">
      <w:pPr>
        <w:pStyle w:val="Heading2"/>
        <w:numPr>
          <w:ilvl w:val="1"/>
          <w:numId w:val="3"/>
        </w:numPr>
        <w:spacing w:before="0" w:after="0" w:line="360" w:lineRule="auto"/>
        <w:rPr>
          <w:color w:val="000000"/>
          <w:szCs w:val="22"/>
          <w:lang w:val="sr-Latn-ME"/>
        </w:rPr>
      </w:pPr>
      <w:r w:rsidRPr="00456B23">
        <w:rPr>
          <w:color w:val="000000"/>
          <w:szCs w:val="22"/>
          <w:lang w:val="sr-Latn-ME"/>
        </w:rPr>
        <w:t xml:space="preserve"> Kontraindikacije  </w:t>
      </w:r>
    </w:p>
    <w:p w14:paraId="594AE495" w14:textId="77777777" w:rsidR="003D6377" w:rsidRPr="00456B23" w:rsidRDefault="003D6377" w:rsidP="00E54851">
      <w:pPr>
        <w:rPr>
          <w:szCs w:val="22"/>
          <w:lang w:val="sr-Latn-ME"/>
        </w:rPr>
      </w:pPr>
    </w:p>
    <w:p w14:paraId="293017D9" w14:textId="07568448" w:rsidR="00054D7D" w:rsidRPr="00456B23" w:rsidRDefault="00054D7D">
      <w:pPr>
        <w:pStyle w:val="Header"/>
        <w:tabs>
          <w:tab w:val="left" w:pos="284"/>
        </w:tabs>
        <w:rPr>
          <w:szCs w:val="22"/>
          <w:lang w:val="sr-Latn-ME"/>
        </w:rPr>
      </w:pPr>
      <w:r w:rsidRPr="00456B23">
        <w:rPr>
          <w:szCs w:val="22"/>
          <w:lang w:val="sr-Latn-ME"/>
        </w:rPr>
        <w:t>NIZON se ne smije primjenjivati kod</w:t>
      </w:r>
      <w:r w:rsidR="009439F3" w:rsidRPr="00456B23">
        <w:rPr>
          <w:szCs w:val="22"/>
          <w:lang w:val="sr-Latn-ME"/>
        </w:rPr>
        <w:t xml:space="preserve"> pacijenata</w:t>
      </w:r>
      <w:r w:rsidRPr="00456B23">
        <w:rPr>
          <w:szCs w:val="22"/>
          <w:lang w:val="sr-Latn-ME"/>
        </w:rPr>
        <w:t xml:space="preserve"> preosjetlji</w:t>
      </w:r>
      <w:r w:rsidR="009439F3" w:rsidRPr="00456B23">
        <w:rPr>
          <w:szCs w:val="22"/>
          <w:lang w:val="sr-Latn-ME"/>
        </w:rPr>
        <w:t>vih</w:t>
      </w:r>
      <w:r w:rsidRPr="00456B23">
        <w:rPr>
          <w:szCs w:val="22"/>
          <w:lang w:val="sr-Latn-ME"/>
        </w:rPr>
        <w:t xml:space="preserve"> na aktivnu supstancu ili na neku od pomoćnih supstanci navedenih u dijelu 6.1.</w:t>
      </w:r>
    </w:p>
    <w:p w14:paraId="350FB301" w14:textId="77777777" w:rsidR="00054D7D" w:rsidRPr="00456B23" w:rsidRDefault="00054D7D">
      <w:pPr>
        <w:pStyle w:val="Header"/>
        <w:tabs>
          <w:tab w:val="left" w:pos="284"/>
        </w:tabs>
        <w:rPr>
          <w:szCs w:val="22"/>
          <w:lang w:val="sr-Latn-ME"/>
        </w:rPr>
      </w:pPr>
    </w:p>
    <w:p w14:paraId="3652F8AB" w14:textId="77777777" w:rsidR="00054D7D" w:rsidRPr="00456B23" w:rsidRDefault="00054D7D">
      <w:pPr>
        <w:pStyle w:val="Header"/>
        <w:rPr>
          <w:szCs w:val="22"/>
          <w:lang w:val="sr-Latn-ME"/>
        </w:rPr>
      </w:pPr>
      <w:r w:rsidRPr="00456B23">
        <w:rPr>
          <w:szCs w:val="22"/>
          <w:lang w:val="sr-Latn-ME"/>
        </w:rPr>
        <w:t>Nema drugih kontraindikacija za kratkotrajno liječenje kod postojanja vitalne indikacije.</w:t>
      </w:r>
    </w:p>
    <w:p w14:paraId="281A80A7" w14:textId="77777777" w:rsidR="009439F3" w:rsidRPr="00456B23" w:rsidRDefault="009439F3">
      <w:pPr>
        <w:pStyle w:val="Header"/>
        <w:rPr>
          <w:color w:val="000000"/>
          <w:szCs w:val="22"/>
          <w:lang w:val="sr-Latn-ME"/>
        </w:rPr>
      </w:pPr>
    </w:p>
    <w:p w14:paraId="1BC659EA" w14:textId="77777777" w:rsidR="00054D7D" w:rsidRPr="00456B23" w:rsidRDefault="00054D7D" w:rsidP="006B28D6">
      <w:pPr>
        <w:pStyle w:val="Heading2"/>
        <w:numPr>
          <w:ilvl w:val="1"/>
          <w:numId w:val="21"/>
        </w:numPr>
        <w:spacing w:before="0" w:after="0" w:line="360" w:lineRule="auto"/>
        <w:contextualSpacing/>
        <w:rPr>
          <w:color w:val="000000"/>
          <w:szCs w:val="22"/>
          <w:lang w:val="sr-Latn-ME"/>
        </w:rPr>
      </w:pPr>
      <w:r w:rsidRPr="00456B23">
        <w:rPr>
          <w:color w:val="000000"/>
          <w:szCs w:val="22"/>
          <w:lang w:val="sr-Latn-ME"/>
        </w:rPr>
        <w:t xml:space="preserve"> Posebna upozorenja i mjere opreza pri upotrebi lijeka</w:t>
      </w:r>
    </w:p>
    <w:p w14:paraId="23743848" w14:textId="77777777" w:rsidR="003D6377" w:rsidRPr="00456B23" w:rsidRDefault="003D6377" w:rsidP="00E54851">
      <w:pPr>
        <w:rPr>
          <w:szCs w:val="22"/>
          <w:lang w:val="sr-Latn-ME"/>
        </w:rPr>
      </w:pPr>
    </w:p>
    <w:p w14:paraId="3C9FE691" w14:textId="77777777" w:rsidR="00054D7D" w:rsidRPr="00456B23" w:rsidRDefault="00054D7D">
      <w:pPr>
        <w:rPr>
          <w:szCs w:val="22"/>
          <w:lang w:val="sr-Latn-ME"/>
        </w:rPr>
      </w:pPr>
      <w:r w:rsidRPr="00456B23">
        <w:rPr>
          <w:szCs w:val="22"/>
          <w:lang w:val="sr-Latn-ME"/>
        </w:rPr>
        <w:t>Liječenje s lijekom NIZON može povećati rizik od bakterijskih, virusnih, gljivičnih, parazitarnih i oportunističkih infekcija, što se temelji na imunosupresiji. Simptomi prisutne infekcije ili infekcije koja se razvija, mogu biti prikriveni, što otežava postavljanje dijagnoze. Latentne infekcije, poput tuberkuloze ili hepatitisa B, mogu se ponovo aktivirati.</w:t>
      </w:r>
    </w:p>
    <w:p w14:paraId="5D5D1C4B" w14:textId="77777777" w:rsidR="00054D7D" w:rsidRPr="00456B23" w:rsidRDefault="00054D7D">
      <w:pPr>
        <w:keepNext/>
        <w:outlineLvl w:val="1"/>
        <w:rPr>
          <w:szCs w:val="22"/>
          <w:lang w:val="sr-Latn-ME"/>
        </w:rPr>
      </w:pPr>
    </w:p>
    <w:p w14:paraId="58135E5C" w14:textId="089989B7" w:rsidR="00054D7D" w:rsidRPr="00456B23" w:rsidRDefault="00054D7D">
      <w:pPr>
        <w:rPr>
          <w:szCs w:val="22"/>
          <w:lang w:val="sr-Latn-ME"/>
        </w:rPr>
      </w:pPr>
      <w:r w:rsidRPr="00456B23">
        <w:rPr>
          <w:szCs w:val="22"/>
          <w:lang w:val="sr-Latn-ME"/>
        </w:rPr>
        <w:t xml:space="preserve">U sljedećim slučajevima, liječenje s lijekom NIZON može se </w:t>
      </w:r>
      <w:r w:rsidR="009439F3" w:rsidRPr="00456B23">
        <w:rPr>
          <w:szCs w:val="22"/>
          <w:lang w:val="sr-Latn-ME"/>
        </w:rPr>
        <w:t>s</w:t>
      </w:r>
      <w:r w:rsidRPr="00456B23">
        <w:rPr>
          <w:szCs w:val="22"/>
          <w:lang w:val="sr-Latn-ME"/>
        </w:rPr>
        <w:t>prove</w:t>
      </w:r>
      <w:r w:rsidR="004140A6" w:rsidRPr="00456B23">
        <w:rPr>
          <w:szCs w:val="22"/>
          <w:lang w:val="sr-Latn-ME"/>
        </w:rPr>
        <w:t>sti samo ako je to neophodno i</w:t>
      </w:r>
      <w:r w:rsidRPr="00456B23">
        <w:rPr>
          <w:szCs w:val="22"/>
          <w:lang w:val="sr-Latn-ME"/>
        </w:rPr>
        <w:t xml:space="preserve"> po potrebi u kombinaciji s ciljanom antiinfektivnom terapijom:</w:t>
      </w:r>
    </w:p>
    <w:p w14:paraId="7A17C596" w14:textId="77777777" w:rsidR="00054D7D" w:rsidRPr="00456B23" w:rsidRDefault="00054D7D">
      <w:pPr>
        <w:rPr>
          <w:szCs w:val="22"/>
          <w:lang w:val="sr-Latn-ME"/>
        </w:rPr>
      </w:pPr>
    </w:p>
    <w:p w14:paraId="7D040758" w14:textId="3AC09DC1" w:rsidR="00054D7D" w:rsidRPr="00456B23" w:rsidRDefault="00054D7D">
      <w:pPr>
        <w:numPr>
          <w:ilvl w:val="0"/>
          <w:numId w:val="17"/>
        </w:numPr>
        <w:rPr>
          <w:rFonts w:eastAsia="Calibri"/>
          <w:szCs w:val="22"/>
          <w:lang w:val="sr-Latn-ME"/>
        </w:rPr>
      </w:pPr>
      <w:r w:rsidRPr="00456B23">
        <w:rPr>
          <w:rFonts w:eastAsia="Calibri"/>
          <w:szCs w:val="22"/>
          <w:lang w:val="sr-Latn-ME"/>
        </w:rPr>
        <w:t>Akutne virusne infekcije (hepatitis B, herpes zoster, herpes</w:t>
      </w:r>
      <w:r w:rsidRPr="00456B23">
        <w:rPr>
          <w:rFonts w:eastAsia="Calibri"/>
          <w:i/>
          <w:szCs w:val="22"/>
          <w:lang w:val="sr-Latn-ME"/>
        </w:rPr>
        <w:t xml:space="preserve"> simplex</w:t>
      </w:r>
      <w:r w:rsidRPr="00456B23">
        <w:rPr>
          <w:rFonts w:eastAsia="Calibri"/>
          <w:szCs w:val="22"/>
          <w:lang w:val="sr-Latn-ME"/>
        </w:rPr>
        <w:t xml:space="preserve">, </w:t>
      </w:r>
      <w:r w:rsidR="00196762" w:rsidRPr="00456B23">
        <w:rPr>
          <w:rFonts w:eastAsia="Calibri"/>
          <w:szCs w:val="22"/>
          <w:lang w:val="sr-Latn-ME"/>
        </w:rPr>
        <w:t xml:space="preserve">ospice, </w:t>
      </w:r>
      <w:r w:rsidRPr="00456B23">
        <w:rPr>
          <w:rFonts w:eastAsia="Calibri"/>
          <w:szCs w:val="22"/>
          <w:lang w:val="sr-Latn-ME"/>
        </w:rPr>
        <w:t>varičele, herpetični keratitis);</w:t>
      </w:r>
    </w:p>
    <w:p w14:paraId="1E9AC4EA" w14:textId="77777777" w:rsidR="00054D7D" w:rsidRPr="00456B23" w:rsidRDefault="00054D7D">
      <w:pPr>
        <w:numPr>
          <w:ilvl w:val="0"/>
          <w:numId w:val="17"/>
        </w:numPr>
        <w:rPr>
          <w:rFonts w:eastAsia="Calibri"/>
          <w:szCs w:val="22"/>
          <w:lang w:val="sr-Latn-ME"/>
        </w:rPr>
      </w:pPr>
      <w:r w:rsidRPr="00456B23">
        <w:rPr>
          <w:rFonts w:eastAsia="Calibri"/>
          <w:szCs w:val="22"/>
          <w:lang w:val="sr-Latn-ME"/>
        </w:rPr>
        <w:t xml:space="preserve">HBsAg-pozitivni, hronični aktivni hepatitis; </w:t>
      </w:r>
    </w:p>
    <w:p w14:paraId="328107EC" w14:textId="2FEE0A16" w:rsidR="00054D7D" w:rsidRPr="00456B23" w:rsidRDefault="00054D7D">
      <w:pPr>
        <w:numPr>
          <w:ilvl w:val="0"/>
          <w:numId w:val="17"/>
        </w:numPr>
        <w:rPr>
          <w:rFonts w:eastAsia="Calibri"/>
          <w:szCs w:val="22"/>
          <w:lang w:val="sr-Latn-ME"/>
        </w:rPr>
      </w:pPr>
      <w:r w:rsidRPr="00456B23">
        <w:rPr>
          <w:rFonts w:eastAsia="Calibri"/>
          <w:szCs w:val="22"/>
          <w:lang w:val="sr-Latn-ME"/>
        </w:rPr>
        <w:t>Približno 8 sedmica prije do 2 sedmice nakon</w:t>
      </w:r>
      <w:r w:rsidR="00196762" w:rsidRPr="00456B23">
        <w:rPr>
          <w:rFonts w:eastAsia="Calibri"/>
          <w:szCs w:val="22"/>
          <w:lang w:val="sr-Latn-ME"/>
        </w:rPr>
        <w:t xml:space="preserve"> profilaktičkog</w:t>
      </w:r>
      <w:r w:rsidRPr="00456B23">
        <w:rPr>
          <w:rFonts w:eastAsia="Calibri"/>
          <w:szCs w:val="22"/>
          <w:lang w:val="sr-Latn-ME"/>
        </w:rPr>
        <w:t xml:space="preserve"> vakcinisanja; </w:t>
      </w:r>
    </w:p>
    <w:p w14:paraId="1B19A415" w14:textId="77777777" w:rsidR="00054D7D" w:rsidRPr="00456B23" w:rsidRDefault="00054D7D">
      <w:pPr>
        <w:numPr>
          <w:ilvl w:val="0"/>
          <w:numId w:val="17"/>
        </w:numPr>
        <w:rPr>
          <w:rFonts w:eastAsia="Calibri"/>
          <w:szCs w:val="22"/>
          <w:lang w:val="sr-Latn-ME"/>
        </w:rPr>
      </w:pPr>
      <w:r w:rsidRPr="00456B23">
        <w:rPr>
          <w:rFonts w:eastAsia="Calibri"/>
          <w:szCs w:val="22"/>
          <w:lang w:val="sr-Latn-ME"/>
        </w:rPr>
        <w:t xml:space="preserve">Sistemske mikoze i parazitoze (npr. nematode); </w:t>
      </w:r>
    </w:p>
    <w:p w14:paraId="41B867B6" w14:textId="77777777" w:rsidR="00054D7D" w:rsidRPr="00456B23" w:rsidRDefault="00054D7D">
      <w:pPr>
        <w:numPr>
          <w:ilvl w:val="0"/>
          <w:numId w:val="17"/>
        </w:numPr>
        <w:rPr>
          <w:rFonts w:eastAsia="Calibri"/>
          <w:szCs w:val="22"/>
          <w:lang w:val="sr-Latn-ME"/>
        </w:rPr>
      </w:pPr>
      <w:r w:rsidRPr="00456B23">
        <w:rPr>
          <w:rFonts w:eastAsia="Calibri"/>
          <w:szCs w:val="22"/>
          <w:lang w:val="sr-Latn-ME"/>
        </w:rPr>
        <w:lastRenderedPageBreak/>
        <w:t>Kod pacijenata s potvrđenom ili suspektnom strongiloidozom, glukokortikoidi mogu dovesti do aktivacije i razmnožavanja parazita;</w:t>
      </w:r>
    </w:p>
    <w:p w14:paraId="5A6F7FCA" w14:textId="77777777" w:rsidR="00054D7D" w:rsidRPr="00456B23" w:rsidRDefault="00054D7D">
      <w:pPr>
        <w:numPr>
          <w:ilvl w:val="0"/>
          <w:numId w:val="17"/>
        </w:numPr>
        <w:rPr>
          <w:rFonts w:eastAsia="Calibri"/>
          <w:szCs w:val="22"/>
          <w:lang w:val="sr-Latn-ME"/>
        </w:rPr>
      </w:pPr>
      <w:r w:rsidRPr="00456B23">
        <w:rPr>
          <w:rFonts w:eastAsia="Calibri"/>
          <w:szCs w:val="22"/>
          <w:lang w:val="sr-Latn-ME"/>
        </w:rPr>
        <w:t xml:space="preserve">Poliomijelitis; </w:t>
      </w:r>
    </w:p>
    <w:p w14:paraId="02865DF3" w14:textId="77777777" w:rsidR="00054D7D" w:rsidRPr="00456B23" w:rsidRDefault="00054D7D">
      <w:pPr>
        <w:numPr>
          <w:ilvl w:val="0"/>
          <w:numId w:val="17"/>
        </w:numPr>
        <w:rPr>
          <w:rFonts w:eastAsia="Calibri"/>
          <w:szCs w:val="22"/>
          <w:lang w:val="sr-Latn-ME"/>
        </w:rPr>
      </w:pPr>
      <w:r w:rsidRPr="00456B23">
        <w:rPr>
          <w:rFonts w:eastAsia="Calibri"/>
          <w:szCs w:val="22"/>
          <w:lang w:val="sr-Latn-ME"/>
        </w:rPr>
        <w:t xml:space="preserve">Limfadenitis nakon BCG vakcinacije; </w:t>
      </w:r>
    </w:p>
    <w:p w14:paraId="77CEE686" w14:textId="77777777" w:rsidR="00054D7D" w:rsidRPr="00456B23" w:rsidRDefault="00054D7D">
      <w:pPr>
        <w:numPr>
          <w:ilvl w:val="0"/>
          <w:numId w:val="17"/>
        </w:numPr>
        <w:rPr>
          <w:rFonts w:eastAsia="Calibri"/>
          <w:szCs w:val="22"/>
          <w:lang w:val="sr-Latn-ME"/>
        </w:rPr>
      </w:pPr>
      <w:r w:rsidRPr="00456B23">
        <w:rPr>
          <w:rFonts w:eastAsia="Calibri"/>
          <w:szCs w:val="22"/>
          <w:lang w:val="sr-Latn-ME"/>
        </w:rPr>
        <w:t xml:space="preserve">Akutne i hronične bakterijske infekcije; </w:t>
      </w:r>
    </w:p>
    <w:p w14:paraId="576EAC2D" w14:textId="77777777" w:rsidR="00054D7D" w:rsidRPr="00456B23" w:rsidRDefault="00054D7D">
      <w:pPr>
        <w:numPr>
          <w:ilvl w:val="0"/>
          <w:numId w:val="17"/>
        </w:numPr>
        <w:rPr>
          <w:rFonts w:eastAsia="Calibri"/>
          <w:szCs w:val="22"/>
          <w:lang w:val="sr-Latn-ME"/>
        </w:rPr>
      </w:pPr>
      <w:r w:rsidRPr="00456B23">
        <w:rPr>
          <w:rFonts w:eastAsia="Calibri"/>
          <w:szCs w:val="22"/>
          <w:lang w:val="sr-Latn-ME"/>
        </w:rPr>
        <w:t xml:space="preserve">Tuberkuloza u anamnezi (samo uz primjenu tuberkulostatika). </w:t>
      </w:r>
    </w:p>
    <w:p w14:paraId="4BD010BD" w14:textId="77777777" w:rsidR="00054D7D" w:rsidRPr="00456B23" w:rsidRDefault="00054D7D">
      <w:pPr>
        <w:autoSpaceDE w:val="0"/>
        <w:autoSpaceDN w:val="0"/>
        <w:adjustRightInd w:val="0"/>
        <w:rPr>
          <w:szCs w:val="22"/>
          <w:lang w:val="sr-Latn-ME"/>
        </w:rPr>
      </w:pPr>
    </w:p>
    <w:p w14:paraId="081F0D10" w14:textId="7AC84571" w:rsidR="00054D7D" w:rsidRPr="00456B23" w:rsidRDefault="004140A6">
      <w:pPr>
        <w:autoSpaceDE w:val="0"/>
        <w:autoSpaceDN w:val="0"/>
        <w:adjustRightInd w:val="0"/>
        <w:rPr>
          <w:szCs w:val="22"/>
          <w:lang w:val="sr-Latn-ME"/>
        </w:rPr>
      </w:pPr>
      <w:r w:rsidRPr="00456B23">
        <w:rPr>
          <w:szCs w:val="22"/>
          <w:lang w:val="sr-Latn-ME"/>
        </w:rPr>
        <w:t>D</w:t>
      </w:r>
      <w:r w:rsidR="00054D7D" w:rsidRPr="00456B23">
        <w:rPr>
          <w:szCs w:val="22"/>
          <w:lang w:val="sr-Latn-ME"/>
        </w:rPr>
        <w:t>alje, liječenje lijekom NIZON može se provesti samo ako je to neophodn</w:t>
      </w:r>
      <w:r w:rsidRPr="00456B23">
        <w:rPr>
          <w:szCs w:val="22"/>
          <w:lang w:val="sr-Latn-ME"/>
        </w:rPr>
        <w:t>o i pod medicinskim nadzorom i</w:t>
      </w:r>
      <w:r w:rsidR="00054D7D" w:rsidRPr="00456B23">
        <w:rPr>
          <w:szCs w:val="22"/>
          <w:lang w:val="sr-Latn-ME"/>
        </w:rPr>
        <w:t xml:space="preserve"> po potrebi</w:t>
      </w:r>
      <w:r w:rsidR="001A2E1C" w:rsidRPr="00456B23">
        <w:rPr>
          <w:szCs w:val="22"/>
          <w:lang w:val="sr-Latn-ME"/>
        </w:rPr>
        <w:t xml:space="preserve"> </w:t>
      </w:r>
      <w:r w:rsidR="00054D7D" w:rsidRPr="00456B23">
        <w:rPr>
          <w:szCs w:val="22"/>
          <w:lang w:val="sr-Latn-ME"/>
        </w:rPr>
        <w:t>u kombinaciji sa specifičnom terapijom</w:t>
      </w:r>
      <w:r w:rsidR="005177D9" w:rsidRPr="00456B23">
        <w:rPr>
          <w:szCs w:val="22"/>
          <w:lang w:val="sr-Latn-ME"/>
        </w:rPr>
        <w:t xml:space="preserve"> za</w:t>
      </w:r>
      <w:r w:rsidR="00054D7D" w:rsidRPr="00456B23">
        <w:rPr>
          <w:szCs w:val="22"/>
          <w:lang w:val="sr-Latn-ME"/>
        </w:rPr>
        <w:t>:</w:t>
      </w:r>
    </w:p>
    <w:p w14:paraId="2A44CF98" w14:textId="77777777" w:rsidR="00054D7D" w:rsidRPr="00456B23" w:rsidRDefault="00054D7D">
      <w:pPr>
        <w:autoSpaceDE w:val="0"/>
        <w:autoSpaceDN w:val="0"/>
        <w:adjustRightInd w:val="0"/>
        <w:rPr>
          <w:szCs w:val="22"/>
          <w:lang w:val="sr-Latn-ME"/>
        </w:rPr>
      </w:pPr>
    </w:p>
    <w:p w14:paraId="2CDCB736" w14:textId="77777777" w:rsidR="00054D7D" w:rsidRPr="00456B23" w:rsidRDefault="00054D7D">
      <w:pPr>
        <w:numPr>
          <w:ilvl w:val="0"/>
          <w:numId w:val="19"/>
        </w:numPr>
        <w:autoSpaceDE w:val="0"/>
        <w:autoSpaceDN w:val="0"/>
        <w:adjustRightInd w:val="0"/>
        <w:contextualSpacing/>
        <w:rPr>
          <w:rFonts w:eastAsia="Calibri"/>
          <w:szCs w:val="22"/>
          <w:lang w:val="sr-Latn-ME"/>
        </w:rPr>
      </w:pPr>
      <w:r w:rsidRPr="00456B23">
        <w:rPr>
          <w:rFonts w:eastAsia="Calibri"/>
          <w:szCs w:val="22"/>
          <w:lang w:val="sr-Latn-ME"/>
        </w:rPr>
        <w:t xml:space="preserve">Peptički ulkus; </w:t>
      </w:r>
    </w:p>
    <w:p w14:paraId="2A6D66EA" w14:textId="6671D173" w:rsidR="00054D7D" w:rsidRPr="00456B23" w:rsidRDefault="00054D7D">
      <w:pPr>
        <w:numPr>
          <w:ilvl w:val="0"/>
          <w:numId w:val="19"/>
        </w:numPr>
        <w:autoSpaceDE w:val="0"/>
        <w:autoSpaceDN w:val="0"/>
        <w:adjustRightInd w:val="0"/>
        <w:contextualSpacing/>
        <w:rPr>
          <w:rFonts w:eastAsia="Calibri"/>
          <w:szCs w:val="22"/>
          <w:lang w:val="sr-Latn-ME"/>
        </w:rPr>
      </w:pPr>
      <w:r w:rsidRPr="00456B23">
        <w:rPr>
          <w:rFonts w:eastAsia="Calibri"/>
          <w:szCs w:val="22"/>
          <w:lang w:val="sr-Latn-ME"/>
        </w:rPr>
        <w:t>Osteoporoz</w:t>
      </w:r>
      <w:r w:rsidR="005177D9" w:rsidRPr="00456B23">
        <w:rPr>
          <w:rFonts w:eastAsia="Calibri"/>
          <w:szCs w:val="22"/>
          <w:lang w:val="sr-Latn-ME"/>
        </w:rPr>
        <w:t>u</w:t>
      </w:r>
      <w:r w:rsidRPr="00456B23">
        <w:rPr>
          <w:rFonts w:eastAsia="Calibri"/>
          <w:szCs w:val="22"/>
          <w:lang w:val="sr-Latn-ME"/>
        </w:rPr>
        <w:t xml:space="preserve">; </w:t>
      </w:r>
    </w:p>
    <w:p w14:paraId="4211DFBF" w14:textId="0741F30C" w:rsidR="00054D7D" w:rsidRPr="00456B23" w:rsidRDefault="00054D7D">
      <w:pPr>
        <w:numPr>
          <w:ilvl w:val="0"/>
          <w:numId w:val="19"/>
        </w:numPr>
        <w:autoSpaceDE w:val="0"/>
        <w:autoSpaceDN w:val="0"/>
        <w:adjustRightInd w:val="0"/>
        <w:contextualSpacing/>
        <w:rPr>
          <w:rFonts w:eastAsia="Calibri"/>
          <w:szCs w:val="22"/>
          <w:lang w:val="sr-Latn-ME"/>
        </w:rPr>
      </w:pPr>
      <w:r w:rsidRPr="00456B23">
        <w:rPr>
          <w:rFonts w:eastAsia="Calibri"/>
          <w:szCs w:val="22"/>
          <w:lang w:val="sr-Latn-ME"/>
        </w:rPr>
        <w:t>Hipertenzij</w:t>
      </w:r>
      <w:r w:rsidR="005177D9" w:rsidRPr="00456B23">
        <w:rPr>
          <w:rFonts w:eastAsia="Calibri"/>
          <w:szCs w:val="22"/>
          <w:lang w:val="sr-Latn-ME"/>
        </w:rPr>
        <w:t>u</w:t>
      </w:r>
      <w:r w:rsidRPr="00456B23">
        <w:rPr>
          <w:rFonts w:eastAsia="Calibri"/>
          <w:szCs w:val="22"/>
          <w:lang w:val="sr-Latn-ME"/>
        </w:rPr>
        <w:t xml:space="preserve"> koju je teško kontrolisati;</w:t>
      </w:r>
    </w:p>
    <w:p w14:paraId="42C179D4" w14:textId="662C6C9D" w:rsidR="00054D7D" w:rsidRPr="00456B23" w:rsidRDefault="00054D7D">
      <w:pPr>
        <w:numPr>
          <w:ilvl w:val="0"/>
          <w:numId w:val="19"/>
        </w:numPr>
        <w:autoSpaceDE w:val="0"/>
        <w:autoSpaceDN w:val="0"/>
        <w:adjustRightInd w:val="0"/>
        <w:contextualSpacing/>
        <w:rPr>
          <w:rFonts w:eastAsia="Calibri"/>
          <w:szCs w:val="22"/>
          <w:lang w:val="sr-Latn-ME"/>
        </w:rPr>
      </w:pPr>
      <w:r w:rsidRPr="00456B23">
        <w:rPr>
          <w:rFonts w:eastAsia="Calibri"/>
          <w:szCs w:val="22"/>
          <w:lang w:val="sr-Latn-ME"/>
        </w:rPr>
        <w:t>Šećern</w:t>
      </w:r>
      <w:r w:rsidR="005177D9" w:rsidRPr="00456B23">
        <w:rPr>
          <w:rFonts w:eastAsia="Calibri"/>
          <w:szCs w:val="22"/>
          <w:lang w:val="sr-Latn-ME"/>
        </w:rPr>
        <w:t>u</w:t>
      </w:r>
      <w:r w:rsidRPr="00456B23">
        <w:rPr>
          <w:rFonts w:eastAsia="Calibri"/>
          <w:szCs w:val="22"/>
          <w:lang w:val="sr-Latn-ME"/>
        </w:rPr>
        <w:t xml:space="preserve"> bolest koju je teško kontrolisati; </w:t>
      </w:r>
    </w:p>
    <w:p w14:paraId="136B92E2" w14:textId="77777777" w:rsidR="00054D7D" w:rsidRPr="00456B23" w:rsidRDefault="00054D7D">
      <w:pPr>
        <w:numPr>
          <w:ilvl w:val="0"/>
          <w:numId w:val="19"/>
        </w:numPr>
        <w:autoSpaceDE w:val="0"/>
        <w:autoSpaceDN w:val="0"/>
        <w:adjustRightInd w:val="0"/>
        <w:contextualSpacing/>
        <w:rPr>
          <w:rFonts w:eastAsia="Calibri"/>
          <w:szCs w:val="22"/>
          <w:lang w:val="sr-Latn-ME"/>
        </w:rPr>
      </w:pPr>
      <w:r w:rsidRPr="00456B23">
        <w:rPr>
          <w:rFonts w:eastAsia="Calibri"/>
          <w:szCs w:val="22"/>
          <w:lang w:val="sr-Latn-ME"/>
        </w:rPr>
        <w:t xml:space="preserve">Psihijatrijske bolesti (takođe i u anamnezi), uključujući i suicidne misli: preporučuje se neurološko i psihijatrijsko praćenje; </w:t>
      </w:r>
    </w:p>
    <w:p w14:paraId="20EEABEA" w14:textId="77777777" w:rsidR="00054D7D" w:rsidRPr="00456B23" w:rsidRDefault="00054D7D">
      <w:pPr>
        <w:numPr>
          <w:ilvl w:val="0"/>
          <w:numId w:val="19"/>
        </w:numPr>
        <w:autoSpaceDE w:val="0"/>
        <w:autoSpaceDN w:val="0"/>
        <w:adjustRightInd w:val="0"/>
        <w:contextualSpacing/>
        <w:rPr>
          <w:rFonts w:eastAsia="Calibri"/>
          <w:szCs w:val="22"/>
          <w:lang w:val="sr-Latn-ME"/>
        </w:rPr>
      </w:pPr>
      <w:r w:rsidRPr="00456B23">
        <w:rPr>
          <w:rFonts w:eastAsia="Calibri"/>
          <w:szCs w:val="22"/>
          <w:lang w:val="sr-Latn-ME"/>
        </w:rPr>
        <w:t xml:space="preserve">Glaukom uskog i širokog ugla: preporučuje se oftalmološko praćenje i liječenje; </w:t>
      </w:r>
    </w:p>
    <w:p w14:paraId="7F45F23E" w14:textId="182B4DC2" w:rsidR="00054D7D" w:rsidRPr="00456B23" w:rsidRDefault="00054D7D">
      <w:pPr>
        <w:numPr>
          <w:ilvl w:val="0"/>
          <w:numId w:val="19"/>
        </w:numPr>
        <w:autoSpaceDE w:val="0"/>
        <w:autoSpaceDN w:val="0"/>
        <w:adjustRightInd w:val="0"/>
        <w:contextualSpacing/>
        <w:rPr>
          <w:rFonts w:eastAsia="Calibri"/>
          <w:szCs w:val="22"/>
          <w:lang w:val="sr-Latn-ME"/>
        </w:rPr>
      </w:pPr>
      <w:r w:rsidRPr="00456B23">
        <w:rPr>
          <w:rFonts w:eastAsia="Calibri"/>
          <w:szCs w:val="22"/>
          <w:lang w:val="sr-Latn-ME"/>
        </w:rPr>
        <w:t xml:space="preserve">Kornealne ulceracije i kornealne </w:t>
      </w:r>
      <w:r w:rsidR="001A2E1C" w:rsidRPr="00456B23">
        <w:rPr>
          <w:rFonts w:eastAsia="Calibri"/>
          <w:szCs w:val="22"/>
          <w:lang w:val="sr-Latn-ME"/>
        </w:rPr>
        <w:t>povrede</w:t>
      </w:r>
      <w:r w:rsidRPr="00456B23">
        <w:rPr>
          <w:rFonts w:eastAsia="Calibri"/>
          <w:szCs w:val="22"/>
          <w:lang w:val="sr-Latn-ME"/>
        </w:rPr>
        <w:t xml:space="preserve">: preporučuje se oftalmološko praćenje i liječenje. </w:t>
      </w:r>
    </w:p>
    <w:p w14:paraId="01556F57" w14:textId="77777777" w:rsidR="00054D7D" w:rsidRPr="00456B23" w:rsidRDefault="00054D7D">
      <w:pPr>
        <w:autoSpaceDE w:val="0"/>
        <w:autoSpaceDN w:val="0"/>
        <w:adjustRightInd w:val="0"/>
        <w:rPr>
          <w:noProof/>
          <w:szCs w:val="22"/>
          <w:lang w:val="sr-Latn-ME"/>
        </w:rPr>
      </w:pPr>
    </w:p>
    <w:p w14:paraId="459D0BBC" w14:textId="4E70F3AB" w:rsidR="00054D7D" w:rsidRPr="00456B23" w:rsidRDefault="00054D7D">
      <w:pPr>
        <w:autoSpaceDE w:val="0"/>
        <w:autoSpaceDN w:val="0"/>
        <w:adjustRightInd w:val="0"/>
        <w:rPr>
          <w:rFonts w:eastAsia="Calibri"/>
          <w:noProof/>
          <w:szCs w:val="22"/>
          <w:lang w:val="sr-Latn-ME"/>
        </w:rPr>
      </w:pPr>
      <w:r w:rsidRPr="00456B23">
        <w:rPr>
          <w:rFonts w:eastAsia="Calibri"/>
          <w:noProof/>
          <w:szCs w:val="22"/>
          <w:lang w:val="sr-Latn-ME"/>
        </w:rPr>
        <w:t xml:space="preserve">Zbog rizika od intestinalne perforacije, NIZON se može primijeniti samo ako postoji </w:t>
      </w:r>
      <w:r w:rsidR="005177D9" w:rsidRPr="00456B23">
        <w:rPr>
          <w:rFonts w:eastAsia="Calibri"/>
          <w:noProof/>
          <w:szCs w:val="22"/>
          <w:lang w:val="sr-Latn-ME"/>
        </w:rPr>
        <w:t xml:space="preserve">vitalna </w:t>
      </w:r>
      <w:r w:rsidRPr="00456B23">
        <w:rPr>
          <w:rFonts w:eastAsia="Calibri"/>
          <w:noProof/>
          <w:szCs w:val="22"/>
          <w:lang w:val="sr-Latn-ME"/>
        </w:rPr>
        <w:t xml:space="preserve">indikacija i uz pažljivo praćenje, kod: </w:t>
      </w:r>
    </w:p>
    <w:p w14:paraId="34D80ECE" w14:textId="77777777" w:rsidR="00054D7D" w:rsidRPr="00456B23" w:rsidRDefault="00054D7D">
      <w:pPr>
        <w:autoSpaceDE w:val="0"/>
        <w:autoSpaceDN w:val="0"/>
        <w:adjustRightInd w:val="0"/>
        <w:rPr>
          <w:rFonts w:eastAsia="Calibri"/>
          <w:szCs w:val="22"/>
          <w:lang w:val="sr-Latn-ME"/>
        </w:rPr>
      </w:pPr>
    </w:p>
    <w:p w14:paraId="5FBCBC2B" w14:textId="77777777" w:rsidR="00054D7D" w:rsidRPr="00456B23" w:rsidRDefault="00054D7D">
      <w:pPr>
        <w:numPr>
          <w:ilvl w:val="0"/>
          <w:numId w:val="20"/>
        </w:numPr>
        <w:autoSpaceDE w:val="0"/>
        <w:autoSpaceDN w:val="0"/>
        <w:adjustRightInd w:val="0"/>
        <w:rPr>
          <w:rFonts w:eastAsia="Calibri"/>
          <w:szCs w:val="22"/>
          <w:lang w:val="sr-Latn-ME"/>
        </w:rPr>
      </w:pPr>
      <w:r w:rsidRPr="00456B23">
        <w:rPr>
          <w:rFonts w:eastAsia="Calibri"/>
          <w:szCs w:val="22"/>
          <w:lang w:val="sr-Latn-ME"/>
        </w:rPr>
        <w:t xml:space="preserve">Teškog ulceroznog kolitisa s prijetećom perforacijom, moguće čak i bez peritonealne iritacije; </w:t>
      </w:r>
    </w:p>
    <w:p w14:paraId="668B9476" w14:textId="77777777" w:rsidR="00054D7D" w:rsidRPr="00456B23" w:rsidRDefault="00054D7D">
      <w:pPr>
        <w:numPr>
          <w:ilvl w:val="0"/>
          <w:numId w:val="20"/>
        </w:numPr>
        <w:autoSpaceDE w:val="0"/>
        <w:autoSpaceDN w:val="0"/>
        <w:adjustRightInd w:val="0"/>
        <w:rPr>
          <w:rFonts w:eastAsia="Calibri"/>
          <w:szCs w:val="22"/>
          <w:lang w:val="sr-Latn-ME"/>
        </w:rPr>
      </w:pPr>
      <w:r w:rsidRPr="00456B23">
        <w:rPr>
          <w:rFonts w:eastAsia="Calibri"/>
          <w:szCs w:val="22"/>
          <w:lang w:val="sr-Latn-ME"/>
        </w:rPr>
        <w:t xml:space="preserve">Divertikulitisa; </w:t>
      </w:r>
    </w:p>
    <w:p w14:paraId="13CB60B7" w14:textId="77777777" w:rsidR="00054D7D" w:rsidRPr="00456B23" w:rsidRDefault="00054D7D">
      <w:pPr>
        <w:numPr>
          <w:ilvl w:val="0"/>
          <w:numId w:val="20"/>
        </w:numPr>
        <w:autoSpaceDE w:val="0"/>
        <w:autoSpaceDN w:val="0"/>
        <w:adjustRightInd w:val="0"/>
        <w:rPr>
          <w:rFonts w:eastAsia="Calibri"/>
          <w:szCs w:val="22"/>
          <w:lang w:val="sr-Latn-ME"/>
        </w:rPr>
      </w:pPr>
      <w:r w:rsidRPr="00456B23">
        <w:rPr>
          <w:rFonts w:eastAsia="Calibri"/>
          <w:szCs w:val="22"/>
          <w:lang w:val="sr-Latn-ME"/>
        </w:rPr>
        <w:t xml:space="preserve">Enteroanastomoze (neposredno nakon operativnog zahvata). </w:t>
      </w:r>
    </w:p>
    <w:p w14:paraId="7C4A0AE4" w14:textId="77777777" w:rsidR="00054D7D" w:rsidRPr="00456B23" w:rsidRDefault="00054D7D">
      <w:pPr>
        <w:autoSpaceDE w:val="0"/>
        <w:autoSpaceDN w:val="0"/>
        <w:adjustRightInd w:val="0"/>
        <w:rPr>
          <w:rFonts w:eastAsia="Calibri"/>
          <w:szCs w:val="22"/>
          <w:lang w:val="sr-Latn-ME"/>
        </w:rPr>
      </w:pPr>
    </w:p>
    <w:p w14:paraId="3F90D8CB" w14:textId="77777777" w:rsidR="00054D7D" w:rsidRPr="00456B23" w:rsidRDefault="00054D7D">
      <w:pPr>
        <w:autoSpaceDE w:val="0"/>
        <w:autoSpaceDN w:val="0"/>
        <w:adjustRightInd w:val="0"/>
        <w:rPr>
          <w:rFonts w:eastAsia="Calibri"/>
          <w:szCs w:val="22"/>
          <w:lang w:val="sr-Latn-ME"/>
        </w:rPr>
      </w:pPr>
      <w:r w:rsidRPr="00456B23">
        <w:rPr>
          <w:rFonts w:eastAsia="Calibri"/>
          <w:szCs w:val="22"/>
          <w:lang w:val="sr-Latn-ME"/>
        </w:rPr>
        <w:t xml:space="preserve">Kod pacijenata koji primaju visoke doze glukokortikoida, znaci peritonealne iritacije, nakon gastrointestinalne perforacije, mogu izostati. </w:t>
      </w:r>
    </w:p>
    <w:p w14:paraId="32D9C946" w14:textId="77777777" w:rsidR="00054D7D" w:rsidRPr="00456B23" w:rsidRDefault="00054D7D">
      <w:pPr>
        <w:autoSpaceDE w:val="0"/>
        <w:autoSpaceDN w:val="0"/>
        <w:adjustRightInd w:val="0"/>
        <w:rPr>
          <w:rFonts w:eastAsia="Calibri"/>
          <w:szCs w:val="22"/>
          <w:lang w:val="sr-Latn-ME"/>
        </w:rPr>
      </w:pPr>
    </w:p>
    <w:p w14:paraId="680B60FD" w14:textId="20DEB7E8" w:rsidR="00054D7D" w:rsidRPr="00456B23" w:rsidRDefault="00054D7D">
      <w:pPr>
        <w:autoSpaceDE w:val="0"/>
        <w:autoSpaceDN w:val="0"/>
        <w:adjustRightInd w:val="0"/>
        <w:rPr>
          <w:rFonts w:eastAsia="Calibri"/>
          <w:szCs w:val="22"/>
          <w:lang w:val="sr-Latn-ME"/>
        </w:rPr>
      </w:pPr>
      <w:r w:rsidRPr="00456B23">
        <w:rPr>
          <w:rFonts w:eastAsia="Calibri"/>
          <w:szCs w:val="22"/>
          <w:lang w:val="sr-Latn-ME"/>
        </w:rPr>
        <w:t>Istovremena primjena fluoro</w:t>
      </w:r>
      <w:r w:rsidR="001A2E1C" w:rsidRPr="00456B23">
        <w:rPr>
          <w:rFonts w:eastAsia="Calibri"/>
          <w:szCs w:val="22"/>
          <w:lang w:val="sr-Latn-ME"/>
        </w:rPr>
        <w:t>h</w:t>
      </w:r>
      <w:r w:rsidRPr="00456B23">
        <w:rPr>
          <w:rFonts w:eastAsia="Calibri"/>
          <w:szCs w:val="22"/>
          <w:lang w:val="sr-Latn-ME"/>
        </w:rPr>
        <w:t xml:space="preserve">inolona i glukokortikoida, povećava rizik od problema s tetivama, tendinitisa i rupture tetive. </w:t>
      </w:r>
    </w:p>
    <w:p w14:paraId="1794AC98" w14:textId="77777777" w:rsidR="00054D7D" w:rsidRPr="00456B23" w:rsidRDefault="00054D7D">
      <w:pPr>
        <w:autoSpaceDE w:val="0"/>
        <w:autoSpaceDN w:val="0"/>
        <w:adjustRightInd w:val="0"/>
        <w:rPr>
          <w:rFonts w:eastAsia="Calibri"/>
          <w:szCs w:val="22"/>
          <w:lang w:val="sr-Latn-ME"/>
        </w:rPr>
      </w:pPr>
    </w:p>
    <w:p w14:paraId="3DADFF29" w14:textId="50C5874F" w:rsidR="00054D7D" w:rsidRPr="00456B23" w:rsidRDefault="00054D7D">
      <w:pPr>
        <w:autoSpaceDE w:val="0"/>
        <w:autoSpaceDN w:val="0"/>
        <w:adjustRightInd w:val="0"/>
        <w:rPr>
          <w:rFonts w:eastAsia="Calibri"/>
          <w:szCs w:val="22"/>
          <w:lang w:val="sr-Latn-ME"/>
        </w:rPr>
      </w:pPr>
      <w:r w:rsidRPr="00456B23">
        <w:rPr>
          <w:rFonts w:eastAsia="Calibri"/>
          <w:szCs w:val="22"/>
          <w:lang w:val="sr-Latn-ME"/>
        </w:rPr>
        <w:t xml:space="preserve">Pacijenti koji boluju od šećerne bolesti, tokom liječenja lijekom NIZON mogu </w:t>
      </w:r>
      <w:r w:rsidR="001A2E1C" w:rsidRPr="00456B23">
        <w:rPr>
          <w:rFonts w:eastAsia="Calibri"/>
          <w:szCs w:val="22"/>
          <w:lang w:val="sr-Latn-ME"/>
        </w:rPr>
        <w:t>zahtijevati</w:t>
      </w:r>
      <w:r w:rsidRPr="00456B23">
        <w:rPr>
          <w:rFonts w:eastAsia="Calibri"/>
          <w:szCs w:val="22"/>
          <w:lang w:val="sr-Latn-ME"/>
        </w:rPr>
        <w:t xml:space="preserve"> veće doze inzulina ili oralnih antidijabetika. </w:t>
      </w:r>
    </w:p>
    <w:p w14:paraId="5722ADB9" w14:textId="77777777" w:rsidR="00054D7D" w:rsidRPr="00456B23" w:rsidRDefault="00054D7D">
      <w:pPr>
        <w:autoSpaceDE w:val="0"/>
        <w:autoSpaceDN w:val="0"/>
        <w:adjustRightInd w:val="0"/>
        <w:rPr>
          <w:rFonts w:eastAsia="Calibri"/>
          <w:szCs w:val="22"/>
          <w:lang w:val="sr-Latn-ME"/>
        </w:rPr>
      </w:pPr>
    </w:p>
    <w:p w14:paraId="686F6646" w14:textId="77777777" w:rsidR="00054D7D" w:rsidRPr="00456B23" w:rsidRDefault="00054D7D">
      <w:pPr>
        <w:autoSpaceDE w:val="0"/>
        <w:autoSpaceDN w:val="0"/>
        <w:adjustRightInd w:val="0"/>
        <w:rPr>
          <w:rFonts w:eastAsia="Calibri"/>
          <w:szCs w:val="22"/>
          <w:lang w:val="sr-Latn-ME"/>
        </w:rPr>
      </w:pPr>
      <w:r w:rsidRPr="00456B23">
        <w:rPr>
          <w:rFonts w:eastAsia="Calibri"/>
          <w:szCs w:val="22"/>
          <w:lang w:val="sr-Latn-ME"/>
        </w:rPr>
        <w:t xml:space="preserve">Kod pacijenata čiju je hipertenziju teško kontrolisati, tokom liječenja s lijekom NIZON krvni pritisak treba redovno provjeravati. </w:t>
      </w:r>
    </w:p>
    <w:p w14:paraId="14B383FE" w14:textId="77777777" w:rsidR="00054D7D" w:rsidRPr="00456B23" w:rsidRDefault="00054D7D">
      <w:pPr>
        <w:autoSpaceDE w:val="0"/>
        <w:autoSpaceDN w:val="0"/>
        <w:adjustRightInd w:val="0"/>
        <w:rPr>
          <w:szCs w:val="22"/>
          <w:lang w:val="sr-Latn-ME"/>
        </w:rPr>
      </w:pPr>
    </w:p>
    <w:p w14:paraId="45DB64B7" w14:textId="77777777" w:rsidR="00054D7D" w:rsidRPr="00456B23" w:rsidRDefault="00054D7D">
      <w:pPr>
        <w:autoSpaceDE w:val="0"/>
        <w:autoSpaceDN w:val="0"/>
        <w:adjustRightInd w:val="0"/>
        <w:rPr>
          <w:szCs w:val="22"/>
          <w:lang w:val="sr-Latn-ME"/>
        </w:rPr>
      </w:pPr>
      <w:r w:rsidRPr="00456B23">
        <w:rPr>
          <w:szCs w:val="22"/>
          <w:lang w:val="sr-Latn-ME"/>
        </w:rPr>
        <w:t xml:space="preserve">Pacijente s teškom insuficijencijom srca, treba pomno pratiti zbog rizika </w:t>
      </w:r>
      <w:r w:rsidRPr="00456B23">
        <w:rPr>
          <w:noProof/>
          <w:szCs w:val="22"/>
          <w:lang w:val="sr-Latn-ME"/>
        </w:rPr>
        <w:t>od pogoršanja</w:t>
      </w:r>
      <w:r w:rsidRPr="00456B23">
        <w:rPr>
          <w:szCs w:val="22"/>
          <w:lang w:val="sr-Latn-ME"/>
        </w:rPr>
        <w:t xml:space="preserve"> njihovog stanja.</w:t>
      </w:r>
    </w:p>
    <w:p w14:paraId="0CB3983A" w14:textId="77777777" w:rsidR="00054D7D" w:rsidRPr="00456B23" w:rsidRDefault="00054D7D">
      <w:pPr>
        <w:autoSpaceDE w:val="0"/>
        <w:autoSpaceDN w:val="0"/>
        <w:adjustRightInd w:val="0"/>
        <w:rPr>
          <w:szCs w:val="22"/>
          <w:lang w:val="sr-Latn-ME"/>
        </w:rPr>
      </w:pPr>
    </w:p>
    <w:p w14:paraId="60E39115" w14:textId="609C719F" w:rsidR="00054D7D" w:rsidRPr="00456B23" w:rsidRDefault="00054D7D">
      <w:pPr>
        <w:autoSpaceDE w:val="0"/>
        <w:autoSpaceDN w:val="0"/>
        <w:adjustRightInd w:val="0"/>
        <w:rPr>
          <w:rFonts w:eastAsia="Calibri"/>
          <w:szCs w:val="22"/>
          <w:lang w:val="sr-Latn-ME"/>
        </w:rPr>
      </w:pPr>
      <w:r w:rsidRPr="00456B23">
        <w:rPr>
          <w:rFonts w:eastAsia="Calibri"/>
          <w:szCs w:val="22"/>
          <w:lang w:val="sr-Latn-ME"/>
        </w:rPr>
        <w:t>Tokom liječenja miastenije gravis, simptomi se poč</w:t>
      </w:r>
      <w:r w:rsidR="00752789" w:rsidRPr="00456B23">
        <w:rPr>
          <w:rFonts w:eastAsia="Calibri"/>
          <w:szCs w:val="22"/>
          <w:lang w:val="sr-Latn-ME"/>
        </w:rPr>
        <w:t>etno mogu pogoršati i zato</w:t>
      </w:r>
      <w:r w:rsidRPr="00456B23">
        <w:rPr>
          <w:rFonts w:eastAsia="Calibri"/>
          <w:szCs w:val="22"/>
          <w:lang w:val="sr-Latn-ME"/>
        </w:rPr>
        <w:t xml:space="preserve"> </w:t>
      </w:r>
      <w:r w:rsidR="005177D9" w:rsidRPr="00456B23">
        <w:rPr>
          <w:rFonts w:eastAsia="Calibri"/>
          <w:szCs w:val="22"/>
          <w:lang w:val="sr-Latn-ME"/>
        </w:rPr>
        <w:t>je potrebn</w:t>
      </w:r>
      <w:r w:rsidR="00B702CE" w:rsidRPr="00456B23">
        <w:rPr>
          <w:rFonts w:eastAsia="Calibri"/>
          <w:szCs w:val="22"/>
          <w:lang w:val="sr-Latn-ME"/>
        </w:rPr>
        <w:t>o</w:t>
      </w:r>
      <w:r w:rsidR="005177D9" w:rsidRPr="00456B23">
        <w:rPr>
          <w:rFonts w:eastAsia="Calibri"/>
          <w:szCs w:val="22"/>
          <w:lang w:val="sr-Latn-ME"/>
        </w:rPr>
        <w:t xml:space="preserve"> prilago</w:t>
      </w:r>
      <w:r w:rsidR="00B702CE" w:rsidRPr="00456B23">
        <w:rPr>
          <w:rFonts w:eastAsia="Calibri"/>
          <w:szCs w:val="22"/>
          <w:lang w:val="sr-Latn-ME"/>
        </w:rPr>
        <w:t>đavanje</w:t>
      </w:r>
      <w:r w:rsidR="005177D9" w:rsidRPr="00456B23">
        <w:rPr>
          <w:rFonts w:eastAsia="Calibri"/>
          <w:szCs w:val="22"/>
          <w:lang w:val="sr-Latn-ME"/>
        </w:rPr>
        <w:t xml:space="preserve"> doze</w:t>
      </w:r>
      <w:r w:rsidRPr="00456B23">
        <w:rPr>
          <w:rFonts w:eastAsia="Calibri"/>
          <w:szCs w:val="22"/>
          <w:lang w:val="sr-Latn-ME"/>
        </w:rPr>
        <w:t xml:space="preserve">. Terapiju s lijekom NIZON treba započeti s dozama koje se postepeno povećavaju, naročito kod teških facio-faringealnih simptoma i smanjenog respiratornog volumena. </w:t>
      </w:r>
    </w:p>
    <w:p w14:paraId="1541AC52" w14:textId="5CBF9841" w:rsidR="00054D7D" w:rsidRPr="00456B23" w:rsidRDefault="00054D7D">
      <w:pPr>
        <w:autoSpaceDE w:val="0"/>
        <w:autoSpaceDN w:val="0"/>
        <w:adjustRightInd w:val="0"/>
        <w:rPr>
          <w:rFonts w:eastAsia="Calibri"/>
          <w:szCs w:val="22"/>
          <w:lang w:val="sr-Latn-ME"/>
        </w:rPr>
      </w:pPr>
      <w:r w:rsidRPr="00456B23">
        <w:rPr>
          <w:rFonts w:eastAsia="Calibri"/>
          <w:szCs w:val="22"/>
          <w:lang w:val="sr-Latn-ME"/>
        </w:rPr>
        <w:t xml:space="preserve">Dugotrajna primjena malih doza prednizona povećava rizik od infekcija, čak i s mikroorganizmima koji </w:t>
      </w:r>
      <w:r w:rsidR="008777CB" w:rsidRPr="00456B23">
        <w:rPr>
          <w:rFonts w:eastAsia="Calibri"/>
          <w:szCs w:val="22"/>
          <w:lang w:val="sr-Latn-ME"/>
        </w:rPr>
        <w:t>po</w:t>
      </w:r>
      <w:r w:rsidRPr="00456B23">
        <w:rPr>
          <w:rFonts w:eastAsia="Calibri"/>
          <w:szCs w:val="22"/>
          <w:lang w:val="sr-Latn-ME"/>
        </w:rPr>
        <w:t xml:space="preserve"> pravilu rijetko uzrokuju infekcije (tzv. oportunističke infekcije). </w:t>
      </w:r>
    </w:p>
    <w:p w14:paraId="137C8987" w14:textId="77777777" w:rsidR="00054D7D" w:rsidRPr="00456B23" w:rsidRDefault="00054D7D">
      <w:pPr>
        <w:autoSpaceDE w:val="0"/>
        <w:autoSpaceDN w:val="0"/>
        <w:adjustRightInd w:val="0"/>
        <w:rPr>
          <w:rFonts w:eastAsia="Calibri"/>
          <w:szCs w:val="22"/>
          <w:lang w:val="sr-Latn-ME"/>
        </w:rPr>
      </w:pPr>
    </w:p>
    <w:p w14:paraId="2BB4BB50" w14:textId="4435B1BF" w:rsidR="00054D7D" w:rsidRPr="00456B23" w:rsidRDefault="00054D7D">
      <w:pPr>
        <w:autoSpaceDE w:val="0"/>
        <w:autoSpaceDN w:val="0"/>
        <w:adjustRightInd w:val="0"/>
        <w:rPr>
          <w:rFonts w:eastAsia="Calibri"/>
          <w:szCs w:val="22"/>
          <w:lang w:val="sr-Latn-ME"/>
        </w:rPr>
      </w:pPr>
      <w:r w:rsidRPr="00456B23">
        <w:rPr>
          <w:rFonts w:eastAsia="Calibri"/>
          <w:szCs w:val="22"/>
          <w:lang w:val="sr-Latn-ME"/>
        </w:rPr>
        <w:t>Vakcin</w:t>
      </w:r>
      <w:r w:rsidR="008777CB" w:rsidRPr="00456B23">
        <w:rPr>
          <w:rFonts w:eastAsia="Calibri"/>
          <w:szCs w:val="22"/>
          <w:lang w:val="sr-Latn-ME"/>
        </w:rPr>
        <w:t>acija</w:t>
      </w:r>
      <w:r w:rsidRPr="00456B23">
        <w:rPr>
          <w:rFonts w:eastAsia="Calibri"/>
          <w:szCs w:val="22"/>
          <w:lang w:val="sr-Latn-ME"/>
        </w:rPr>
        <w:t xml:space="preserve"> s neživim vakcinama </w:t>
      </w:r>
      <w:r w:rsidR="008777CB" w:rsidRPr="00456B23">
        <w:rPr>
          <w:rFonts w:eastAsia="Calibri"/>
          <w:szCs w:val="22"/>
          <w:lang w:val="sr-Latn-ME"/>
        </w:rPr>
        <w:t>po</w:t>
      </w:r>
      <w:r w:rsidRPr="00456B23">
        <w:rPr>
          <w:rFonts w:eastAsia="Calibri"/>
          <w:szCs w:val="22"/>
          <w:lang w:val="sr-Latn-ME"/>
        </w:rPr>
        <w:t xml:space="preserve"> pravilu je moguć</w:t>
      </w:r>
      <w:r w:rsidR="008777CB" w:rsidRPr="00456B23">
        <w:rPr>
          <w:rFonts w:eastAsia="Calibri"/>
          <w:szCs w:val="22"/>
          <w:lang w:val="sr-Latn-ME"/>
        </w:rPr>
        <w:t>a</w:t>
      </w:r>
      <w:r w:rsidRPr="00456B23">
        <w:rPr>
          <w:rFonts w:eastAsia="Calibri"/>
          <w:szCs w:val="22"/>
          <w:lang w:val="sr-Latn-ME"/>
        </w:rPr>
        <w:t xml:space="preserve">. Međutim, potrebno je uzeti u obzir da više doze kortikosteroida mogu narušiti imunološku reakciju, pa tako i uspjeh vakcinisanja. </w:t>
      </w:r>
    </w:p>
    <w:p w14:paraId="5AF0D3B6" w14:textId="4AE1EC52" w:rsidR="005177D9" w:rsidRPr="00456B23" w:rsidRDefault="005177D9">
      <w:pPr>
        <w:autoSpaceDE w:val="0"/>
        <w:autoSpaceDN w:val="0"/>
        <w:adjustRightInd w:val="0"/>
        <w:rPr>
          <w:rFonts w:eastAsia="Calibri"/>
          <w:szCs w:val="22"/>
          <w:lang w:val="sr-Latn-ME"/>
        </w:rPr>
      </w:pPr>
    </w:p>
    <w:p w14:paraId="6DAA5A50" w14:textId="2B64F391" w:rsidR="005177D9" w:rsidRPr="00456B23" w:rsidRDefault="005177D9">
      <w:pPr>
        <w:autoSpaceDE w:val="0"/>
        <w:autoSpaceDN w:val="0"/>
        <w:adjustRightInd w:val="0"/>
        <w:rPr>
          <w:rFonts w:eastAsia="Calibri"/>
          <w:szCs w:val="22"/>
          <w:lang w:val="sr-Latn-ME"/>
        </w:rPr>
      </w:pPr>
      <w:r w:rsidRPr="00456B23">
        <w:rPr>
          <w:rFonts w:eastAsia="Calibri"/>
          <w:szCs w:val="22"/>
          <w:lang w:val="sr-Latn-ME"/>
        </w:rPr>
        <w:t>Tokom primjene visokih doza prednizona može doći do pojave bradikardije. Pojava bradikardije nije nužno u korelaciji s trajanjem liječenja.</w:t>
      </w:r>
    </w:p>
    <w:p w14:paraId="4F82B98A" w14:textId="77777777" w:rsidR="00054D7D" w:rsidRPr="00456B23" w:rsidRDefault="00054D7D">
      <w:pPr>
        <w:autoSpaceDE w:val="0"/>
        <w:autoSpaceDN w:val="0"/>
        <w:adjustRightInd w:val="0"/>
        <w:rPr>
          <w:rFonts w:eastAsia="Calibri"/>
          <w:szCs w:val="22"/>
          <w:lang w:val="sr-Latn-ME"/>
        </w:rPr>
      </w:pPr>
    </w:p>
    <w:p w14:paraId="6514B5ED" w14:textId="63475FB1" w:rsidR="00054D7D" w:rsidRPr="00456B23" w:rsidRDefault="00054D7D">
      <w:pPr>
        <w:autoSpaceDE w:val="0"/>
        <w:autoSpaceDN w:val="0"/>
        <w:adjustRightInd w:val="0"/>
        <w:rPr>
          <w:rFonts w:eastAsia="Calibri"/>
          <w:szCs w:val="22"/>
          <w:lang w:val="sr-Latn-ME"/>
        </w:rPr>
      </w:pPr>
      <w:r w:rsidRPr="00456B23">
        <w:rPr>
          <w:rFonts w:eastAsia="Calibri"/>
          <w:szCs w:val="22"/>
          <w:lang w:val="sr-Latn-ME"/>
        </w:rPr>
        <w:t xml:space="preserve">Kod dugotrajnog liječenja lijekom NIZON, potrebna je redovna ljekarska kontrola (uključujući i oftalmološku kontrolu, svaka tri mjeseca); pacijentima koji primaju </w:t>
      </w:r>
      <w:r w:rsidR="005177D9" w:rsidRPr="00456B23">
        <w:rPr>
          <w:rFonts w:eastAsia="Calibri"/>
          <w:szCs w:val="22"/>
          <w:lang w:val="sr-Latn-ME"/>
        </w:rPr>
        <w:t xml:space="preserve">relativno </w:t>
      </w:r>
      <w:r w:rsidRPr="00456B23">
        <w:rPr>
          <w:rFonts w:eastAsia="Calibri"/>
          <w:szCs w:val="22"/>
          <w:lang w:val="sr-Latn-ME"/>
        </w:rPr>
        <w:t>visoke doze, potreb</w:t>
      </w:r>
      <w:r w:rsidR="007D4023" w:rsidRPr="00456B23">
        <w:rPr>
          <w:rFonts w:eastAsia="Calibri"/>
          <w:szCs w:val="22"/>
          <w:lang w:val="sr-Latn-ME"/>
        </w:rPr>
        <w:t xml:space="preserve">no je osigurati dovoljno snabdijevanje </w:t>
      </w:r>
      <w:r w:rsidRPr="00456B23">
        <w:rPr>
          <w:rFonts w:eastAsia="Calibri"/>
          <w:szCs w:val="22"/>
          <w:lang w:val="sr-Latn-ME"/>
        </w:rPr>
        <w:t>kalij</w:t>
      </w:r>
      <w:r w:rsidR="007D4023" w:rsidRPr="00456B23">
        <w:rPr>
          <w:rFonts w:eastAsia="Calibri"/>
          <w:szCs w:val="22"/>
          <w:lang w:val="sr-Latn-ME"/>
        </w:rPr>
        <w:t>umom i restrikciju natrijuma i</w:t>
      </w:r>
      <w:r w:rsidRPr="00456B23">
        <w:rPr>
          <w:rFonts w:eastAsia="Calibri"/>
          <w:szCs w:val="22"/>
          <w:lang w:val="sr-Latn-ME"/>
        </w:rPr>
        <w:t xml:space="preserve"> pratiti nivo serumskog kalijuma. </w:t>
      </w:r>
    </w:p>
    <w:p w14:paraId="5F8CDFA7" w14:textId="70780C23" w:rsidR="00054D7D" w:rsidRPr="00456B23" w:rsidRDefault="007D4023">
      <w:pPr>
        <w:autoSpaceDE w:val="0"/>
        <w:autoSpaceDN w:val="0"/>
        <w:adjustRightInd w:val="0"/>
        <w:rPr>
          <w:rFonts w:eastAsia="Calibri"/>
          <w:szCs w:val="22"/>
          <w:lang w:val="sr-Latn-ME"/>
        </w:rPr>
      </w:pPr>
      <w:r w:rsidRPr="00456B23">
        <w:rPr>
          <w:rFonts w:eastAsia="Calibri"/>
          <w:szCs w:val="22"/>
          <w:lang w:val="sr-Latn-ME"/>
        </w:rPr>
        <w:t xml:space="preserve">Ako tokom liječenja </w:t>
      </w:r>
      <w:r w:rsidR="00054D7D" w:rsidRPr="00456B23">
        <w:rPr>
          <w:rFonts w:eastAsia="Calibri"/>
          <w:szCs w:val="22"/>
          <w:lang w:val="sr-Latn-ME"/>
        </w:rPr>
        <w:t xml:space="preserve"> lijekom NIZON</w:t>
      </w:r>
      <w:r w:rsidR="00054D7D" w:rsidRPr="00456B23" w:rsidDel="00FC6A38">
        <w:rPr>
          <w:rFonts w:eastAsia="Calibri"/>
          <w:szCs w:val="22"/>
          <w:lang w:val="sr-Latn-ME"/>
        </w:rPr>
        <w:t xml:space="preserve"> </w:t>
      </w:r>
      <w:r w:rsidR="00054D7D" w:rsidRPr="00456B23">
        <w:rPr>
          <w:rFonts w:eastAsia="Calibri"/>
          <w:szCs w:val="22"/>
          <w:lang w:val="sr-Latn-ME"/>
        </w:rPr>
        <w:t>pacijent bude izložen posebnom fizičkom stresu (npr. febrilne bolesti, nezgode, operacije, poro</w:t>
      </w:r>
      <w:r w:rsidR="008777CB" w:rsidRPr="00456B23">
        <w:rPr>
          <w:rFonts w:eastAsia="Calibri"/>
          <w:szCs w:val="22"/>
          <w:lang w:val="sr-Latn-ME"/>
        </w:rPr>
        <w:t>đaj</w:t>
      </w:r>
      <w:r w:rsidR="00054D7D" w:rsidRPr="00456B23">
        <w:rPr>
          <w:rFonts w:eastAsia="Calibri"/>
          <w:szCs w:val="22"/>
          <w:lang w:val="sr-Latn-ME"/>
        </w:rPr>
        <w:t>), može biti potrebno privremeno povećanje doze lijeka.</w:t>
      </w:r>
    </w:p>
    <w:p w14:paraId="3A6D0167" w14:textId="77777777" w:rsidR="00054D7D" w:rsidRPr="00456B23" w:rsidRDefault="00054D7D">
      <w:pPr>
        <w:autoSpaceDE w:val="0"/>
        <w:autoSpaceDN w:val="0"/>
        <w:adjustRightInd w:val="0"/>
        <w:rPr>
          <w:rFonts w:eastAsia="Calibri"/>
          <w:szCs w:val="22"/>
          <w:lang w:val="sr-Latn-ME"/>
        </w:rPr>
      </w:pPr>
      <w:r w:rsidRPr="00456B23">
        <w:rPr>
          <w:rFonts w:eastAsia="Calibri"/>
          <w:szCs w:val="22"/>
          <w:lang w:val="sr-Latn-ME"/>
        </w:rPr>
        <w:t xml:space="preserve"> </w:t>
      </w:r>
    </w:p>
    <w:p w14:paraId="02DBB04D" w14:textId="77777777" w:rsidR="00054D7D" w:rsidRPr="00456B23" w:rsidRDefault="00054D7D">
      <w:pPr>
        <w:autoSpaceDE w:val="0"/>
        <w:autoSpaceDN w:val="0"/>
        <w:adjustRightInd w:val="0"/>
        <w:rPr>
          <w:rFonts w:eastAsia="Calibri"/>
          <w:szCs w:val="22"/>
          <w:lang w:val="sr-Latn-ME"/>
        </w:rPr>
      </w:pPr>
      <w:r w:rsidRPr="00456B23">
        <w:rPr>
          <w:rFonts w:eastAsia="Calibri"/>
          <w:szCs w:val="22"/>
          <w:lang w:val="sr-Latn-ME"/>
        </w:rPr>
        <w:t xml:space="preserve">Mogu se javiti teške anafilaktičke reakcije. </w:t>
      </w:r>
    </w:p>
    <w:p w14:paraId="41073252" w14:textId="77777777" w:rsidR="00054D7D" w:rsidRPr="00456B23" w:rsidRDefault="00054D7D">
      <w:pPr>
        <w:autoSpaceDE w:val="0"/>
        <w:autoSpaceDN w:val="0"/>
        <w:adjustRightInd w:val="0"/>
        <w:rPr>
          <w:rFonts w:eastAsia="Calibri"/>
          <w:szCs w:val="22"/>
          <w:lang w:val="sr-Latn-ME"/>
        </w:rPr>
      </w:pPr>
    </w:p>
    <w:p w14:paraId="4C223E0C" w14:textId="26C93B17" w:rsidR="00054D7D" w:rsidRPr="00456B23" w:rsidRDefault="00054D7D">
      <w:pPr>
        <w:autoSpaceDE w:val="0"/>
        <w:autoSpaceDN w:val="0"/>
        <w:adjustRightInd w:val="0"/>
        <w:rPr>
          <w:rFonts w:eastAsia="Calibri"/>
          <w:szCs w:val="22"/>
          <w:lang w:val="sr-Latn-ME"/>
        </w:rPr>
      </w:pPr>
      <w:r w:rsidRPr="00456B23">
        <w:rPr>
          <w:rFonts w:eastAsia="Calibri"/>
          <w:szCs w:val="22"/>
          <w:lang w:val="sr-Latn-ME"/>
        </w:rPr>
        <w:t>Takođe, može se očekivati negativni efekat na metabolizam kalcij</w:t>
      </w:r>
      <w:r w:rsidR="007D4023" w:rsidRPr="00456B23">
        <w:rPr>
          <w:rFonts w:eastAsia="Calibri"/>
          <w:szCs w:val="22"/>
          <w:lang w:val="sr-Latn-ME"/>
        </w:rPr>
        <w:t>uma, čija težina za</w:t>
      </w:r>
      <w:r w:rsidRPr="00456B23">
        <w:rPr>
          <w:rFonts w:eastAsia="Calibri"/>
          <w:szCs w:val="22"/>
          <w:lang w:val="sr-Latn-ME"/>
        </w:rPr>
        <w:t>visi o</w:t>
      </w:r>
      <w:r w:rsidR="007D4023" w:rsidRPr="00456B23">
        <w:rPr>
          <w:rFonts w:eastAsia="Calibri"/>
          <w:szCs w:val="22"/>
          <w:lang w:val="sr-Latn-ME"/>
        </w:rPr>
        <w:t>d</w:t>
      </w:r>
      <w:r w:rsidRPr="00456B23">
        <w:rPr>
          <w:rFonts w:eastAsia="Calibri"/>
          <w:szCs w:val="22"/>
          <w:lang w:val="sr-Latn-ME"/>
        </w:rPr>
        <w:t xml:space="preserve"> </w:t>
      </w:r>
      <w:r w:rsidR="007D4023" w:rsidRPr="00456B23">
        <w:rPr>
          <w:rFonts w:eastAsia="Calibri"/>
          <w:szCs w:val="22"/>
          <w:lang w:val="sr-Latn-ME"/>
        </w:rPr>
        <w:t>trajanja</w:t>
      </w:r>
      <w:r w:rsidRPr="00456B23">
        <w:rPr>
          <w:rFonts w:eastAsia="Calibri"/>
          <w:szCs w:val="22"/>
          <w:lang w:val="sr-Latn-ME"/>
        </w:rPr>
        <w:t xml:space="preserve"> liječenja i primijenjen</w:t>
      </w:r>
      <w:r w:rsidR="008777CB" w:rsidRPr="00456B23">
        <w:rPr>
          <w:rFonts w:eastAsia="Calibri"/>
          <w:szCs w:val="22"/>
          <w:lang w:val="sr-Latn-ME"/>
        </w:rPr>
        <w:t>e</w:t>
      </w:r>
      <w:r w:rsidRPr="00456B23">
        <w:rPr>
          <w:rFonts w:eastAsia="Calibri"/>
          <w:szCs w:val="22"/>
          <w:lang w:val="sr-Latn-ME"/>
        </w:rPr>
        <w:t xml:space="preserve"> doz</w:t>
      </w:r>
      <w:r w:rsidR="008777CB" w:rsidRPr="00456B23">
        <w:rPr>
          <w:rFonts w:eastAsia="Calibri"/>
          <w:szCs w:val="22"/>
          <w:lang w:val="sr-Latn-ME"/>
        </w:rPr>
        <w:t>e</w:t>
      </w:r>
      <w:r w:rsidRPr="00456B23">
        <w:rPr>
          <w:rFonts w:eastAsia="Calibri"/>
          <w:szCs w:val="22"/>
          <w:lang w:val="sr-Latn-ME"/>
        </w:rPr>
        <w:t>. Stoga se preporučuje profilaksa osteoporoze. To se naročito odnosi na slučajeve kada su prisutni faktori rizika kao što su: porodična predispozicija, star</w:t>
      </w:r>
      <w:r w:rsidR="008777CB" w:rsidRPr="00456B23">
        <w:rPr>
          <w:rFonts w:eastAsia="Calibri"/>
          <w:szCs w:val="22"/>
          <w:lang w:val="sr-Latn-ME"/>
        </w:rPr>
        <w:t>ost</w:t>
      </w:r>
      <w:r w:rsidRPr="00456B23">
        <w:rPr>
          <w:rFonts w:eastAsia="Calibri"/>
          <w:szCs w:val="22"/>
          <w:lang w:val="sr-Latn-ME"/>
        </w:rPr>
        <w:t>, postmenopauza, manjak/nedostatak bjelančevina i kalcij</w:t>
      </w:r>
      <w:r w:rsidR="007D4023" w:rsidRPr="00456B23">
        <w:rPr>
          <w:rFonts w:eastAsia="Calibri"/>
          <w:szCs w:val="22"/>
          <w:lang w:val="sr-Latn-ME"/>
        </w:rPr>
        <w:t>um</w:t>
      </w:r>
      <w:r w:rsidRPr="00456B23">
        <w:rPr>
          <w:rFonts w:eastAsia="Calibri"/>
          <w:szCs w:val="22"/>
          <w:lang w:val="sr-Latn-ME"/>
        </w:rPr>
        <w:t xml:space="preserve">a u </w:t>
      </w:r>
      <w:r w:rsidR="008777CB" w:rsidRPr="00456B23">
        <w:rPr>
          <w:rFonts w:eastAsia="Calibri"/>
          <w:szCs w:val="22"/>
          <w:lang w:val="sr-Latn-ME"/>
        </w:rPr>
        <w:t>is</w:t>
      </w:r>
      <w:r w:rsidRPr="00456B23">
        <w:rPr>
          <w:rFonts w:eastAsia="Calibri"/>
          <w:szCs w:val="22"/>
          <w:lang w:val="sr-Latn-ME"/>
        </w:rPr>
        <w:t>hrani, prekomjerno pušenje, i manjak fizičke aktivnosti. Profilaksa podrazumijeva unos dovoljnih količina kalcij</w:t>
      </w:r>
      <w:r w:rsidR="007D4023" w:rsidRPr="00456B23">
        <w:rPr>
          <w:rFonts w:eastAsia="Calibri"/>
          <w:szCs w:val="22"/>
          <w:lang w:val="sr-Latn-ME"/>
        </w:rPr>
        <w:t>uma i vitamina D i</w:t>
      </w:r>
      <w:r w:rsidRPr="00456B23">
        <w:rPr>
          <w:rFonts w:eastAsia="Calibri"/>
          <w:szCs w:val="22"/>
          <w:lang w:val="sr-Latn-ME"/>
        </w:rPr>
        <w:t xml:space="preserve"> adekvatnu fizičku aktivnost. Kada je osteoporoza već prisutna, treba razmotriti i medikamentoznu terapiju.</w:t>
      </w:r>
    </w:p>
    <w:p w14:paraId="58B31D10" w14:textId="77777777" w:rsidR="00054D7D" w:rsidRPr="00456B23" w:rsidRDefault="00054D7D">
      <w:pPr>
        <w:autoSpaceDE w:val="0"/>
        <w:autoSpaceDN w:val="0"/>
        <w:adjustRightInd w:val="0"/>
        <w:rPr>
          <w:rFonts w:eastAsia="Calibri"/>
          <w:szCs w:val="22"/>
          <w:lang w:val="sr-Latn-ME"/>
        </w:rPr>
      </w:pPr>
    </w:p>
    <w:p w14:paraId="6A6ECC52" w14:textId="77777777" w:rsidR="00054D7D" w:rsidRPr="00456B23" w:rsidRDefault="00054D7D">
      <w:pPr>
        <w:autoSpaceDE w:val="0"/>
        <w:autoSpaceDN w:val="0"/>
        <w:adjustRightInd w:val="0"/>
        <w:rPr>
          <w:rFonts w:eastAsia="Calibri"/>
          <w:szCs w:val="22"/>
          <w:lang w:val="sr-Latn-ME"/>
        </w:rPr>
      </w:pPr>
      <w:r w:rsidRPr="00456B23">
        <w:rPr>
          <w:rFonts w:eastAsia="Calibri"/>
          <w:szCs w:val="22"/>
          <w:lang w:val="sr-Latn-ME"/>
        </w:rPr>
        <w:t xml:space="preserve">Kada je dugotrajno liječenje završeno ili treba biti prekinuto, potrebno je uzeti u obzir sljedeće rizike: pogoršanje ili ponovna pojava primarne bolesti, akutna adrenokortikalna insuficijencija (naročito u situacijama stresa, npr. tokom infekcija, nakon nezgoda, povećanog fizičkog napora), sindrom ukidanja kortizona. </w:t>
      </w:r>
    </w:p>
    <w:p w14:paraId="37A15A01" w14:textId="77777777" w:rsidR="00054D7D" w:rsidRPr="00456B23" w:rsidRDefault="00054D7D">
      <w:pPr>
        <w:autoSpaceDE w:val="0"/>
        <w:autoSpaceDN w:val="0"/>
        <w:adjustRightInd w:val="0"/>
        <w:rPr>
          <w:rFonts w:eastAsia="Calibri"/>
          <w:szCs w:val="22"/>
          <w:lang w:val="sr-Latn-ME"/>
        </w:rPr>
      </w:pPr>
    </w:p>
    <w:p w14:paraId="4406A7A3" w14:textId="0CD0DB6C" w:rsidR="00054D7D" w:rsidRPr="00456B23" w:rsidRDefault="00054D7D">
      <w:pPr>
        <w:autoSpaceDE w:val="0"/>
        <w:autoSpaceDN w:val="0"/>
        <w:adjustRightInd w:val="0"/>
        <w:rPr>
          <w:rFonts w:eastAsia="Calibri"/>
          <w:szCs w:val="22"/>
          <w:lang w:val="sr-Latn-ME"/>
        </w:rPr>
      </w:pPr>
      <w:r w:rsidRPr="00456B23">
        <w:rPr>
          <w:rFonts w:eastAsia="Calibri"/>
          <w:szCs w:val="22"/>
          <w:lang w:val="sr-Latn-ME"/>
        </w:rPr>
        <w:t>Ako se za vrijeme primjene glukokortikoida pacijenti razbole od određenih</w:t>
      </w:r>
      <w:r w:rsidR="007D4023" w:rsidRPr="00456B23">
        <w:rPr>
          <w:rFonts w:eastAsia="Calibri"/>
          <w:szCs w:val="22"/>
          <w:lang w:val="sr-Latn-ME"/>
        </w:rPr>
        <w:t xml:space="preserve"> virusnih bolesti (vodene boginje</w:t>
      </w:r>
      <w:r w:rsidRPr="00456B23">
        <w:rPr>
          <w:rFonts w:eastAsia="Calibri"/>
          <w:szCs w:val="22"/>
          <w:lang w:val="sr-Latn-ME"/>
        </w:rPr>
        <w:t xml:space="preserve">, ospice), mogu se razviti teške forme bolesti. </w:t>
      </w:r>
      <w:r w:rsidR="005177D9" w:rsidRPr="00456B23">
        <w:rPr>
          <w:rFonts w:eastAsia="Calibri"/>
          <w:szCs w:val="22"/>
          <w:lang w:val="sr-Latn-ME"/>
        </w:rPr>
        <w:t xml:space="preserve">Djeca </w:t>
      </w:r>
      <w:r w:rsidRPr="00456B23">
        <w:rPr>
          <w:rFonts w:eastAsia="Calibri"/>
          <w:szCs w:val="22"/>
          <w:lang w:val="sr-Latn-ME"/>
        </w:rPr>
        <w:t xml:space="preserve">smanjene otpornosti (imunosupresija), koji </w:t>
      </w:r>
      <w:r w:rsidR="007D4023" w:rsidRPr="00456B23">
        <w:rPr>
          <w:rFonts w:eastAsia="Calibri"/>
          <w:szCs w:val="22"/>
          <w:lang w:val="sr-Latn-ME"/>
        </w:rPr>
        <w:t>nijesu prebolovali vodene boginje</w:t>
      </w:r>
      <w:r w:rsidRPr="00456B23">
        <w:rPr>
          <w:rFonts w:eastAsia="Calibri"/>
          <w:szCs w:val="22"/>
          <w:lang w:val="sr-Latn-ME"/>
        </w:rPr>
        <w:t xml:space="preserve"> ili ospice, posebno su rizični. Ukoliko ove osobe tokom liječenja s lijekom NIZON dođu u kontakt s osoba</w:t>
      </w:r>
      <w:r w:rsidR="007D4023" w:rsidRPr="00456B23">
        <w:rPr>
          <w:rFonts w:eastAsia="Calibri"/>
          <w:szCs w:val="22"/>
          <w:lang w:val="sr-Latn-ME"/>
        </w:rPr>
        <w:t>ma koje boluju od vodenih boginja</w:t>
      </w:r>
      <w:r w:rsidRPr="00456B23">
        <w:rPr>
          <w:rFonts w:eastAsia="Calibri"/>
          <w:szCs w:val="22"/>
          <w:lang w:val="sr-Latn-ME"/>
        </w:rPr>
        <w:t xml:space="preserve"> ili ospica, prema potrebi treba započeti preventivno liječenje. </w:t>
      </w:r>
    </w:p>
    <w:p w14:paraId="4E59F8CC" w14:textId="77777777" w:rsidR="00465201" w:rsidRPr="00456B23" w:rsidRDefault="00465201">
      <w:pPr>
        <w:autoSpaceDE w:val="0"/>
        <w:autoSpaceDN w:val="0"/>
        <w:adjustRightInd w:val="0"/>
        <w:rPr>
          <w:rFonts w:eastAsia="Calibri"/>
          <w:szCs w:val="22"/>
          <w:lang w:val="sr-Latn-ME"/>
        </w:rPr>
      </w:pPr>
    </w:p>
    <w:p w14:paraId="6CAA891E" w14:textId="77777777" w:rsidR="00465201" w:rsidRPr="00456B23" w:rsidRDefault="00465201" w:rsidP="00465201">
      <w:pPr>
        <w:autoSpaceDE w:val="0"/>
        <w:autoSpaceDN w:val="0"/>
        <w:adjustRightInd w:val="0"/>
        <w:rPr>
          <w:szCs w:val="22"/>
          <w:u w:val="single"/>
          <w:lang w:val="sr-Latn-ME"/>
        </w:rPr>
      </w:pPr>
      <w:r w:rsidRPr="00456B23">
        <w:rPr>
          <w:szCs w:val="22"/>
          <w:u w:val="single"/>
          <w:lang w:val="sr-Latn-ME"/>
        </w:rPr>
        <w:t>Poremećaj vida</w:t>
      </w:r>
    </w:p>
    <w:p w14:paraId="655B2A06" w14:textId="77777777" w:rsidR="00465201" w:rsidRPr="00456B23" w:rsidRDefault="00465201" w:rsidP="00465201">
      <w:pPr>
        <w:autoSpaceDE w:val="0"/>
        <w:autoSpaceDN w:val="0"/>
        <w:adjustRightInd w:val="0"/>
        <w:rPr>
          <w:szCs w:val="22"/>
          <w:lang w:val="sr-Latn-ME"/>
        </w:rPr>
      </w:pPr>
      <w:r w:rsidRPr="00456B23">
        <w:rPr>
          <w:szCs w:val="22"/>
          <w:lang w:val="sr-Latn-ME"/>
        </w:rPr>
        <w:t>Poremećaji vida mogu se javiti kod sistemske i topikalne primjene kortikosteroida. Ako su kod pacijenta prisutni simptomi poput zamućenog vida ili drugih poremećaja vida, treba razmotriti upućivanje pacijenta oftalmologu radi procjene mogućih uzroka, koji mogu uključivati kataraktu, glaukom ili rijetke bolesti, kao što je centralna serozna horioretinopatija, koja je prijavljena nakon primjene sistemskih ili topikalnih kortikosteroida.</w:t>
      </w:r>
    </w:p>
    <w:p w14:paraId="75681832" w14:textId="77777777" w:rsidR="00465201" w:rsidRPr="00456B23" w:rsidRDefault="00465201" w:rsidP="00465201">
      <w:pPr>
        <w:autoSpaceDE w:val="0"/>
        <w:autoSpaceDN w:val="0"/>
        <w:adjustRightInd w:val="0"/>
        <w:rPr>
          <w:szCs w:val="22"/>
          <w:lang w:val="sr-Latn-ME"/>
        </w:rPr>
      </w:pPr>
    </w:p>
    <w:p w14:paraId="35752535" w14:textId="77777777" w:rsidR="00465201" w:rsidRPr="00456B23" w:rsidRDefault="00465201" w:rsidP="00465201">
      <w:pPr>
        <w:autoSpaceDE w:val="0"/>
        <w:autoSpaceDN w:val="0"/>
        <w:adjustRightInd w:val="0"/>
        <w:rPr>
          <w:noProof/>
          <w:szCs w:val="22"/>
          <w:u w:val="single"/>
          <w:lang w:val="sr-Latn-ME"/>
        </w:rPr>
      </w:pPr>
      <w:r w:rsidRPr="00456B23">
        <w:rPr>
          <w:noProof/>
          <w:szCs w:val="22"/>
          <w:u w:val="single"/>
          <w:lang w:val="sr-Latn-ME"/>
        </w:rPr>
        <w:t>Renalna kriza povezana sa sklerodermom</w:t>
      </w:r>
    </w:p>
    <w:p w14:paraId="6A214395" w14:textId="77777777" w:rsidR="00465201" w:rsidRPr="00456B23" w:rsidRDefault="00465201" w:rsidP="00465201">
      <w:pPr>
        <w:autoSpaceDE w:val="0"/>
        <w:autoSpaceDN w:val="0"/>
        <w:adjustRightInd w:val="0"/>
        <w:rPr>
          <w:noProof/>
          <w:szCs w:val="22"/>
          <w:lang w:val="sr-Latn-ME"/>
        </w:rPr>
      </w:pPr>
      <w:r w:rsidRPr="00456B23">
        <w:rPr>
          <w:noProof/>
          <w:szCs w:val="22"/>
          <w:lang w:val="sr-Latn-ME"/>
        </w:rPr>
        <w:t xml:space="preserve">Potreban je oprez kod pacijenata sa sistemskom sklerozom, zbog povećane incidence (moguće sa smrtnim ishodom) sklerodermalne renalne krize, praćene hipertenzijom i smanjenim izlučivanjem urina, uz dnevnu dozu od 15 ili više mg prednizolona. Krvni pritisak i funkcija bubrega (s-kreatinin) trebaju se stoga rutinski provjeravati. Kod sumnje na renalnu krizu, krvni pritisak treba pažljivo pratiti. </w:t>
      </w:r>
    </w:p>
    <w:p w14:paraId="192AA976" w14:textId="77777777" w:rsidR="00054D7D" w:rsidRPr="00456B23" w:rsidRDefault="00054D7D">
      <w:pPr>
        <w:tabs>
          <w:tab w:val="left" w:pos="540"/>
          <w:tab w:val="left" w:pos="569"/>
        </w:tabs>
        <w:rPr>
          <w:szCs w:val="22"/>
          <w:u w:val="single"/>
          <w:lang w:val="sr-Latn-ME"/>
        </w:rPr>
      </w:pPr>
    </w:p>
    <w:p w14:paraId="14B3D0C9" w14:textId="77777777" w:rsidR="00465201" w:rsidRPr="00456B23" w:rsidRDefault="00465201">
      <w:pPr>
        <w:tabs>
          <w:tab w:val="left" w:pos="540"/>
          <w:tab w:val="left" w:pos="569"/>
        </w:tabs>
        <w:rPr>
          <w:szCs w:val="22"/>
          <w:u w:val="single"/>
          <w:lang w:val="sr-Latn-ME"/>
        </w:rPr>
      </w:pPr>
      <w:r w:rsidRPr="00456B23">
        <w:rPr>
          <w:szCs w:val="22"/>
          <w:u w:val="single"/>
          <w:lang w:val="sr-Latn-ME"/>
        </w:rPr>
        <w:t>Feohromocitomska kriza</w:t>
      </w:r>
    </w:p>
    <w:p w14:paraId="515D7C58" w14:textId="77777777" w:rsidR="00465201" w:rsidRPr="00456B23" w:rsidRDefault="00465201">
      <w:pPr>
        <w:tabs>
          <w:tab w:val="left" w:pos="540"/>
          <w:tab w:val="left" w:pos="569"/>
        </w:tabs>
        <w:rPr>
          <w:szCs w:val="22"/>
          <w:lang w:val="sr-Latn-ME"/>
        </w:rPr>
      </w:pPr>
      <w:r w:rsidRPr="00456B23">
        <w:rPr>
          <w:szCs w:val="22"/>
          <w:lang w:val="sr-Latn-ME"/>
        </w:rPr>
        <w:t>Nakon primjene kortikosteroida, prijavljena je feohromocitomska kriza koja može biti smrtonosna. Pacijentima sa suspektnim ili dokazanim feohromocitomom, kortikosteroidi se smiju davati tek nakon odgovarajuće procjene koristi i rizika.</w:t>
      </w:r>
    </w:p>
    <w:p w14:paraId="0A782732" w14:textId="77777777" w:rsidR="00465201" w:rsidRPr="00456B23" w:rsidRDefault="00465201">
      <w:pPr>
        <w:tabs>
          <w:tab w:val="left" w:pos="540"/>
          <w:tab w:val="left" w:pos="569"/>
        </w:tabs>
        <w:rPr>
          <w:szCs w:val="22"/>
          <w:lang w:val="sr-Latn-ME"/>
        </w:rPr>
      </w:pPr>
    </w:p>
    <w:p w14:paraId="3E8459DE" w14:textId="77777777" w:rsidR="00054D7D" w:rsidRPr="00456B23" w:rsidRDefault="00054D7D">
      <w:pPr>
        <w:tabs>
          <w:tab w:val="left" w:pos="540"/>
          <w:tab w:val="left" w:pos="569"/>
        </w:tabs>
        <w:rPr>
          <w:szCs w:val="22"/>
          <w:u w:val="single"/>
          <w:lang w:val="sr-Latn-ME"/>
        </w:rPr>
      </w:pPr>
      <w:r w:rsidRPr="00456B23">
        <w:rPr>
          <w:szCs w:val="22"/>
          <w:u w:val="single"/>
          <w:lang w:val="sr-Latn-ME"/>
        </w:rPr>
        <w:t>Pedijatrijska populacija</w:t>
      </w:r>
    </w:p>
    <w:p w14:paraId="76787608" w14:textId="19232915" w:rsidR="00054D7D" w:rsidRPr="00456B23" w:rsidRDefault="00054D7D">
      <w:pPr>
        <w:autoSpaceDE w:val="0"/>
        <w:autoSpaceDN w:val="0"/>
        <w:adjustRightInd w:val="0"/>
        <w:ind w:right="-99"/>
        <w:rPr>
          <w:rFonts w:eastAsia="Calibri"/>
          <w:szCs w:val="22"/>
          <w:lang w:val="sr-Latn-ME"/>
        </w:rPr>
      </w:pPr>
      <w:r w:rsidRPr="00456B23">
        <w:rPr>
          <w:rFonts w:eastAsia="Calibri"/>
          <w:szCs w:val="22"/>
          <w:lang w:val="sr-Latn-ME"/>
        </w:rPr>
        <w:t>Budući da prednizon ima efekat inhibicije rasta,</w:t>
      </w:r>
      <w:r w:rsidR="005177D9" w:rsidRPr="00456B23">
        <w:rPr>
          <w:rFonts w:eastAsia="Calibri"/>
          <w:szCs w:val="22"/>
          <w:lang w:val="sr-Latn-ME"/>
        </w:rPr>
        <w:t xml:space="preserve"> djeca se mogu liječiti samo kod vitalnih indikacija, a</w:t>
      </w:r>
      <w:r w:rsidRPr="00456B23">
        <w:rPr>
          <w:rFonts w:eastAsia="Calibri"/>
          <w:szCs w:val="22"/>
          <w:lang w:val="sr-Latn-ME"/>
        </w:rPr>
        <w:t xml:space="preserve"> kod dugotrajne terapije</w:t>
      </w:r>
      <w:r w:rsidR="005177D9" w:rsidRPr="00456B23">
        <w:rPr>
          <w:rFonts w:eastAsia="Calibri"/>
          <w:szCs w:val="22"/>
          <w:lang w:val="sr-Latn-ME"/>
        </w:rPr>
        <w:t xml:space="preserve">, njihov </w:t>
      </w:r>
      <w:r w:rsidRPr="00456B23">
        <w:rPr>
          <w:rFonts w:eastAsia="Calibri"/>
          <w:szCs w:val="22"/>
          <w:lang w:val="sr-Latn-ME"/>
        </w:rPr>
        <w:t xml:space="preserve">rast potrebno je redovno pratiti. Liječenje </w:t>
      </w:r>
      <w:r w:rsidR="005177D9" w:rsidRPr="00456B23">
        <w:rPr>
          <w:rFonts w:eastAsia="Calibri"/>
          <w:szCs w:val="22"/>
          <w:lang w:val="sr-Latn-ME"/>
        </w:rPr>
        <w:t xml:space="preserve">prednizonom </w:t>
      </w:r>
      <w:r w:rsidRPr="00456B23">
        <w:rPr>
          <w:rFonts w:eastAsia="Calibri"/>
          <w:szCs w:val="22"/>
          <w:lang w:val="sr-Latn-ME"/>
        </w:rPr>
        <w:t>treba biti vremenski ograničeno ili altern</w:t>
      </w:r>
      <w:r w:rsidR="007A12E5" w:rsidRPr="00456B23">
        <w:rPr>
          <w:rFonts w:eastAsia="Calibri"/>
          <w:szCs w:val="22"/>
          <w:lang w:val="sr-Latn-ME"/>
        </w:rPr>
        <w:t xml:space="preserve">ativno </w:t>
      </w:r>
      <w:r w:rsidRPr="00456B23">
        <w:rPr>
          <w:rFonts w:eastAsia="Calibri"/>
          <w:szCs w:val="22"/>
          <w:lang w:val="sr-Latn-ME"/>
        </w:rPr>
        <w:t xml:space="preserve">u slučaju dugotrajne terapije. </w:t>
      </w:r>
    </w:p>
    <w:p w14:paraId="06550FB0" w14:textId="77777777" w:rsidR="00054D7D" w:rsidRPr="00456B23" w:rsidRDefault="00054D7D">
      <w:pPr>
        <w:autoSpaceDE w:val="0"/>
        <w:autoSpaceDN w:val="0"/>
        <w:adjustRightInd w:val="0"/>
        <w:ind w:right="-99"/>
        <w:rPr>
          <w:rFonts w:eastAsia="Calibri"/>
          <w:szCs w:val="22"/>
          <w:lang w:val="sr-Latn-ME"/>
        </w:rPr>
      </w:pPr>
    </w:p>
    <w:p w14:paraId="61BC9481" w14:textId="77777777" w:rsidR="00456B23" w:rsidRDefault="00456B23">
      <w:pPr>
        <w:autoSpaceDE w:val="0"/>
        <w:autoSpaceDN w:val="0"/>
        <w:adjustRightInd w:val="0"/>
        <w:ind w:right="-99"/>
        <w:rPr>
          <w:rFonts w:eastAsia="Calibri"/>
          <w:szCs w:val="22"/>
          <w:u w:val="single"/>
          <w:lang w:val="sr-Latn-ME"/>
        </w:rPr>
      </w:pPr>
    </w:p>
    <w:p w14:paraId="0847934E" w14:textId="2BFB4616" w:rsidR="00054D7D" w:rsidRPr="00456B23" w:rsidRDefault="00054D7D">
      <w:pPr>
        <w:autoSpaceDE w:val="0"/>
        <w:autoSpaceDN w:val="0"/>
        <w:adjustRightInd w:val="0"/>
        <w:ind w:right="-99"/>
        <w:rPr>
          <w:rFonts w:eastAsia="Calibri"/>
          <w:szCs w:val="22"/>
          <w:lang w:val="sr-Latn-ME"/>
        </w:rPr>
      </w:pPr>
      <w:r w:rsidRPr="00456B23">
        <w:rPr>
          <w:rFonts w:eastAsia="Calibri"/>
          <w:szCs w:val="22"/>
          <w:u w:val="single"/>
          <w:lang w:val="sr-Latn-ME"/>
        </w:rPr>
        <w:lastRenderedPageBreak/>
        <w:t>Stariji pacijenti</w:t>
      </w:r>
    </w:p>
    <w:p w14:paraId="3CEACBF0" w14:textId="2F678333" w:rsidR="00054D7D" w:rsidRPr="00456B23" w:rsidRDefault="007D4023">
      <w:pPr>
        <w:autoSpaceDE w:val="0"/>
        <w:autoSpaceDN w:val="0"/>
        <w:adjustRightInd w:val="0"/>
        <w:ind w:right="-99"/>
        <w:rPr>
          <w:rFonts w:eastAsia="Calibri"/>
          <w:szCs w:val="22"/>
          <w:lang w:val="sr-Latn-ME"/>
        </w:rPr>
      </w:pPr>
      <w:r w:rsidRPr="00456B23">
        <w:rPr>
          <w:rFonts w:eastAsia="Calibri"/>
          <w:szCs w:val="22"/>
          <w:lang w:val="sr-Latn-ME"/>
        </w:rPr>
        <w:t>Kod</w:t>
      </w:r>
      <w:r w:rsidR="00054D7D" w:rsidRPr="00456B23">
        <w:rPr>
          <w:rFonts w:eastAsia="Calibri"/>
          <w:szCs w:val="22"/>
          <w:lang w:val="sr-Latn-ME"/>
        </w:rPr>
        <w:t xml:space="preserve"> starijih pacijenata povećan je rizik od osteoporoze, pa je potrebna pažljiva procjena odnosa koristi </w:t>
      </w:r>
      <w:r w:rsidR="007A12E5" w:rsidRPr="00456B23">
        <w:rPr>
          <w:rFonts w:eastAsia="Calibri"/>
          <w:szCs w:val="22"/>
          <w:lang w:val="sr-Latn-ME"/>
        </w:rPr>
        <w:t xml:space="preserve">i rizika </w:t>
      </w:r>
      <w:r w:rsidR="00054D7D" w:rsidRPr="00456B23">
        <w:rPr>
          <w:rFonts w:eastAsia="Calibri"/>
          <w:szCs w:val="22"/>
          <w:lang w:val="sr-Latn-ME"/>
        </w:rPr>
        <w:t xml:space="preserve">liječenja lijekom NIZON. </w:t>
      </w:r>
    </w:p>
    <w:p w14:paraId="169E7D4C" w14:textId="77777777" w:rsidR="00054D7D" w:rsidRPr="00456B23" w:rsidRDefault="00054D7D">
      <w:pPr>
        <w:autoSpaceDE w:val="0"/>
        <w:autoSpaceDN w:val="0"/>
        <w:adjustRightInd w:val="0"/>
        <w:ind w:right="-99"/>
        <w:rPr>
          <w:rFonts w:eastAsia="Calibri"/>
          <w:szCs w:val="22"/>
          <w:lang w:val="sr-Latn-ME"/>
        </w:rPr>
      </w:pPr>
    </w:p>
    <w:p w14:paraId="59398E8C" w14:textId="77777777" w:rsidR="00054D7D" w:rsidRPr="00456B23" w:rsidRDefault="00054D7D">
      <w:pPr>
        <w:autoSpaceDE w:val="0"/>
        <w:autoSpaceDN w:val="0"/>
        <w:adjustRightInd w:val="0"/>
        <w:rPr>
          <w:szCs w:val="22"/>
          <w:lang w:val="sr-Latn-ME"/>
        </w:rPr>
      </w:pPr>
      <w:r w:rsidRPr="00456B23">
        <w:rPr>
          <w:szCs w:val="22"/>
          <w:lang w:val="sr-Latn-ME"/>
        </w:rPr>
        <w:t xml:space="preserve">Primjena lijeka NIZON može dovesti do pozitivnog rezultata kod doping testa. </w:t>
      </w:r>
    </w:p>
    <w:p w14:paraId="101E64B5" w14:textId="77777777" w:rsidR="00054D7D" w:rsidRPr="00456B23" w:rsidRDefault="00054D7D">
      <w:pPr>
        <w:autoSpaceDE w:val="0"/>
        <w:autoSpaceDN w:val="0"/>
        <w:adjustRightInd w:val="0"/>
        <w:rPr>
          <w:szCs w:val="22"/>
          <w:lang w:val="sr-Latn-ME"/>
        </w:rPr>
      </w:pPr>
    </w:p>
    <w:p w14:paraId="1708632B" w14:textId="43E7BE87" w:rsidR="00F1441A" w:rsidRPr="00456B23" w:rsidRDefault="00054D7D">
      <w:pPr>
        <w:rPr>
          <w:szCs w:val="22"/>
          <w:lang w:val="sr-Latn-ME" w:eastAsia="hr-HR"/>
        </w:rPr>
      </w:pPr>
      <w:r w:rsidRPr="00456B23">
        <w:rPr>
          <w:szCs w:val="22"/>
          <w:lang w:val="sr-Latn-ME"/>
        </w:rPr>
        <w:t>NIZON</w:t>
      </w:r>
      <w:r w:rsidRPr="00456B23">
        <w:rPr>
          <w:szCs w:val="22"/>
          <w:vertAlign w:val="superscript"/>
          <w:lang w:val="sr-Latn-ME"/>
        </w:rPr>
        <w:t xml:space="preserve"> </w:t>
      </w:r>
      <w:r w:rsidRPr="00456B23">
        <w:rPr>
          <w:szCs w:val="22"/>
          <w:lang w:val="sr-Latn-ME"/>
        </w:rPr>
        <w:t xml:space="preserve">5 mg tablete </w:t>
      </w:r>
      <w:r w:rsidRPr="00456B23">
        <w:rPr>
          <w:spacing w:val="-2"/>
          <w:szCs w:val="22"/>
          <w:lang w:val="sr-Latn-ME"/>
        </w:rPr>
        <w:t>sadrže laktozu. Pacijenti</w:t>
      </w:r>
      <w:r w:rsidRPr="00456B23">
        <w:rPr>
          <w:szCs w:val="22"/>
          <w:lang w:val="sr-Latn-ME" w:eastAsia="hr-HR"/>
        </w:rPr>
        <w:t xml:space="preserve"> s rijetkim nasljednim poremećajem nepodnošenja galaktoze, nedostatkom </w:t>
      </w:r>
      <w:r w:rsidRPr="00456B23">
        <w:rPr>
          <w:i/>
          <w:iCs/>
          <w:szCs w:val="22"/>
          <w:lang w:val="sr-Latn-ME" w:eastAsia="hr-HR"/>
        </w:rPr>
        <w:t xml:space="preserve">„Lapp laktaze“ </w:t>
      </w:r>
      <w:r w:rsidRPr="00456B23">
        <w:rPr>
          <w:szCs w:val="22"/>
          <w:lang w:val="sr-Latn-ME" w:eastAsia="hr-HR"/>
        </w:rPr>
        <w:t>ili glukoza-galaktoza malapsorpcijom, ne bi trebali primjenjivati ovaj lijek.</w:t>
      </w:r>
    </w:p>
    <w:p w14:paraId="2C8519D6" w14:textId="77777777" w:rsidR="00B264CC" w:rsidRPr="00456B23" w:rsidRDefault="00B264CC">
      <w:pPr>
        <w:rPr>
          <w:szCs w:val="22"/>
          <w:lang w:val="sr-Latn-ME" w:eastAsia="hr-HR"/>
        </w:rPr>
      </w:pPr>
    </w:p>
    <w:p w14:paraId="37D118F3" w14:textId="77777777" w:rsidR="00F1441A" w:rsidRPr="00456B23" w:rsidRDefault="00F1441A">
      <w:pPr>
        <w:rPr>
          <w:szCs w:val="22"/>
          <w:lang w:val="sr-Latn-ME" w:eastAsia="hr-HR"/>
        </w:rPr>
      </w:pPr>
      <w:r w:rsidRPr="00456B23">
        <w:rPr>
          <w:szCs w:val="22"/>
          <w:lang w:val="sr-Latn-ME" w:eastAsia="hr-HR"/>
        </w:rPr>
        <w:t xml:space="preserve">Ovaj lijek sadrži manje od 1 mmol (23 mg) natrijuma po tableti, tj. zanemarljive količine natrijuma. </w:t>
      </w:r>
    </w:p>
    <w:p w14:paraId="6BB7022F" w14:textId="77777777" w:rsidR="007A12E5" w:rsidRPr="00456B23" w:rsidRDefault="007A12E5">
      <w:pPr>
        <w:rPr>
          <w:color w:val="000000"/>
          <w:szCs w:val="22"/>
          <w:lang w:val="sr-Latn-ME"/>
        </w:rPr>
      </w:pPr>
    </w:p>
    <w:p w14:paraId="66DBB218" w14:textId="77777777" w:rsidR="00054D7D" w:rsidRPr="00456B23" w:rsidRDefault="00054D7D" w:rsidP="00DC7309">
      <w:pPr>
        <w:pStyle w:val="Heading2"/>
        <w:numPr>
          <w:ilvl w:val="1"/>
          <w:numId w:val="21"/>
        </w:numPr>
        <w:spacing w:before="0" w:after="0" w:line="360" w:lineRule="auto"/>
        <w:rPr>
          <w:szCs w:val="22"/>
          <w:lang w:val="sr-Latn-ME"/>
        </w:rPr>
      </w:pPr>
      <w:r w:rsidRPr="00456B23">
        <w:rPr>
          <w:color w:val="000000"/>
          <w:szCs w:val="22"/>
          <w:lang w:val="sr-Latn-ME"/>
        </w:rPr>
        <w:t xml:space="preserve"> </w:t>
      </w:r>
      <w:r w:rsidRPr="00456B23">
        <w:rPr>
          <w:szCs w:val="22"/>
          <w:lang w:val="sr-Latn-ME"/>
        </w:rPr>
        <w:t>Interakcije sa drugim ljekovima i druge vrste interakcija</w:t>
      </w:r>
    </w:p>
    <w:p w14:paraId="154C27A6" w14:textId="77777777" w:rsidR="003D6377" w:rsidRPr="00456B23" w:rsidRDefault="003D6377" w:rsidP="00DC7309">
      <w:pPr>
        <w:rPr>
          <w:szCs w:val="22"/>
          <w:lang w:val="sr-Latn-ME"/>
        </w:rPr>
      </w:pPr>
    </w:p>
    <w:p w14:paraId="2599D87C" w14:textId="66575622" w:rsidR="00054D7D" w:rsidRPr="00456B23" w:rsidRDefault="004A3AEF">
      <w:pPr>
        <w:rPr>
          <w:szCs w:val="22"/>
          <w:lang w:val="sr-Latn-ME"/>
        </w:rPr>
      </w:pPr>
      <w:r w:rsidRPr="00456B23">
        <w:rPr>
          <w:szCs w:val="22"/>
          <w:lang w:val="sr-Latn-ME"/>
        </w:rPr>
        <w:t>Kod</w:t>
      </w:r>
      <w:r w:rsidR="00054D7D" w:rsidRPr="00456B23">
        <w:rPr>
          <w:szCs w:val="22"/>
          <w:lang w:val="sr-Latn-ME"/>
        </w:rPr>
        <w:t xml:space="preserve"> odraslih su </w:t>
      </w:r>
      <w:r w:rsidRPr="00456B23">
        <w:rPr>
          <w:szCs w:val="22"/>
          <w:lang w:val="sr-Latn-ME"/>
        </w:rPr>
        <w:t>s</w:t>
      </w:r>
      <w:r w:rsidR="00054D7D" w:rsidRPr="00456B23">
        <w:rPr>
          <w:szCs w:val="22"/>
          <w:lang w:val="sr-Latn-ME"/>
        </w:rPr>
        <w:t>provedena ispitivanja interakcija. Druge in</w:t>
      </w:r>
      <w:r w:rsidRPr="00456B23">
        <w:rPr>
          <w:szCs w:val="22"/>
          <w:lang w:val="sr-Latn-ME"/>
        </w:rPr>
        <w:t>terakcije navedene su na osnovu</w:t>
      </w:r>
      <w:r w:rsidR="00054D7D" w:rsidRPr="00456B23">
        <w:rPr>
          <w:szCs w:val="22"/>
          <w:lang w:val="sr-Latn-ME"/>
        </w:rPr>
        <w:t xml:space="preserve"> podataka iz kliničke prakse.</w:t>
      </w:r>
    </w:p>
    <w:p w14:paraId="1A12C3F9" w14:textId="77777777" w:rsidR="007A12E5" w:rsidRPr="00456B23" w:rsidRDefault="007A12E5">
      <w:pPr>
        <w:rPr>
          <w:szCs w:val="22"/>
          <w:lang w:val="sr-Latn-ME"/>
        </w:rPr>
      </w:pPr>
    </w:p>
    <w:p w14:paraId="5CF4E067" w14:textId="141FBE94" w:rsidR="00054D7D" w:rsidRPr="00456B23" w:rsidRDefault="007A12E5">
      <w:pPr>
        <w:numPr>
          <w:ilvl w:val="0"/>
          <w:numId w:val="20"/>
        </w:numPr>
        <w:rPr>
          <w:rFonts w:eastAsia="Calibri"/>
          <w:szCs w:val="22"/>
          <w:lang w:val="sr-Latn-ME"/>
        </w:rPr>
      </w:pPr>
      <w:r w:rsidRPr="00456B23">
        <w:rPr>
          <w:rFonts w:eastAsia="Calibri"/>
          <w:szCs w:val="22"/>
          <w:lang w:val="sr-Latn-ME"/>
        </w:rPr>
        <w:t>Kardiotonični</w:t>
      </w:r>
      <w:r w:rsidR="00054D7D" w:rsidRPr="00456B23">
        <w:rPr>
          <w:rFonts w:eastAsia="Calibri"/>
          <w:szCs w:val="22"/>
          <w:lang w:val="sr-Latn-ME"/>
        </w:rPr>
        <w:t xml:space="preserve"> glikozidi: može biti pojačan glikozidni efekat kao posljedica manjka kalijuma.</w:t>
      </w:r>
    </w:p>
    <w:p w14:paraId="3951AB0E" w14:textId="77777777" w:rsidR="00054D7D" w:rsidRPr="00456B23" w:rsidRDefault="00054D7D">
      <w:pPr>
        <w:numPr>
          <w:ilvl w:val="0"/>
          <w:numId w:val="20"/>
        </w:numPr>
        <w:rPr>
          <w:rFonts w:eastAsia="Calibri"/>
          <w:szCs w:val="22"/>
          <w:lang w:val="sr-Latn-ME"/>
        </w:rPr>
      </w:pPr>
      <w:r w:rsidRPr="00456B23">
        <w:rPr>
          <w:rFonts w:eastAsia="Calibri"/>
          <w:szCs w:val="22"/>
          <w:lang w:val="sr-Latn-ME"/>
        </w:rPr>
        <w:t xml:space="preserve">Saluretici/laksativi: povećava se gubitak kalijuma. </w:t>
      </w:r>
    </w:p>
    <w:p w14:paraId="0D1C178C" w14:textId="77777777" w:rsidR="00054D7D" w:rsidRPr="00456B23" w:rsidRDefault="00054D7D">
      <w:pPr>
        <w:numPr>
          <w:ilvl w:val="0"/>
          <w:numId w:val="20"/>
        </w:numPr>
        <w:rPr>
          <w:rFonts w:eastAsia="Calibri"/>
          <w:szCs w:val="22"/>
          <w:lang w:val="sr-Latn-ME"/>
        </w:rPr>
      </w:pPr>
      <w:r w:rsidRPr="00456B23">
        <w:rPr>
          <w:rFonts w:eastAsia="Calibri"/>
          <w:szCs w:val="22"/>
          <w:lang w:val="sr-Latn-ME"/>
        </w:rPr>
        <w:t xml:space="preserve">Antidijabetici: smanjen efekat na snižavanje šećera u krvi. </w:t>
      </w:r>
    </w:p>
    <w:p w14:paraId="09C01913" w14:textId="77777777" w:rsidR="00054D7D" w:rsidRPr="00456B23" w:rsidRDefault="00054D7D">
      <w:pPr>
        <w:numPr>
          <w:ilvl w:val="0"/>
          <w:numId w:val="20"/>
        </w:numPr>
        <w:rPr>
          <w:rFonts w:eastAsia="Calibri"/>
          <w:szCs w:val="22"/>
          <w:lang w:val="sr-Latn-ME"/>
        </w:rPr>
      </w:pPr>
      <w:r w:rsidRPr="00456B23">
        <w:rPr>
          <w:rFonts w:eastAsia="Calibri"/>
          <w:szCs w:val="22"/>
          <w:lang w:val="sr-Latn-ME"/>
        </w:rPr>
        <w:t xml:space="preserve">Derivati kumarina (oralni antikoagulansi): antikoagulantni efekat može biti oslabljen ili pojačan. Kod istovremene primjene, možda će biti potrebno prilagoditi dozu antikoagulansa. </w:t>
      </w:r>
    </w:p>
    <w:p w14:paraId="298E9EC2" w14:textId="5205271A" w:rsidR="00054D7D" w:rsidRPr="00456B23" w:rsidRDefault="00054D7D">
      <w:pPr>
        <w:numPr>
          <w:ilvl w:val="0"/>
          <w:numId w:val="20"/>
        </w:numPr>
        <w:rPr>
          <w:rFonts w:eastAsia="Calibri"/>
          <w:szCs w:val="22"/>
          <w:lang w:val="sr-Latn-ME"/>
        </w:rPr>
      </w:pPr>
      <w:r w:rsidRPr="00456B23">
        <w:rPr>
          <w:rFonts w:eastAsia="Calibri"/>
          <w:szCs w:val="22"/>
          <w:lang w:val="sr-Latn-ME"/>
        </w:rPr>
        <w:t xml:space="preserve">Nesteroidni </w:t>
      </w:r>
      <w:r w:rsidR="00CC59B0" w:rsidRPr="00456B23">
        <w:rPr>
          <w:rFonts w:eastAsia="Calibri"/>
          <w:szCs w:val="22"/>
          <w:lang w:val="sr-Latn-ME"/>
        </w:rPr>
        <w:t xml:space="preserve">antiinflamatorni </w:t>
      </w:r>
      <w:r w:rsidRPr="00456B23">
        <w:rPr>
          <w:rFonts w:eastAsia="Calibri"/>
          <w:szCs w:val="22"/>
          <w:lang w:val="sr-Latn-ME"/>
        </w:rPr>
        <w:t xml:space="preserve">ljekovi, salicilati i indometacin: povećan je rizik od gastrointestinalnih ulceracija i krvarenja. </w:t>
      </w:r>
    </w:p>
    <w:p w14:paraId="5F6D3C6F" w14:textId="226FDF84" w:rsidR="00054D7D" w:rsidRPr="00456B23" w:rsidRDefault="00054D7D">
      <w:pPr>
        <w:numPr>
          <w:ilvl w:val="0"/>
          <w:numId w:val="20"/>
        </w:numPr>
        <w:rPr>
          <w:rFonts w:eastAsia="Calibri"/>
          <w:szCs w:val="22"/>
          <w:lang w:val="sr-Latn-ME"/>
        </w:rPr>
      </w:pPr>
      <w:r w:rsidRPr="00456B23">
        <w:rPr>
          <w:rFonts w:eastAsia="Calibri"/>
          <w:szCs w:val="22"/>
          <w:lang w:val="sr-Latn-ME"/>
        </w:rPr>
        <w:t>Nedepolariz</w:t>
      </w:r>
      <w:r w:rsidR="00CC59B0" w:rsidRPr="00456B23">
        <w:rPr>
          <w:rFonts w:eastAsia="Calibri"/>
          <w:szCs w:val="22"/>
          <w:lang w:val="sr-Latn-ME"/>
        </w:rPr>
        <w:t>u</w:t>
      </w:r>
      <w:r w:rsidRPr="00456B23">
        <w:rPr>
          <w:rFonts w:eastAsia="Calibri"/>
          <w:szCs w:val="22"/>
          <w:lang w:val="sr-Latn-ME"/>
        </w:rPr>
        <w:t xml:space="preserve">jući mišićni relaksansi: relaksacija mišića može se produžiti. </w:t>
      </w:r>
    </w:p>
    <w:p w14:paraId="7CB464DB" w14:textId="10E88DB7" w:rsidR="00054D7D" w:rsidRPr="00456B23" w:rsidRDefault="00054D7D">
      <w:pPr>
        <w:numPr>
          <w:ilvl w:val="0"/>
          <w:numId w:val="20"/>
        </w:numPr>
        <w:rPr>
          <w:rFonts w:eastAsia="Calibri"/>
          <w:szCs w:val="22"/>
          <w:lang w:val="sr-Latn-ME"/>
        </w:rPr>
      </w:pPr>
      <w:r w:rsidRPr="00456B23">
        <w:rPr>
          <w:rFonts w:eastAsia="Calibri"/>
          <w:szCs w:val="22"/>
          <w:lang w:val="sr-Latn-ME"/>
        </w:rPr>
        <w:t>Atropin, drugi antiholinergici: kod istovremene primjene moguće je dodatno pov</w:t>
      </w:r>
      <w:r w:rsidR="00CC59B0" w:rsidRPr="00456B23">
        <w:rPr>
          <w:rFonts w:eastAsia="Calibri"/>
          <w:szCs w:val="22"/>
          <w:lang w:val="sr-Latn-ME"/>
        </w:rPr>
        <w:t>ećanje</w:t>
      </w:r>
      <w:r w:rsidRPr="00456B23">
        <w:rPr>
          <w:rFonts w:eastAsia="Calibri"/>
          <w:szCs w:val="22"/>
          <w:lang w:val="sr-Latn-ME"/>
        </w:rPr>
        <w:t xml:space="preserve"> očnog pritiska.</w:t>
      </w:r>
    </w:p>
    <w:p w14:paraId="2F8E3366" w14:textId="77777777" w:rsidR="00054D7D" w:rsidRPr="00456B23" w:rsidRDefault="00054D7D">
      <w:pPr>
        <w:numPr>
          <w:ilvl w:val="0"/>
          <w:numId w:val="20"/>
        </w:numPr>
        <w:rPr>
          <w:rFonts w:eastAsia="Calibri"/>
          <w:szCs w:val="22"/>
          <w:lang w:val="sr-Latn-ME"/>
        </w:rPr>
      </w:pPr>
      <w:r w:rsidRPr="00456B23">
        <w:rPr>
          <w:rFonts w:eastAsia="Calibri"/>
          <w:szCs w:val="22"/>
          <w:lang w:val="sr-Latn-ME"/>
        </w:rPr>
        <w:t>Prazikvantel: moguće je smanjenje koncentrac</w:t>
      </w:r>
      <w:r w:rsidR="004A3AEF" w:rsidRPr="00456B23">
        <w:rPr>
          <w:rFonts w:eastAsia="Calibri"/>
          <w:szCs w:val="22"/>
          <w:lang w:val="sr-Latn-ME"/>
        </w:rPr>
        <w:t>ije prazikvantela u krvi indukov</w:t>
      </w:r>
      <w:r w:rsidRPr="00456B23">
        <w:rPr>
          <w:rFonts w:eastAsia="Calibri"/>
          <w:szCs w:val="22"/>
          <w:lang w:val="sr-Latn-ME"/>
        </w:rPr>
        <w:t xml:space="preserve">ano s kortikosteroidima. </w:t>
      </w:r>
    </w:p>
    <w:p w14:paraId="7D56A40C" w14:textId="77777777" w:rsidR="00054D7D" w:rsidRPr="00456B23" w:rsidRDefault="00054D7D">
      <w:pPr>
        <w:numPr>
          <w:ilvl w:val="0"/>
          <w:numId w:val="20"/>
        </w:numPr>
        <w:rPr>
          <w:rFonts w:eastAsia="Calibri"/>
          <w:szCs w:val="22"/>
          <w:lang w:val="sr-Latn-ME"/>
        </w:rPr>
      </w:pPr>
      <w:r w:rsidRPr="00456B23">
        <w:rPr>
          <w:rFonts w:eastAsia="Calibri"/>
          <w:szCs w:val="22"/>
          <w:lang w:val="sr-Latn-ME"/>
        </w:rPr>
        <w:t xml:space="preserve">Hlorokin, hidroksihlorokin, meflokin: povećan je rizik od miopatije, kardiomiopatija. </w:t>
      </w:r>
    </w:p>
    <w:p w14:paraId="7FE051F2" w14:textId="47953F69" w:rsidR="00054D7D" w:rsidRPr="00456B23" w:rsidRDefault="00054D7D">
      <w:pPr>
        <w:numPr>
          <w:ilvl w:val="0"/>
          <w:numId w:val="20"/>
        </w:numPr>
        <w:rPr>
          <w:rFonts w:eastAsia="Calibri"/>
          <w:szCs w:val="22"/>
          <w:lang w:val="sr-Latn-ME"/>
        </w:rPr>
      </w:pPr>
      <w:r w:rsidRPr="00456B23">
        <w:rPr>
          <w:rFonts w:eastAsia="Calibri"/>
          <w:szCs w:val="22"/>
          <w:lang w:val="sr-Latn-ME"/>
        </w:rPr>
        <w:t xml:space="preserve">Somatropin: efekat somatropina se smanjuje. </w:t>
      </w:r>
    </w:p>
    <w:p w14:paraId="5BB4BF34" w14:textId="77777777" w:rsidR="00054D7D" w:rsidRPr="00456B23" w:rsidRDefault="00054D7D">
      <w:pPr>
        <w:numPr>
          <w:ilvl w:val="0"/>
          <w:numId w:val="20"/>
        </w:numPr>
        <w:rPr>
          <w:rFonts w:eastAsia="Calibri"/>
          <w:szCs w:val="22"/>
          <w:lang w:val="sr-Latn-ME"/>
        </w:rPr>
      </w:pPr>
      <w:r w:rsidRPr="00456B23">
        <w:rPr>
          <w:rFonts w:eastAsia="Calibri"/>
          <w:szCs w:val="22"/>
          <w:lang w:val="sr-Latn-ME"/>
        </w:rPr>
        <w:t xml:space="preserve">Protirelin: primjena protirelina može smanjiti porast TSH. </w:t>
      </w:r>
    </w:p>
    <w:p w14:paraId="40180555" w14:textId="77777777" w:rsidR="00054D7D" w:rsidRPr="00456B23" w:rsidRDefault="00054D7D">
      <w:pPr>
        <w:numPr>
          <w:ilvl w:val="0"/>
          <w:numId w:val="20"/>
        </w:numPr>
        <w:rPr>
          <w:rFonts w:eastAsia="Calibri"/>
          <w:szCs w:val="22"/>
          <w:lang w:val="sr-Latn-ME"/>
        </w:rPr>
      </w:pPr>
      <w:r w:rsidRPr="00456B23">
        <w:rPr>
          <w:rFonts w:eastAsia="Calibri"/>
          <w:szCs w:val="22"/>
          <w:lang w:val="sr-Latn-ME"/>
        </w:rPr>
        <w:t xml:space="preserve">Estrogeni (npr. supresori ovulacije): može se produžiti poluživot glukokortikoida. Zbog toga, efekat glukokortikoida može biti pojačan. </w:t>
      </w:r>
    </w:p>
    <w:p w14:paraId="749166BE" w14:textId="77777777" w:rsidR="00054D7D" w:rsidRPr="00456B23" w:rsidRDefault="00054D7D">
      <w:pPr>
        <w:numPr>
          <w:ilvl w:val="0"/>
          <w:numId w:val="20"/>
        </w:numPr>
        <w:rPr>
          <w:rFonts w:eastAsia="Calibri"/>
          <w:szCs w:val="22"/>
          <w:lang w:val="sr-Latn-ME"/>
        </w:rPr>
      </w:pPr>
      <w:r w:rsidRPr="00456B23">
        <w:rPr>
          <w:rFonts w:eastAsia="Calibri"/>
          <w:szCs w:val="22"/>
          <w:lang w:val="sr-Latn-ME"/>
        </w:rPr>
        <w:t xml:space="preserve">Antacidi: kod istovremenog uzimanja hidroksida magnezijuma ili aluminijuma, moguća je smanjena apsorpcija prednizona. Ova dva lijeka potrebno je primijeniti s dovoljnim vremenskim intervalom (2 sata). </w:t>
      </w:r>
    </w:p>
    <w:p w14:paraId="091F7133" w14:textId="77777777" w:rsidR="00054D7D" w:rsidRPr="00456B23" w:rsidRDefault="00054D7D">
      <w:pPr>
        <w:numPr>
          <w:ilvl w:val="0"/>
          <w:numId w:val="20"/>
        </w:numPr>
        <w:rPr>
          <w:rFonts w:eastAsia="Calibri"/>
          <w:szCs w:val="22"/>
          <w:lang w:val="sr-Latn-ME"/>
        </w:rPr>
      </w:pPr>
      <w:r w:rsidRPr="00456B23">
        <w:rPr>
          <w:rFonts w:eastAsia="Calibri"/>
          <w:szCs w:val="22"/>
          <w:lang w:val="sr-Latn-ME"/>
        </w:rPr>
        <w:t xml:space="preserve">CYP3A4-aktivirajuće supstance, kao što su rifampicin, fenitoin, barbiturati, karbamazepin i primidon: efekat kortikoida može biti umanjen. </w:t>
      </w:r>
    </w:p>
    <w:p w14:paraId="164673D7" w14:textId="5206C367" w:rsidR="00054D7D" w:rsidRPr="00456B23" w:rsidRDefault="00054D7D">
      <w:pPr>
        <w:numPr>
          <w:ilvl w:val="0"/>
          <w:numId w:val="20"/>
        </w:numPr>
        <w:rPr>
          <w:rFonts w:eastAsia="Calibri"/>
          <w:szCs w:val="22"/>
          <w:lang w:val="sr-Latn-ME"/>
        </w:rPr>
      </w:pPr>
      <w:r w:rsidRPr="00456B23">
        <w:rPr>
          <w:rFonts w:eastAsia="Calibri"/>
          <w:szCs w:val="22"/>
          <w:lang w:val="sr-Latn-ME"/>
        </w:rPr>
        <w:t>Efedrin: ubrzani metabolizam može smanjiti efikasnost glukokortikoida.</w:t>
      </w:r>
    </w:p>
    <w:p w14:paraId="68833037" w14:textId="50B2FA75" w:rsidR="005177D9" w:rsidRPr="00456B23" w:rsidRDefault="005177D9">
      <w:pPr>
        <w:numPr>
          <w:ilvl w:val="0"/>
          <w:numId w:val="20"/>
        </w:numPr>
        <w:rPr>
          <w:rFonts w:eastAsia="Calibri"/>
          <w:szCs w:val="22"/>
          <w:lang w:val="sr-Latn-ME"/>
        </w:rPr>
      </w:pPr>
      <w:r w:rsidRPr="00456B23">
        <w:rPr>
          <w:rFonts w:eastAsia="Calibri"/>
          <w:szCs w:val="22"/>
          <w:lang w:val="sr-Latn-ME"/>
        </w:rPr>
        <w:t>CYP3A4 inhibirajuće supstance (npr. ketokonazol, itrakonazol) mogu pojačati efekat kortikosteroida</w:t>
      </w:r>
    </w:p>
    <w:p w14:paraId="76E07E02" w14:textId="77777777" w:rsidR="00054D7D" w:rsidRPr="00456B23" w:rsidRDefault="00054D7D">
      <w:pPr>
        <w:numPr>
          <w:ilvl w:val="0"/>
          <w:numId w:val="20"/>
        </w:numPr>
        <w:rPr>
          <w:rFonts w:eastAsia="Calibri"/>
          <w:szCs w:val="22"/>
          <w:lang w:val="sr-Latn-ME"/>
        </w:rPr>
      </w:pPr>
      <w:r w:rsidRPr="00456B23">
        <w:rPr>
          <w:rFonts w:eastAsia="Calibri"/>
          <w:szCs w:val="22"/>
          <w:lang w:val="sr-Latn-ME"/>
        </w:rPr>
        <w:t xml:space="preserve">Imunosupresivi: povećana je osjetljivost na infekcije i moguće je pogoršanje ili manifestacija latentnih infekcija. </w:t>
      </w:r>
    </w:p>
    <w:p w14:paraId="1D4F04C5" w14:textId="77777777" w:rsidR="00054D7D" w:rsidRPr="00456B23" w:rsidRDefault="00054D7D">
      <w:pPr>
        <w:numPr>
          <w:ilvl w:val="0"/>
          <w:numId w:val="20"/>
        </w:numPr>
        <w:rPr>
          <w:rFonts w:eastAsia="Calibri"/>
          <w:szCs w:val="22"/>
          <w:lang w:val="sr-Latn-ME"/>
        </w:rPr>
      </w:pPr>
      <w:r w:rsidRPr="00456B23">
        <w:rPr>
          <w:rFonts w:eastAsia="Calibri"/>
          <w:szCs w:val="22"/>
          <w:lang w:val="sr-Latn-ME"/>
        </w:rPr>
        <w:t xml:space="preserve">Ciklosporin: povećanje nivoa ciklosporina u krvi. Povećan je rizik od cerebralnih konvulzija. </w:t>
      </w:r>
    </w:p>
    <w:p w14:paraId="7B76BEB9" w14:textId="77777777" w:rsidR="00054D7D" w:rsidRPr="00456B23" w:rsidRDefault="00054D7D">
      <w:pPr>
        <w:numPr>
          <w:ilvl w:val="0"/>
          <w:numId w:val="20"/>
        </w:numPr>
        <w:rPr>
          <w:rFonts w:eastAsia="Calibri"/>
          <w:szCs w:val="22"/>
          <w:lang w:val="sr-Latn-ME"/>
        </w:rPr>
      </w:pPr>
      <w:r w:rsidRPr="00456B23">
        <w:rPr>
          <w:rFonts w:eastAsia="Calibri"/>
          <w:szCs w:val="22"/>
          <w:lang w:val="sr-Latn-ME"/>
        </w:rPr>
        <w:t xml:space="preserve">ACE inhibitori: povećan je rizik od promjena krvne slike. </w:t>
      </w:r>
    </w:p>
    <w:p w14:paraId="157FB226" w14:textId="63FF6098" w:rsidR="00533EFB" w:rsidRPr="00456B23" w:rsidRDefault="00054D7D">
      <w:pPr>
        <w:numPr>
          <w:ilvl w:val="0"/>
          <w:numId w:val="20"/>
        </w:numPr>
        <w:rPr>
          <w:rFonts w:eastAsia="Calibri"/>
          <w:szCs w:val="22"/>
          <w:lang w:val="sr-Latn-ME"/>
        </w:rPr>
      </w:pPr>
      <w:r w:rsidRPr="00456B23">
        <w:rPr>
          <w:rFonts w:eastAsia="Calibri"/>
          <w:szCs w:val="22"/>
          <w:lang w:val="sr-Latn-ME"/>
        </w:rPr>
        <w:t>Fluoro</w:t>
      </w:r>
      <w:r w:rsidR="00CC59B0" w:rsidRPr="00456B23">
        <w:rPr>
          <w:rFonts w:eastAsia="Calibri"/>
          <w:szCs w:val="22"/>
          <w:lang w:val="sr-Latn-ME"/>
        </w:rPr>
        <w:t>h</w:t>
      </w:r>
      <w:r w:rsidRPr="00456B23">
        <w:rPr>
          <w:rFonts w:eastAsia="Calibri"/>
          <w:szCs w:val="22"/>
          <w:lang w:val="sr-Latn-ME"/>
        </w:rPr>
        <w:t>inoloni mogu povećati rizik od problema s tetivama.</w:t>
      </w:r>
    </w:p>
    <w:p w14:paraId="5EE227DB" w14:textId="77777777" w:rsidR="00533EFB" w:rsidRPr="00456B23" w:rsidRDefault="00533EFB" w:rsidP="00DC7309">
      <w:pPr>
        <w:rPr>
          <w:rFonts w:eastAsia="Calibri"/>
          <w:szCs w:val="22"/>
          <w:lang w:val="sr-Latn-ME"/>
        </w:rPr>
      </w:pPr>
    </w:p>
    <w:p w14:paraId="251FE469" w14:textId="77777777" w:rsidR="00054D7D" w:rsidRPr="00456B23" w:rsidRDefault="00533EFB" w:rsidP="00DC7309">
      <w:pPr>
        <w:rPr>
          <w:rFonts w:eastAsia="Calibri"/>
          <w:szCs w:val="22"/>
          <w:lang w:val="sr-Latn-ME"/>
        </w:rPr>
      </w:pPr>
      <w:r w:rsidRPr="00456B23">
        <w:rPr>
          <w:rFonts w:eastAsia="Calibri"/>
          <w:szCs w:val="22"/>
          <w:lang w:val="sr-Latn-ME"/>
        </w:rPr>
        <w:t xml:space="preserve">Očekuje se da će istovremena primjena inhibitora CYP3A, uključujući ljekove koji sadrže kobicistat, povećati rizik od sistemskih neželjenih dejstava. Kombinaciju treba izbjegavati, osim kada korist prevazilazi </w:t>
      </w:r>
      <w:r w:rsidRPr="00456B23">
        <w:rPr>
          <w:rFonts w:eastAsia="Calibri"/>
          <w:szCs w:val="22"/>
          <w:lang w:val="sr-Latn-ME"/>
        </w:rPr>
        <w:lastRenderedPageBreak/>
        <w:t>povećani rizik od sistemskih neželjenih dejstava kortikosteroida, a u tom slučaju je pacijente potrebno pratiti radi otkrivanja sistemskih neželjenih dejstava.</w:t>
      </w:r>
      <w:r w:rsidR="00054D7D" w:rsidRPr="00456B23">
        <w:rPr>
          <w:rFonts w:eastAsia="Calibri"/>
          <w:szCs w:val="22"/>
          <w:lang w:val="sr-Latn-ME"/>
        </w:rPr>
        <w:t xml:space="preserve"> </w:t>
      </w:r>
    </w:p>
    <w:p w14:paraId="538A608B" w14:textId="77777777" w:rsidR="00054D7D" w:rsidRPr="00456B23" w:rsidRDefault="00054D7D">
      <w:pPr>
        <w:autoSpaceDE w:val="0"/>
        <w:autoSpaceDN w:val="0"/>
        <w:adjustRightInd w:val="0"/>
        <w:rPr>
          <w:b/>
          <w:bCs/>
          <w:szCs w:val="22"/>
          <w:lang w:val="sr-Latn-ME"/>
        </w:rPr>
      </w:pPr>
    </w:p>
    <w:p w14:paraId="7EA68A83" w14:textId="77777777" w:rsidR="00054D7D" w:rsidRPr="00456B23" w:rsidRDefault="00054D7D">
      <w:pPr>
        <w:rPr>
          <w:szCs w:val="22"/>
          <w:lang w:val="sr-Latn-ME"/>
        </w:rPr>
      </w:pPr>
      <w:r w:rsidRPr="00456B23">
        <w:rPr>
          <w:b/>
          <w:bCs/>
          <w:szCs w:val="22"/>
          <w:lang w:val="sr-Latn-ME"/>
        </w:rPr>
        <w:t xml:space="preserve">Efekat na testove: </w:t>
      </w:r>
      <w:r w:rsidRPr="00456B23">
        <w:rPr>
          <w:szCs w:val="22"/>
          <w:lang w:val="sr-Latn-ME"/>
        </w:rPr>
        <w:t xml:space="preserve">pri alergijskim testovima, </w:t>
      </w:r>
      <w:r w:rsidRPr="00456B23">
        <w:rPr>
          <w:bCs/>
          <w:szCs w:val="22"/>
          <w:lang w:val="sr-Latn-ME"/>
        </w:rPr>
        <w:t>m</w:t>
      </w:r>
      <w:r w:rsidRPr="00456B23">
        <w:rPr>
          <w:szCs w:val="22"/>
          <w:lang w:val="sr-Latn-ME"/>
        </w:rPr>
        <w:t>ogu biti potisnute reakcije na koži.</w:t>
      </w:r>
    </w:p>
    <w:p w14:paraId="25D2B40D" w14:textId="77777777" w:rsidR="00533EFB" w:rsidRPr="00456B23" w:rsidRDefault="00533EFB">
      <w:pPr>
        <w:rPr>
          <w:b/>
          <w:color w:val="000000"/>
          <w:szCs w:val="22"/>
          <w:u w:val="single"/>
          <w:lang w:val="sr-Latn-ME"/>
        </w:rPr>
      </w:pPr>
    </w:p>
    <w:p w14:paraId="1F5218D0" w14:textId="26587D6A" w:rsidR="00054D7D" w:rsidRPr="00456B23" w:rsidRDefault="00054D7D" w:rsidP="00832154">
      <w:pPr>
        <w:pStyle w:val="Heading2"/>
        <w:numPr>
          <w:ilvl w:val="1"/>
          <w:numId w:val="21"/>
        </w:numPr>
        <w:rPr>
          <w:noProof/>
          <w:szCs w:val="22"/>
          <w:lang w:val="sr-Latn-ME"/>
        </w:rPr>
      </w:pPr>
      <w:r w:rsidRPr="00456B23">
        <w:rPr>
          <w:noProof/>
          <w:szCs w:val="22"/>
          <w:lang w:val="sr-Latn-ME"/>
        </w:rPr>
        <w:t>Plodnost, trudnoća i dojenje</w:t>
      </w:r>
    </w:p>
    <w:p w14:paraId="2B8E9EFB" w14:textId="77777777" w:rsidR="003D6377" w:rsidRPr="00456B23" w:rsidRDefault="003D6377" w:rsidP="00DC7309">
      <w:pPr>
        <w:rPr>
          <w:szCs w:val="22"/>
          <w:lang w:val="sr-Latn-ME"/>
        </w:rPr>
      </w:pPr>
    </w:p>
    <w:p w14:paraId="1975DE99" w14:textId="77777777" w:rsidR="00054D7D" w:rsidRPr="00456B23" w:rsidRDefault="00054D7D">
      <w:pPr>
        <w:rPr>
          <w:szCs w:val="22"/>
          <w:u w:val="single"/>
          <w:lang w:val="sr-Latn-ME"/>
        </w:rPr>
      </w:pPr>
      <w:r w:rsidRPr="00456B23">
        <w:rPr>
          <w:szCs w:val="22"/>
          <w:u w:val="single"/>
          <w:lang w:val="sr-Latn-ME"/>
        </w:rPr>
        <w:t>Trudnoća</w:t>
      </w:r>
    </w:p>
    <w:p w14:paraId="59E95E22" w14:textId="71B6D365" w:rsidR="00054D7D" w:rsidRPr="00456B23" w:rsidRDefault="00054D7D">
      <w:pPr>
        <w:rPr>
          <w:szCs w:val="22"/>
          <w:lang w:val="sr-Latn-ME"/>
        </w:rPr>
      </w:pPr>
      <w:r w:rsidRPr="00456B23">
        <w:rPr>
          <w:szCs w:val="22"/>
          <w:lang w:val="sr-Latn-ME"/>
        </w:rPr>
        <w:t xml:space="preserve">Liječenje s prednizonom tokom trudnoće smije biti </w:t>
      </w:r>
      <w:r w:rsidR="006A3910" w:rsidRPr="00456B23">
        <w:rPr>
          <w:szCs w:val="22"/>
          <w:lang w:val="sr-Latn-ME"/>
        </w:rPr>
        <w:t>s</w:t>
      </w:r>
      <w:r w:rsidRPr="00456B23">
        <w:rPr>
          <w:szCs w:val="22"/>
          <w:lang w:val="sr-Latn-ME"/>
        </w:rPr>
        <w:t>provedeno samo nakon pažljive procjene odnosa</w:t>
      </w:r>
      <w:r w:rsidR="006A3910" w:rsidRPr="00456B23">
        <w:rPr>
          <w:szCs w:val="22"/>
          <w:lang w:val="sr-Latn-ME"/>
        </w:rPr>
        <w:t xml:space="preserve"> koristi i</w:t>
      </w:r>
      <w:r w:rsidRPr="00456B23">
        <w:rPr>
          <w:szCs w:val="22"/>
          <w:lang w:val="sr-Latn-ME"/>
        </w:rPr>
        <w:t xml:space="preserve"> </w:t>
      </w:r>
      <w:r w:rsidR="006A3910" w:rsidRPr="00456B23">
        <w:rPr>
          <w:szCs w:val="22"/>
          <w:lang w:val="sr-Latn-ME"/>
        </w:rPr>
        <w:t>rizika</w:t>
      </w:r>
      <w:r w:rsidRPr="00456B23">
        <w:rPr>
          <w:szCs w:val="22"/>
          <w:lang w:val="sr-Latn-ME"/>
        </w:rPr>
        <w:t>. Kod dugotrajnog liječenja s glukokortikoidima tokom trudnoće, ne mogu se isključiti poremećaji fetalnog rasta. U studiji na životinjama, prednizon je uzrokovao razvoj rascjepa nepca (pogledati</w:t>
      </w:r>
      <w:r w:rsidR="00E6566F" w:rsidRPr="00456B23">
        <w:rPr>
          <w:szCs w:val="22"/>
          <w:lang w:val="sr-Latn-ME"/>
        </w:rPr>
        <w:t xml:space="preserve"> dio</w:t>
      </w:r>
      <w:r w:rsidRPr="00456B23">
        <w:rPr>
          <w:szCs w:val="22"/>
          <w:lang w:val="sr-Latn-ME"/>
        </w:rPr>
        <w:t xml:space="preserve"> 5.3.). Razmatra se postojanje povećanog ri</w:t>
      </w:r>
      <w:r w:rsidR="00093709" w:rsidRPr="00456B23">
        <w:rPr>
          <w:szCs w:val="22"/>
          <w:lang w:val="sr-Latn-ME"/>
        </w:rPr>
        <w:t>zika od razvoja rascjepa nepca kod</w:t>
      </w:r>
      <w:r w:rsidRPr="00456B23">
        <w:rPr>
          <w:szCs w:val="22"/>
          <w:lang w:val="sr-Latn-ME"/>
        </w:rPr>
        <w:t xml:space="preserve"> humanog fetusa, u slučaju liječenja s glukokortikoidima tokom prvog </w:t>
      </w:r>
      <w:r w:rsidR="00E6566F" w:rsidRPr="00456B23">
        <w:rPr>
          <w:szCs w:val="22"/>
          <w:lang w:val="sr-Latn-ME"/>
        </w:rPr>
        <w:t>trimestra</w:t>
      </w:r>
      <w:r w:rsidRPr="00456B23">
        <w:rPr>
          <w:szCs w:val="22"/>
          <w:lang w:val="sr-Latn-ME"/>
        </w:rPr>
        <w:t xml:space="preserve"> trudnoće. U slučaju liječenja glukokortikoidima pri kraju trudnoće, postoji rizik od atrofije kore nadbubrežne žlijezde fetusa, što može zahtijevati pos</w:t>
      </w:r>
      <w:r w:rsidR="00093709" w:rsidRPr="00456B23">
        <w:rPr>
          <w:szCs w:val="22"/>
          <w:lang w:val="sr-Latn-ME"/>
        </w:rPr>
        <w:t>tepenu supstitu</w:t>
      </w:r>
      <w:r w:rsidR="00E6566F" w:rsidRPr="00456B23">
        <w:rPr>
          <w:szCs w:val="22"/>
          <w:lang w:val="sr-Latn-ME"/>
        </w:rPr>
        <w:t>cionu</w:t>
      </w:r>
      <w:r w:rsidR="00093709" w:rsidRPr="00456B23">
        <w:rPr>
          <w:szCs w:val="22"/>
          <w:lang w:val="sr-Latn-ME"/>
        </w:rPr>
        <w:t xml:space="preserve"> terapiju kod</w:t>
      </w:r>
      <w:r w:rsidRPr="00456B23">
        <w:rPr>
          <w:szCs w:val="22"/>
          <w:lang w:val="sr-Latn-ME"/>
        </w:rPr>
        <w:t xml:space="preserve"> novorođenčeta</w:t>
      </w:r>
      <w:r w:rsidR="005177D9" w:rsidRPr="00456B23">
        <w:rPr>
          <w:szCs w:val="22"/>
          <w:lang w:val="sr-Latn-ME"/>
        </w:rPr>
        <w:t>, uz postepeno smanjivanje doze.</w:t>
      </w:r>
    </w:p>
    <w:p w14:paraId="68CD3449" w14:textId="77777777" w:rsidR="00054D7D" w:rsidRPr="00456B23" w:rsidRDefault="00054D7D">
      <w:pPr>
        <w:pStyle w:val="BodyText"/>
        <w:tabs>
          <w:tab w:val="left" w:pos="0"/>
        </w:tabs>
        <w:rPr>
          <w:color w:val="000000"/>
          <w:szCs w:val="22"/>
          <w:u w:val="single"/>
          <w:lang w:val="sr-Latn-ME"/>
        </w:rPr>
      </w:pPr>
    </w:p>
    <w:p w14:paraId="235BD0FA" w14:textId="77777777" w:rsidR="00054D7D" w:rsidRPr="00456B23" w:rsidRDefault="00054D7D">
      <w:pPr>
        <w:rPr>
          <w:iCs/>
          <w:color w:val="000000"/>
          <w:szCs w:val="22"/>
          <w:u w:val="single"/>
          <w:lang w:val="sr-Latn-ME"/>
        </w:rPr>
      </w:pPr>
      <w:r w:rsidRPr="00456B23">
        <w:rPr>
          <w:iCs/>
          <w:color w:val="000000"/>
          <w:szCs w:val="22"/>
          <w:u w:val="single"/>
          <w:lang w:val="sr-Latn-ME"/>
        </w:rPr>
        <w:t>Dojenje</w:t>
      </w:r>
    </w:p>
    <w:p w14:paraId="06876208" w14:textId="119F686E" w:rsidR="005177D9" w:rsidRPr="00456B23" w:rsidRDefault="005177D9">
      <w:pPr>
        <w:rPr>
          <w:szCs w:val="22"/>
          <w:lang w:val="sr-Latn-ME"/>
        </w:rPr>
      </w:pPr>
      <w:r w:rsidRPr="00456B23">
        <w:rPr>
          <w:szCs w:val="22"/>
          <w:lang w:val="sr-Latn-ME"/>
        </w:rPr>
        <w:t xml:space="preserve">Glukokortikoidi </w:t>
      </w:r>
      <w:r w:rsidR="00054D7D" w:rsidRPr="00456B23">
        <w:rPr>
          <w:szCs w:val="22"/>
          <w:lang w:val="sr-Latn-ME"/>
        </w:rPr>
        <w:t>prolaz</w:t>
      </w:r>
      <w:r w:rsidRPr="00456B23">
        <w:rPr>
          <w:szCs w:val="22"/>
          <w:lang w:val="sr-Latn-ME"/>
        </w:rPr>
        <w:t>e</w:t>
      </w:r>
      <w:r w:rsidR="00054D7D" w:rsidRPr="00456B23">
        <w:rPr>
          <w:szCs w:val="22"/>
          <w:lang w:val="sr-Latn-ME"/>
        </w:rPr>
        <w:t xml:space="preserve"> u majčino mlijeko</w:t>
      </w:r>
      <w:r w:rsidR="00E6566F" w:rsidRPr="00456B23">
        <w:rPr>
          <w:szCs w:val="22"/>
          <w:lang w:val="sr-Latn-ME"/>
        </w:rPr>
        <w:t xml:space="preserve"> u malim količinama (do 0,23% individualne doze)</w:t>
      </w:r>
      <w:r w:rsidR="00054D7D" w:rsidRPr="00456B23">
        <w:rPr>
          <w:szCs w:val="22"/>
          <w:lang w:val="sr-Latn-ME"/>
        </w:rPr>
        <w:t>.</w:t>
      </w:r>
      <w:r w:rsidR="00E6566F" w:rsidRPr="00456B23">
        <w:rPr>
          <w:szCs w:val="22"/>
          <w:lang w:val="sr-Latn-ME"/>
        </w:rPr>
        <w:t xml:space="preserve"> Kod doza do 10 mg/dan količina prenešena putem mlijeka je ispod granica detekcije. Do danas nije poznato da bi ovo prouzrokovalo bilo kakvo oštećenje kod djeteta.</w:t>
      </w:r>
      <w:r w:rsidR="00054D7D" w:rsidRPr="00456B23">
        <w:rPr>
          <w:szCs w:val="22"/>
          <w:lang w:val="sr-Latn-ME"/>
        </w:rPr>
        <w:t xml:space="preserve"> </w:t>
      </w:r>
    </w:p>
    <w:p w14:paraId="146CD559" w14:textId="78B9F546" w:rsidR="00054D7D" w:rsidRPr="00456B23" w:rsidRDefault="005177D9">
      <w:pPr>
        <w:rPr>
          <w:szCs w:val="22"/>
          <w:lang w:val="sr-Latn-ME"/>
        </w:rPr>
      </w:pPr>
      <w:r w:rsidRPr="00456B23">
        <w:rPr>
          <w:szCs w:val="22"/>
          <w:lang w:val="sr-Latn-ME"/>
        </w:rPr>
        <w:t>Međutim, prednizon se može propisati tokom dojenja samo ako postoji stroga indikacija. Budući da se kod viših doza povećava udio mlijeko/koncentracija u plazmi (25% serumske koncentracije u mlijeku kod 80 mg prednizona na dan) u ovim slučajevima savjetuje se prestanak dojenja.</w:t>
      </w:r>
    </w:p>
    <w:p w14:paraId="2E417899" w14:textId="77777777" w:rsidR="00054D7D" w:rsidRPr="00456B23" w:rsidRDefault="00054D7D">
      <w:pPr>
        <w:rPr>
          <w:color w:val="000000"/>
          <w:szCs w:val="22"/>
          <w:lang w:val="sr-Latn-ME"/>
        </w:rPr>
      </w:pPr>
    </w:p>
    <w:p w14:paraId="20BC4114" w14:textId="77777777" w:rsidR="00054D7D" w:rsidRPr="00456B23" w:rsidRDefault="00054D7D" w:rsidP="00832154">
      <w:pPr>
        <w:pStyle w:val="Heading2"/>
        <w:numPr>
          <w:ilvl w:val="1"/>
          <w:numId w:val="21"/>
        </w:numPr>
        <w:spacing w:before="0" w:after="0"/>
        <w:rPr>
          <w:szCs w:val="22"/>
          <w:lang w:val="sr-Latn-ME"/>
        </w:rPr>
      </w:pPr>
      <w:r w:rsidRPr="00456B23">
        <w:rPr>
          <w:szCs w:val="22"/>
          <w:lang w:val="sr-Latn-ME"/>
        </w:rPr>
        <w:t xml:space="preserve"> Uticaj na sposobnost upravljanja vozilima i rukovanje mašinama</w:t>
      </w:r>
    </w:p>
    <w:p w14:paraId="71195848" w14:textId="77777777" w:rsidR="003D6377" w:rsidRPr="00456B23" w:rsidRDefault="003D6377">
      <w:pPr>
        <w:tabs>
          <w:tab w:val="left" w:pos="540"/>
          <w:tab w:val="left" w:pos="569"/>
        </w:tabs>
        <w:rPr>
          <w:szCs w:val="22"/>
          <w:lang w:val="sr-Latn-ME"/>
        </w:rPr>
      </w:pPr>
    </w:p>
    <w:p w14:paraId="745CAEF3" w14:textId="77777777" w:rsidR="00054D7D" w:rsidRPr="00456B23" w:rsidRDefault="00054D7D">
      <w:pPr>
        <w:tabs>
          <w:tab w:val="left" w:pos="540"/>
          <w:tab w:val="left" w:pos="569"/>
        </w:tabs>
        <w:rPr>
          <w:szCs w:val="22"/>
          <w:lang w:val="sr-Latn-ME"/>
        </w:rPr>
      </w:pPr>
      <w:r w:rsidRPr="00456B23">
        <w:rPr>
          <w:szCs w:val="22"/>
          <w:lang w:val="sr-Latn-ME"/>
        </w:rPr>
        <w:t>Za sada nema naznaka da prednizon utiče na sposobnost upravljanja vozilima i rada na mašinama.</w:t>
      </w:r>
    </w:p>
    <w:p w14:paraId="22B09697" w14:textId="77777777" w:rsidR="00054D7D" w:rsidRPr="00456B23" w:rsidRDefault="00054D7D">
      <w:pPr>
        <w:rPr>
          <w:color w:val="000000"/>
          <w:szCs w:val="22"/>
          <w:lang w:val="sr-Latn-ME"/>
        </w:rPr>
      </w:pPr>
    </w:p>
    <w:p w14:paraId="6B8DF180" w14:textId="77777777" w:rsidR="00054D7D" w:rsidRPr="00456B23" w:rsidRDefault="00054D7D" w:rsidP="00DC7309">
      <w:pPr>
        <w:pStyle w:val="Heading2"/>
        <w:numPr>
          <w:ilvl w:val="1"/>
          <w:numId w:val="21"/>
        </w:numPr>
        <w:spacing w:before="0" w:after="0"/>
        <w:rPr>
          <w:szCs w:val="22"/>
          <w:lang w:val="sr-Latn-ME"/>
        </w:rPr>
      </w:pPr>
      <w:r w:rsidRPr="00456B23">
        <w:rPr>
          <w:color w:val="000000"/>
          <w:szCs w:val="22"/>
          <w:lang w:val="sr-Latn-ME"/>
        </w:rPr>
        <w:t xml:space="preserve"> </w:t>
      </w:r>
      <w:r w:rsidRPr="00456B23">
        <w:rPr>
          <w:szCs w:val="22"/>
          <w:lang w:val="sr-Latn-ME"/>
        </w:rPr>
        <w:t>Neželjena dejstva</w:t>
      </w:r>
    </w:p>
    <w:p w14:paraId="3F76A2C0" w14:textId="77777777" w:rsidR="003D6377" w:rsidRPr="00456B23" w:rsidRDefault="003D6377" w:rsidP="00DC7309">
      <w:pPr>
        <w:rPr>
          <w:szCs w:val="22"/>
          <w:lang w:val="sr-Latn-ME"/>
        </w:rPr>
      </w:pPr>
    </w:p>
    <w:p w14:paraId="454E8547" w14:textId="77777777" w:rsidR="00054D7D" w:rsidRPr="00456B23" w:rsidRDefault="00093709">
      <w:pPr>
        <w:autoSpaceDE w:val="0"/>
        <w:autoSpaceDN w:val="0"/>
        <w:adjustRightInd w:val="0"/>
        <w:rPr>
          <w:szCs w:val="22"/>
          <w:lang w:val="sr-Latn-ME"/>
        </w:rPr>
      </w:pPr>
      <w:r w:rsidRPr="00456B23">
        <w:rPr>
          <w:b/>
          <w:bCs/>
          <w:szCs w:val="22"/>
          <w:lang w:val="sr-Latn-ME"/>
        </w:rPr>
        <w:t>Hormonsko dopunsko</w:t>
      </w:r>
      <w:r w:rsidR="00054D7D" w:rsidRPr="00456B23">
        <w:rPr>
          <w:b/>
          <w:bCs/>
          <w:szCs w:val="22"/>
          <w:lang w:val="sr-Latn-ME"/>
        </w:rPr>
        <w:t xml:space="preserve"> liječenje </w:t>
      </w:r>
    </w:p>
    <w:p w14:paraId="705BD35A" w14:textId="77777777" w:rsidR="00054D7D" w:rsidRPr="00456B23" w:rsidRDefault="00054D7D">
      <w:pPr>
        <w:autoSpaceDE w:val="0"/>
        <w:autoSpaceDN w:val="0"/>
        <w:adjustRightInd w:val="0"/>
        <w:rPr>
          <w:szCs w:val="22"/>
          <w:lang w:val="sr-Latn-ME"/>
        </w:rPr>
      </w:pPr>
      <w:r w:rsidRPr="00456B23">
        <w:rPr>
          <w:szCs w:val="22"/>
          <w:lang w:val="sr-Latn-ME"/>
        </w:rPr>
        <w:t xml:space="preserve">Ako se poštuju preporučene doze, rizik od neželjenih dejstava je nizak. </w:t>
      </w:r>
    </w:p>
    <w:p w14:paraId="0DC80661" w14:textId="77777777" w:rsidR="00054D7D" w:rsidRPr="00456B23" w:rsidRDefault="00054D7D">
      <w:pPr>
        <w:autoSpaceDE w:val="0"/>
        <w:autoSpaceDN w:val="0"/>
        <w:adjustRightInd w:val="0"/>
        <w:rPr>
          <w:szCs w:val="22"/>
          <w:lang w:val="sr-Latn-ME"/>
        </w:rPr>
      </w:pPr>
    </w:p>
    <w:p w14:paraId="4DA97341" w14:textId="77777777" w:rsidR="00054D7D" w:rsidRPr="00456B23" w:rsidRDefault="00054D7D">
      <w:pPr>
        <w:autoSpaceDE w:val="0"/>
        <w:autoSpaceDN w:val="0"/>
        <w:adjustRightInd w:val="0"/>
        <w:rPr>
          <w:szCs w:val="22"/>
          <w:lang w:val="sr-Latn-ME"/>
        </w:rPr>
      </w:pPr>
      <w:r w:rsidRPr="00456B23">
        <w:rPr>
          <w:b/>
          <w:bCs/>
          <w:szCs w:val="22"/>
          <w:lang w:val="sr-Latn-ME"/>
        </w:rPr>
        <w:t>Farmakološko liječenje</w:t>
      </w:r>
    </w:p>
    <w:p w14:paraId="78B77168" w14:textId="29D8E096" w:rsidR="00054D7D" w:rsidRPr="00456B23" w:rsidRDefault="00054D7D">
      <w:pPr>
        <w:autoSpaceDE w:val="0"/>
        <w:autoSpaceDN w:val="0"/>
        <w:adjustRightInd w:val="0"/>
        <w:rPr>
          <w:szCs w:val="22"/>
          <w:lang w:val="sr-Latn-ME"/>
        </w:rPr>
      </w:pPr>
      <w:r w:rsidRPr="00456B23">
        <w:rPr>
          <w:szCs w:val="22"/>
          <w:lang w:val="sr-Latn-ME"/>
        </w:rPr>
        <w:t>Mogu se pojaviti sljedeća neželjena</w:t>
      </w:r>
      <w:r w:rsidR="00093709" w:rsidRPr="00456B23">
        <w:rPr>
          <w:szCs w:val="22"/>
          <w:lang w:val="sr-Latn-ME"/>
        </w:rPr>
        <w:t xml:space="preserve"> dejstva, </w:t>
      </w:r>
      <w:r w:rsidR="005177D9" w:rsidRPr="00456B23">
        <w:rPr>
          <w:szCs w:val="22"/>
          <w:lang w:val="sr-Latn-ME"/>
        </w:rPr>
        <w:t>strogo</w:t>
      </w:r>
      <w:r w:rsidR="00093709" w:rsidRPr="00456B23">
        <w:rPr>
          <w:szCs w:val="22"/>
          <w:lang w:val="sr-Latn-ME"/>
        </w:rPr>
        <w:t xml:space="preserve"> za</w:t>
      </w:r>
      <w:r w:rsidRPr="00456B23">
        <w:rPr>
          <w:szCs w:val="22"/>
          <w:lang w:val="sr-Latn-ME"/>
        </w:rPr>
        <w:t>vise o</w:t>
      </w:r>
      <w:r w:rsidR="00093709" w:rsidRPr="00456B23">
        <w:rPr>
          <w:szCs w:val="22"/>
          <w:lang w:val="sr-Latn-ME"/>
        </w:rPr>
        <w:t>d doze i trajanja</w:t>
      </w:r>
      <w:r w:rsidRPr="00456B23">
        <w:rPr>
          <w:szCs w:val="22"/>
          <w:lang w:val="sr-Latn-ME"/>
        </w:rPr>
        <w:t xml:space="preserve"> terapije. Zbog toga se učestalost njihovog javljanja ne može navesti</w:t>
      </w:r>
      <w:r w:rsidR="00E6566F" w:rsidRPr="00456B23">
        <w:rPr>
          <w:szCs w:val="22"/>
          <w:lang w:val="sr-Latn-ME"/>
        </w:rPr>
        <w:t>.</w:t>
      </w:r>
      <w:r w:rsidRPr="00456B23">
        <w:rPr>
          <w:szCs w:val="22"/>
          <w:lang w:val="sr-Latn-ME"/>
        </w:rPr>
        <w:t xml:space="preserve"> </w:t>
      </w:r>
    </w:p>
    <w:p w14:paraId="30869918" w14:textId="77777777" w:rsidR="00054D7D" w:rsidRPr="00456B23" w:rsidRDefault="00054D7D">
      <w:pPr>
        <w:autoSpaceDE w:val="0"/>
        <w:autoSpaceDN w:val="0"/>
        <w:adjustRightInd w:val="0"/>
        <w:rPr>
          <w:szCs w:val="22"/>
          <w:u w:val="single"/>
          <w:lang w:val="sr-Latn-ME"/>
        </w:rPr>
      </w:pPr>
    </w:p>
    <w:p w14:paraId="36AC005E" w14:textId="77777777" w:rsidR="00054D7D" w:rsidRPr="00456B23" w:rsidRDefault="00054D7D">
      <w:pPr>
        <w:autoSpaceDE w:val="0"/>
        <w:autoSpaceDN w:val="0"/>
        <w:adjustRightInd w:val="0"/>
        <w:rPr>
          <w:szCs w:val="22"/>
          <w:lang w:val="sr-Latn-ME"/>
        </w:rPr>
      </w:pPr>
      <w:r w:rsidRPr="00456B23">
        <w:rPr>
          <w:szCs w:val="22"/>
          <w:u w:val="single"/>
          <w:lang w:val="sr-Latn-ME"/>
        </w:rPr>
        <w:t xml:space="preserve">Infekcije i infestacije </w:t>
      </w:r>
    </w:p>
    <w:p w14:paraId="7F96D708" w14:textId="77777777" w:rsidR="00054D7D" w:rsidRPr="00456B23" w:rsidRDefault="00054D7D">
      <w:pPr>
        <w:autoSpaceDE w:val="0"/>
        <w:autoSpaceDN w:val="0"/>
        <w:adjustRightInd w:val="0"/>
        <w:rPr>
          <w:szCs w:val="22"/>
          <w:lang w:val="sr-Latn-ME"/>
        </w:rPr>
      </w:pPr>
      <w:r w:rsidRPr="00456B23">
        <w:rPr>
          <w:szCs w:val="22"/>
          <w:lang w:val="sr-Latn-ME"/>
        </w:rPr>
        <w:t xml:space="preserve">Prikrivenost znakova infekcije, manifestacija, egzacerbacija ili reaktivacija virusnih, gljivičnih, bakterijskih, parazitarnih i oportunističkih infekcija, aktivacija strongiloidoze (pogledati dio 4.4.). </w:t>
      </w:r>
    </w:p>
    <w:p w14:paraId="58C459A5" w14:textId="77777777" w:rsidR="00054D7D" w:rsidRPr="00456B23" w:rsidRDefault="00054D7D">
      <w:pPr>
        <w:autoSpaceDE w:val="0"/>
        <w:autoSpaceDN w:val="0"/>
        <w:adjustRightInd w:val="0"/>
        <w:rPr>
          <w:szCs w:val="22"/>
          <w:lang w:val="sr-Latn-ME"/>
        </w:rPr>
      </w:pPr>
    </w:p>
    <w:p w14:paraId="7FB00600" w14:textId="77777777" w:rsidR="00054D7D" w:rsidRPr="00456B23" w:rsidRDefault="00054D7D">
      <w:pPr>
        <w:autoSpaceDE w:val="0"/>
        <w:autoSpaceDN w:val="0"/>
        <w:adjustRightInd w:val="0"/>
        <w:ind w:right="42"/>
        <w:rPr>
          <w:szCs w:val="22"/>
          <w:lang w:val="sr-Latn-ME"/>
        </w:rPr>
      </w:pPr>
      <w:r w:rsidRPr="00456B23">
        <w:rPr>
          <w:szCs w:val="22"/>
          <w:u w:val="single"/>
          <w:lang w:val="sr-Latn-ME"/>
        </w:rPr>
        <w:t xml:space="preserve">Poremećaji krvi i limfnog sistema </w:t>
      </w:r>
    </w:p>
    <w:p w14:paraId="1EE31FE5" w14:textId="77777777" w:rsidR="00054D7D" w:rsidRPr="00456B23" w:rsidRDefault="00054D7D">
      <w:pPr>
        <w:autoSpaceDE w:val="0"/>
        <w:autoSpaceDN w:val="0"/>
        <w:adjustRightInd w:val="0"/>
        <w:ind w:right="42"/>
        <w:rPr>
          <w:szCs w:val="22"/>
          <w:lang w:val="sr-Latn-ME"/>
        </w:rPr>
      </w:pPr>
      <w:r w:rsidRPr="00456B23">
        <w:rPr>
          <w:szCs w:val="22"/>
          <w:lang w:val="sr-Latn-ME"/>
        </w:rPr>
        <w:t xml:space="preserve">Umjerena leukocitoza, limfopenija, eozinopenija, policitemija. </w:t>
      </w:r>
    </w:p>
    <w:p w14:paraId="0A4B4B44" w14:textId="77777777" w:rsidR="00054D7D" w:rsidRPr="00456B23" w:rsidRDefault="00054D7D">
      <w:pPr>
        <w:autoSpaceDE w:val="0"/>
        <w:autoSpaceDN w:val="0"/>
        <w:adjustRightInd w:val="0"/>
        <w:ind w:right="42"/>
        <w:rPr>
          <w:szCs w:val="22"/>
          <w:lang w:val="sr-Latn-ME"/>
        </w:rPr>
      </w:pPr>
    </w:p>
    <w:p w14:paraId="05933697" w14:textId="77777777" w:rsidR="00054D7D" w:rsidRPr="00456B23" w:rsidRDefault="00054D7D">
      <w:pPr>
        <w:autoSpaceDE w:val="0"/>
        <w:autoSpaceDN w:val="0"/>
        <w:adjustRightInd w:val="0"/>
        <w:rPr>
          <w:szCs w:val="22"/>
          <w:lang w:val="sr-Latn-ME"/>
        </w:rPr>
      </w:pPr>
      <w:r w:rsidRPr="00456B23">
        <w:rPr>
          <w:szCs w:val="22"/>
          <w:u w:val="single"/>
          <w:lang w:val="sr-Latn-ME"/>
        </w:rPr>
        <w:t xml:space="preserve">Poremećaji imunološkog sistema </w:t>
      </w:r>
    </w:p>
    <w:p w14:paraId="7BA1EBE2" w14:textId="77777777" w:rsidR="00054D7D" w:rsidRPr="00456B23" w:rsidRDefault="00054D7D">
      <w:pPr>
        <w:autoSpaceDE w:val="0"/>
        <w:autoSpaceDN w:val="0"/>
        <w:adjustRightInd w:val="0"/>
        <w:rPr>
          <w:szCs w:val="22"/>
          <w:lang w:val="sr-Latn-ME"/>
        </w:rPr>
      </w:pPr>
      <w:r w:rsidRPr="00456B23">
        <w:rPr>
          <w:szCs w:val="22"/>
          <w:lang w:val="sr-Latn-ME"/>
        </w:rPr>
        <w:t xml:space="preserve">Alergijske reakcije (npr. egzantem uzrokovan ljekovima), teške anafilaktičke reakcije poput aritmija, bronhospazma, hipotenzije ili hipertenzije, cirkulatornog kolapsa, zastoja u radu srca, oslabljenog imunološkog sistema. </w:t>
      </w:r>
    </w:p>
    <w:p w14:paraId="0DE343AD" w14:textId="77777777" w:rsidR="00054D7D" w:rsidRPr="00456B23" w:rsidRDefault="00054D7D">
      <w:pPr>
        <w:autoSpaceDE w:val="0"/>
        <w:autoSpaceDN w:val="0"/>
        <w:adjustRightInd w:val="0"/>
        <w:rPr>
          <w:szCs w:val="22"/>
          <w:u w:val="single"/>
          <w:lang w:val="sr-Latn-ME"/>
        </w:rPr>
      </w:pPr>
    </w:p>
    <w:p w14:paraId="09814D72" w14:textId="77777777" w:rsidR="00456B23" w:rsidRDefault="00456B23">
      <w:pPr>
        <w:autoSpaceDE w:val="0"/>
        <w:autoSpaceDN w:val="0"/>
        <w:adjustRightInd w:val="0"/>
        <w:rPr>
          <w:szCs w:val="22"/>
          <w:u w:val="single"/>
          <w:lang w:val="sr-Latn-ME"/>
        </w:rPr>
      </w:pPr>
    </w:p>
    <w:p w14:paraId="62A80003" w14:textId="4C5F926D" w:rsidR="00054D7D" w:rsidRPr="00456B23" w:rsidRDefault="00054D7D">
      <w:pPr>
        <w:autoSpaceDE w:val="0"/>
        <w:autoSpaceDN w:val="0"/>
        <w:adjustRightInd w:val="0"/>
        <w:rPr>
          <w:szCs w:val="22"/>
          <w:lang w:val="sr-Latn-ME"/>
        </w:rPr>
      </w:pPr>
      <w:r w:rsidRPr="00456B23">
        <w:rPr>
          <w:szCs w:val="22"/>
          <w:u w:val="single"/>
          <w:lang w:val="sr-Latn-ME"/>
        </w:rPr>
        <w:lastRenderedPageBreak/>
        <w:t xml:space="preserve">Endokrini poremećaji </w:t>
      </w:r>
    </w:p>
    <w:p w14:paraId="62156DD2" w14:textId="77777777" w:rsidR="00054D7D" w:rsidRPr="00456B23" w:rsidRDefault="00054D7D">
      <w:pPr>
        <w:autoSpaceDE w:val="0"/>
        <w:autoSpaceDN w:val="0"/>
        <w:adjustRightInd w:val="0"/>
        <w:rPr>
          <w:szCs w:val="22"/>
          <w:lang w:val="sr-Latn-ME"/>
        </w:rPr>
      </w:pPr>
      <w:r w:rsidRPr="00456B23">
        <w:rPr>
          <w:szCs w:val="22"/>
          <w:lang w:val="sr-Latn-ME"/>
        </w:rPr>
        <w:t xml:space="preserve">Adrenalna supresija i indukcija Cushingovog sindroma (tipični simptomi: lice poput mjeseca, prekomjerna debljina trupa i pletora). </w:t>
      </w:r>
    </w:p>
    <w:p w14:paraId="6B22FF5B" w14:textId="77777777" w:rsidR="00054D7D" w:rsidRPr="00456B23" w:rsidRDefault="00054D7D">
      <w:pPr>
        <w:autoSpaceDE w:val="0"/>
        <w:autoSpaceDN w:val="0"/>
        <w:adjustRightInd w:val="0"/>
        <w:rPr>
          <w:szCs w:val="22"/>
          <w:lang w:val="sr-Latn-ME"/>
        </w:rPr>
      </w:pPr>
    </w:p>
    <w:p w14:paraId="38AB3FBE" w14:textId="48C4DEF8" w:rsidR="00054D7D" w:rsidRPr="00456B23" w:rsidRDefault="00054D7D">
      <w:pPr>
        <w:autoSpaceDE w:val="0"/>
        <w:autoSpaceDN w:val="0"/>
        <w:adjustRightInd w:val="0"/>
        <w:rPr>
          <w:szCs w:val="22"/>
          <w:lang w:val="sr-Latn-ME"/>
        </w:rPr>
      </w:pPr>
      <w:r w:rsidRPr="00456B23">
        <w:rPr>
          <w:szCs w:val="22"/>
          <w:u w:val="single"/>
          <w:lang w:val="sr-Latn-ME"/>
        </w:rPr>
        <w:t xml:space="preserve">Poremećaji metabolizma i </w:t>
      </w:r>
      <w:r w:rsidR="00E6566F" w:rsidRPr="00456B23">
        <w:rPr>
          <w:szCs w:val="22"/>
          <w:u w:val="single"/>
          <w:lang w:val="sr-Latn-ME"/>
        </w:rPr>
        <w:t>ishrane</w:t>
      </w:r>
      <w:r w:rsidRPr="00456B23">
        <w:rPr>
          <w:szCs w:val="22"/>
          <w:u w:val="single"/>
          <w:lang w:val="sr-Latn-ME"/>
        </w:rPr>
        <w:t xml:space="preserve"> </w:t>
      </w:r>
    </w:p>
    <w:p w14:paraId="1CB93544" w14:textId="68088CCC" w:rsidR="00054D7D" w:rsidRPr="00456B23" w:rsidRDefault="00054D7D">
      <w:pPr>
        <w:autoSpaceDE w:val="0"/>
        <w:autoSpaceDN w:val="0"/>
        <w:adjustRightInd w:val="0"/>
        <w:rPr>
          <w:szCs w:val="22"/>
          <w:lang w:val="sr-Latn-ME"/>
        </w:rPr>
      </w:pPr>
      <w:r w:rsidRPr="00456B23">
        <w:rPr>
          <w:szCs w:val="22"/>
          <w:lang w:val="sr-Latn-ME"/>
        </w:rPr>
        <w:t>Retencija natrijuma s pojavom edema, povećano izlučivanje kalijuma (pažnja: moguća je pojava aritmija), dobi</w:t>
      </w:r>
      <w:r w:rsidR="00E6566F" w:rsidRPr="00456B23">
        <w:rPr>
          <w:szCs w:val="22"/>
          <w:lang w:val="sr-Latn-ME"/>
        </w:rPr>
        <w:t>j</w:t>
      </w:r>
      <w:r w:rsidRPr="00456B23">
        <w:rPr>
          <w:szCs w:val="22"/>
          <w:lang w:val="sr-Latn-ME"/>
        </w:rPr>
        <w:t xml:space="preserve">anje na težini, smanjena tolerancija glukoze, šećerna bolest, hiperholesterolemija i hipertrigliceridemija. Pojačan apetit. </w:t>
      </w:r>
    </w:p>
    <w:p w14:paraId="083D31FF" w14:textId="77777777" w:rsidR="00054D7D" w:rsidRPr="00456B23" w:rsidRDefault="00054D7D">
      <w:pPr>
        <w:autoSpaceDE w:val="0"/>
        <w:autoSpaceDN w:val="0"/>
        <w:adjustRightInd w:val="0"/>
        <w:rPr>
          <w:szCs w:val="22"/>
          <w:lang w:val="sr-Latn-ME"/>
        </w:rPr>
      </w:pPr>
    </w:p>
    <w:p w14:paraId="2EB3B145" w14:textId="77777777" w:rsidR="00054D7D" w:rsidRPr="00456B23" w:rsidRDefault="00054D7D">
      <w:pPr>
        <w:autoSpaceDE w:val="0"/>
        <w:autoSpaceDN w:val="0"/>
        <w:adjustRightInd w:val="0"/>
        <w:ind w:right="42"/>
        <w:rPr>
          <w:szCs w:val="22"/>
          <w:lang w:val="sr-Latn-ME"/>
        </w:rPr>
      </w:pPr>
      <w:r w:rsidRPr="00456B23">
        <w:rPr>
          <w:szCs w:val="22"/>
          <w:u w:val="single"/>
          <w:lang w:val="sr-Latn-ME"/>
        </w:rPr>
        <w:t xml:space="preserve">Psihijatrijski poremećaji </w:t>
      </w:r>
    </w:p>
    <w:p w14:paraId="3EA46F4B" w14:textId="77777777" w:rsidR="00054D7D" w:rsidRPr="00456B23" w:rsidRDefault="00054D7D">
      <w:pPr>
        <w:autoSpaceDE w:val="0"/>
        <w:autoSpaceDN w:val="0"/>
        <w:adjustRightInd w:val="0"/>
        <w:ind w:right="42"/>
        <w:rPr>
          <w:szCs w:val="22"/>
          <w:lang w:val="sr-Latn-ME"/>
        </w:rPr>
      </w:pPr>
      <w:r w:rsidRPr="00456B23">
        <w:rPr>
          <w:szCs w:val="22"/>
          <w:lang w:val="sr-Latn-ME"/>
        </w:rPr>
        <w:t xml:space="preserve">Depresija, razdražljivost, euforija, povećan nagon, psihoze, manija, halucinacije, emotivna labilnost, osjećaj straha, poremećaji spavanja, suicidalnost. </w:t>
      </w:r>
    </w:p>
    <w:p w14:paraId="454E782C" w14:textId="77777777" w:rsidR="00054D7D" w:rsidRPr="00456B23" w:rsidRDefault="00054D7D">
      <w:pPr>
        <w:autoSpaceDE w:val="0"/>
        <w:autoSpaceDN w:val="0"/>
        <w:adjustRightInd w:val="0"/>
        <w:ind w:right="42"/>
        <w:rPr>
          <w:szCs w:val="22"/>
          <w:lang w:val="sr-Latn-ME"/>
        </w:rPr>
      </w:pPr>
    </w:p>
    <w:p w14:paraId="6E650759" w14:textId="77777777" w:rsidR="00054D7D" w:rsidRPr="00456B23" w:rsidRDefault="00054D7D">
      <w:pPr>
        <w:autoSpaceDE w:val="0"/>
        <w:autoSpaceDN w:val="0"/>
        <w:adjustRightInd w:val="0"/>
        <w:rPr>
          <w:szCs w:val="22"/>
          <w:lang w:val="sr-Latn-ME"/>
        </w:rPr>
      </w:pPr>
      <w:r w:rsidRPr="00456B23">
        <w:rPr>
          <w:szCs w:val="22"/>
          <w:u w:val="single"/>
          <w:lang w:val="sr-Latn-ME"/>
        </w:rPr>
        <w:t xml:space="preserve">Poremećaji nervnog sistema </w:t>
      </w:r>
    </w:p>
    <w:p w14:paraId="34D7D998" w14:textId="77777777" w:rsidR="00054D7D" w:rsidRPr="00456B23" w:rsidRDefault="00054D7D">
      <w:pPr>
        <w:autoSpaceDE w:val="0"/>
        <w:autoSpaceDN w:val="0"/>
        <w:adjustRightInd w:val="0"/>
        <w:rPr>
          <w:szCs w:val="22"/>
          <w:lang w:val="sr-Latn-ME"/>
        </w:rPr>
      </w:pPr>
      <w:r w:rsidRPr="00456B23">
        <w:rPr>
          <w:i/>
          <w:iCs/>
          <w:szCs w:val="22"/>
          <w:lang w:val="sr-Latn-ME"/>
        </w:rPr>
        <w:t xml:space="preserve">Pseudotumor cerebri, </w:t>
      </w:r>
      <w:r w:rsidRPr="00456B23">
        <w:rPr>
          <w:szCs w:val="22"/>
          <w:lang w:val="sr-Latn-ME"/>
        </w:rPr>
        <w:t>manifestacija latentne epilepsije, povećana sklonost pojavi napada kod pacijenata s manifestiranom epilepsijom.</w:t>
      </w:r>
    </w:p>
    <w:p w14:paraId="57C36439" w14:textId="77777777" w:rsidR="00054D7D" w:rsidRPr="00456B23" w:rsidRDefault="00054D7D">
      <w:pPr>
        <w:autoSpaceDE w:val="0"/>
        <w:autoSpaceDN w:val="0"/>
        <w:adjustRightInd w:val="0"/>
        <w:rPr>
          <w:szCs w:val="22"/>
          <w:lang w:val="sr-Latn-ME"/>
        </w:rPr>
      </w:pPr>
    </w:p>
    <w:p w14:paraId="672FDFAC" w14:textId="77777777" w:rsidR="00054D7D" w:rsidRPr="00456B23" w:rsidRDefault="00054D7D">
      <w:pPr>
        <w:autoSpaceDE w:val="0"/>
        <w:autoSpaceDN w:val="0"/>
        <w:adjustRightInd w:val="0"/>
        <w:ind w:right="42"/>
        <w:rPr>
          <w:szCs w:val="22"/>
          <w:lang w:val="sr-Latn-ME"/>
        </w:rPr>
      </w:pPr>
      <w:r w:rsidRPr="00456B23">
        <w:rPr>
          <w:szCs w:val="22"/>
          <w:u w:val="single"/>
          <w:lang w:val="sr-Latn-ME"/>
        </w:rPr>
        <w:t xml:space="preserve">Poremećaji oka </w:t>
      </w:r>
    </w:p>
    <w:p w14:paraId="32A4B1B6" w14:textId="7D067F1F" w:rsidR="00054D7D" w:rsidRPr="00456B23" w:rsidRDefault="00054D7D">
      <w:pPr>
        <w:autoSpaceDE w:val="0"/>
        <w:autoSpaceDN w:val="0"/>
        <w:adjustRightInd w:val="0"/>
        <w:rPr>
          <w:szCs w:val="22"/>
          <w:lang w:val="sr-Latn-ME"/>
        </w:rPr>
      </w:pPr>
      <w:r w:rsidRPr="00456B23">
        <w:rPr>
          <w:szCs w:val="22"/>
          <w:lang w:val="sr-Latn-ME"/>
        </w:rPr>
        <w:t xml:space="preserve">Katarakta (posebno sa </w:t>
      </w:r>
      <w:r w:rsidR="00001524" w:rsidRPr="00456B23">
        <w:rPr>
          <w:szCs w:val="22"/>
          <w:lang w:val="sr-Latn-ME"/>
        </w:rPr>
        <w:t>zadnjim</w:t>
      </w:r>
      <w:r w:rsidRPr="00456B23">
        <w:rPr>
          <w:szCs w:val="22"/>
          <w:lang w:val="sr-Latn-ME"/>
        </w:rPr>
        <w:t xml:space="preserve"> subkapsularnim zamućenjem), glaukom, pogoršanje simptoma kornealnog ulkusa, napredovanje virusnih, gljivičnih i bakterijskih infekcija oka, zamagljen vid (pogledati takođe dio 4.4.).</w:t>
      </w:r>
    </w:p>
    <w:p w14:paraId="73425FFE" w14:textId="77777777" w:rsidR="00054D7D" w:rsidRPr="00456B23" w:rsidRDefault="00054D7D">
      <w:pPr>
        <w:autoSpaceDE w:val="0"/>
        <w:autoSpaceDN w:val="0"/>
        <w:adjustRightInd w:val="0"/>
        <w:ind w:right="42"/>
        <w:rPr>
          <w:szCs w:val="22"/>
          <w:u w:val="single"/>
          <w:lang w:val="sr-Latn-ME"/>
        </w:rPr>
      </w:pPr>
    </w:p>
    <w:p w14:paraId="54697B0C" w14:textId="77777777" w:rsidR="00054D7D" w:rsidRPr="00456B23" w:rsidRDefault="00054D7D">
      <w:pPr>
        <w:autoSpaceDE w:val="0"/>
        <w:autoSpaceDN w:val="0"/>
        <w:adjustRightInd w:val="0"/>
        <w:ind w:right="42"/>
        <w:rPr>
          <w:szCs w:val="22"/>
          <w:lang w:val="sr-Latn-ME"/>
        </w:rPr>
      </w:pPr>
      <w:r w:rsidRPr="00456B23">
        <w:rPr>
          <w:szCs w:val="22"/>
          <w:u w:val="single"/>
          <w:lang w:val="sr-Latn-ME"/>
        </w:rPr>
        <w:t xml:space="preserve">Vaskularni poremećaji </w:t>
      </w:r>
    </w:p>
    <w:p w14:paraId="6DA26B3A" w14:textId="1488BE62" w:rsidR="00054D7D" w:rsidRPr="00456B23" w:rsidRDefault="00054D7D">
      <w:pPr>
        <w:autoSpaceDE w:val="0"/>
        <w:autoSpaceDN w:val="0"/>
        <w:adjustRightInd w:val="0"/>
        <w:ind w:right="42"/>
        <w:rPr>
          <w:szCs w:val="22"/>
          <w:lang w:val="sr-Latn-ME"/>
        </w:rPr>
      </w:pPr>
      <w:r w:rsidRPr="00456B23">
        <w:rPr>
          <w:szCs w:val="22"/>
          <w:lang w:val="sr-Latn-ME"/>
        </w:rPr>
        <w:t xml:space="preserve">Hipertenzija, povećan rizik od tromboze i ateroskleroze, vaskulitis (takođe i kod sindroma apstinencije nakon prekida dugotrajnog liječenja), povećana krhkost kapilara. </w:t>
      </w:r>
    </w:p>
    <w:p w14:paraId="0AF8712E" w14:textId="77777777" w:rsidR="00054D7D" w:rsidRPr="00456B23" w:rsidRDefault="00054D7D">
      <w:pPr>
        <w:autoSpaceDE w:val="0"/>
        <w:autoSpaceDN w:val="0"/>
        <w:adjustRightInd w:val="0"/>
        <w:ind w:right="42"/>
        <w:rPr>
          <w:szCs w:val="22"/>
          <w:lang w:val="sr-Latn-ME"/>
        </w:rPr>
      </w:pPr>
    </w:p>
    <w:p w14:paraId="781AB4C5" w14:textId="77777777" w:rsidR="00054D7D" w:rsidRPr="00456B23" w:rsidRDefault="00054D7D">
      <w:pPr>
        <w:autoSpaceDE w:val="0"/>
        <w:autoSpaceDN w:val="0"/>
        <w:adjustRightInd w:val="0"/>
        <w:ind w:right="42"/>
        <w:rPr>
          <w:szCs w:val="22"/>
          <w:u w:val="single"/>
          <w:lang w:val="sr-Latn-ME"/>
        </w:rPr>
      </w:pPr>
      <w:r w:rsidRPr="00456B23">
        <w:rPr>
          <w:szCs w:val="22"/>
          <w:u w:val="single"/>
          <w:lang w:val="sr-Latn-ME"/>
        </w:rPr>
        <w:t>Kardiološki poremećaji</w:t>
      </w:r>
    </w:p>
    <w:p w14:paraId="3395D936" w14:textId="77777777" w:rsidR="00054D7D" w:rsidRPr="00456B23" w:rsidRDefault="00054D7D">
      <w:pPr>
        <w:autoSpaceDE w:val="0"/>
        <w:autoSpaceDN w:val="0"/>
        <w:adjustRightInd w:val="0"/>
        <w:ind w:right="42"/>
        <w:rPr>
          <w:szCs w:val="22"/>
          <w:lang w:val="sr-Latn-ME"/>
        </w:rPr>
      </w:pPr>
      <w:r w:rsidRPr="00456B23">
        <w:rPr>
          <w:szCs w:val="22"/>
          <w:lang w:val="sr-Latn-ME"/>
        </w:rPr>
        <w:t>Nepoznata učestalost: bradikardija*.</w:t>
      </w:r>
    </w:p>
    <w:p w14:paraId="16BAB8F9" w14:textId="77777777" w:rsidR="00054D7D" w:rsidRPr="00456B23" w:rsidRDefault="00054D7D">
      <w:pPr>
        <w:autoSpaceDE w:val="0"/>
        <w:autoSpaceDN w:val="0"/>
        <w:adjustRightInd w:val="0"/>
        <w:ind w:right="42"/>
        <w:rPr>
          <w:szCs w:val="22"/>
          <w:lang w:val="sr-Latn-ME"/>
        </w:rPr>
      </w:pPr>
      <w:r w:rsidRPr="00456B23">
        <w:rPr>
          <w:szCs w:val="22"/>
          <w:lang w:val="sr-Latn-ME"/>
        </w:rPr>
        <w:t>*Nakon primjene visokih doza</w:t>
      </w:r>
    </w:p>
    <w:p w14:paraId="1456DF75" w14:textId="77777777" w:rsidR="00054D7D" w:rsidRPr="00456B23" w:rsidRDefault="00054D7D">
      <w:pPr>
        <w:autoSpaceDE w:val="0"/>
        <w:autoSpaceDN w:val="0"/>
        <w:adjustRightInd w:val="0"/>
        <w:ind w:right="42"/>
        <w:rPr>
          <w:szCs w:val="22"/>
          <w:u w:val="single"/>
          <w:lang w:val="sr-Latn-ME"/>
        </w:rPr>
      </w:pPr>
    </w:p>
    <w:p w14:paraId="63C74B6A" w14:textId="77777777" w:rsidR="00054D7D" w:rsidRPr="00456B23" w:rsidRDefault="00054D7D">
      <w:pPr>
        <w:autoSpaceDE w:val="0"/>
        <w:autoSpaceDN w:val="0"/>
        <w:adjustRightInd w:val="0"/>
        <w:ind w:right="42"/>
        <w:rPr>
          <w:szCs w:val="22"/>
          <w:lang w:val="sr-Latn-ME"/>
        </w:rPr>
      </w:pPr>
      <w:r w:rsidRPr="00456B23">
        <w:rPr>
          <w:szCs w:val="22"/>
          <w:u w:val="single"/>
          <w:lang w:val="sr-Latn-ME"/>
        </w:rPr>
        <w:t xml:space="preserve">Poremećaji gastrointestinalnog sistema </w:t>
      </w:r>
    </w:p>
    <w:p w14:paraId="6FA51F62" w14:textId="77777777" w:rsidR="00054D7D" w:rsidRPr="00456B23" w:rsidRDefault="00054D7D">
      <w:pPr>
        <w:autoSpaceDE w:val="0"/>
        <w:autoSpaceDN w:val="0"/>
        <w:adjustRightInd w:val="0"/>
        <w:rPr>
          <w:szCs w:val="22"/>
          <w:lang w:val="sr-Latn-ME"/>
        </w:rPr>
      </w:pPr>
      <w:r w:rsidRPr="00456B23">
        <w:rPr>
          <w:szCs w:val="22"/>
          <w:lang w:val="sr-Latn-ME"/>
        </w:rPr>
        <w:t xml:space="preserve">Peptički ulkus, gastrointestinalno krvarenje, pankreatitis. </w:t>
      </w:r>
    </w:p>
    <w:p w14:paraId="2CB1F8CD" w14:textId="77777777" w:rsidR="00054D7D" w:rsidRPr="00456B23" w:rsidRDefault="00054D7D">
      <w:pPr>
        <w:autoSpaceDE w:val="0"/>
        <w:autoSpaceDN w:val="0"/>
        <w:adjustRightInd w:val="0"/>
        <w:ind w:right="42"/>
        <w:rPr>
          <w:szCs w:val="22"/>
          <w:u w:val="single"/>
          <w:lang w:val="sr-Latn-ME"/>
        </w:rPr>
      </w:pPr>
    </w:p>
    <w:p w14:paraId="42A2903D" w14:textId="77777777" w:rsidR="00054D7D" w:rsidRPr="00456B23" w:rsidRDefault="00054D7D">
      <w:pPr>
        <w:autoSpaceDE w:val="0"/>
        <w:autoSpaceDN w:val="0"/>
        <w:adjustRightInd w:val="0"/>
        <w:ind w:right="42"/>
        <w:rPr>
          <w:szCs w:val="22"/>
          <w:lang w:val="sr-Latn-ME"/>
        </w:rPr>
      </w:pPr>
      <w:r w:rsidRPr="00456B23">
        <w:rPr>
          <w:szCs w:val="22"/>
          <w:u w:val="single"/>
          <w:lang w:val="sr-Latn-ME"/>
        </w:rPr>
        <w:t xml:space="preserve">Poremećaji kože i potkožnog tkiva </w:t>
      </w:r>
    </w:p>
    <w:p w14:paraId="71843DBD" w14:textId="66D814CC" w:rsidR="00054D7D" w:rsidRPr="00456B23" w:rsidRDefault="00054D7D">
      <w:pPr>
        <w:autoSpaceDE w:val="0"/>
        <w:autoSpaceDN w:val="0"/>
        <w:adjustRightInd w:val="0"/>
        <w:ind w:right="42"/>
        <w:rPr>
          <w:szCs w:val="22"/>
          <w:lang w:val="sr-Latn-ME"/>
        </w:rPr>
      </w:pPr>
      <w:r w:rsidRPr="00456B23">
        <w:rPr>
          <w:i/>
          <w:szCs w:val="22"/>
          <w:lang w:val="sr-Latn-ME"/>
        </w:rPr>
        <w:t>Striae rubrae</w:t>
      </w:r>
      <w:r w:rsidR="00001524" w:rsidRPr="00456B23">
        <w:rPr>
          <w:i/>
          <w:szCs w:val="22"/>
          <w:lang w:val="sr-Latn-ME"/>
        </w:rPr>
        <w:t xml:space="preserve"> </w:t>
      </w:r>
      <w:r w:rsidR="00001524" w:rsidRPr="00456B23">
        <w:rPr>
          <w:szCs w:val="22"/>
          <w:lang w:val="sr-Latn-ME"/>
        </w:rPr>
        <w:t>(strije po koži)</w:t>
      </w:r>
      <w:r w:rsidRPr="00456B23">
        <w:rPr>
          <w:szCs w:val="22"/>
          <w:lang w:val="sr-Latn-ME"/>
        </w:rPr>
        <w:t xml:space="preserve">, atrofija kože, telangiektazije, petehije, ekhimoze, hipertrihoza, steroidne akne, perioralni dermatitis, promjene u pigmentaciji kože. </w:t>
      </w:r>
    </w:p>
    <w:p w14:paraId="794163BB" w14:textId="77777777" w:rsidR="00054D7D" w:rsidRPr="00456B23" w:rsidRDefault="00054D7D">
      <w:pPr>
        <w:autoSpaceDE w:val="0"/>
        <w:autoSpaceDN w:val="0"/>
        <w:adjustRightInd w:val="0"/>
        <w:ind w:right="42"/>
        <w:rPr>
          <w:szCs w:val="22"/>
          <w:lang w:val="sr-Latn-ME"/>
        </w:rPr>
      </w:pPr>
    </w:p>
    <w:p w14:paraId="5C9C08AC" w14:textId="77777777" w:rsidR="00054D7D" w:rsidRPr="00456B23" w:rsidRDefault="00054D7D">
      <w:pPr>
        <w:autoSpaceDE w:val="0"/>
        <w:autoSpaceDN w:val="0"/>
        <w:adjustRightInd w:val="0"/>
        <w:ind w:right="42"/>
        <w:rPr>
          <w:szCs w:val="22"/>
          <w:lang w:val="sr-Latn-ME"/>
        </w:rPr>
      </w:pPr>
      <w:r w:rsidRPr="00456B23">
        <w:rPr>
          <w:szCs w:val="22"/>
          <w:u w:val="single"/>
          <w:lang w:val="sr-Latn-ME"/>
        </w:rPr>
        <w:t xml:space="preserve">Poremećaji mišićno-koštanog sistema i vezivnog tkiva </w:t>
      </w:r>
    </w:p>
    <w:p w14:paraId="6905A58B" w14:textId="1C847EA0" w:rsidR="00054D7D" w:rsidRPr="00456B23" w:rsidRDefault="00054D7D">
      <w:pPr>
        <w:autoSpaceDE w:val="0"/>
        <w:autoSpaceDN w:val="0"/>
        <w:adjustRightInd w:val="0"/>
        <w:ind w:right="42"/>
        <w:rPr>
          <w:szCs w:val="22"/>
          <w:lang w:val="sr-Latn-ME"/>
        </w:rPr>
      </w:pPr>
      <w:r w:rsidRPr="00456B23">
        <w:rPr>
          <w:szCs w:val="22"/>
          <w:lang w:val="sr-Latn-ME"/>
        </w:rPr>
        <w:t>Atrofija i</w:t>
      </w:r>
      <w:r w:rsidR="00001524" w:rsidRPr="00456B23">
        <w:rPr>
          <w:szCs w:val="22"/>
          <w:lang w:val="sr-Latn-ME"/>
        </w:rPr>
        <w:t>li</w:t>
      </w:r>
      <w:r w:rsidRPr="00456B23">
        <w:rPr>
          <w:szCs w:val="22"/>
          <w:lang w:val="sr-Latn-ME"/>
        </w:rPr>
        <w:t xml:space="preserve"> slabost m</w:t>
      </w:r>
      <w:r w:rsidR="00A613A6" w:rsidRPr="00456B23">
        <w:rPr>
          <w:szCs w:val="22"/>
          <w:lang w:val="sr-Latn-ME"/>
        </w:rPr>
        <w:t>išića, miopatija, osteoporoza (za</w:t>
      </w:r>
      <w:r w:rsidRPr="00456B23">
        <w:rPr>
          <w:szCs w:val="22"/>
          <w:lang w:val="sr-Latn-ME"/>
        </w:rPr>
        <w:t>visna o</w:t>
      </w:r>
      <w:r w:rsidR="00A613A6" w:rsidRPr="00456B23">
        <w:rPr>
          <w:szCs w:val="22"/>
          <w:lang w:val="sr-Latn-ME"/>
        </w:rPr>
        <w:t>d doze</w:t>
      </w:r>
      <w:r w:rsidRPr="00456B23">
        <w:rPr>
          <w:szCs w:val="22"/>
          <w:lang w:val="sr-Latn-ME"/>
        </w:rPr>
        <w:t>, moguća je i i kod kratkotrajne primjene), aseptična nekroza kostiju, problemi s tetivama, tendinitis,</w:t>
      </w:r>
      <w:r w:rsidR="00754E17" w:rsidRPr="00456B23">
        <w:rPr>
          <w:szCs w:val="22"/>
          <w:lang w:val="sr-Latn-ME"/>
        </w:rPr>
        <w:t xml:space="preserve"> u individualnim slučajevima</w:t>
      </w:r>
      <w:r w:rsidRPr="00456B23">
        <w:rPr>
          <w:szCs w:val="22"/>
          <w:lang w:val="sr-Latn-ME"/>
        </w:rPr>
        <w:t xml:space="preserve"> rupture tetiva i epiduralna lipomatoza, zaostajanje u rastu kod djece. </w:t>
      </w:r>
    </w:p>
    <w:p w14:paraId="35042E67" w14:textId="77777777" w:rsidR="00054D7D" w:rsidRPr="00456B23" w:rsidRDefault="00054D7D">
      <w:pPr>
        <w:autoSpaceDE w:val="0"/>
        <w:autoSpaceDN w:val="0"/>
        <w:adjustRightInd w:val="0"/>
        <w:ind w:right="42"/>
        <w:rPr>
          <w:szCs w:val="22"/>
          <w:lang w:val="sr-Latn-ME"/>
        </w:rPr>
      </w:pPr>
    </w:p>
    <w:p w14:paraId="7C74EC4C" w14:textId="77777777" w:rsidR="00054D7D" w:rsidRPr="00456B23" w:rsidRDefault="00054D7D">
      <w:pPr>
        <w:autoSpaceDE w:val="0"/>
        <w:autoSpaceDN w:val="0"/>
        <w:adjustRightInd w:val="0"/>
        <w:ind w:right="45"/>
        <w:rPr>
          <w:szCs w:val="22"/>
          <w:lang w:val="sr-Latn-ME"/>
        </w:rPr>
      </w:pPr>
      <w:r w:rsidRPr="00456B23">
        <w:rPr>
          <w:bCs/>
          <w:szCs w:val="22"/>
          <w:lang w:val="sr-Latn-ME"/>
        </w:rPr>
        <w:t>Napomena:</w:t>
      </w:r>
      <w:r w:rsidRPr="00456B23">
        <w:rPr>
          <w:b/>
          <w:bCs/>
          <w:szCs w:val="22"/>
          <w:lang w:val="sr-Latn-ME"/>
        </w:rPr>
        <w:t xml:space="preserve"> </w:t>
      </w:r>
      <w:r w:rsidRPr="00456B23">
        <w:rPr>
          <w:szCs w:val="22"/>
          <w:lang w:val="sr-Latn-ME"/>
        </w:rPr>
        <w:t xml:space="preserve">prebrzo smanjivanje doze nakon dugotrajnog liječenja, može dovesti do tegoba, kao što su bolovi u mišićima i zglobovima. </w:t>
      </w:r>
    </w:p>
    <w:p w14:paraId="2C9A195F" w14:textId="77777777" w:rsidR="00054D7D" w:rsidRPr="00456B23" w:rsidRDefault="00054D7D">
      <w:pPr>
        <w:autoSpaceDE w:val="0"/>
        <w:autoSpaceDN w:val="0"/>
        <w:adjustRightInd w:val="0"/>
        <w:ind w:right="45"/>
        <w:rPr>
          <w:szCs w:val="22"/>
          <w:lang w:val="sr-Latn-ME"/>
        </w:rPr>
      </w:pPr>
    </w:p>
    <w:p w14:paraId="2ECC0B6F" w14:textId="77777777" w:rsidR="00054D7D" w:rsidRPr="00456B23" w:rsidRDefault="00054D7D">
      <w:pPr>
        <w:autoSpaceDE w:val="0"/>
        <w:autoSpaceDN w:val="0"/>
        <w:adjustRightInd w:val="0"/>
        <w:ind w:right="45"/>
        <w:rPr>
          <w:szCs w:val="22"/>
          <w:u w:val="single"/>
          <w:lang w:val="sr-Latn-ME"/>
        </w:rPr>
      </w:pPr>
      <w:r w:rsidRPr="00456B23">
        <w:rPr>
          <w:szCs w:val="22"/>
          <w:u w:val="single"/>
          <w:lang w:val="sr-Latn-ME"/>
        </w:rPr>
        <w:t>Poremećaji bubrega i mokraćnog sistema</w:t>
      </w:r>
    </w:p>
    <w:p w14:paraId="64DF6475" w14:textId="77777777" w:rsidR="00054D7D" w:rsidRPr="00456B23" w:rsidRDefault="00054D7D">
      <w:pPr>
        <w:autoSpaceDE w:val="0"/>
        <w:autoSpaceDN w:val="0"/>
        <w:adjustRightInd w:val="0"/>
        <w:ind w:right="42"/>
        <w:rPr>
          <w:szCs w:val="22"/>
          <w:lang w:val="sr-Latn-ME"/>
        </w:rPr>
      </w:pPr>
      <w:r w:rsidRPr="00456B23">
        <w:rPr>
          <w:szCs w:val="22"/>
          <w:lang w:val="sr-Latn-ME"/>
        </w:rPr>
        <w:t>Renalna kriza povezana sa sklerodermom.</w:t>
      </w:r>
    </w:p>
    <w:p w14:paraId="691DD31D" w14:textId="77777777" w:rsidR="00054D7D" w:rsidRPr="00456B23" w:rsidRDefault="00054D7D">
      <w:pPr>
        <w:autoSpaceDE w:val="0"/>
        <w:autoSpaceDN w:val="0"/>
        <w:adjustRightInd w:val="0"/>
        <w:ind w:right="42"/>
        <w:rPr>
          <w:szCs w:val="22"/>
          <w:lang w:val="sr-Latn-ME"/>
        </w:rPr>
      </w:pPr>
      <w:r w:rsidRPr="00456B23">
        <w:rPr>
          <w:szCs w:val="22"/>
          <w:lang w:val="sr-Latn-ME"/>
        </w:rPr>
        <w:t>Incidenca renalnih kriza povezanih sa sklerodermom varira unutar različitih subpopulacija. Najveći rizik zabilježen je kod pacijenata s difuznom sistemskom sklerozom. Najniži rizik zabilježen je kod pacijenata s ograničenom sistemskom sklerozom (2%) i juvenilnom sistemskom sklerozom (1%).</w:t>
      </w:r>
    </w:p>
    <w:p w14:paraId="3838EDFB" w14:textId="77777777" w:rsidR="00054D7D" w:rsidRPr="00456B23" w:rsidRDefault="00054D7D">
      <w:pPr>
        <w:autoSpaceDE w:val="0"/>
        <w:autoSpaceDN w:val="0"/>
        <w:adjustRightInd w:val="0"/>
        <w:ind w:right="42"/>
        <w:rPr>
          <w:szCs w:val="22"/>
          <w:lang w:val="sr-Latn-ME"/>
        </w:rPr>
      </w:pPr>
    </w:p>
    <w:p w14:paraId="7B0E85FB" w14:textId="77777777" w:rsidR="00054D7D" w:rsidRPr="00456B23" w:rsidRDefault="00054D7D">
      <w:pPr>
        <w:autoSpaceDE w:val="0"/>
        <w:autoSpaceDN w:val="0"/>
        <w:adjustRightInd w:val="0"/>
        <w:ind w:right="42"/>
        <w:rPr>
          <w:szCs w:val="22"/>
          <w:u w:val="single"/>
          <w:lang w:val="sr-Latn-ME"/>
        </w:rPr>
      </w:pPr>
      <w:r w:rsidRPr="00456B23">
        <w:rPr>
          <w:szCs w:val="22"/>
          <w:u w:val="single"/>
          <w:lang w:val="sr-Latn-ME"/>
        </w:rPr>
        <w:lastRenderedPageBreak/>
        <w:t xml:space="preserve">Poremećaji reproduktivnog sistema i dojki </w:t>
      </w:r>
    </w:p>
    <w:p w14:paraId="7736D92E" w14:textId="77777777" w:rsidR="00054D7D" w:rsidRPr="00456B23" w:rsidRDefault="002D789A">
      <w:pPr>
        <w:autoSpaceDE w:val="0"/>
        <w:autoSpaceDN w:val="0"/>
        <w:adjustRightInd w:val="0"/>
        <w:ind w:right="42"/>
        <w:rPr>
          <w:szCs w:val="22"/>
          <w:lang w:val="sr-Latn-ME"/>
        </w:rPr>
      </w:pPr>
      <w:r w:rsidRPr="00456B23">
        <w:rPr>
          <w:szCs w:val="22"/>
          <w:lang w:val="sr-Latn-ME"/>
        </w:rPr>
        <w:t xml:space="preserve">Poremećaji lučenja </w:t>
      </w:r>
      <w:r w:rsidR="00054D7D" w:rsidRPr="00456B23">
        <w:rPr>
          <w:szCs w:val="22"/>
          <w:lang w:val="sr-Latn-ME"/>
        </w:rPr>
        <w:t xml:space="preserve">polnih hormona, što za posljedicu ima amenoreju, hirzutizam, impotenciju. </w:t>
      </w:r>
    </w:p>
    <w:p w14:paraId="0E36A23D" w14:textId="77777777" w:rsidR="00054D7D" w:rsidRPr="00456B23" w:rsidRDefault="00054D7D">
      <w:pPr>
        <w:autoSpaceDE w:val="0"/>
        <w:autoSpaceDN w:val="0"/>
        <w:adjustRightInd w:val="0"/>
        <w:ind w:right="42"/>
        <w:rPr>
          <w:szCs w:val="22"/>
          <w:lang w:val="sr-Latn-ME"/>
        </w:rPr>
      </w:pPr>
    </w:p>
    <w:p w14:paraId="60FAC09F" w14:textId="1A3768F5" w:rsidR="00054D7D" w:rsidRPr="00456B23" w:rsidRDefault="00054D7D">
      <w:pPr>
        <w:autoSpaceDE w:val="0"/>
        <w:autoSpaceDN w:val="0"/>
        <w:adjustRightInd w:val="0"/>
        <w:ind w:right="42"/>
        <w:rPr>
          <w:szCs w:val="22"/>
          <w:lang w:val="sr-Latn-ME"/>
        </w:rPr>
      </w:pPr>
      <w:r w:rsidRPr="00456B23">
        <w:rPr>
          <w:szCs w:val="22"/>
          <w:u w:val="single"/>
          <w:lang w:val="sr-Latn-ME"/>
        </w:rPr>
        <w:t xml:space="preserve">Opšti poremećaji i </w:t>
      </w:r>
      <w:r w:rsidR="00927401" w:rsidRPr="00456B23">
        <w:rPr>
          <w:szCs w:val="22"/>
          <w:u w:val="single"/>
          <w:lang w:val="sr-Latn-ME"/>
        </w:rPr>
        <w:t xml:space="preserve">reakcije </w:t>
      </w:r>
      <w:r w:rsidRPr="00456B23">
        <w:rPr>
          <w:szCs w:val="22"/>
          <w:u w:val="single"/>
          <w:lang w:val="sr-Latn-ME"/>
        </w:rPr>
        <w:t xml:space="preserve">na mjestu primjene </w:t>
      </w:r>
    </w:p>
    <w:p w14:paraId="0EBC7206" w14:textId="77777777" w:rsidR="00054D7D" w:rsidRPr="00456B23" w:rsidRDefault="00054D7D">
      <w:pPr>
        <w:autoSpaceDE w:val="0"/>
        <w:autoSpaceDN w:val="0"/>
        <w:adjustRightInd w:val="0"/>
        <w:rPr>
          <w:szCs w:val="22"/>
          <w:lang w:val="sr-Latn-ME"/>
        </w:rPr>
      </w:pPr>
      <w:r w:rsidRPr="00456B23">
        <w:rPr>
          <w:szCs w:val="22"/>
          <w:lang w:val="sr-Latn-ME"/>
        </w:rPr>
        <w:t>Usporeno zarastanje rana.</w:t>
      </w:r>
    </w:p>
    <w:p w14:paraId="6F946231" w14:textId="77777777" w:rsidR="003D6377" w:rsidRPr="00456B23" w:rsidRDefault="003D6377">
      <w:pPr>
        <w:contextualSpacing/>
        <w:rPr>
          <w:rFonts w:eastAsia="Calibri"/>
          <w:b/>
          <w:szCs w:val="22"/>
          <w:lang w:val="sr-Latn-ME"/>
        </w:rPr>
      </w:pPr>
    </w:p>
    <w:p w14:paraId="2A87F00E" w14:textId="77777777" w:rsidR="00054D7D" w:rsidRPr="00456B23" w:rsidRDefault="00054D7D">
      <w:pPr>
        <w:contextualSpacing/>
        <w:rPr>
          <w:rFonts w:eastAsia="Calibri"/>
          <w:b/>
          <w:szCs w:val="22"/>
          <w:lang w:val="sr-Latn-ME"/>
        </w:rPr>
      </w:pPr>
      <w:r w:rsidRPr="00456B23">
        <w:rPr>
          <w:rFonts w:eastAsia="Calibri"/>
          <w:b/>
          <w:szCs w:val="22"/>
          <w:lang w:val="sr-Latn-ME"/>
        </w:rPr>
        <w:t>Prijavljivanje sumnji na neželjena dejstva</w:t>
      </w:r>
    </w:p>
    <w:p w14:paraId="3C112579" w14:textId="77777777" w:rsidR="00927401" w:rsidRPr="00456B23" w:rsidRDefault="00927401">
      <w:pPr>
        <w:contextualSpacing/>
        <w:rPr>
          <w:rFonts w:eastAsia="Calibri"/>
          <w:b/>
          <w:szCs w:val="22"/>
          <w:lang w:val="sr-Latn-ME"/>
        </w:rPr>
      </w:pPr>
    </w:p>
    <w:p w14:paraId="78D76B5F" w14:textId="77777777" w:rsidR="00054D7D" w:rsidRPr="00456B23" w:rsidRDefault="00054D7D">
      <w:pPr>
        <w:contextualSpacing/>
        <w:rPr>
          <w:rFonts w:eastAsia="Calibri"/>
          <w:b/>
          <w:szCs w:val="22"/>
          <w:lang w:val="sr-Latn-ME"/>
        </w:rPr>
      </w:pPr>
      <w:r w:rsidRPr="00456B23">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B3F023C" w14:textId="77777777" w:rsidR="00054D7D" w:rsidRPr="00456B23" w:rsidRDefault="00054D7D">
      <w:pPr>
        <w:rPr>
          <w:rFonts w:eastAsia="Calibri"/>
          <w:szCs w:val="22"/>
          <w:lang w:val="sr-Latn-ME"/>
        </w:rPr>
      </w:pPr>
      <w:r w:rsidRPr="00456B23">
        <w:rPr>
          <w:rFonts w:eastAsia="Calibri"/>
          <w:szCs w:val="22"/>
          <w:lang w:val="sr-Latn-ME"/>
        </w:rPr>
        <w:t xml:space="preserve">Institut za ljekove i medicinska sredstva </w:t>
      </w:r>
    </w:p>
    <w:p w14:paraId="3B45B933" w14:textId="77777777" w:rsidR="00054D7D" w:rsidRPr="00456B23" w:rsidRDefault="00054D7D">
      <w:pPr>
        <w:rPr>
          <w:rFonts w:eastAsia="Calibri"/>
          <w:szCs w:val="22"/>
          <w:lang w:val="sr-Latn-ME"/>
        </w:rPr>
      </w:pPr>
      <w:r w:rsidRPr="00456B23">
        <w:rPr>
          <w:rFonts w:eastAsia="Calibri"/>
          <w:szCs w:val="22"/>
          <w:lang w:val="sr-Latn-ME"/>
        </w:rPr>
        <w:t>Odjeljenje za farmakovigilancu</w:t>
      </w:r>
    </w:p>
    <w:p w14:paraId="7CDEA7AD" w14:textId="77777777" w:rsidR="00054D7D" w:rsidRPr="00456B23" w:rsidRDefault="00054D7D">
      <w:pPr>
        <w:rPr>
          <w:rFonts w:eastAsia="Calibri"/>
          <w:szCs w:val="22"/>
          <w:lang w:val="sr-Latn-ME"/>
        </w:rPr>
      </w:pPr>
      <w:r w:rsidRPr="00456B23">
        <w:rPr>
          <w:rFonts w:eastAsia="Calibri"/>
          <w:szCs w:val="22"/>
          <w:lang w:val="sr-Latn-ME"/>
        </w:rPr>
        <w:t>Bulevar Ivana Crnojevića 64a, 81000 Podgorica</w:t>
      </w:r>
    </w:p>
    <w:p w14:paraId="04D38300" w14:textId="77777777" w:rsidR="00054D7D" w:rsidRPr="00456B23" w:rsidRDefault="00054D7D">
      <w:pPr>
        <w:rPr>
          <w:rFonts w:eastAsia="Calibri"/>
          <w:szCs w:val="22"/>
          <w:lang w:val="sr-Latn-ME"/>
        </w:rPr>
      </w:pPr>
    </w:p>
    <w:p w14:paraId="415540E3" w14:textId="77777777" w:rsidR="00054D7D" w:rsidRPr="00456B23" w:rsidRDefault="00054D7D">
      <w:pPr>
        <w:rPr>
          <w:rFonts w:eastAsia="Calibri"/>
          <w:szCs w:val="22"/>
          <w:lang w:val="sr-Latn-ME"/>
        </w:rPr>
      </w:pPr>
      <w:r w:rsidRPr="00456B23">
        <w:rPr>
          <w:rFonts w:eastAsia="Calibri"/>
          <w:szCs w:val="22"/>
          <w:lang w:val="sr-Latn-ME"/>
        </w:rPr>
        <w:t>tel: +382 (0) 20 310 280</w:t>
      </w:r>
    </w:p>
    <w:p w14:paraId="7EA70C8B" w14:textId="77777777" w:rsidR="00054D7D" w:rsidRPr="00456B23" w:rsidRDefault="00054D7D">
      <w:pPr>
        <w:rPr>
          <w:rFonts w:eastAsia="Calibri"/>
          <w:szCs w:val="22"/>
          <w:lang w:val="sr-Latn-ME"/>
        </w:rPr>
      </w:pPr>
      <w:r w:rsidRPr="00456B23">
        <w:rPr>
          <w:rFonts w:eastAsia="Calibri"/>
          <w:szCs w:val="22"/>
          <w:lang w:val="sr-Latn-ME"/>
        </w:rPr>
        <w:t>fax: +382 (0) 20 310 581</w:t>
      </w:r>
    </w:p>
    <w:p w14:paraId="699926A8" w14:textId="77777777" w:rsidR="00054D7D" w:rsidRPr="00456B23" w:rsidRDefault="00423F44">
      <w:pPr>
        <w:rPr>
          <w:rFonts w:eastAsia="Calibri"/>
          <w:szCs w:val="22"/>
          <w:lang w:val="sr-Latn-ME"/>
        </w:rPr>
      </w:pPr>
      <w:hyperlink r:id="rId8" w:history="1">
        <w:r w:rsidR="00054D7D" w:rsidRPr="00456B23">
          <w:rPr>
            <w:rFonts w:eastAsia="Calibri"/>
            <w:color w:val="0563C1"/>
            <w:szCs w:val="22"/>
            <w:u w:val="single"/>
            <w:lang w:val="sr-Latn-ME"/>
          </w:rPr>
          <w:t>www.cinmed.me</w:t>
        </w:r>
      </w:hyperlink>
    </w:p>
    <w:p w14:paraId="336CE61B" w14:textId="77777777" w:rsidR="00054D7D" w:rsidRPr="00456B23" w:rsidRDefault="00423F44">
      <w:pPr>
        <w:rPr>
          <w:rFonts w:eastAsia="Calibri"/>
          <w:color w:val="0000FF"/>
          <w:szCs w:val="22"/>
          <w:u w:val="single"/>
          <w:lang w:val="sr-Latn-ME"/>
        </w:rPr>
      </w:pPr>
      <w:hyperlink r:id="rId9" w:history="1">
        <w:r w:rsidR="00054D7D" w:rsidRPr="00456B23">
          <w:rPr>
            <w:rFonts w:eastAsia="Calibri"/>
            <w:color w:val="0563C1"/>
            <w:szCs w:val="22"/>
            <w:u w:val="single"/>
            <w:lang w:val="sr-Latn-ME"/>
          </w:rPr>
          <w:t>nezeljenadejstva@cinmed.me</w:t>
        </w:r>
      </w:hyperlink>
    </w:p>
    <w:p w14:paraId="73C462F0" w14:textId="77777777" w:rsidR="00054D7D" w:rsidRPr="00456B23" w:rsidRDefault="00054D7D">
      <w:pPr>
        <w:rPr>
          <w:rFonts w:eastAsia="Calibri"/>
          <w:szCs w:val="22"/>
          <w:lang w:val="sr-Latn-ME"/>
        </w:rPr>
      </w:pPr>
      <w:r w:rsidRPr="00456B23">
        <w:rPr>
          <w:rFonts w:eastAsia="Calibri"/>
          <w:szCs w:val="22"/>
          <w:lang w:val="sr-Latn-ME"/>
        </w:rPr>
        <w:t>putem IS zdravstvene zaštite</w:t>
      </w:r>
    </w:p>
    <w:p w14:paraId="501475D1" w14:textId="77777777" w:rsidR="00FF4376" w:rsidRPr="00456B23" w:rsidRDefault="00FF4376" w:rsidP="00FF4376">
      <w:pPr>
        <w:pStyle w:val="NoSpacing"/>
        <w:rPr>
          <w:rFonts w:eastAsia="Calibri"/>
          <w:sz w:val="22"/>
          <w:szCs w:val="22"/>
          <w:lang w:val="sr-Latn-ME"/>
        </w:rPr>
      </w:pPr>
      <w:r w:rsidRPr="00456B23">
        <w:rPr>
          <w:rFonts w:eastAsia="Calibri"/>
          <w:sz w:val="22"/>
          <w:szCs w:val="22"/>
          <w:lang w:val="sr-Latn-ME"/>
        </w:rPr>
        <w:t>QR kod za online prijavu sumnje na neželjeno dejstvo lijeka:</w:t>
      </w:r>
    </w:p>
    <w:p w14:paraId="3BF8AAAB" w14:textId="77777777" w:rsidR="00FF4376" w:rsidRPr="00456B23" w:rsidRDefault="00FF4376" w:rsidP="00FF4376">
      <w:pPr>
        <w:pStyle w:val="NoSpacing"/>
        <w:rPr>
          <w:rFonts w:eastAsia="Calibri"/>
          <w:sz w:val="22"/>
          <w:szCs w:val="22"/>
          <w:lang w:val="sr-Latn-ME"/>
        </w:rPr>
      </w:pPr>
    </w:p>
    <w:p w14:paraId="2E2951D4" w14:textId="539086C9" w:rsidR="00FF4376" w:rsidRPr="00456B23" w:rsidRDefault="00FF4376" w:rsidP="00456B23">
      <w:pPr>
        <w:pStyle w:val="NoSpacing"/>
        <w:rPr>
          <w:rFonts w:eastAsia="Calibri"/>
          <w:sz w:val="22"/>
          <w:szCs w:val="22"/>
          <w:lang w:val="sr-Latn-ME"/>
        </w:rPr>
      </w:pPr>
      <w:r w:rsidRPr="00456B23">
        <w:rPr>
          <w:noProof/>
          <w:sz w:val="22"/>
          <w:szCs w:val="22"/>
        </w:rPr>
        <w:drawing>
          <wp:inline distT="0" distB="0" distL="0" distR="0" wp14:anchorId="1BDF6861" wp14:editId="64B41F16">
            <wp:extent cx="1005840" cy="1005840"/>
            <wp:effectExtent l="0" t="0" r="3810" b="381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p w14:paraId="0234F5C1" w14:textId="77777777" w:rsidR="00054D7D" w:rsidRPr="00456B23" w:rsidRDefault="00054D7D">
      <w:pPr>
        <w:rPr>
          <w:color w:val="000000"/>
          <w:szCs w:val="22"/>
          <w:lang w:val="sr-Latn-ME"/>
        </w:rPr>
      </w:pPr>
    </w:p>
    <w:p w14:paraId="44C4A862" w14:textId="496CBD74" w:rsidR="00054D7D" w:rsidRDefault="00054D7D" w:rsidP="00456B23">
      <w:pPr>
        <w:pStyle w:val="Heading2"/>
        <w:numPr>
          <w:ilvl w:val="1"/>
          <w:numId w:val="21"/>
        </w:numPr>
        <w:spacing w:before="0" w:after="0"/>
        <w:rPr>
          <w:szCs w:val="22"/>
          <w:lang w:val="sr-Latn-ME"/>
        </w:rPr>
      </w:pPr>
      <w:r w:rsidRPr="00456B23">
        <w:rPr>
          <w:color w:val="000000"/>
          <w:szCs w:val="22"/>
          <w:lang w:val="sr-Latn-ME"/>
        </w:rPr>
        <w:t xml:space="preserve"> </w:t>
      </w:r>
      <w:r w:rsidRPr="00456B23">
        <w:rPr>
          <w:szCs w:val="22"/>
          <w:lang w:val="sr-Latn-ME"/>
        </w:rPr>
        <w:t xml:space="preserve">Predoziranje </w:t>
      </w:r>
    </w:p>
    <w:p w14:paraId="6BACE1D5" w14:textId="77777777" w:rsidR="00456B23" w:rsidRPr="00456B23" w:rsidRDefault="00456B23" w:rsidP="00456B23">
      <w:pPr>
        <w:rPr>
          <w:lang w:val="sr-Latn-ME"/>
        </w:rPr>
      </w:pPr>
    </w:p>
    <w:p w14:paraId="166263F0" w14:textId="035C09A3" w:rsidR="00054D7D" w:rsidRPr="00456B23" w:rsidRDefault="00054D7D">
      <w:pPr>
        <w:rPr>
          <w:szCs w:val="22"/>
          <w:lang w:val="sr-Latn-ME"/>
        </w:rPr>
      </w:pPr>
      <w:r w:rsidRPr="00456B23">
        <w:rPr>
          <w:szCs w:val="22"/>
          <w:lang w:val="sr-Latn-ME"/>
        </w:rPr>
        <w:t xml:space="preserve">Akutna intoksikacija s prednizonom nije poznata. U slučaju predoziranja očekuje se potenciranje neželjenih dejstava (pogledati dio 4.8.), naročito na </w:t>
      </w:r>
      <w:r w:rsidR="00927401" w:rsidRPr="00456B23">
        <w:rPr>
          <w:szCs w:val="22"/>
          <w:lang w:val="sr-Latn-ME"/>
        </w:rPr>
        <w:t xml:space="preserve">nivou </w:t>
      </w:r>
      <w:r w:rsidRPr="00456B23">
        <w:rPr>
          <w:szCs w:val="22"/>
          <w:lang w:val="sr-Latn-ME"/>
        </w:rPr>
        <w:t>endokrin</w:t>
      </w:r>
      <w:r w:rsidR="00927401" w:rsidRPr="00456B23">
        <w:rPr>
          <w:szCs w:val="22"/>
          <w:lang w:val="sr-Latn-ME"/>
        </w:rPr>
        <w:t>og</w:t>
      </w:r>
      <w:r w:rsidRPr="00456B23">
        <w:rPr>
          <w:szCs w:val="22"/>
          <w:lang w:val="sr-Latn-ME"/>
        </w:rPr>
        <w:t xml:space="preserve"> sistem</w:t>
      </w:r>
      <w:r w:rsidR="00927401" w:rsidRPr="00456B23">
        <w:rPr>
          <w:szCs w:val="22"/>
          <w:lang w:val="sr-Latn-ME"/>
        </w:rPr>
        <w:t>a</w:t>
      </w:r>
      <w:r w:rsidRPr="00456B23">
        <w:rPr>
          <w:szCs w:val="22"/>
          <w:lang w:val="sr-Latn-ME"/>
        </w:rPr>
        <w:t>, metabolizm</w:t>
      </w:r>
      <w:r w:rsidR="00927401" w:rsidRPr="00456B23">
        <w:rPr>
          <w:szCs w:val="22"/>
          <w:lang w:val="sr-Latn-ME"/>
        </w:rPr>
        <w:t>a</w:t>
      </w:r>
      <w:r w:rsidRPr="00456B23">
        <w:rPr>
          <w:szCs w:val="22"/>
          <w:lang w:val="sr-Latn-ME"/>
        </w:rPr>
        <w:t xml:space="preserve"> i ravnotež</w:t>
      </w:r>
      <w:r w:rsidR="00927401" w:rsidRPr="00456B23">
        <w:rPr>
          <w:szCs w:val="22"/>
          <w:lang w:val="sr-Latn-ME"/>
        </w:rPr>
        <w:t>e</w:t>
      </w:r>
      <w:r w:rsidRPr="00456B23">
        <w:rPr>
          <w:szCs w:val="22"/>
          <w:lang w:val="sr-Latn-ME"/>
        </w:rPr>
        <w:t xml:space="preserve"> elektrolita. </w:t>
      </w:r>
    </w:p>
    <w:p w14:paraId="3251F5C8" w14:textId="0E8A668A" w:rsidR="00054D7D" w:rsidRPr="00456B23" w:rsidRDefault="00054D7D" w:rsidP="005E1E07">
      <w:pPr>
        <w:rPr>
          <w:color w:val="000000"/>
          <w:szCs w:val="22"/>
          <w:lang w:val="sr-Latn-ME"/>
        </w:rPr>
      </w:pPr>
    </w:p>
    <w:p w14:paraId="6E8C83B0" w14:textId="77777777" w:rsidR="009C44E6" w:rsidRPr="00456B23" w:rsidRDefault="009C44E6" w:rsidP="005E1E07">
      <w:pPr>
        <w:rPr>
          <w:color w:val="000000"/>
          <w:szCs w:val="22"/>
          <w:lang w:val="sr-Latn-ME"/>
        </w:rPr>
      </w:pPr>
    </w:p>
    <w:p w14:paraId="0D4ED765" w14:textId="77777777" w:rsidR="003D6377" w:rsidRPr="00456B23" w:rsidRDefault="00054D7D">
      <w:pPr>
        <w:pStyle w:val="ListNumber"/>
        <w:numPr>
          <w:ilvl w:val="0"/>
          <w:numId w:val="21"/>
        </w:numPr>
        <w:rPr>
          <w:b/>
          <w:szCs w:val="22"/>
          <w:lang w:val="sr-Latn-ME"/>
        </w:rPr>
      </w:pPr>
      <w:r w:rsidRPr="00456B23">
        <w:rPr>
          <w:b/>
          <w:szCs w:val="22"/>
          <w:lang w:val="sr-Latn-ME"/>
        </w:rPr>
        <w:t>FARMAKOLOŠKI PODACI</w:t>
      </w:r>
    </w:p>
    <w:p w14:paraId="24A9FA16" w14:textId="77777777" w:rsidR="003D6377" w:rsidRPr="00456B23" w:rsidRDefault="003D6377" w:rsidP="00E54851">
      <w:pPr>
        <w:pStyle w:val="ListNumber"/>
        <w:numPr>
          <w:ilvl w:val="0"/>
          <w:numId w:val="0"/>
        </w:numPr>
        <w:ind w:left="360"/>
        <w:rPr>
          <w:b/>
          <w:szCs w:val="22"/>
          <w:lang w:val="sr-Latn-ME"/>
        </w:rPr>
      </w:pPr>
    </w:p>
    <w:p w14:paraId="27EBE0E8" w14:textId="77777777" w:rsidR="00054D7D" w:rsidRPr="00456B23" w:rsidRDefault="00054D7D" w:rsidP="00E54851">
      <w:pPr>
        <w:pStyle w:val="Heading2"/>
        <w:numPr>
          <w:ilvl w:val="1"/>
          <w:numId w:val="23"/>
        </w:numPr>
        <w:spacing w:before="0" w:after="0"/>
        <w:rPr>
          <w:szCs w:val="22"/>
          <w:lang w:val="sr-Latn-ME"/>
        </w:rPr>
      </w:pPr>
      <w:r w:rsidRPr="00456B23">
        <w:rPr>
          <w:szCs w:val="22"/>
          <w:lang w:val="sr-Latn-ME"/>
        </w:rPr>
        <w:t xml:space="preserve"> Farmakodinamski podaci</w:t>
      </w:r>
    </w:p>
    <w:p w14:paraId="1F1FDFA0" w14:textId="77777777" w:rsidR="003D6377" w:rsidRPr="00456B23" w:rsidRDefault="003D6377">
      <w:pPr>
        <w:rPr>
          <w:color w:val="000000"/>
          <w:szCs w:val="22"/>
          <w:lang w:val="sr-Latn-ME"/>
        </w:rPr>
      </w:pPr>
    </w:p>
    <w:p w14:paraId="24D2D192" w14:textId="77777777" w:rsidR="00054D7D" w:rsidRPr="00456B23" w:rsidRDefault="00054D7D">
      <w:pPr>
        <w:rPr>
          <w:color w:val="000000"/>
          <w:szCs w:val="22"/>
          <w:lang w:val="sr-Latn-ME"/>
        </w:rPr>
      </w:pPr>
      <w:r w:rsidRPr="00456B23">
        <w:rPr>
          <w:color w:val="000000"/>
          <w:szCs w:val="22"/>
          <w:lang w:val="sr-Latn-ME"/>
        </w:rPr>
        <w:t xml:space="preserve">Farmakoterapijska grupa: Kortikosteroidi za sistemsku primjenu, čisti; Glukokortikoidi. </w:t>
      </w:r>
    </w:p>
    <w:p w14:paraId="46BE9CB7" w14:textId="77777777" w:rsidR="00054D7D" w:rsidRPr="00456B23" w:rsidRDefault="00054D7D">
      <w:pPr>
        <w:rPr>
          <w:color w:val="000000"/>
          <w:szCs w:val="22"/>
          <w:lang w:val="sr-Latn-ME"/>
        </w:rPr>
      </w:pPr>
    </w:p>
    <w:p w14:paraId="198EE7AF" w14:textId="3BAF612A" w:rsidR="00054D7D" w:rsidRPr="00456B23" w:rsidRDefault="00BE33ED">
      <w:pPr>
        <w:rPr>
          <w:color w:val="000000"/>
          <w:szCs w:val="22"/>
          <w:lang w:val="sr-Latn-ME"/>
        </w:rPr>
      </w:pPr>
      <w:r>
        <w:rPr>
          <w:color w:val="000000"/>
          <w:szCs w:val="22"/>
          <w:lang w:val="sr-Latn-ME"/>
        </w:rPr>
        <w:t>ATC kod: H02AB07</w:t>
      </w:r>
      <w:bookmarkStart w:id="0" w:name="_GoBack"/>
      <w:bookmarkEnd w:id="0"/>
    </w:p>
    <w:p w14:paraId="1A5AD7D4" w14:textId="77777777" w:rsidR="00054D7D" w:rsidRPr="00456B23" w:rsidRDefault="00054D7D">
      <w:pPr>
        <w:rPr>
          <w:color w:val="000000"/>
          <w:szCs w:val="22"/>
          <w:lang w:val="sr-Latn-ME"/>
        </w:rPr>
      </w:pPr>
    </w:p>
    <w:p w14:paraId="2A94C63F" w14:textId="77777777" w:rsidR="00754E17" w:rsidRPr="00456B23" w:rsidRDefault="00054D7D">
      <w:pPr>
        <w:autoSpaceDE w:val="0"/>
        <w:autoSpaceDN w:val="0"/>
        <w:adjustRightInd w:val="0"/>
        <w:rPr>
          <w:szCs w:val="22"/>
          <w:lang w:val="sr-Latn-ME"/>
        </w:rPr>
      </w:pPr>
      <w:r w:rsidRPr="00456B23">
        <w:rPr>
          <w:szCs w:val="22"/>
          <w:lang w:val="sr-Latn-ME"/>
        </w:rPr>
        <w:t>Prednizon je nefluorirani glukokorti</w:t>
      </w:r>
      <w:r w:rsidR="002D789A" w:rsidRPr="00456B23">
        <w:rPr>
          <w:szCs w:val="22"/>
          <w:lang w:val="sr-Latn-ME"/>
        </w:rPr>
        <w:t xml:space="preserve">koid za sistemsko liječenje. </w:t>
      </w:r>
    </w:p>
    <w:p w14:paraId="7F54642C" w14:textId="1E0AFDAC" w:rsidR="00754E17" w:rsidRPr="00456B23" w:rsidRDefault="002D789A">
      <w:pPr>
        <w:autoSpaceDE w:val="0"/>
        <w:autoSpaceDN w:val="0"/>
        <w:adjustRightInd w:val="0"/>
        <w:rPr>
          <w:szCs w:val="22"/>
          <w:lang w:val="sr-Latn-ME"/>
        </w:rPr>
      </w:pPr>
      <w:r w:rsidRPr="00456B23">
        <w:rPr>
          <w:szCs w:val="22"/>
          <w:lang w:val="sr-Latn-ME"/>
        </w:rPr>
        <w:t>U za</w:t>
      </w:r>
      <w:r w:rsidR="00054D7D" w:rsidRPr="00456B23">
        <w:rPr>
          <w:szCs w:val="22"/>
          <w:lang w:val="sr-Latn-ME"/>
        </w:rPr>
        <w:t>visnosti od doze, ima efekat na metabolizam gotovo svih tkiva</w:t>
      </w:r>
      <w:r w:rsidR="00754E17" w:rsidRPr="00456B23">
        <w:rPr>
          <w:szCs w:val="22"/>
          <w:lang w:val="sr-Latn-ME"/>
        </w:rPr>
        <w:t xml:space="preserve"> i organa.</w:t>
      </w:r>
    </w:p>
    <w:p w14:paraId="2A169CC9" w14:textId="1EAD7453" w:rsidR="00054D7D" w:rsidRPr="00456B23" w:rsidRDefault="00054D7D">
      <w:pPr>
        <w:autoSpaceDE w:val="0"/>
        <w:autoSpaceDN w:val="0"/>
        <w:adjustRightInd w:val="0"/>
        <w:rPr>
          <w:szCs w:val="22"/>
          <w:lang w:val="sr-Latn-ME"/>
        </w:rPr>
      </w:pPr>
      <w:r w:rsidRPr="00456B23">
        <w:rPr>
          <w:szCs w:val="22"/>
          <w:lang w:val="sr-Latn-ME"/>
        </w:rPr>
        <w:t>U fiziološkom smislu, ovaj efekat je presudan za održavanje homeostaze organizma u stanju m</w:t>
      </w:r>
      <w:r w:rsidR="002D789A" w:rsidRPr="00456B23">
        <w:rPr>
          <w:szCs w:val="22"/>
          <w:lang w:val="sr-Latn-ME"/>
        </w:rPr>
        <w:t>irovanja i pri naporu/stresu i</w:t>
      </w:r>
      <w:r w:rsidRPr="00456B23">
        <w:rPr>
          <w:szCs w:val="22"/>
          <w:lang w:val="sr-Latn-ME"/>
        </w:rPr>
        <w:t xml:space="preserve"> za regulaciju aktivnosti imunološkog sistema. </w:t>
      </w:r>
    </w:p>
    <w:p w14:paraId="40898A69" w14:textId="77777777" w:rsidR="00054D7D" w:rsidRPr="00456B23" w:rsidRDefault="00054D7D">
      <w:pPr>
        <w:autoSpaceDE w:val="0"/>
        <w:autoSpaceDN w:val="0"/>
        <w:adjustRightInd w:val="0"/>
        <w:rPr>
          <w:szCs w:val="22"/>
          <w:lang w:val="sr-Latn-ME"/>
        </w:rPr>
      </w:pPr>
    </w:p>
    <w:p w14:paraId="5DA96634" w14:textId="785BFED9" w:rsidR="00054D7D" w:rsidRPr="00456B23" w:rsidRDefault="00054D7D">
      <w:pPr>
        <w:autoSpaceDE w:val="0"/>
        <w:autoSpaceDN w:val="0"/>
        <w:adjustRightInd w:val="0"/>
        <w:rPr>
          <w:szCs w:val="22"/>
          <w:lang w:val="sr-Latn-ME"/>
        </w:rPr>
      </w:pPr>
      <w:r w:rsidRPr="00456B23">
        <w:rPr>
          <w:szCs w:val="22"/>
          <w:lang w:val="sr-Latn-ME"/>
        </w:rPr>
        <w:t xml:space="preserve">Kod zastoja u radu ili insuficijencije kore nadbubrežne žlijezde, prednizon može zamijeniti endogeni hidrokortizon. Pri stanju metaboličke ravnoteže, </w:t>
      </w:r>
      <w:r w:rsidR="00D93121" w:rsidRPr="00456B23">
        <w:rPr>
          <w:szCs w:val="22"/>
          <w:lang w:val="sr-Latn-ME"/>
        </w:rPr>
        <w:t>on djeluje na metabolizam ugljen</w:t>
      </w:r>
      <w:r w:rsidR="00927401" w:rsidRPr="00456B23">
        <w:rPr>
          <w:szCs w:val="22"/>
          <w:lang w:val="sr-Latn-ME"/>
        </w:rPr>
        <w:t xml:space="preserve">ih </w:t>
      </w:r>
      <w:r w:rsidRPr="00456B23">
        <w:rPr>
          <w:szCs w:val="22"/>
          <w:lang w:val="sr-Latn-ME"/>
        </w:rPr>
        <w:t xml:space="preserve">hidrata, proteina i </w:t>
      </w:r>
      <w:r w:rsidRPr="00456B23">
        <w:rPr>
          <w:szCs w:val="22"/>
          <w:lang w:val="sr-Latn-ME"/>
        </w:rPr>
        <w:lastRenderedPageBreak/>
        <w:t>masti. Dejstvo 5 mg prednizona je ekvivalentno dejstvu 20 mg hidrokortizona. Budući da je mineralotropni efekat pred</w:t>
      </w:r>
      <w:r w:rsidR="00D93121" w:rsidRPr="00456B23">
        <w:rPr>
          <w:szCs w:val="22"/>
          <w:lang w:val="sr-Latn-ME"/>
        </w:rPr>
        <w:t>nizona neznatan, pri dodatnom</w:t>
      </w:r>
      <w:r w:rsidRPr="00456B23">
        <w:rPr>
          <w:szCs w:val="22"/>
          <w:lang w:val="sr-Latn-ME"/>
        </w:rPr>
        <w:t xml:space="preserve"> liječenju kod zastoja u radu kore nadbubrežne žlijezde, potrebno je primijeniti i mineralokortikoide.</w:t>
      </w:r>
    </w:p>
    <w:p w14:paraId="46C2BC52" w14:textId="149DAEAC" w:rsidR="00054D7D" w:rsidRPr="00456B23" w:rsidRDefault="00054D7D">
      <w:pPr>
        <w:autoSpaceDE w:val="0"/>
        <w:autoSpaceDN w:val="0"/>
        <w:adjustRightInd w:val="0"/>
        <w:rPr>
          <w:szCs w:val="22"/>
          <w:lang w:val="sr-Latn-ME"/>
        </w:rPr>
      </w:pPr>
      <w:r w:rsidRPr="00456B23">
        <w:rPr>
          <w:szCs w:val="22"/>
          <w:lang w:val="sr-Latn-ME"/>
        </w:rPr>
        <w:t>Kod adrenogenitalnog sindroma, prednizon zamjenjuje kortizol, koji nedost</w:t>
      </w:r>
      <w:r w:rsidR="00D93121" w:rsidRPr="00456B23">
        <w:rPr>
          <w:szCs w:val="22"/>
          <w:lang w:val="sr-Latn-ME"/>
        </w:rPr>
        <w:t>aje usljed enzimskog defekta i</w:t>
      </w:r>
      <w:r w:rsidRPr="00456B23">
        <w:rPr>
          <w:szCs w:val="22"/>
          <w:lang w:val="sr-Latn-ME"/>
        </w:rPr>
        <w:t xml:space="preserve"> inhibira povećano stvaranje kortikotropina u hipofizi, kao i povećano stvaranje androgena u kori nadbubrežne žlijezde. Ako enzimski defekt zahva</w:t>
      </w:r>
      <w:r w:rsidR="007B1205" w:rsidRPr="00456B23">
        <w:rPr>
          <w:szCs w:val="22"/>
          <w:lang w:val="sr-Latn-ME"/>
        </w:rPr>
        <w:t>ta</w:t>
      </w:r>
      <w:r w:rsidRPr="00456B23">
        <w:rPr>
          <w:szCs w:val="22"/>
          <w:lang w:val="sr-Latn-ME"/>
        </w:rPr>
        <w:t xml:space="preserve"> sintezu</w:t>
      </w:r>
      <w:r w:rsidR="00754E17" w:rsidRPr="00456B23">
        <w:rPr>
          <w:szCs w:val="22"/>
          <w:lang w:val="sr-Latn-ME"/>
        </w:rPr>
        <w:t xml:space="preserve"> i</w:t>
      </w:r>
      <w:r w:rsidRPr="00456B23">
        <w:rPr>
          <w:szCs w:val="22"/>
          <w:lang w:val="sr-Latn-ME"/>
        </w:rPr>
        <w:t xml:space="preserve"> mineralokortikoid</w:t>
      </w:r>
      <w:r w:rsidR="00D93121" w:rsidRPr="00456B23">
        <w:rPr>
          <w:szCs w:val="22"/>
          <w:lang w:val="sr-Latn-ME"/>
        </w:rPr>
        <w:t>a, oni se takođe moraju nadoknaditi</w:t>
      </w:r>
      <w:r w:rsidRPr="00456B23">
        <w:rPr>
          <w:szCs w:val="22"/>
          <w:lang w:val="sr-Latn-ME"/>
        </w:rPr>
        <w:t xml:space="preserve">. </w:t>
      </w:r>
    </w:p>
    <w:p w14:paraId="37BF710D" w14:textId="77777777" w:rsidR="00054D7D" w:rsidRPr="00456B23" w:rsidRDefault="00054D7D">
      <w:pPr>
        <w:autoSpaceDE w:val="0"/>
        <w:autoSpaceDN w:val="0"/>
        <w:adjustRightInd w:val="0"/>
        <w:rPr>
          <w:szCs w:val="22"/>
          <w:lang w:val="sr-Latn-ME"/>
        </w:rPr>
      </w:pPr>
    </w:p>
    <w:p w14:paraId="4660E2B4" w14:textId="44FD9799" w:rsidR="00054D7D" w:rsidRPr="00456B23" w:rsidRDefault="00054D7D">
      <w:pPr>
        <w:autoSpaceDE w:val="0"/>
        <w:autoSpaceDN w:val="0"/>
        <w:adjustRightInd w:val="0"/>
        <w:rPr>
          <w:szCs w:val="22"/>
          <w:lang w:val="sr-Latn-ME"/>
        </w:rPr>
      </w:pPr>
      <w:r w:rsidRPr="00456B23">
        <w:rPr>
          <w:szCs w:val="22"/>
          <w:lang w:val="sr-Latn-ME"/>
        </w:rPr>
        <w:t xml:space="preserve">Doze prednizona veće nego što je to potrebno </w:t>
      </w:r>
      <w:r w:rsidR="00D93121" w:rsidRPr="00456B23">
        <w:rPr>
          <w:szCs w:val="22"/>
          <w:lang w:val="sr-Latn-ME"/>
        </w:rPr>
        <w:t>za supstituciju, imaju brz protiv</w:t>
      </w:r>
      <w:r w:rsidRPr="00456B23">
        <w:rPr>
          <w:szCs w:val="22"/>
          <w:lang w:val="sr-Latn-ME"/>
        </w:rPr>
        <w:t>upalni (antieksud</w:t>
      </w:r>
      <w:r w:rsidR="00D93121" w:rsidRPr="00456B23">
        <w:rPr>
          <w:szCs w:val="22"/>
          <w:lang w:val="sr-Latn-ME"/>
        </w:rPr>
        <w:t>ativni i antiproliferativni) i</w:t>
      </w:r>
      <w:r w:rsidRPr="00456B23">
        <w:rPr>
          <w:szCs w:val="22"/>
          <w:lang w:val="sr-Latn-ME"/>
        </w:rPr>
        <w:t xml:space="preserve"> od</w:t>
      </w:r>
      <w:r w:rsidR="007B1205" w:rsidRPr="00456B23">
        <w:rPr>
          <w:szCs w:val="22"/>
          <w:lang w:val="sr-Latn-ME"/>
        </w:rPr>
        <w:t>loženi</w:t>
      </w:r>
      <w:r w:rsidRPr="00456B23">
        <w:rPr>
          <w:szCs w:val="22"/>
          <w:lang w:val="sr-Latn-ME"/>
        </w:rPr>
        <w:t xml:space="preserve"> imunosupresivni efekat. Prednizon inhibira hemotaksiju i aktivnost ćelija imunog sistema, kao i oslobađanje i efekat medijatora upalnih i imunoloških reakcija (npr. lizosomnih enzima, prostaglandina i leukotriena). </w:t>
      </w:r>
    </w:p>
    <w:p w14:paraId="0DE5EB36" w14:textId="37BB4AC6" w:rsidR="00054D7D" w:rsidRPr="00456B23" w:rsidRDefault="00054D7D">
      <w:pPr>
        <w:autoSpaceDE w:val="0"/>
        <w:autoSpaceDN w:val="0"/>
        <w:adjustRightInd w:val="0"/>
        <w:rPr>
          <w:szCs w:val="22"/>
          <w:lang w:val="sr-Latn-ME"/>
        </w:rPr>
      </w:pPr>
      <w:r w:rsidRPr="00456B23">
        <w:rPr>
          <w:szCs w:val="22"/>
          <w:lang w:val="sr-Latn-ME"/>
        </w:rPr>
        <w:t>Kod bronhijalne opstrukcije, efekat bronhodilata</w:t>
      </w:r>
      <w:r w:rsidR="00D1131C" w:rsidRPr="00456B23">
        <w:rPr>
          <w:szCs w:val="22"/>
          <w:lang w:val="sr-Latn-ME"/>
        </w:rPr>
        <w:t>cije</w:t>
      </w:r>
      <w:r w:rsidRPr="00456B23">
        <w:rPr>
          <w:szCs w:val="22"/>
          <w:lang w:val="sr-Latn-ME"/>
        </w:rPr>
        <w:t xml:space="preserve"> betamimetika je potenciran (permisivni efekat). </w:t>
      </w:r>
    </w:p>
    <w:p w14:paraId="487D2599" w14:textId="77777777" w:rsidR="00054D7D" w:rsidRPr="00456B23" w:rsidRDefault="00054D7D">
      <w:pPr>
        <w:autoSpaceDE w:val="0"/>
        <w:autoSpaceDN w:val="0"/>
        <w:adjustRightInd w:val="0"/>
        <w:rPr>
          <w:szCs w:val="22"/>
          <w:lang w:val="sr-Latn-ME"/>
        </w:rPr>
      </w:pPr>
      <w:r w:rsidRPr="00456B23">
        <w:rPr>
          <w:szCs w:val="22"/>
          <w:lang w:val="sr-Latn-ME"/>
        </w:rPr>
        <w:t xml:space="preserve">Dugotrajno liječenje s visokim dozama, dovodi do involucije imunološkog sistema i kore nadbubrežne žlijezde. </w:t>
      </w:r>
    </w:p>
    <w:p w14:paraId="04183427" w14:textId="77777777" w:rsidR="00054D7D" w:rsidRPr="00456B23" w:rsidRDefault="00054D7D">
      <w:pPr>
        <w:autoSpaceDE w:val="0"/>
        <w:autoSpaceDN w:val="0"/>
        <w:adjustRightInd w:val="0"/>
        <w:rPr>
          <w:szCs w:val="22"/>
          <w:lang w:val="sr-Latn-ME"/>
        </w:rPr>
      </w:pPr>
    </w:p>
    <w:p w14:paraId="2F958047" w14:textId="43D21D17" w:rsidR="00054D7D" w:rsidRPr="00456B23" w:rsidRDefault="00054D7D">
      <w:pPr>
        <w:autoSpaceDE w:val="0"/>
        <w:autoSpaceDN w:val="0"/>
        <w:adjustRightInd w:val="0"/>
        <w:rPr>
          <w:szCs w:val="22"/>
          <w:lang w:val="sr-Latn-ME"/>
        </w:rPr>
      </w:pPr>
      <w:r w:rsidRPr="00456B23">
        <w:rPr>
          <w:szCs w:val="22"/>
          <w:lang w:val="sr-Latn-ME"/>
        </w:rPr>
        <w:t xml:space="preserve">Mineralotropni efekat hidrokortizona, a primjetljiv i kod prednizona, može zahtijevati praćenje serumskih elektrolita. </w:t>
      </w:r>
    </w:p>
    <w:p w14:paraId="156701E8" w14:textId="3CE41318" w:rsidR="00054D7D" w:rsidRPr="00456B23" w:rsidRDefault="00054D7D">
      <w:pPr>
        <w:autoSpaceDE w:val="0"/>
        <w:autoSpaceDN w:val="0"/>
        <w:adjustRightInd w:val="0"/>
        <w:rPr>
          <w:szCs w:val="22"/>
          <w:lang w:val="sr-Latn-ME"/>
        </w:rPr>
      </w:pPr>
      <w:r w:rsidRPr="00456B23">
        <w:rPr>
          <w:szCs w:val="22"/>
          <w:lang w:val="sr-Latn-ME"/>
        </w:rPr>
        <w:t>Efekat prednizona kod opstrukcije disajnih puteva, temelji se na inhibiciji upalnih procesa, suprimiranju ili prevenciji edema sluznice, inhibiciji bronh</w:t>
      </w:r>
      <w:r w:rsidR="00D1131C" w:rsidRPr="00456B23">
        <w:rPr>
          <w:szCs w:val="22"/>
          <w:lang w:val="sr-Latn-ME"/>
        </w:rPr>
        <w:t>ij</w:t>
      </w:r>
      <w:r w:rsidRPr="00456B23">
        <w:rPr>
          <w:szCs w:val="22"/>
          <w:lang w:val="sr-Latn-ME"/>
        </w:rPr>
        <w:t>alne opstrukcije, inhibiciji ili smanjenju produkcije sluzi, kao i smanjenju viskoznosti sluzi. Ovi efekti javljaju se kao posljedica sljedećih mehanizama: vaskularne nepropus</w:t>
      </w:r>
      <w:r w:rsidR="00D1131C" w:rsidRPr="00456B23">
        <w:rPr>
          <w:szCs w:val="22"/>
          <w:lang w:val="sr-Latn-ME"/>
        </w:rPr>
        <w:t>tljiv</w:t>
      </w:r>
      <w:r w:rsidRPr="00456B23">
        <w:rPr>
          <w:szCs w:val="22"/>
          <w:lang w:val="sr-Latn-ME"/>
        </w:rPr>
        <w:t>osti i stabilizacije membrane, normalizacije odgovora glatkih mišića u bronhima na beta 2-simpatomimetike (što je bilo smanje</w:t>
      </w:r>
      <w:r w:rsidR="005B2D92" w:rsidRPr="00456B23">
        <w:rPr>
          <w:szCs w:val="22"/>
          <w:lang w:val="sr-Latn-ME"/>
        </w:rPr>
        <w:t>no pri dugotrajnoj primjeni) i</w:t>
      </w:r>
      <w:r w:rsidRPr="00456B23">
        <w:rPr>
          <w:szCs w:val="22"/>
          <w:lang w:val="sr-Latn-ME"/>
        </w:rPr>
        <w:t xml:space="preserve"> slabljenja reakcije tipa I od druge sedmice liječenja.</w:t>
      </w:r>
    </w:p>
    <w:p w14:paraId="2BC0DA27" w14:textId="77777777" w:rsidR="00054D7D" w:rsidRPr="00456B23" w:rsidRDefault="00054D7D">
      <w:pPr>
        <w:rPr>
          <w:color w:val="000000"/>
          <w:szCs w:val="22"/>
          <w:lang w:val="sr-Latn-ME"/>
        </w:rPr>
      </w:pPr>
    </w:p>
    <w:p w14:paraId="207DDED7" w14:textId="77777777" w:rsidR="00054D7D" w:rsidRPr="00456B23" w:rsidRDefault="00054D7D" w:rsidP="00E54851">
      <w:pPr>
        <w:pStyle w:val="Heading2"/>
        <w:numPr>
          <w:ilvl w:val="1"/>
          <w:numId w:val="23"/>
        </w:numPr>
        <w:spacing w:before="0" w:after="0"/>
        <w:rPr>
          <w:szCs w:val="22"/>
          <w:lang w:val="sr-Latn-ME"/>
        </w:rPr>
      </w:pPr>
      <w:r w:rsidRPr="00456B23">
        <w:rPr>
          <w:color w:val="000000"/>
          <w:szCs w:val="22"/>
          <w:lang w:val="sr-Latn-ME"/>
        </w:rPr>
        <w:t xml:space="preserve"> </w:t>
      </w:r>
      <w:r w:rsidRPr="00456B23">
        <w:rPr>
          <w:szCs w:val="22"/>
          <w:lang w:val="sr-Latn-ME"/>
        </w:rPr>
        <w:t>Farmakokinetički podaci</w:t>
      </w:r>
    </w:p>
    <w:p w14:paraId="17DA9B53" w14:textId="77777777" w:rsidR="005E1E07" w:rsidRPr="00456B23" w:rsidRDefault="005E1E07" w:rsidP="00E54851">
      <w:pPr>
        <w:rPr>
          <w:szCs w:val="22"/>
          <w:lang w:val="sr-Latn-ME"/>
        </w:rPr>
      </w:pPr>
    </w:p>
    <w:p w14:paraId="388581FD" w14:textId="584626F6" w:rsidR="00054D7D" w:rsidRPr="00456B23" w:rsidRDefault="00054D7D">
      <w:pPr>
        <w:pStyle w:val="Header"/>
        <w:tabs>
          <w:tab w:val="left" w:pos="284"/>
        </w:tabs>
        <w:rPr>
          <w:szCs w:val="22"/>
          <w:lang w:val="sr-Latn-ME"/>
        </w:rPr>
      </w:pPr>
      <w:r w:rsidRPr="00456B23">
        <w:rPr>
          <w:szCs w:val="22"/>
          <w:lang w:val="sr-Latn-ME"/>
        </w:rPr>
        <w:t>Nakon oralne primjene, prednizon se brzo i gotovo u potpunosti apsorbuje, a maksimalne serumske koncentracije postiže unutar 1-2 sata. Pri prvom prolasku kroz jetru,</w:t>
      </w:r>
      <w:r w:rsidR="005B2D92" w:rsidRPr="00456B23">
        <w:rPr>
          <w:szCs w:val="22"/>
          <w:lang w:val="sr-Latn-ME"/>
        </w:rPr>
        <w:t xml:space="preserve"> 80-100% prednizona metaboli</w:t>
      </w:r>
      <w:r w:rsidR="00D1131C" w:rsidRPr="00456B23">
        <w:rPr>
          <w:szCs w:val="22"/>
          <w:lang w:val="sr-Latn-ME"/>
        </w:rPr>
        <w:t>š</w:t>
      </w:r>
      <w:r w:rsidR="005B2D92" w:rsidRPr="00456B23">
        <w:rPr>
          <w:szCs w:val="22"/>
          <w:lang w:val="sr-Latn-ME"/>
        </w:rPr>
        <w:t>e</w:t>
      </w:r>
      <w:r w:rsidRPr="00456B23">
        <w:rPr>
          <w:szCs w:val="22"/>
          <w:lang w:val="sr-Latn-ME"/>
        </w:rPr>
        <w:t xml:space="preserve"> se do prednizolona. Reverzibilno se veže za transkortin i plazmatski albumin.</w:t>
      </w:r>
    </w:p>
    <w:p w14:paraId="74D8A1A5" w14:textId="77777777" w:rsidR="00054D7D" w:rsidRPr="00456B23" w:rsidRDefault="00054D7D">
      <w:pPr>
        <w:pStyle w:val="Header"/>
        <w:tabs>
          <w:tab w:val="left" w:pos="284"/>
        </w:tabs>
        <w:rPr>
          <w:szCs w:val="22"/>
          <w:lang w:val="sr-Latn-ME"/>
        </w:rPr>
      </w:pPr>
    </w:p>
    <w:p w14:paraId="35BE35DF" w14:textId="7E9F3F62" w:rsidR="00054D7D" w:rsidRPr="00456B23" w:rsidRDefault="00054D7D">
      <w:pPr>
        <w:rPr>
          <w:szCs w:val="22"/>
          <w:lang w:val="sr-Latn-ME"/>
        </w:rPr>
      </w:pPr>
      <w:r w:rsidRPr="00456B23">
        <w:rPr>
          <w:szCs w:val="22"/>
          <w:lang w:val="sr-Latn-ME"/>
        </w:rPr>
        <w:t>Prednizol</w:t>
      </w:r>
      <w:r w:rsidR="005B2D92" w:rsidRPr="00456B23">
        <w:rPr>
          <w:szCs w:val="22"/>
          <w:lang w:val="sr-Latn-ME"/>
        </w:rPr>
        <w:t>on se predominantno metaboli</w:t>
      </w:r>
      <w:r w:rsidR="00D1131C" w:rsidRPr="00456B23">
        <w:rPr>
          <w:szCs w:val="22"/>
          <w:lang w:val="sr-Latn-ME"/>
        </w:rPr>
        <w:t>še</w:t>
      </w:r>
      <w:r w:rsidRPr="00456B23">
        <w:rPr>
          <w:szCs w:val="22"/>
          <w:lang w:val="sr-Latn-ME"/>
        </w:rPr>
        <w:t xml:space="preserve"> u jetri, glukuronidacijom (oko 70%) i sulfatacijom (oko 30%). Postoji i parcijalna konverzija do 11 beta, 17 beta-dihidroksiandrost</w:t>
      </w:r>
      <w:r w:rsidR="00754E17" w:rsidRPr="00456B23">
        <w:rPr>
          <w:szCs w:val="22"/>
          <w:lang w:val="sr-Latn-ME"/>
        </w:rPr>
        <w:t>e</w:t>
      </w:r>
      <w:r w:rsidRPr="00456B23">
        <w:rPr>
          <w:szCs w:val="22"/>
          <w:lang w:val="sr-Latn-ME"/>
        </w:rPr>
        <w:t>-1,4-dien-3-ona i 1,4-pregnadien-20-ola. Metaboliti su hormonski nea</w:t>
      </w:r>
      <w:r w:rsidR="005B2D92" w:rsidRPr="00456B23">
        <w:rPr>
          <w:szCs w:val="22"/>
          <w:lang w:val="sr-Latn-ME"/>
        </w:rPr>
        <w:t>ktivni i pretežno se eliminišu</w:t>
      </w:r>
      <w:r w:rsidRPr="00456B23">
        <w:rPr>
          <w:szCs w:val="22"/>
          <w:lang w:val="sr-Latn-ME"/>
        </w:rPr>
        <w:t xml:space="preserve"> putem bubrega. U neizmijenjenom obliku, prednizon i prednizolon mogu se u urinu naći samo </w:t>
      </w:r>
      <w:r w:rsidR="00D1131C" w:rsidRPr="00456B23">
        <w:rPr>
          <w:szCs w:val="22"/>
          <w:lang w:val="sr-Latn-ME"/>
        </w:rPr>
        <w:t>u</w:t>
      </w:r>
      <w:r w:rsidRPr="00456B23">
        <w:rPr>
          <w:szCs w:val="22"/>
          <w:lang w:val="sr-Latn-ME"/>
        </w:rPr>
        <w:t xml:space="preserve"> minimalnim </w:t>
      </w:r>
      <w:r w:rsidR="00D1131C" w:rsidRPr="00456B23">
        <w:rPr>
          <w:szCs w:val="22"/>
          <w:lang w:val="sr-Latn-ME"/>
        </w:rPr>
        <w:t>koncentracijama</w:t>
      </w:r>
      <w:r w:rsidRPr="00456B23">
        <w:rPr>
          <w:szCs w:val="22"/>
          <w:lang w:val="sr-Latn-ME"/>
        </w:rPr>
        <w:t>. Polu</w:t>
      </w:r>
      <w:r w:rsidR="00D1131C" w:rsidRPr="00456B23">
        <w:rPr>
          <w:szCs w:val="22"/>
          <w:lang w:val="sr-Latn-ME"/>
        </w:rPr>
        <w:t>vrijeme</w:t>
      </w:r>
      <w:r w:rsidRPr="00456B23">
        <w:rPr>
          <w:szCs w:val="22"/>
          <w:lang w:val="sr-Latn-ME"/>
        </w:rPr>
        <w:t xml:space="preserve"> eliminacije iz plazme iznosi oko 3 sata, a produžen je kod teških poremećaja funkcije jetre. Trajanje dejstva prednizona duže je nego što je njegovo zadržavanje u serumu; kod srednjih doza iznosi 18 do 36 sati.</w:t>
      </w:r>
    </w:p>
    <w:p w14:paraId="5D257A76" w14:textId="77777777" w:rsidR="00054D7D" w:rsidRPr="00456B23" w:rsidRDefault="00054D7D">
      <w:pPr>
        <w:keepNext/>
        <w:outlineLvl w:val="1"/>
        <w:rPr>
          <w:szCs w:val="22"/>
          <w:lang w:val="sr-Latn-ME"/>
        </w:rPr>
      </w:pPr>
    </w:p>
    <w:p w14:paraId="01D7E187" w14:textId="77777777" w:rsidR="00054D7D" w:rsidRPr="00456B23" w:rsidRDefault="00054D7D">
      <w:pPr>
        <w:autoSpaceDE w:val="0"/>
        <w:autoSpaceDN w:val="0"/>
        <w:adjustRightInd w:val="0"/>
        <w:rPr>
          <w:szCs w:val="22"/>
          <w:lang w:val="sr-Latn-ME"/>
        </w:rPr>
      </w:pPr>
      <w:r w:rsidRPr="00456B23">
        <w:rPr>
          <w:b/>
          <w:bCs/>
          <w:szCs w:val="22"/>
          <w:lang w:val="sr-Latn-ME"/>
        </w:rPr>
        <w:t xml:space="preserve">Bioraspoloživost </w:t>
      </w:r>
    </w:p>
    <w:p w14:paraId="51F3B7A8" w14:textId="77777777" w:rsidR="00054D7D" w:rsidRPr="00456B23" w:rsidRDefault="00054D7D">
      <w:pPr>
        <w:autoSpaceDE w:val="0"/>
        <w:autoSpaceDN w:val="0"/>
        <w:adjustRightInd w:val="0"/>
        <w:rPr>
          <w:b/>
          <w:bCs/>
          <w:szCs w:val="22"/>
          <w:lang w:val="sr-Latn-ME"/>
        </w:rPr>
      </w:pPr>
    </w:p>
    <w:p w14:paraId="0DD98A0B" w14:textId="6970C5AB" w:rsidR="00054D7D" w:rsidRPr="00456B23" w:rsidRDefault="00054D7D">
      <w:pPr>
        <w:autoSpaceDE w:val="0"/>
        <w:autoSpaceDN w:val="0"/>
        <w:adjustRightInd w:val="0"/>
        <w:rPr>
          <w:b/>
          <w:szCs w:val="22"/>
          <w:lang w:val="sr-Latn-ME"/>
        </w:rPr>
      </w:pPr>
      <w:r w:rsidRPr="00456B23">
        <w:rPr>
          <w:b/>
          <w:bCs/>
          <w:szCs w:val="22"/>
          <w:lang w:val="sr-Latn-ME"/>
        </w:rPr>
        <w:t>Relativna bioraspoloživost/</w:t>
      </w:r>
      <w:r w:rsidRPr="00456B23">
        <w:rPr>
          <w:b/>
          <w:szCs w:val="22"/>
          <w:lang w:val="sr-Latn-ME"/>
        </w:rPr>
        <w:t>bioekvivalencija</w:t>
      </w:r>
      <w:r w:rsidRPr="00456B23">
        <w:rPr>
          <w:b/>
          <w:bCs/>
          <w:szCs w:val="22"/>
          <w:lang w:val="sr-Latn-ME"/>
        </w:rPr>
        <w:t xml:space="preserve"> 5 mg </w:t>
      </w:r>
      <w:r w:rsidR="00451F18" w:rsidRPr="00456B23">
        <w:rPr>
          <w:b/>
          <w:bCs/>
          <w:szCs w:val="22"/>
          <w:lang w:val="sr-Latn-ME"/>
        </w:rPr>
        <w:t>prema</w:t>
      </w:r>
      <w:r w:rsidRPr="00456B23">
        <w:rPr>
          <w:b/>
          <w:bCs/>
          <w:szCs w:val="22"/>
          <w:lang w:val="sr-Latn-ME"/>
        </w:rPr>
        <w:t xml:space="preserve"> 20 mg </w:t>
      </w:r>
    </w:p>
    <w:p w14:paraId="6D918296" w14:textId="77777777" w:rsidR="00054D7D" w:rsidRPr="00456B23" w:rsidRDefault="00054D7D">
      <w:pPr>
        <w:autoSpaceDE w:val="0"/>
        <w:autoSpaceDN w:val="0"/>
        <w:adjustRightInd w:val="0"/>
        <w:rPr>
          <w:b/>
          <w:szCs w:val="22"/>
          <w:lang w:val="sr-Latn-ME"/>
        </w:rPr>
      </w:pPr>
    </w:p>
    <w:p w14:paraId="024BB659" w14:textId="6DE4D3FF" w:rsidR="00054D7D" w:rsidRPr="00456B23" w:rsidRDefault="00054D7D">
      <w:pPr>
        <w:autoSpaceDE w:val="0"/>
        <w:autoSpaceDN w:val="0"/>
        <w:adjustRightInd w:val="0"/>
        <w:rPr>
          <w:szCs w:val="22"/>
          <w:lang w:val="sr-Latn-ME"/>
        </w:rPr>
      </w:pPr>
      <w:r w:rsidRPr="00456B23">
        <w:rPr>
          <w:szCs w:val="22"/>
          <w:lang w:val="sr-Latn-ME"/>
        </w:rPr>
        <w:t>U randomiz</w:t>
      </w:r>
      <w:r w:rsidR="00D1131C" w:rsidRPr="00456B23">
        <w:rPr>
          <w:szCs w:val="22"/>
          <w:lang w:val="sr-Latn-ME"/>
        </w:rPr>
        <w:t>ov</w:t>
      </w:r>
      <w:r w:rsidRPr="00456B23">
        <w:rPr>
          <w:szCs w:val="22"/>
          <w:lang w:val="sr-Latn-ME"/>
        </w:rPr>
        <w:t xml:space="preserve">anoj, dvostrukoj </w:t>
      </w:r>
      <w:r w:rsidRPr="00456B23">
        <w:rPr>
          <w:i/>
          <w:iCs/>
          <w:szCs w:val="22"/>
          <w:lang w:val="sr-Latn-ME"/>
        </w:rPr>
        <w:t xml:space="preserve">cross-over </w:t>
      </w:r>
      <w:r w:rsidRPr="00456B23">
        <w:rPr>
          <w:szCs w:val="22"/>
          <w:lang w:val="sr-Latn-ME"/>
        </w:rPr>
        <w:t>st</w:t>
      </w:r>
      <w:r w:rsidR="00804A4D" w:rsidRPr="00456B23">
        <w:rPr>
          <w:szCs w:val="22"/>
          <w:lang w:val="sr-Latn-ME"/>
        </w:rPr>
        <w:t xml:space="preserve">udiji, </w:t>
      </w:r>
      <w:r w:rsidR="00D1131C" w:rsidRPr="00456B23">
        <w:rPr>
          <w:szCs w:val="22"/>
          <w:lang w:val="sr-Latn-ME"/>
        </w:rPr>
        <w:t>s</w:t>
      </w:r>
      <w:r w:rsidR="00804A4D" w:rsidRPr="00456B23">
        <w:rPr>
          <w:szCs w:val="22"/>
          <w:lang w:val="sr-Latn-ME"/>
        </w:rPr>
        <w:t>provedenoj 1993. godine kod</w:t>
      </w:r>
      <w:r w:rsidRPr="00456B23">
        <w:rPr>
          <w:szCs w:val="22"/>
          <w:lang w:val="sr-Latn-ME"/>
        </w:rPr>
        <w:t xml:space="preserve"> 12 muških osoba, ispitivana je relativna bioraspoloživost/bioekvivalencija, pri čemi je jedna tableta prednizona 20 mg (test) poređena s 4 tablete prednizona 5 mg (referenca). Tablete su uzimane ujutro nakon standardnog doručka. </w:t>
      </w:r>
    </w:p>
    <w:p w14:paraId="7EA5E2DB" w14:textId="77777777" w:rsidR="00754E17" w:rsidRPr="00456B23" w:rsidRDefault="00754E17">
      <w:pPr>
        <w:autoSpaceDE w:val="0"/>
        <w:autoSpaceDN w:val="0"/>
        <w:adjustRightInd w:val="0"/>
        <w:rPr>
          <w:b/>
          <w:szCs w:val="22"/>
          <w:lang w:val="sr-Latn-ME"/>
        </w:rPr>
      </w:pPr>
    </w:p>
    <w:p w14:paraId="2D9F1F91" w14:textId="261190A7" w:rsidR="00054D7D" w:rsidRPr="00456B23" w:rsidRDefault="00054D7D">
      <w:pPr>
        <w:rPr>
          <w:szCs w:val="22"/>
          <w:lang w:val="sr-Latn-ME"/>
        </w:rPr>
      </w:pPr>
      <w:r w:rsidRPr="00456B23">
        <w:rPr>
          <w:szCs w:val="22"/>
          <w:lang w:val="sr-Latn-ME"/>
        </w:rPr>
        <w:t>Za prednizon i prednizolon, dobi</w:t>
      </w:r>
      <w:r w:rsidR="00451F18" w:rsidRPr="00456B23">
        <w:rPr>
          <w:szCs w:val="22"/>
          <w:lang w:val="sr-Latn-ME"/>
        </w:rPr>
        <w:t>j</w:t>
      </w:r>
      <w:r w:rsidRPr="00456B23">
        <w:rPr>
          <w:szCs w:val="22"/>
          <w:lang w:val="sr-Latn-ME"/>
        </w:rPr>
        <w:t>eni su sljedeći rezultati:</w:t>
      </w:r>
    </w:p>
    <w:p w14:paraId="4C8AD019" w14:textId="77777777" w:rsidR="00054D7D" w:rsidRPr="00456B23" w:rsidRDefault="00054D7D">
      <w:pPr>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1548"/>
        <w:gridCol w:w="1548"/>
        <w:gridCol w:w="1548"/>
        <w:gridCol w:w="1548"/>
      </w:tblGrid>
      <w:tr w:rsidR="00054D7D" w:rsidRPr="00456B23" w14:paraId="7135422E" w14:textId="77777777" w:rsidTr="00172AC1">
        <w:tc>
          <w:tcPr>
            <w:tcW w:w="3096" w:type="dxa"/>
            <w:shd w:val="clear" w:color="auto" w:fill="auto"/>
          </w:tcPr>
          <w:p w14:paraId="045E386F" w14:textId="77777777" w:rsidR="00054D7D" w:rsidRPr="00456B23" w:rsidRDefault="00054D7D">
            <w:pPr>
              <w:keepNext/>
              <w:spacing w:before="120" w:after="120"/>
              <w:outlineLvl w:val="1"/>
              <w:rPr>
                <w:rFonts w:eastAsia="Calibri"/>
                <w:szCs w:val="22"/>
                <w:lang w:val="sr-Latn-ME"/>
              </w:rPr>
            </w:pPr>
          </w:p>
        </w:tc>
        <w:tc>
          <w:tcPr>
            <w:tcW w:w="3096" w:type="dxa"/>
            <w:gridSpan w:val="2"/>
            <w:shd w:val="clear" w:color="auto" w:fill="auto"/>
          </w:tcPr>
          <w:p w14:paraId="2DA7BCA3"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Prednizon</w:t>
            </w:r>
          </w:p>
        </w:tc>
        <w:tc>
          <w:tcPr>
            <w:tcW w:w="3096" w:type="dxa"/>
            <w:gridSpan w:val="2"/>
            <w:shd w:val="clear" w:color="auto" w:fill="auto"/>
          </w:tcPr>
          <w:p w14:paraId="16FC898A"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Prednizolon</w:t>
            </w:r>
          </w:p>
        </w:tc>
      </w:tr>
      <w:tr w:rsidR="00054D7D" w:rsidRPr="00456B23" w14:paraId="02A63596" w14:textId="77777777" w:rsidTr="00172AC1">
        <w:tc>
          <w:tcPr>
            <w:tcW w:w="3096" w:type="dxa"/>
            <w:shd w:val="clear" w:color="auto" w:fill="auto"/>
          </w:tcPr>
          <w:p w14:paraId="2338D0C1" w14:textId="77777777" w:rsidR="00054D7D" w:rsidRPr="00456B23" w:rsidRDefault="00054D7D" w:rsidP="00172AC1">
            <w:pPr>
              <w:keepNext/>
              <w:spacing w:before="120" w:after="120"/>
              <w:outlineLvl w:val="1"/>
              <w:rPr>
                <w:rFonts w:eastAsia="Calibri"/>
                <w:szCs w:val="22"/>
                <w:lang w:val="sr-Latn-ME"/>
              </w:rPr>
            </w:pPr>
            <w:r w:rsidRPr="00456B23">
              <w:rPr>
                <w:rFonts w:eastAsia="Calibri"/>
                <w:szCs w:val="22"/>
                <w:lang w:val="sr-Latn-ME"/>
              </w:rPr>
              <w:t>Parametar*</w:t>
            </w:r>
          </w:p>
        </w:tc>
        <w:tc>
          <w:tcPr>
            <w:tcW w:w="1548" w:type="dxa"/>
            <w:shd w:val="clear" w:color="auto" w:fill="auto"/>
          </w:tcPr>
          <w:p w14:paraId="55AD4145"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Prednizon</w:t>
            </w:r>
          </w:p>
          <w:p w14:paraId="72ADE701"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20 mg</w:t>
            </w:r>
          </w:p>
        </w:tc>
        <w:tc>
          <w:tcPr>
            <w:tcW w:w="1548" w:type="dxa"/>
            <w:shd w:val="clear" w:color="auto" w:fill="auto"/>
          </w:tcPr>
          <w:p w14:paraId="148403A2"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Prednizon</w:t>
            </w:r>
          </w:p>
          <w:p w14:paraId="278C117B"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5 mg</w:t>
            </w:r>
          </w:p>
        </w:tc>
        <w:tc>
          <w:tcPr>
            <w:tcW w:w="1548" w:type="dxa"/>
            <w:shd w:val="clear" w:color="auto" w:fill="auto"/>
          </w:tcPr>
          <w:p w14:paraId="438754EE"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Prednizon</w:t>
            </w:r>
          </w:p>
          <w:p w14:paraId="39D1FF9C"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20 mg</w:t>
            </w:r>
          </w:p>
        </w:tc>
        <w:tc>
          <w:tcPr>
            <w:tcW w:w="1548" w:type="dxa"/>
            <w:shd w:val="clear" w:color="auto" w:fill="auto"/>
          </w:tcPr>
          <w:p w14:paraId="4847D2A5"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Prednizon</w:t>
            </w:r>
          </w:p>
          <w:p w14:paraId="0668EF05"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5 mg</w:t>
            </w:r>
          </w:p>
        </w:tc>
      </w:tr>
      <w:tr w:rsidR="00054D7D" w:rsidRPr="00456B23" w14:paraId="02B830D4" w14:textId="77777777" w:rsidTr="00172AC1">
        <w:tc>
          <w:tcPr>
            <w:tcW w:w="3096"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880"/>
            </w:tblGrid>
            <w:tr w:rsidR="00054D7D" w:rsidRPr="00456B23" w14:paraId="05E5DF26" w14:textId="77777777" w:rsidTr="00172AC1">
              <w:trPr>
                <w:trHeight w:val="524"/>
              </w:trPr>
              <w:tc>
                <w:tcPr>
                  <w:tcW w:w="0" w:type="auto"/>
                </w:tcPr>
                <w:p w14:paraId="3D6279C2" w14:textId="77777777" w:rsidR="00054D7D" w:rsidRPr="00456B23" w:rsidRDefault="00054D7D" w:rsidP="002D7BA2">
                  <w:pPr>
                    <w:autoSpaceDE w:val="0"/>
                    <w:autoSpaceDN w:val="0"/>
                    <w:adjustRightInd w:val="0"/>
                    <w:ind w:left="-83"/>
                    <w:rPr>
                      <w:szCs w:val="22"/>
                      <w:lang w:val="sr-Latn-ME"/>
                    </w:rPr>
                  </w:pPr>
                  <w:r w:rsidRPr="00456B23">
                    <w:rPr>
                      <w:szCs w:val="22"/>
                      <w:lang w:val="sr-Latn-ME"/>
                    </w:rPr>
                    <w:t>Maksimalna koncentracija u plazmi (c</w:t>
                  </w:r>
                  <w:r w:rsidRPr="00456B23">
                    <w:rPr>
                      <w:position w:val="-8"/>
                      <w:szCs w:val="22"/>
                      <w:vertAlign w:val="subscript"/>
                      <w:lang w:val="sr-Latn-ME"/>
                    </w:rPr>
                    <w:t>max</w:t>
                  </w:r>
                  <w:r w:rsidRPr="00456B23">
                    <w:rPr>
                      <w:szCs w:val="22"/>
                      <w:lang w:val="sr-Latn-ME"/>
                    </w:rPr>
                    <w:t xml:space="preserve">) (ng/ml) </w:t>
                  </w:r>
                </w:p>
              </w:tc>
            </w:tr>
          </w:tbl>
          <w:p w14:paraId="5EAE6CD9" w14:textId="77777777" w:rsidR="00054D7D" w:rsidRPr="00456B23" w:rsidRDefault="00054D7D" w:rsidP="00172AC1">
            <w:pPr>
              <w:keepNext/>
              <w:spacing w:before="120" w:after="120"/>
              <w:outlineLvl w:val="1"/>
              <w:rPr>
                <w:rFonts w:eastAsia="Calibri"/>
                <w:szCs w:val="22"/>
                <w:lang w:val="sr-Latn-ME"/>
              </w:rPr>
            </w:pPr>
          </w:p>
        </w:tc>
        <w:tc>
          <w:tcPr>
            <w:tcW w:w="1548" w:type="dxa"/>
            <w:shd w:val="clear" w:color="auto" w:fill="auto"/>
          </w:tcPr>
          <w:p w14:paraId="6492BBF0"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44,91 (11,07)</w:t>
            </w:r>
          </w:p>
        </w:tc>
        <w:tc>
          <w:tcPr>
            <w:tcW w:w="1548" w:type="dxa"/>
            <w:shd w:val="clear" w:color="auto" w:fill="auto"/>
          </w:tcPr>
          <w:p w14:paraId="6C40D0BC"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45,24 (9,37)</w:t>
            </w:r>
          </w:p>
        </w:tc>
        <w:tc>
          <w:tcPr>
            <w:tcW w:w="1548" w:type="dxa"/>
            <w:shd w:val="clear" w:color="auto" w:fill="auto"/>
          </w:tcPr>
          <w:p w14:paraId="0D94A161"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357,3 (73,02)</w:t>
            </w:r>
          </w:p>
        </w:tc>
        <w:tc>
          <w:tcPr>
            <w:tcW w:w="1548" w:type="dxa"/>
            <w:shd w:val="clear" w:color="auto" w:fill="auto"/>
          </w:tcPr>
          <w:p w14:paraId="19FFBB11"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337,0 (72,3)</w:t>
            </w:r>
          </w:p>
        </w:tc>
      </w:tr>
      <w:tr w:rsidR="00054D7D" w:rsidRPr="00456B23" w14:paraId="298DBB3B" w14:textId="77777777" w:rsidTr="00172AC1">
        <w:tc>
          <w:tcPr>
            <w:tcW w:w="3096" w:type="dxa"/>
            <w:shd w:val="clear" w:color="auto" w:fill="auto"/>
          </w:tcPr>
          <w:p w14:paraId="6F35EA96" w14:textId="77777777" w:rsidR="00054D7D" w:rsidRPr="00456B23" w:rsidRDefault="00054D7D" w:rsidP="00172AC1">
            <w:pPr>
              <w:keepNext/>
              <w:outlineLvl w:val="1"/>
              <w:rPr>
                <w:rFonts w:eastAsia="Calibri"/>
                <w:szCs w:val="22"/>
                <w:lang w:val="sr-Latn-ME"/>
              </w:rPr>
            </w:pPr>
            <w:r w:rsidRPr="00456B23">
              <w:rPr>
                <w:rFonts w:eastAsia="Calibri"/>
                <w:szCs w:val="22"/>
                <w:lang w:val="sr-Latn-ME"/>
              </w:rPr>
              <w:t>Vrijeme</w:t>
            </w:r>
          </w:p>
          <w:p w14:paraId="027577D5" w14:textId="77777777" w:rsidR="00054D7D" w:rsidRPr="00456B23" w:rsidRDefault="00054D7D" w:rsidP="00172AC1">
            <w:pPr>
              <w:keepNext/>
              <w:outlineLvl w:val="1"/>
              <w:rPr>
                <w:rFonts w:eastAsia="Calibri"/>
                <w:szCs w:val="22"/>
                <w:lang w:val="sr-Latn-ME"/>
              </w:rPr>
            </w:pPr>
            <w:r w:rsidRPr="00456B23">
              <w:rPr>
                <w:rFonts w:eastAsia="Calibri"/>
                <w:szCs w:val="22"/>
                <w:lang w:val="sr-Latn-ME"/>
              </w:rPr>
              <w:t>maksimalne</w:t>
            </w:r>
          </w:p>
          <w:p w14:paraId="6F82C9D1" w14:textId="77777777" w:rsidR="00054D7D" w:rsidRPr="00456B23" w:rsidRDefault="00054D7D" w:rsidP="00172AC1">
            <w:pPr>
              <w:keepNext/>
              <w:outlineLvl w:val="1"/>
              <w:rPr>
                <w:rFonts w:eastAsia="Calibri"/>
                <w:szCs w:val="22"/>
                <w:lang w:val="sr-Latn-ME"/>
              </w:rPr>
            </w:pPr>
            <w:r w:rsidRPr="00456B23">
              <w:rPr>
                <w:rFonts w:eastAsia="Calibri"/>
                <w:szCs w:val="22"/>
                <w:lang w:val="sr-Latn-ME"/>
              </w:rPr>
              <w:t>koncentracije</w:t>
            </w:r>
          </w:p>
          <w:p w14:paraId="078553EA" w14:textId="77777777" w:rsidR="00054D7D" w:rsidRPr="00456B23" w:rsidRDefault="00054D7D" w:rsidP="00172AC1">
            <w:pPr>
              <w:keepNext/>
              <w:outlineLvl w:val="1"/>
              <w:rPr>
                <w:rFonts w:eastAsia="Calibri"/>
                <w:szCs w:val="22"/>
                <w:lang w:val="sr-Latn-ME"/>
              </w:rPr>
            </w:pPr>
            <w:r w:rsidRPr="00456B23">
              <w:rPr>
                <w:rFonts w:eastAsia="Calibri"/>
                <w:szCs w:val="22"/>
                <w:lang w:val="sr-Latn-ME"/>
              </w:rPr>
              <w:t>u plazmi (t</w:t>
            </w:r>
            <w:r w:rsidRPr="00456B23">
              <w:rPr>
                <w:rFonts w:eastAsia="Calibri"/>
                <w:szCs w:val="22"/>
                <w:vertAlign w:val="subscript"/>
                <w:lang w:val="sr-Latn-ME"/>
              </w:rPr>
              <w:t>max</w:t>
            </w:r>
            <w:r w:rsidRPr="00456B23">
              <w:rPr>
                <w:rFonts w:eastAsia="Calibri"/>
                <w:szCs w:val="22"/>
                <w:lang w:val="sr-Latn-ME"/>
              </w:rPr>
              <w:t>) (h)</w:t>
            </w:r>
          </w:p>
        </w:tc>
        <w:tc>
          <w:tcPr>
            <w:tcW w:w="1548" w:type="dxa"/>
            <w:shd w:val="clear" w:color="auto" w:fill="auto"/>
          </w:tcPr>
          <w:p w14:paraId="20F0DB4D"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3,92 (1,00)</w:t>
            </w:r>
          </w:p>
        </w:tc>
        <w:tc>
          <w:tcPr>
            <w:tcW w:w="1548" w:type="dxa"/>
            <w:shd w:val="clear" w:color="auto" w:fill="auto"/>
          </w:tcPr>
          <w:p w14:paraId="5319E1A7"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3,04 (1,29)</w:t>
            </w:r>
          </w:p>
        </w:tc>
        <w:tc>
          <w:tcPr>
            <w:tcW w:w="1548" w:type="dxa"/>
            <w:shd w:val="clear" w:color="auto" w:fill="auto"/>
          </w:tcPr>
          <w:p w14:paraId="22F2A4DA"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1,25 (0,48)</w:t>
            </w:r>
          </w:p>
        </w:tc>
        <w:tc>
          <w:tcPr>
            <w:tcW w:w="1548" w:type="dxa"/>
            <w:shd w:val="clear" w:color="auto" w:fill="auto"/>
          </w:tcPr>
          <w:p w14:paraId="51AB0939"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1,25 (0,71)</w:t>
            </w:r>
          </w:p>
        </w:tc>
      </w:tr>
      <w:tr w:rsidR="00054D7D" w:rsidRPr="00456B23" w14:paraId="7190AF33" w14:textId="77777777" w:rsidTr="00172AC1">
        <w:tc>
          <w:tcPr>
            <w:tcW w:w="3096" w:type="dxa"/>
            <w:shd w:val="clear" w:color="auto" w:fill="auto"/>
          </w:tcPr>
          <w:p w14:paraId="3D549303" w14:textId="57753DF6" w:rsidR="00054D7D" w:rsidRPr="00456B23" w:rsidRDefault="00054D7D" w:rsidP="00172AC1">
            <w:pPr>
              <w:keepNext/>
              <w:spacing w:before="120" w:after="120"/>
              <w:outlineLvl w:val="1"/>
              <w:rPr>
                <w:rFonts w:eastAsia="Calibri"/>
                <w:szCs w:val="22"/>
                <w:lang w:val="sr-Latn-ME"/>
              </w:rPr>
            </w:pPr>
            <w:r w:rsidRPr="00456B23">
              <w:rPr>
                <w:rFonts w:eastAsia="Calibri"/>
                <w:szCs w:val="22"/>
                <w:lang w:val="sr-Latn-ME"/>
              </w:rPr>
              <w:t>Površina ispod kriv</w:t>
            </w:r>
            <w:r w:rsidR="00451F18" w:rsidRPr="00456B23">
              <w:rPr>
                <w:rFonts w:eastAsia="Calibri"/>
                <w:szCs w:val="22"/>
                <w:lang w:val="sr-Latn-ME"/>
              </w:rPr>
              <w:t>e</w:t>
            </w:r>
            <w:r w:rsidRPr="00456B23">
              <w:rPr>
                <w:rFonts w:eastAsia="Calibri"/>
                <w:szCs w:val="22"/>
                <w:lang w:val="sr-Latn-ME"/>
              </w:rPr>
              <w:t xml:space="preserve"> (AUC)</w:t>
            </w:r>
          </w:p>
          <w:p w14:paraId="7098A5FD" w14:textId="77777777" w:rsidR="00054D7D" w:rsidRPr="00456B23" w:rsidRDefault="00054D7D" w:rsidP="00172AC1">
            <w:pPr>
              <w:keepNext/>
              <w:spacing w:before="120" w:after="120"/>
              <w:outlineLvl w:val="1"/>
              <w:rPr>
                <w:rFonts w:eastAsia="Calibri"/>
                <w:szCs w:val="22"/>
                <w:lang w:val="sr-Latn-ME"/>
              </w:rPr>
            </w:pPr>
            <w:r w:rsidRPr="00456B23">
              <w:rPr>
                <w:rFonts w:eastAsia="Calibri"/>
                <w:szCs w:val="22"/>
                <w:lang w:val="sr-Latn-ME"/>
              </w:rPr>
              <w:t>(h x ng/ml)</w:t>
            </w:r>
          </w:p>
        </w:tc>
        <w:tc>
          <w:tcPr>
            <w:tcW w:w="1548" w:type="dxa"/>
            <w:shd w:val="clear" w:color="auto" w:fill="auto"/>
          </w:tcPr>
          <w:p w14:paraId="2B24DB30"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297,7 (83,1)</w:t>
            </w:r>
          </w:p>
          <w:p w14:paraId="3FF99914"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337,5 (94,6)</w:t>
            </w:r>
          </w:p>
        </w:tc>
        <w:tc>
          <w:tcPr>
            <w:tcW w:w="1548" w:type="dxa"/>
            <w:shd w:val="clear" w:color="auto" w:fill="auto"/>
          </w:tcPr>
          <w:p w14:paraId="65726988"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287,5 (89,2)</w:t>
            </w:r>
          </w:p>
          <w:p w14:paraId="71477B5E"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329,0 (97,1)</w:t>
            </w:r>
          </w:p>
        </w:tc>
        <w:tc>
          <w:tcPr>
            <w:tcW w:w="1548" w:type="dxa"/>
            <w:shd w:val="clear" w:color="auto" w:fill="auto"/>
          </w:tcPr>
          <w:p w14:paraId="5E54B3BE"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1903,5 (333,6)</w:t>
            </w:r>
          </w:p>
          <w:p w14:paraId="72805DC2"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2019,5 (308,3)</w:t>
            </w:r>
          </w:p>
        </w:tc>
        <w:tc>
          <w:tcPr>
            <w:tcW w:w="1548" w:type="dxa"/>
            <w:shd w:val="clear" w:color="auto" w:fill="auto"/>
          </w:tcPr>
          <w:p w14:paraId="4199BE3B"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1934,2 (515,4)</w:t>
            </w:r>
          </w:p>
          <w:p w14:paraId="4223C6DC"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2009,2 (473,7)</w:t>
            </w:r>
          </w:p>
        </w:tc>
      </w:tr>
    </w:tbl>
    <w:p w14:paraId="569E2A17" w14:textId="77777777" w:rsidR="00054D7D" w:rsidRPr="00456B23" w:rsidRDefault="00054D7D" w:rsidP="00172AC1">
      <w:pPr>
        <w:rPr>
          <w:szCs w:val="22"/>
          <w:lang w:val="sr-Latn-ME"/>
        </w:rPr>
      </w:pPr>
      <w:r w:rsidRPr="00456B23">
        <w:rPr>
          <w:szCs w:val="22"/>
          <w:lang w:val="sr-Latn-ME"/>
        </w:rPr>
        <w:t>*Navedene vrijednosti su srednje vrijednosti i standardne devijacije</w:t>
      </w:r>
    </w:p>
    <w:p w14:paraId="0CC1AA39" w14:textId="77777777" w:rsidR="00054D7D" w:rsidRPr="00456B23" w:rsidRDefault="00054D7D" w:rsidP="00172AC1">
      <w:pPr>
        <w:keepNext/>
        <w:outlineLvl w:val="1"/>
        <w:rPr>
          <w:szCs w:val="22"/>
          <w:lang w:val="sr-Latn-M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76"/>
        <w:gridCol w:w="1418"/>
        <w:gridCol w:w="1734"/>
        <w:gridCol w:w="1596"/>
        <w:gridCol w:w="1602"/>
      </w:tblGrid>
      <w:tr w:rsidR="00054D7D" w:rsidRPr="00456B23" w14:paraId="5CA45A10" w14:textId="77777777" w:rsidTr="00172AC1">
        <w:trPr>
          <w:trHeight w:val="453"/>
        </w:trPr>
        <w:tc>
          <w:tcPr>
            <w:tcW w:w="1696" w:type="dxa"/>
            <w:shd w:val="clear" w:color="auto" w:fill="auto"/>
          </w:tcPr>
          <w:p w14:paraId="7CABF577" w14:textId="77777777" w:rsidR="00054D7D" w:rsidRPr="00456B23" w:rsidRDefault="00054D7D" w:rsidP="00172AC1">
            <w:pPr>
              <w:keepNext/>
              <w:spacing w:before="120" w:after="120"/>
              <w:outlineLvl w:val="1"/>
              <w:rPr>
                <w:rFonts w:eastAsia="Calibri"/>
                <w:szCs w:val="22"/>
                <w:lang w:val="sr-Latn-ME"/>
              </w:rPr>
            </w:pPr>
          </w:p>
        </w:tc>
        <w:tc>
          <w:tcPr>
            <w:tcW w:w="1276" w:type="dxa"/>
            <w:shd w:val="clear" w:color="auto" w:fill="auto"/>
          </w:tcPr>
          <w:p w14:paraId="6BF4CF3D" w14:textId="77777777" w:rsidR="00054D7D" w:rsidRPr="00456B23" w:rsidRDefault="00054D7D" w:rsidP="00172AC1">
            <w:pPr>
              <w:keepNext/>
              <w:spacing w:before="120" w:after="120"/>
              <w:outlineLvl w:val="1"/>
              <w:rPr>
                <w:rFonts w:eastAsia="Calibri"/>
                <w:szCs w:val="22"/>
                <w:lang w:val="sr-Latn-ME"/>
              </w:rPr>
            </w:pPr>
          </w:p>
        </w:tc>
        <w:tc>
          <w:tcPr>
            <w:tcW w:w="3152" w:type="dxa"/>
            <w:gridSpan w:val="2"/>
            <w:shd w:val="clear" w:color="auto" w:fill="auto"/>
          </w:tcPr>
          <w:p w14:paraId="29BF3E7D"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Prednizon</w:t>
            </w:r>
          </w:p>
        </w:tc>
        <w:tc>
          <w:tcPr>
            <w:tcW w:w="3198" w:type="dxa"/>
            <w:gridSpan w:val="2"/>
            <w:shd w:val="clear" w:color="auto" w:fill="auto"/>
          </w:tcPr>
          <w:p w14:paraId="28CD0778"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Prednizolon</w:t>
            </w:r>
          </w:p>
        </w:tc>
      </w:tr>
      <w:tr w:rsidR="00054D7D" w:rsidRPr="00456B23" w14:paraId="1313B160" w14:textId="77777777" w:rsidTr="00172AC1">
        <w:trPr>
          <w:trHeight w:val="789"/>
        </w:trPr>
        <w:tc>
          <w:tcPr>
            <w:tcW w:w="1696" w:type="dxa"/>
            <w:shd w:val="clear" w:color="auto" w:fill="auto"/>
          </w:tcPr>
          <w:p w14:paraId="281FFEFE" w14:textId="77777777" w:rsidR="00054D7D" w:rsidRPr="00456B23" w:rsidRDefault="00054D7D" w:rsidP="00172AC1">
            <w:pPr>
              <w:keepNext/>
              <w:spacing w:before="120" w:after="120"/>
              <w:outlineLvl w:val="1"/>
              <w:rPr>
                <w:rFonts w:eastAsia="Calibri"/>
                <w:b/>
                <w:szCs w:val="22"/>
                <w:lang w:val="sr-Latn-ME"/>
              </w:rPr>
            </w:pPr>
            <w:r w:rsidRPr="00456B23">
              <w:rPr>
                <w:rFonts w:eastAsia="Calibri"/>
                <w:b/>
                <w:szCs w:val="22"/>
                <w:lang w:val="sr-Latn-ME"/>
              </w:rPr>
              <w:t>Statistička metoda</w:t>
            </w:r>
          </w:p>
        </w:tc>
        <w:tc>
          <w:tcPr>
            <w:tcW w:w="1276" w:type="dxa"/>
            <w:shd w:val="clear" w:color="auto" w:fill="auto"/>
          </w:tcPr>
          <w:p w14:paraId="6E860E51" w14:textId="77777777" w:rsidR="00054D7D" w:rsidRPr="00456B23" w:rsidRDefault="00054D7D" w:rsidP="00172AC1">
            <w:pPr>
              <w:keepNext/>
              <w:spacing w:before="120" w:after="120"/>
              <w:outlineLvl w:val="1"/>
              <w:rPr>
                <w:rFonts w:eastAsia="Calibri"/>
                <w:b/>
                <w:szCs w:val="22"/>
                <w:lang w:val="sr-Latn-ME"/>
              </w:rPr>
            </w:pPr>
            <w:r w:rsidRPr="00456B23">
              <w:rPr>
                <w:rFonts w:eastAsia="Calibri"/>
                <w:b/>
                <w:szCs w:val="22"/>
                <w:lang w:val="sr-Latn-ME"/>
              </w:rPr>
              <w:t>Parametar</w:t>
            </w:r>
          </w:p>
        </w:tc>
        <w:tc>
          <w:tcPr>
            <w:tcW w:w="1418" w:type="dxa"/>
            <w:shd w:val="clear" w:color="auto" w:fill="auto"/>
          </w:tcPr>
          <w:p w14:paraId="27E03489"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Tačka procjene</w:t>
            </w:r>
          </w:p>
        </w:tc>
        <w:tc>
          <w:tcPr>
            <w:tcW w:w="1734" w:type="dxa"/>
            <w:shd w:val="clear" w:color="auto" w:fill="auto"/>
          </w:tcPr>
          <w:p w14:paraId="5F4C3007"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90% Interval</w:t>
            </w:r>
          </w:p>
          <w:p w14:paraId="08DB6898"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szCs w:val="22"/>
                <w:lang w:val="sr-Latn-ME"/>
              </w:rPr>
              <w:t>pouzdanosti</w:t>
            </w:r>
          </w:p>
        </w:tc>
        <w:tc>
          <w:tcPr>
            <w:tcW w:w="1596" w:type="dxa"/>
            <w:shd w:val="clear" w:color="auto" w:fill="auto"/>
          </w:tcPr>
          <w:p w14:paraId="64483FD8"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Tačka procjene</w:t>
            </w:r>
          </w:p>
        </w:tc>
        <w:tc>
          <w:tcPr>
            <w:tcW w:w="1602" w:type="dxa"/>
            <w:shd w:val="clear" w:color="auto" w:fill="auto"/>
          </w:tcPr>
          <w:p w14:paraId="42C63D40"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90% Interval</w:t>
            </w:r>
          </w:p>
          <w:p w14:paraId="4A289CC9"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pouzdanosti</w:t>
            </w:r>
          </w:p>
        </w:tc>
      </w:tr>
      <w:tr w:rsidR="00054D7D" w:rsidRPr="00456B23" w14:paraId="436ED77E" w14:textId="77777777" w:rsidTr="00172AC1">
        <w:trPr>
          <w:trHeight w:val="453"/>
        </w:trPr>
        <w:tc>
          <w:tcPr>
            <w:tcW w:w="1696"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237"/>
            </w:tblGrid>
            <w:tr w:rsidR="00054D7D" w:rsidRPr="00456B23" w14:paraId="0D0A7D5A" w14:textId="77777777" w:rsidTr="00172AC1">
              <w:trPr>
                <w:trHeight w:val="145"/>
              </w:trPr>
              <w:tc>
                <w:tcPr>
                  <w:tcW w:w="0" w:type="auto"/>
                </w:tcPr>
                <w:p w14:paraId="758867FE" w14:textId="77777777" w:rsidR="00054D7D" w:rsidRPr="00456B23" w:rsidRDefault="00054D7D" w:rsidP="00172AC1">
                  <w:pPr>
                    <w:autoSpaceDE w:val="0"/>
                    <w:autoSpaceDN w:val="0"/>
                    <w:adjustRightInd w:val="0"/>
                    <w:rPr>
                      <w:szCs w:val="22"/>
                      <w:lang w:val="sr-Latn-ME"/>
                    </w:rPr>
                  </w:pPr>
                  <w:r w:rsidRPr="00456B23">
                    <w:rPr>
                      <w:szCs w:val="22"/>
                      <w:lang w:val="sr-Latn-ME"/>
                    </w:rPr>
                    <w:t xml:space="preserve">ANOVA ln </w:t>
                  </w:r>
                </w:p>
              </w:tc>
            </w:tr>
          </w:tbl>
          <w:p w14:paraId="6677A5C2" w14:textId="77777777" w:rsidR="00054D7D" w:rsidRPr="00456B23" w:rsidRDefault="00054D7D" w:rsidP="00172AC1">
            <w:pPr>
              <w:keepNext/>
              <w:spacing w:before="120" w:after="120"/>
              <w:outlineLvl w:val="1"/>
              <w:rPr>
                <w:rFonts w:eastAsia="Calibri"/>
                <w:szCs w:val="22"/>
                <w:lang w:val="sr-Latn-ME"/>
              </w:rPr>
            </w:pPr>
          </w:p>
        </w:tc>
        <w:tc>
          <w:tcPr>
            <w:tcW w:w="1276" w:type="dxa"/>
            <w:shd w:val="clear" w:color="auto" w:fill="auto"/>
          </w:tcPr>
          <w:p w14:paraId="171EE8EF" w14:textId="77777777" w:rsidR="00054D7D" w:rsidRPr="00456B23" w:rsidRDefault="00054D7D" w:rsidP="00172AC1">
            <w:pPr>
              <w:keepNext/>
              <w:spacing w:before="120" w:after="120"/>
              <w:outlineLvl w:val="1"/>
              <w:rPr>
                <w:rFonts w:eastAsia="Calibri"/>
                <w:szCs w:val="22"/>
                <w:lang w:val="sr-Latn-ME"/>
              </w:rPr>
            </w:pPr>
            <w:r w:rsidRPr="00456B23">
              <w:rPr>
                <w:rFonts w:eastAsia="Calibri"/>
                <w:szCs w:val="22"/>
                <w:lang w:val="sr-Latn-ME"/>
              </w:rPr>
              <w:t>AUC</w:t>
            </w:r>
          </w:p>
        </w:tc>
        <w:tc>
          <w:tcPr>
            <w:tcW w:w="1418" w:type="dxa"/>
            <w:shd w:val="clear" w:color="auto" w:fill="auto"/>
          </w:tcPr>
          <w:p w14:paraId="17DACA0E"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102,11</w:t>
            </w:r>
          </w:p>
        </w:tc>
        <w:tc>
          <w:tcPr>
            <w:tcW w:w="1734" w:type="dxa"/>
            <w:shd w:val="clear" w:color="auto" w:fill="auto"/>
          </w:tcPr>
          <w:p w14:paraId="3F863B86"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81,76-127,54</w:t>
            </w:r>
          </w:p>
        </w:tc>
        <w:tc>
          <w:tcPr>
            <w:tcW w:w="1596" w:type="dxa"/>
            <w:shd w:val="clear" w:color="auto" w:fill="auto"/>
          </w:tcPr>
          <w:p w14:paraId="1BA6659D"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100,9</w:t>
            </w:r>
          </w:p>
        </w:tc>
        <w:tc>
          <w:tcPr>
            <w:tcW w:w="1602" w:type="dxa"/>
            <w:shd w:val="clear" w:color="auto" w:fill="auto"/>
          </w:tcPr>
          <w:p w14:paraId="5994FB05"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87,47-116,6</w:t>
            </w:r>
          </w:p>
        </w:tc>
      </w:tr>
      <w:tr w:rsidR="00054D7D" w:rsidRPr="00456B23" w14:paraId="5C1239F6" w14:textId="77777777" w:rsidTr="00172AC1">
        <w:trPr>
          <w:trHeight w:val="453"/>
        </w:trPr>
        <w:tc>
          <w:tcPr>
            <w:tcW w:w="1696" w:type="dxa"/>
            <w:shd w:val="clear" w:color="auto" w:fill="auto"/>
          </w:tcPr>
          <w:p w14:paraId="0E4DCD1A" w14:textId="77777777" w:rsidR="00054D7D" w:rsidRPr="00456B23" w:rsidRDefault="00054D7D" w:rsidP="00172AC1">
            <w:pPr>
              <w:autoSpaceDE w:val="0"/>
              <w:autoSpaceDN w:val="0"/>
              <w:adjustRightInd w:val="0"/>
              <w:rPr>
                <w:rFonts w:eastAsia="Calibri"/>
                <w:szCs w:val="22"/>
                <w:lang w:val="sr-Latn-ME"/>
              </w:rPr>
            </w:pPr>
            <w:r w:rsidRPr="00456B23">
              <w:rPr>
                <w:rFonts w:eastAsia="Calibri"/>
                <w:szCs w:val="22"/>
                <w:lang w:val="sr-Latn-ME"/>
              </w:rPr>
              <w:t>ANOVA ln</w:t>
            </w:r>
          </w:p>
        </w:tc>
        <w:tc>
          <w:tcPr>
            <w:tcW w:w="1276" w:type="dxa"/>
            <w:shd w:val="clear" w:color="auto" w:fill="auto"/>
          </w:tcPr>
          <w:p w14:paraId="59C20721" w14:textId="77777777" w:rsidR="00054D7D" w:rsidRPr="00456B23" w:rsidRDefault="00054D7D" w:rsidP="00172AC1">
            <w:pPr>
              <w:keepNext/>
              <w:spacing w:before="120" w:after="120"/>
              <w:outlineLvl w:val="1"/>
              <w:rPr>
                <w:rFonts w:eastAsia="Calibri"/>
                <w:szCs w:val="22"/>
                <w:lang w:val="sr-Latn-ME"/>
              </w:rPr>
            </w:pPr>
            <w:r w:rsidRPr="00456B23">
              <w:rPr>
                <w:rFonts w:eastAsia="Calibri"/>
                <w:szCs w:val="22"/>
                <w:lang w:val="sr-Latn-ME"/>
              </w:rPr>
              <w:t>C</w:t>
            </w:r>
            <w:r w:rsidRPr="00456B23">
              <w:rPr>
                <w:rFonts w:eastAsia="Calibri"/>
                <w:szCs w:val="22"/>
                <w:vertAlign w:val="subscript"/>
                <w:lang w:val="sr-Latn-ME"/>
              </w:rPr>
              <w:t>max</w:t>
            </w:r>
          </w:p>
        </w:tc>
        <w:tc>
          <w:tcPr>
            <w:tcW w:w="1418" w:type="dxa"/>
            <w:shd w:val="clear" w:color="auto" w:fill="auto"/>
          </w:tcPr>
          <w:p w14:paraId="03986F08"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97,89</w:t>
            </w:r>
          </w:p>
        </w:tc>
        <w:tc>
          <w:tcPr>
            <w:tcW w:w="1734" w:type="dxa"/>
            <w:shd w:val="clear" w:color="auto" w:fill="auto"/>
          </w:tcPr>
          <w:p w14:paraId="09E84AEB"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80,54-118,97</w:t>
            </w:r>
          </w:p>
        </w:tc>
        <w:tc>
          <w:tcPr>
            <w:tcW w:w="1596" w:type="dxa"/>
            <w:shd w:val="clear" w:color="auto" w:fill="auto"/>
          </w:tcPr>
          <w:p w14:paraId="2F8ED803"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106,22</w:t>
            </w:r>
          </w:p>
        </w:tc>
        <w:tc>
          <w:tcPr>
            <w:tcW w:w="1602" w:type="dxa"/>
            <w:shd w:val="clear" w:color="auto" w:fill="auto"/>
          </w:tcPr>
          <w:p w14:paraId="1601BF3D"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91,27-123,63</w:t>
            </w:r>
          </w:p>
        </w:tc>
      </w:tr>
    </w:tbl>
    <w:p w14:paraId="4246720D" w14:textId="77777777" w:rsidR="00054D7D" w:rsidRPr="00456B23" w:rsidRDefault="00054D7D" w:rsidP="00172AC1">
      <w:pPr>
        <w:rPr>
          <w:szCs w:val="22"/>
          <w:lang w:val="sr-Latn-ME"/>
        </w:rPr>
      </w:pPr>
    </w:p>
    <w:p w14:paraId="239234D7" w14:textId="77777777" w:rsidR="00054D7D" w:rsidRPr="00456B23" w:rsidRDefault="00804A4D" w:rsidP="00172AC1">
      <w:pPr>
        <w:rPr>
          <w:szCs w:val="22"/>
          <w:lang w:val="sr-Latn-ME"/>
        </w:rPr>
      </w:pPr>
      <w:r w:rsidRPr="00456B23">
        <w:rPr>
          <w:szCs w:val="22"/>
          <w:lang w:val="sr-Latn-ME"/>
        </w:rPr>
        <w:t>Na osnovu  individualnog poređenja</w:t>
      </w:r>
      <w:r w:rsidR="00054D7D" w:rsidRPr="00456B23">
        <w:rPr>
          <w:szCs w:val="22"/>
          <w:lang w:val="sr-Latn-ME"/>
        </w:rPr>
        <w:t xml:space="preserve"> AUC-a, relativna bioraspoloživost prednizona je u prosjeku 102%, a prednizolona 101%.</w:t>
      </w:r>
    </w:p>
    <w:p w14:paraId="3B01E6F6" w14:textId="77777777" w:rsidR="00054D7D" w:rsidRPr="00456B23" w:rsidRDefault="00054D7D" w:rsidP="00172AC1">
      <w:pPr>
        <w:rPr>
          <w:szCs w:val="22"/>
          <w:lang w:val="sr-Latn-ME"/>
        </w:rPr>
      </w:pPr>
    </w:p>
    <w:p w14:paraId="53063073" w14:textId="77777777" w:rsidR="00054D7D" w:rsidRPr="00456B23" w:rsidRDefault="00054D7D" w:rsidP="00172AC1">
      <w:pPr>
        <w:rPr>
          <w:szCs w:val="22"/>
          <w:lang w:val="sr-Latn-ME"/>
        </w:rPr>
      </w:pPr>
      <w:r w:rsidRPr="00456B23">
        <w:rPr>
          <w:szCs w:val="22"/>
          <w:lang w:val="sr-Latn-ME"/>
        </w:rPr>
        <w:t>CV-ANOVA za procjenu intraindividualne varijabilnosti prednizona i prednizolona, rezultira s 32,70%, odnosno 19,96% za AUC, te 25,06%, odnosno 20,91% za C</w:t>
      </w:r>
      <w:r w:rsidRPr="00456B23">
        <w:rPr>
          <w:szCs w:val="22"/>
          <w:vertAlign w:val="subscript"/>
          <w:lang w:val="sr-Latn-ME"/>
        </w:rPr>
        <w:t>max</w:t>
      </w:r>
      <w:r w:rsidRPr="00456B23">
        <w:rPr>
          <w:szCs w:val="22"/>
          <w:lang w:val="sr-Latn-ME"/>
        </w:rPr>
        <w:t>.</w:t>
      </w:r>
    </w:p>
    <w:p w14:paraId="2F7D97C0" w14:textId="77777777" w:rsidR="00054D7D" w:rsidRPr="00456B23" w:rsidRDefault="00054D7D" w:rsidP="00EB1C82">
      <w:pPr>
        <w:rPr>
          <w:szCs w:val="22"/>
          <w:lang w:val="sr-Latn-ME"/>
        </w:rPr>
      </w:pPr>
    </w:p>
    <w:p w14:paraId="003370C7" w14:textId="77777777" w:rsidR="00054D7D" w:rsidRPr="00456B23" w:rsidRDefault="00054D7D" w:rsidP="0043443B">
      <w:pPr>
        <w:rPr>
          <w:szCs w:val="22"/>
          <w:lang w:val="sr-Latn-ME"/>
        </w:rPr>
      </w:pPr>
      <w:r w:rsidRPr="00456B23">
        <w:rPr>
          <w:szCs w:val="22"/>
          <w:lang w:val="sr-Latn-ME"/>
        </w:rPr>
        <w:t>Tok prosječnog nivoa prednizona i prednizolona u plazmi, nakon uzimanja 1 x prednizon 20 mg i 4 x prednizon 5 mg:</w:t>
      </w:r>
    </w:p>
    <w:p w14:paraId="507A3578" w14:textId="77777777" w:rsidR="002E78C0" w:rsidRPr="00456B23" w:rsidRDefault="002E78C0" w:rsidP="0043443B">
      <w:pPr>
        <w:rPr>
          <w:szCs w:val="22"/>
          <w:lang w:val="sr-Latn-ME"/>
        </w:rPr>
      </w:pPr>
    </w:p>
    <w:p w14:paraId="7B6218C1" w14:textId="77777777" w:rsidR="002E78C0" w:rsidRPr="00456B23" w:rsidRDefault="002E78C0" w:rsidP="0043443B">
      <w:pPr>
        <w:rPr>
          <w:szCs w:val="22"/>
          <w:lang w:val="sr-Latn-ME"/>
        </w:rPr>
      </w:pPr>
      <w:r w:rsidRPr="00456B23">
        <w:rPr>
          <w:noProof/>
          <w:szCs w:val="22"/>
          <w:lang w:val="en-US"/>
        </w:rPr>
        <w:lastRenderedPageBreak/>
        <w:drawing>
          <wp:inline distT="0" distB="0" distL="0" distR="0" wp14:anchorId="6D1984A1" wp14:editId="0701F513">
            <wp:extent cx="5346357" cy="297181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smpc.png"/>
                    <pic:cNvPicPr/>
                  </pic:nvPicPr>
                  <pic:blipFill rotWithShape="1">
                    <a:blip r:embed="rId12">
                      <a:extLst>
                        <a:ext uri="{28A0092B-C50C-407E-A947-70E740481C1C}">
                          <a14:useLocalDpi xmlns:a14="http://schemas.microsoft.com/office/drawing/2010/main" val="0"/>
                        </a:ext>
                      </a:extLst>
                    </a:blip>
                    <a:srcRect r="49382" b="49981"/>
                    <a:stretch/>
                  </pic:blipFill>
                  <pic:spPr bwMode="auto">
                    <a:xfrm>
                      <a:off x="0" y="0"/>
                      <a:ext cx="5353389" cy="2975724"/>
                    </a:xfrm>
                    <a:prstGeom prst="rect">
                      <a:avLst/>
                    </a:prstGeom>
                    <a:ln>
                      <a:noFill/>
                    </a:ln>
                    <a:extLst>
                      <a:ext uri="{53640926-AAD7-44D8-BBD7-CCE9431645EC}">
                        <a14:shadowObscured xmlns:a14="http://schemas.microsoft.com/office/drawing/2010/main"/>
                      </a:ext>
                    </a:extLst>
                  </pic:spPr>
                </pic:pic>
              </a:graphicData>
            </a:graphic>
          </wp:inline>
        </w:drawing>
      </w:r>
    </w:p>
    <w:p w14:paraId="7D5C9C5F" w14:textId="2AD005F2" w:rsidR="00054D7D" w:rsidRPr="00456B23" w:rsidRDefault="00054D7D" w:rsidP="0043443B">
      <w:pPr>
        <w:rPr>
          <w:szCs w:val="22"/>
          <w:lang w:val="sr-Latn-ME"/>
        </w:rPr>
      </w:pPr>
    </w:p>
    <w:p w14:paraId="64E7D6E1" w14:textId="77777777" w:rsidR="002E78C0" w:rsidRPr="00456B23" w:rsidRDefault="002E78C0">
      <w:pPr>
        <w:rPr>
          <w:szCs w:val="22"/>
          <w:lang w:val="sr-Latn-ME"/>
        </w:rPr>
      </w:pPr>
      <w:r w:rsidRPr="00456B23">
        <w:rPr>
          <w:noProof/>
          <w:szCs w:val="22"/>
          <w:lang w:val="en-US"/>
        </w:rPr>
        <w:drawing>
          <wp:inline distT="0" distB="0" distL="0" distR="0" wp14:anchorId="71BF1F61" wp14:editId="4C23B4C3">
            <wp:extent cx="5511114" cy="26328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2 smpc.png"/>
                    <pic:cNvPicPr/>
                  </pic:nvPicPr>
                  <pic:blipFill rotWithShape="1">
                    <a:blip r:embed="rId13">
                      <a:extLst>
                        <a:ext uri="{28A0092B-C50C-407E-A947-70E740481C1C}">
                          <a14:useLocalDpi xmlns:a14="http://schemas.microsoft.com/office/drawing/2010/main" val="0"/>
                        </a:ext>
                      </a:extLst>
                    </a:blip>
                    <a:srcRect r="47590" b="56601"/>
                    <a:stretch/>
                  </pic:blipFill>
                  <pic:spPr bwMode="auto">
                    <a:xfrm>
                      <a:off x="0" y="0"/>
                      <a:ext cx="5559841" cy="2656173"/>
                    </a:xfrm>
                    <a:prstGeom prst="rect">
                      <a:avLst/>
                    </a:prstGeom>
                    <a:ln>
                      <a:noFill/>
                    </a:ln>
                    <a:extLst>
                      <a:ext uri="{53640926-AAD7-44D8-BBD7-CCE9431645EC}">
                        <a14:shadowObscured xmlns:a14="http://schemas.microsoft.com/office/drawing/2010/main"/>
                      </a:ext>
                    </a:extLst>
                  </pic:spPr>
                </pic:pic>
              </a:graphicData>
            </a:graphic>
          </wp:inline>
        </w:drawing>
      </w:r>
    </w:p>
    <w:p w14:paraId="2D2B6502" w14:textId="7F63ABC2" w:rsidR="00054D7D" w:rsidRPr="00456B23" w:rsidRDefault="00054D7D">
      <w:pPr>
        <w:rPr>
          <w:szCs w:val="22"/>
          <w:lang w:val="sr-Latn-ME"/>
        </w:rPr>
      </w:pPr>
    </w:p>
    <w:p w14:paraId="74CECD73" w14:textId="0F2ED624" w:rsidR="00054D7D" w:rsidRPr="00456B23" w:rsidRDefault="00054D7D">
      <w:pPr>
        <w:autoSpaceDE w:val="0"/>
        <w:autoSpaceDN w:val="0"/>
        <w:adjustRightInd w:val="0"/>
        <w:rPr>
          <w:szCs w:val="22"/>
          <w:lang w:val="sr-Latn-ME"/>
        </w:rPr>
      </w:pPr>
      <w:r w:rsidRPr="00456B23">
        <w:rPr>
          <w:b/>
          <w:bCs/>
          <w:szCs w:val="22"/>
          <w:lang w:val="sr-Latn-ME"/>
        </w:rPr>
        <w:t xml:space="preserve">Relativna bioraspoloživost/bioekvivalencija 1 mg </w:t>
      </w:r>
      <w:r w:rsidR="00451F18" w:rsidRPr="00456B23">
        <w:rPr>
          <w:b/>
          <w:bCs/>
          <w:szCs w:val="22"/>
          <w:lang w:val="sr-Latn-ME"/>
        </w:rPr>
        <w:t>prema</w:t>
      </w:r>
      <w:r w:rsidRPr="00456B23">
        <w:rPr>
          <w:b/>
          <w:bCs/>
          <w:szCs w:val="22"/>
          <w:lang w:val="sr-Latn-ME"/>
        </w:rPr>
        <w:t xml:space="preserve"> 5 mg </w:t>
      </w:r>
    </w:p>
    <w:p w14:paraId="3CAC98CF" w14:textId="77777777" w:rsidR="00054D7D" w:rsidRPr="00456B23" w:rsidRDefault="00054D7D">
      <w:pPr>
        <w:rPr>
          <w:szCs w:val="22"/>
          <w:lang w:val="sr-Latn-ME"/>
        </w:rPr>
      </w:pPr>
    </w:p>
    <w:p w14:paraId="446F038F" w14:textId="77777777" w:rsidR="00054D7D" w:rsidRPr="00456B23" w:rsidRDefault="00054D7D">
      <w:pPr>
        <w:rPr>
          <w:szCs w:val="22"/>
          <w:lang w:val="sr-Latn-ME"/>
        </w:rPr>
      </w:pPr>
      <w:r w:rsidRPr="00456B23">
        <w:rPr>
          <w:szCs w:val="22"/>
          <w:lang w:val="sr-Latn-ME"/>
        </w:rPr>
        <w:t xml:space="preserve">Još jedna studija istog dizajna, </w:t>
      </w:r>
      <w:r w:rsidR="00451F18" w:rsidRPr="00456B23">
        <w:rPr>
          <w:szCs w:val="22"/>
          <w:lang w:val="sr-Latn-ME"/>
        </w:rPr>
        <w:t>s</w:t>
      </w:r>
      <w:r w:rsidRPr="00456B23">
        <w:rPr>
          <w:szCs w:val="22"/>
          <w:lang w:val="sr-Latn-ME"/>
        </w:rPr>
        <w:t>p</w:t>
      </w:r>
      <w:r w:rsidR="00A644CE" w:rsidRPr="00456B23">
        <w:rPr>
          <w:szCs w:val="22"/>
          <w:lang w:val="sr-Latn-ME"/>
        </w:rPr>
        <w:t>rovedena takođe 1993. godine, u</w:t>
      </w:r>
      <w:r w:rsidRPr="00456B23">
        <w:rPr>
          <w:szCs w:val="22"/>
          <w:lang w:val="sr-Latn-ME"/>
        </w:rPr>
        <w:t>poredila je 5 tableta prednizona 1 mg (test) s 1 tabletom prednizona 5 mg (referenca).</w:t>
      </w:r>
    </w:p>
    <w:p w14:paraId="71E84DED" w14:textId="77777777" w:rsidR="00054D7D" w:rsidRPr="00456B23" w:rsidRDefault="00054D7D">
      <w:pPr>
        <w:rPr>
          <w:szCs w:val="22"/>
          <w:lang w:val="sr-Latn-ME"/>
        </w:rPr>
      </w:pPr>
    </w:p>
    <w:p w14:paraId="78027A26" w14:textId="43B4A188" w:rsidR="00054D7D" w:rsidRPr="00456B23" w:rsidRDefault="00054D7D">
      <w:pPr>
        <w:rPr>
          <w:szCs w:val="22"/>
          <w:lang w:val="sr-Latn-ME"/>
        </w:rPr>
      </w:pPr>
      <w:r w:rsidRPr="00456B23">
        <w:rPr>
          <w:szCs w:val="22"/>
          <w:lang w:val="sr-Latn-ME"/>
        </w:rPr>
        <w:t>Za prednizon i prednizolon, dobi</w:t>
      </w:r>
      <w:r w:rsidR="00451F18" w:rsidRPr="00456B23">
        <w:rPr>
          <w:szCs w:val="22"/>
          <w:lang w:val="sr-Latn-ME"/>
        </w:rPr>
        <w:t>j</w:t>
      </w:r>
      <w:r w:rsidRPr="00456B23">
        <w:rPr>
          <w:szCs w:val="22"/>
          <w:lang w:val="sr-Latn-ME"/>
        </w:rPr>
        <w:t>eni su slijedeći rezultati:</w:t>
      </w:r>
      <w:r w:rsidR="00E54851" w:rsidRPr="00456B23">
        <w:rPr>
          <w:szCs w:val="22"/>
          <w:lang w:val="sr-Latn-M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1548"/>
        <w:gridCol w:w="1548"/>
        <w:gridCol w:w="1548"/>
        <w:gridCol w:w="1548"/>
      </w:tblGrid>
      <w:tr w:rsidR="00054D7D" w:rsidRPr="00456B23" w14:paraId="7E15FA27" w14:textId="77777777" w:rsidTr="00172AC1">
        <w:tc>
          <w:tcPr>
            <w:tcW w:w="3096" w:type="dxa"/>
            <w:shd w:val="clear" w:color="auto" w:fill="auto"/>
          </w:tcPr>
          <w:p w14:paraId="12150A27" w14:textId="77777777" w:rsidR="00054D7D" w:rsidRPr="00456B23" w:rsidRDefault="00054D7D">
            <w:pPr>
              <w:keepNext/>
              <w:spacing w:before="120" w:after="120"/>
              <w:outlineLvl w:val="1"/>
              <w:rPr>
                <w:rFonts w:eastAsia="Calibri"/>
                <w:szCs w:val="22"/>
                <w:lang w:val="sr-Latn-ME"/>
              </w:rPr>
            </w:pPr>
          </w:p>
        </w:tc>
        <w:tc>
          <w:tcPr>
            <w:tcW w:w="3096" w:type="dxa"/>
            <w:gridSpan w:val="2"/>
            <w:shd w:val="clear" w:color="auto" w:fill="auto"/>
          </w:tcPr>
          <w:p w14:paraId="4C3347DE"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Prednizon</w:t>
            </w:r>
          </w:p>
        </w:tc>
        <w:tc>
          <w:tcPr>
            <w:tcW w:w="3096" w:type="dxa"/>
            <w:gridSpan w:val="2"/>
            <w:shd w:val="clear" w:color="auto" w:fill="auto"/>
          </w:tcPr>
          <w:p w14:paraId="6658F759"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Prednizolon</w:t>
            </w:r>
          </w:p>
        </w:tc>
      </w:tr>
      <w:tr w:rsidR="00054D7D" w:rsidRPr="00456B23" w14:paraId="1AEB60F5" w14:textId="77777777" w:rsidTr="00172AC1">
        <w:tc>
          <w:tcPr>
            <w:tcW w:w="3096" w:type="dxa"/>
            <w:shd w:val="clear" w:color="auto" w:fill="auto"/>
          </w:tcPr>
          <w:p w14:paraId="2C2AAECB" w14:textId="77777777" w:rsidR="00054D7D" w:rsidRPr="00456B23" w:rsidRDefault="00054D7D" w:rsidP="00172AC1">
            <w:pPr>
              <w:keepNext/>
              <w:spacing w:before="120" w:after="120"/>
              <w:outlineLvl w:val="1"/>
              <w:rPr>
                <w:rFonts w:eastAsia="Calibri"/>
                <w:szCs w:val="22"/>
                <w:lang w:val="sr-Latn-ME"/>
              </w:rPr>
            </w:pPr>
            <w:r w:rsidRPr="00456B23">
              <w:rPr>
                <w:rFonts w:eastAsia="Calibri"/>
                <w:szCs w:val="22"/>
                <w:lang w:val="sr-Latn-ME"/>
              </w:rPr>
              <w:t>Parametar*</w:t>
            </w:r>
          </w:p>
        </w:tc>
        <w:tc>
          <w:tcPr>
            <w:tcW w:w="1548" w:type="dxa"/>
            <w:shd w:val="clear" w:color="auto" w:fill="auto"/>
          </w:tcPr>
          <w:p w14:paraId="7C8068B3"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Prednizon tbl. 1 mg</w:t>
            </w:r>
          </w:p>
        </w:tc>
        <w:tc>
          <w:tcPr>
            <w:tcW w:w="1548" w:type="dxa"/>
            <w:shd w:val="clear" w:color="auto" w:fill="auto"/>
          </w:tcPr>
          <w:p w14:paraId="653D9BC1"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Prednizon tbl. 5 mg</w:t>
            </w:r>
          </w:p>
        </w:tc>
        <w:tc>
          <w:tcPr>
            <w:tcW w:w="1548" w:type="dxa"/>
            <w:shd w:val="clear" w:color="auto" w:fill="auto"/>
          </w:tcPr>
          <w:p w14:paraId="078D175B"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Prednizon tbl. 1 mg</w:t>
            </w:r>
          </w:p>
        </w:tc>
        <w:tc>
          <w:tcPr>
            <w:tcW w:w="1548" w:type="dxa"/>
            <w:shd w:val="clear" w:color="auto" w:fill="auto"/>
          </w:tcPr>
          <w:p w14:paraId="4AC5A22C"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Prednizon tbl. 5 mg</w:t>
            </w:r>
          </w:p>
        </w:tc>
      </w:tr>
      <w:tr w:rsidR="00054D7D" w:rsidRPr="00456B23" w14:paraId="4C430950" w14:textId="77777777" w:rsidTr="00172AC1">
        <w:tc>
          <w:tcPr>
            <w:tcW w:w="3096"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880"/>
            </w:tblGrid>
            <w:tr w:rsidR="00054D7D" w:rsidRPr="00456B23" w14:paraId="5A8B81B5" w14:textId="77777777" w:rsidTr="00172AC1">
              <w:trPr>
                <w:trHeight w:val="524"/>
              </w:trPr>
              <w:tc>
                <w:tcPr>
                  <w:tcW w:w="0" w:type="auto"/>
                </w:tcPr>
                <w:p w14:paraId="52F34ADA" w14:textId="77777777" w:rsidR="00054D7D" w:rsidRPr="00456B23" w:rsidRDefault="00054D7D" w:rsidP="00451F18">
                  <w:pPr>
                    <w:autoSpaceDE w:val="0"/>
                    <w:autoSpaceDN w:val="0"/>
                    <w:adjustRightInd w:val="0"/>
                    <w:ind w:left="-83"/>
                    <w:rPr>
                      <w:szCs w:val="22"/>
                      <w:lang w:val="sr-Latn-ME"/>
                    </w:rPr>
                  </w:pPr>
                  <w:r w:rsidRPr="00456B23">
                    <w:rPr>
                      <w:szCs w:val="22"/>
                      <w:lang w:val="sr-Latn-ME"/>
                    </w:rPr>
                    <w:t>Maksimalna koncentracija u plazmi (c</w:t>
                  </w:r>
                  <w:r w:rsidRPr="00456B23">
                    <w:rPr>
                      <w:position w:val="-8"/>
                      <w:szCs w:val="22"/>
                      <w:vertAlign w:val="subscript"/>
                      <w:lang w:val="sr-Latn-ME"/>
                    </w:rPr>
                    <w:t>max</w:t>
                  </w:r>
                  <w:r w:rsidRPr="00456B23">
                    <w:rPr>
                      <w:szCs w:val="22"/>
                      <w:lang w:val="sr-Latn-ME"/>
                    </w:rPr>
                    <w:t xml:space="preserve">) (ng/ml) </w:t>
                  </w:r>
                </w:p>
              </w:tc>
            </w:tr>
          </w:tbl>
          <w:p w14:paraId="34FBE7E7" w14:textId="77777777" w:rsidR="00054D7D" w:rsidRPr="00456B23" w:rsidRDefault="00054D7D" w:rsidP="00172AC1">
            <w:pPr>
              <w:keepNext/>
              <w:spacing w:before="120" w:after="120"/>
              <w:outlineLvl w:val="1"/>
              <w:rPr>
                <w:rFonts w:eastAsia="Calibri"/>
                <w:szCs w:val="22"/>
                <w:lang w:val="sr-Latn-ME"/>
              </w:rPr>
            </w:pPr>
          </w:p>
        </w:tc>
        <w:tc>
          <w:tcPr>
            <w:tcW w:w="1548" w:type="dxa"/>
            <w:shd w:val="clear" w:color="auto" w:fill="auto"/>
          </w:tcPr>
          <w:p w14:paraId="17E38B69" w14:textId="6CE1E9BA" w:rsidR="00054D7D" w:rsidRPr="00456B23" w:rsidRDefault="00E54851" w:rsidP="00E54851">
            <w:pPr>
              <w:keepNext/>
              <w:spacing w:before="120" w:after="120"/>
              <w:outlineLvl w:val="1"/>
              <w:rPr>
                <w:rFonts w:eastAsia="Calibri"/>
                <w:szCs w:val="22"/>
                <w:lang w:val="sr-Latn-ME"/>
              </w:rPr>
            </w:pPr>
            <w:r w:rsidRPr="00456B23">
              <w:rPr>
                <w:szCs w:val="22"/>
                <w:lang w:val="sr-Latn-ME"/>
              </w:rPr>
              <w:t>14,42 (2,28)</w:t>
            </w:r>
          </w:p>
        </w:tc>
        <w:tc>
          <w:tcPr>
            <w:tcW w:w="1548" w:type="dxa"/>
            <w:shd w:val="clear" w:color="auto" w:fill="auto"/>
          </w:tcPr>
          <w:p w14:paraId="0F67FF1C"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14,05 (1,19)</w:t>
            </w:r>
          </w:p>
        </w:tc>
        <w:tc>
          <w:tcPr>
            <w:tcW w:w="1548" w:type="dxa"/>
            <w:shd w:val="clear" w:color="auto" w:fill="auto"/>
          </w:tcPr>
          <w:p w14:paraId="23B27EFC"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111,8 (15,5)</w:t>
            </w:r>
          </w:p>
        </w:tc>
        <w:tc>
          <w:tcPr>
            <w:tcW w:w="1548" w:type="dxa"/>
            <w:shd w:val="clear" w:color="auto" w:fill="auto"/>
          </w:tcPr>
          <w:p w14:paraId="11BE4AAA"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109,9 (14,4)</w:t>
            </w:r>
          </w:p>
        </w:tc>
      </w:tr>
      <w:tr w:rsidR="00054D7D" w:rsidRPr="00456B23" w14:paraId="0D3B0583" w14:textId="77777777" w:rsidTr="00172AC1">
        <w:tc>
          <w:tcPr>
            <w:tcW w:w="3096" w:type="dxa"/>
            <w:shd w:val="clear" w:color="auto" w:fill="auto"/>
          </w:tcPr>
          <w:p w14:paraId="42C92CB0" w14:textId="77777777" w:rsidR="00054D7D" w:rsidRPr="00456B23" w:rsidRDefault="00054D7D" w:rsidP="00172AC1">
            <w:pPr>
              <w:keepNext/>
              <w:outlineLvl w:val="1"/>
              <w:rPr>
                <w:rFonts w:eastAsia="Calibri"/>
                <w:szCs w:val="22"/>
                <w:lang w:val="sr-Latn-ME"/>
              </w:rPr>
            </w:pPr>
            <w:r w:rsidRPr="00456B23">
              <w:rPr>
                <w:rFonts w:eastAsia="Calibri"/>
                <w:szCs w:val="22"/>
                <w:lang w:val="sr-Latn-ME"/>
              </w:rPr>
              <w:lastRenderedPageBreak/>
              <w:t>Vrijeme</w:t>
            </w:r>
          </w:p>
          <w:p w14:paraId="3AC4219F" w14:textId="77777777" w:rsidR="00054D7D" w:rsidRPr="00456B23" w:rsidRDefault="00054D7D" w:rsidP="00172AC1">
            <w:pPr>
              <w:keepNext/>
              <w:outlineLvl w:val="1"/>
              <w:rPr>
                <w:rFonts w:eastAsia="Calibri"/>
                <w:szCs w:val="22"/>
                <w:lang w:val="sr-Latn-ME"/>
              </w:rPr>
            </w:pPr>
            <w:r w:rsidRPr="00456B23">
              <w:rPr>
                <w:rFonts w:eastAsia="Calibri"/>
                <w:szCs w:val="22"/>
                <w:lang w:val="sr-Latn-ME"/>
              </w:rPr>
              <w:t>maksimalne</w:t>
            </w:r>
          </w:p>
          <w:p w14:paraId="114AA7C2" w14:textId="77777777" w:rsidR="00054D7D" w:rsidRPr="00456B23" w:rsidRDefault="00054D7D" w:rsidP="00172AC1">
            <w:pPr>
              <w:keepNext/>
              <w:outlineLvl w:val="1"/>
              <w:rPr>
                <w:rFonts w:eastAsia="Calibri"/>
                <w:szCs w:val="22"/>
                <w:lang w:val="sr-Latn-ME"/>
              </w:rPr>
            </w:pPr>
            <w:r w:rsidRPr="00456B23">
              <w:rPr>
                <w:rFonts w:eastAsia="Calibri"/>
                <w:szCs w:val="22"/>
                <w:lang w:val="sr-Latn-ME"/>
              </w:rPr>
              <w:t>koncentracije</w:t>
            </w:r>
          </w:p>
          <w:p w14:paraId="78126C87" w14:textId="77777777" w:rsidR="00054D7D" w:rsidRPr="00456B23" w:rsidRDefault="00054D7D" w:rsidP="00172AC1">
            <w:pPr>
              <w:keepNext/>
              <w:outlineLvl w:val="1"/>
              <w:rPr>
                <w:rFonts w:eastAsia="Calibri"/>
                <w:szCs w:val="22"/>
                <w:lang w:val="sr-Latn-ME"/>
              </w:rPr>
            </w:pPr>
            <w:r w:rsidRPr="00456B23">
              <w:rPr>
                <w:rFonts w:eastAsia="Calibri"/>
                <w:szCs w:val="22"/>
                <w:lang w:val="sr-Latn-ME"/>
              </w:rPr>
              <w:t>u plazmi (t</w:t>
            </w:r>
            <w:r w:rsidRPr="00456B23">
              <w:rPr>
                <w:rFonts w:eastAsia="Calibri"/>
                <w:szCs w:val="22"/>
                <w:vertAlign w:val="subscript"/>
                <w:lang w:val="sr-Latn-ME"/>
              </w:rPr>
              <w:t>max</w:t>
            </w:r>
            <w:r w:rsidRPr="00456B23">
              <w:rPr>
                <w:rFonts w:eastAsia="Calibri"/>
                <w:szCs w:val="22"/>
                <w:lang w:val="sr-Latn-ME"/>
              </w:rPr>
              <w:t>) (h)</w:t>
            </w:r>
          </w:p>
        </w:tc>
        <w:tc>
          <w:tcPr>
            <w:tcW w:w="1548" w:type="dxa"/>
            <w:shd w:val="clear" w:color="auto" w:fill="auto"/>
          </w:tcPr>
          <w:p w14:paraId="75DA79F1"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3,17 (1,03)</w:t>
            </w:r>
          </w:p>
        </w:tc>
        <w:tc>
          <w:tcPr>
            <w:tcW w:w="1548" w:type="dxa"/>
            <w:shd w:val="clear" w:color="auto" w:fill="auto"/>
          </w:tcPr>
          <w:p w14:paraId="5984F8FA"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3,12 (0,84)</w:t>
            </w:r>
          </w:p>
        </w:tc>
        <w:tc>
          <w:tcPr>
            <w:tcW w:w="1548" w:type="dxa"/>
            <w:shd w:val="clear" w:color="auto" w:fill="auto"/>
          </w:tcPr>
          <w:p w14:paraId="5D507459"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1,63 (0,64)</w:t>
            </w:r>
          </w:p>
        </w:tc>
        <w:tc>
          <w:tcPr>
            <w:tcW w:w="1548" w:type="dxa"/>
            <w:shd w:val="clear" w:color="auto" w:fill="auto"/>
          </w:tcPr>
          <w:p w14:paraId="728C58E4"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1,96 (0,75)</w:t>
            </w:r>
          </w:p>
        </w:tc>
      </w:tr>
      <w:tr w:rsidR="00054D7D" w:rsidRPr="00456B23" w14:paraId="73DA71CA" w14:textId="77777777" w:rsidTr="00172AC1">
        <w:tc>
          <w:tcPr>
            <w:tcW w:w="3096" w:type="dxa"/>
            <w:shd w:val="clear" w:color="auto" w:fill="auto"/>
          </w:tcPr>
          <w:p w14:paraId="2C4F2E9C" w14:textId="28A855AF" w:rsidR="00054D7D" w:rsidRPr="00456B23" w:rsidRDefault="00054D7D" w:rsidP="00172AC1">
            <w:pPr>
              <w:keepNext/>
              <w:spacing w:before="120" w:after="120"/>
              <w:outlineLvl w:val="1"/>
              <w:rPr>
                <w:rFonts w:eastAsia="Calibri"/>
                <w:szCs w:val="22"/>
                <w:lang w:val="sr-Latn-ME"/>
              </w:rPr>
            </w:pPr>
            <w:r w:rsidRPr="00456B23">
              <w:rPr>
                <w:rFonts w:eastAsia="Calibri"/>
                <w:szCs w:val="22"/>
                <w:lang w:val="sr-Latn-ME"/>
              </w:rPr>
              <w:t>Površina ispod kri</w:t>
            </w:r>
            <w:r w:rsidR="0094357D" w:rsidRPr="00456B23">
              <w:rPr>
                <w:rFonts w:eastAsia="Calibri"/>
                <w:szCs w:val="22"/>
                <w:lang w:val="sr-Latn-ME"/>
              </w:rPr>
              <w:t>v</w:t>
            </w:r>
            <w:r w:rsidRPr="00456B23">
              <w:rPr>
                <w:rFonts w:eastAsia="Calibri"/>
                <w:szCs w:val="22"/>
                <w:lang w:val="sr-Latn-ME"/>
              </w:rPr>
              <w:t>e (AUC)</w:t>
            </w:r>
          </w:p>
          <w:p w14:paraId="74BBDD1A" w14:textId="77777777" w:rsidR="00054D7D" w:rsidRPr="00456B23" w:rsidRDefault="00054D7D" w:rsidP="00172AC1">
            <w:pPr>
              <w:keepNext/>
              <w:spacing w:before="120" w:after="120"/>
              <w:outlineLvl w:val="1"/>
              <w:rPr>
                <w:rFonts w:eastAsia="Calibri"/>
                <w:szCs w:val="22"/>
                <w:lang w:val="sr-Latn-ME"/>
              </w:rPr>
            </w:pPr>
            <w:r w:rsidRPr="00456B23">
              <w:rPr>
                <w:rFonts w:eastAsia="Calibri"/>
                <w:szCs w:val="22"/>
                <w:lang w:val="sr-Latn-ME"/>
              </w:rPr>
              <w:t>(h x ng/ml)</w:t>
            </w:r>
          </w:p>
        </w:tc>
        <w:tc>
          <w:tcPr>
            <w:tcW w:w="1548" w:type="dxa"/>
            <w:shd w:val="clear" w:color="auto" w:fill="auto"/>
          </w:tcPr>
          <w:p w14:paraId="661E24C1"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66,3 (12,2)</w:t>
            </w:r>
          </w:p>
        </w:tc>
        <w:tc>
          <w:tcPr>
            <w:tcW w:w="1548" w:type="dxa"/>
            <w:shd w:val="clear" w:color="auto" w:fill="auto"/>
          </w:tcPr>
          <w:p w14:paraId="2D74F920"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68,8 (17,4)</w:t>
            </w:r>
          </w:p>
        </w:tc>
        <w:tc>
          <w:tcPr>
            <w:tcW w:w="1548" w:type="dxa"/>
            <w:shd w:val="clear" w:color="auto" w:fill="auto"/>
          </w:tcPr>
          <w:p w14:paraId="7B860182"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475,0 (70,2)</w:t>
            </w:r>
          </w:p>
        </w:tc>
        <w:tc>
          <w:tcPr>
            <w:tcW w:w="1548" w:type="dxa"/>
            <w:shd w:val="clear" w:color="auto" w:fill="auto"/>
          </w:tcPr>
          <w:p w14:paraId="5EF4E3F7"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501,3 (73,4)</w:t>
            </w:r>
          </w:p>
        </w:tc>
      </w:tr>
    </w:tbl>
    <w:p w14:paraId="1E4C4447" w14:textId="155BA008" w:rsidR="00054D7D" w:rsidRPr="00456B23" w:rsidRDefault="00054D7D" w:rsidP="00172AC1">
      <w:pPr>
        <w:rPr>
          <w:szCs w:val="22"/>
          <w:lang w:val="sr-Latn-ME"/>
        </w:rPr>
      </w:pPr>
      <w:r w:rsidRPr="00456B23">
        <w:rPr>
          <w:szCs w:val="22"/>
          <w:lang w:val="sr-Latn-ME"/>
        </w:rPr>
        <w:t xml:space="preserve">*0-t, </w:t>
      </w:r>
      <w:r w:rsidR="00754E17" w:rsidRPr="00456B23">
        <w:rPr>
          <w:szCs w:val="22"/>
          <w:lang w:val="sr-Latn-ME"/>
        </w:rPr>
        <w:t>kao ostali</w:t>
      </w:r>
      <w:r w:rsidRPr="00456B23">
        <w:rPr>
          <w:szCs w:val="22"/>
          <w:lang w:val="sr-Latn-ME"/>
        </w:rPr>
        <w:t xml:space="preserve"> integral &lt;20%</w:t>
      </w:r>
    </w:p>
    <w:p w14:paraId="6EE40EDD" w14:textId="77777777" w:rsidR="00054D7D" w:rsidRPr="00456B23" w:rsidRDefault="00054D7D" w:rsidP="00172AC1">
      <w:pPr>
        <w:rPr>
          <w:szCs w:val="22"/>
          <w:lang w:val="sr-Latn-ME"/>
        </w:rPr>
      </w:pPr>
      <w:r w:rsidRPr="00456B23">
        <w:rPr>
          <w:szCs w:val="22"/>
          <w:lang w:val="sr-Latn-ME"/>
        </w:rPr>
        <w:t>(navedene vrijednosti su srednje vrijednosti i standardne devijacije)</w:t>
      </w:r>
    </w:p>
    <w:p w14:paraId="3E1B2188" w14:textId="77777777" w:rsidR="00054D7D" w:rsidRPr="00456B23" w:rsidRDefault="00054D7D" w:rsidP="00172AC1">
      <w:pPr>
        <w:keepNext/>
        <w:outlineLvl w:val="1"/>
        <w:rPr>
          <w:szCs w:val="22"/>
          <w:lang w:val="sr-Latn-M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1276"/>
        <w:gridCol w:w="1875"/>
        <w:gridCol w:w="1597"/>
        <w:gridCol w:w="1602"/>
      </w:tblGrid>
      <w:tr w:rsidR="00054D7D" w:rsidRPr="00456B23" w14:paraId="413EE823" w14:textId="77777777" w:rsidTr="00172AC1">
        <w:trPr>
          <w:trHeight w:val="453"/>
        </w:trPr>
        <w:tc>
          <w:tcPr>
            <w:tcW w:w="1555" w:type="dxa"/>
            <w:shd w:val="clear" w:color="auto" w:fill="auto"/>
          </w:tcPr>
          <w:p w14:paraId="31E231F4" w14:textId="77777777" w:rsidR="00054D7D" w:rsidRPr="00456B23" w:rsidRDefault="00054D7D" w:rsidP="00172AC1">
            <w:pPr>
              <w:keepNext/>
              <w:spacing w:before="120" w:after="120"/>
              <w:outlineLvl w:val="1"/>
              <w:rPr>
                <w:rFonts w:eastAsia="Calibri"/>
                <w:szCs w:val="22"/>
                <w:lang w:val="sr-Latn-ME"/>
              </w:rPr>
            </w:pPr>
          </w:p>
        </w:tc>
        <w:tc>
          <w:tcPr>
            <w:tcW w:w="1417" w:type="dxa"/>
            <w:shd w:val="clear" w:color="auto" w:fill="auto"/>
          </w:tcPr>
          <w:p w14:paraId="4DA3256C" w14:textId="77777777" w:rsidR="00054D7D" w:rsidRPr="00456B23" w:rsidRDefault="00054D7D" w:rsidP="00E54851">
            <w:pPr>
              <w:keepNext/>
              <w:spacing w:before="120" w:after="120"/>
              <w:jc w:val="center"/>
              <w:outlineLvl w:val="1"/>
              <w:rPr>
                <w:rFonts w:eastAsia="Calibri"/>
                <w:szCs w:val="22"/>
                <w:lang w:val="sr-Latn-ME"/>
              </w:rPr>
            </w:pPr>
          </w:p>
        </w:tc>
        <w:tc>
          <w:tcPr>
            <w:tcW w:w="3151" w:type="dxa"/>
            <w:gridSpan w:val="2"/>
            <w:shd w:val="clear" w:color="auto" w:fill="auto"/>
          </w:tcPr>
          <w:p w14:paraId="06DF7A87"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Prednizon</w:t>
            </w:r>
          </w:p>
        </w:tc>
        <w:tc>
          <w:tcPr>
            <w:tcW w:w="3199" w:type="dxa"/>
            <w:gridSpan w:val="2"/>
            <w:shd w:val="clear" w:color="auto" w:fill="auto"/>
          </w:tcPr>
          <w:p w14:paraId="466C3BCC"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Prednizolon</w:t>
            </w:r>
          </w:p>
        </w:tc>
      </w:tr>
      <w:tr w:rsidR="00054D7D" w:rsidRPr="00456B23" w14:paraId="3C9D1900" w14:textId="77777777" w:rsidTr="00172AC1">
        <w:trPr>
          <w:trHeight w:val="789"/>
        </w:trPr>
        <w:tc>
          <w:tcPr>
            <w:tcW w:w="1555" w:type="dxa"/>
            <w:shd w:val="clear" w:color="auto" w:fill="auto"/>
          </w:tcPr>
          <w:p w14:paraId="255C5731" w14:textId="77777777" w:rsidR="00054D7D" w:rsidRPr="00456B23" w:rsidRDefault="00054D7D" w:rsidP="00172AC1">
            <w:pPr>
              <w:keepNext/>
              <w:spacing w:before="120" w:after="120"/>
              <w:outlineLvl w:val="1"/>
              <w:rPr>
                <w:rFonts w:eastAsia="Calibri"/>
                <w:b/>
                <w:szCs w:val="22"/>
                <w:lang w:val="sr-Latn-ME"/>
              </w:rPr>
            </w:pPr>
            <w:r w:rsidRPr="00456B23">
              <w:rPr>
                <w:rFonts w:eastAsia="Calibri"/>
                <w:b/>
                <w:szCs w:val="22"/>
                <w:lang w:val="sr-Latn-ME"/>
              </w:rPr>
              <w:t>Statistička metoda</w:t>
            </w:r>
          </w:p>
        </w:tc>
        <w:tc>
          <w:tcPr>
            <w:tcW w:w="1417" w:type="dxa"/>
            <w:shd w:val="clear" w:color="auto" w:fill="auto"/>
          </w:tcPr>
          <w:p w14:paraId="6289A96C"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Parametar</w:t>
            </w:r>
          </w:p>
        </w:tc>
        <w:tc>
          <w:tcPr>
            <w:tcW w:w="1276" w:type="dxa"/>
            <w:shd w:val="clear" w:color="auto" w:fill="auto"/>
          </w:tcPr>
          <w:p w14:paraId="56357E08"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Tačka procjene</w:t>
            </w:r>
          </w:p>
        </w:tc>
        <w:tc>
          <w:tcPr>
            <w:tcW w:w="1875" w:type="dxa"/>
            <w:shd w:val="clear" w:color="auto" w:fill="auto"/>
          </w:tcPr>
          <w:p w14:paraId="5D30E507"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90% Interval</w:t>
            </w:r>
          </w:p>
          <w:p w14:paraId="37CF1B81"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pouzdanosti</w:t>
            </w:r>
          </w:p>
        </w:tc>
        <w:tc>
          <w:tcPr>
            <w:tcW w:w="1597" w:type="dxa"/>
            <w:shd w:val="clear" w:color="auto" w:fill="auto"/>
          </w:tcPr>
          <w:p w14:paraId="1F5EF52A"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Tačka procjene</w:t>
            </w:r>
          </w:p>
        </w:tc>
        <w:tc>
          <w:tcPr>
            <w:tcW w:w="1602" w:type="dxa"/>
            <w:shd w:val="clear" w:color="auto" w:fill="auto"/>
          </w:tcPr>
          <w:p w14:paraId="18F002CF" w14:textId="77777777" w:rsidR="00054D7D" w:rsidRPr="00456B23" w:rsidRDefault="00054D7D" w:rsidP="00E54851">
            <w:pPr>
              <w:keepNext/>
              <w:spacing w:before="120" w:after="120"/>
              <w:jc w:val="center"/>
              <w:outlineLvl w:val="1"/>
              <w:rPr>
                <w:rFonts w:eastAsia="Calibri"/>
                <w:b/>
                <w:szCs w:val="22"/>
                <w:lang w:val="sr-Latn-ME"/>
              </w:rPr>
            </w:pPr>
            <w:r w:rsidRPr="00456B23">
              <w:rPr>
                <w:rFonts w:eastAsia="Calibri"/>
                <w:b/>
                <w:szCs w:val="22"/>
                <w:lang w:val="sr-Latn-ME"/>
              </w:rPr>
              <w:t>90% Interval</w:t>
            </w:r>
          </w:p>
          <w:p w14:paraId="4AA87BAB"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b/>
                <w:szCs w:val="22"/>
                <w:lang w:val="sr-Latn-ME"/>
              </w:rPr>
              <w:t>pouzdanosti</w:t>
            </w:r>
          </w:p>
        </w:tc>
      </w:tr>
      <w:tr w:rsidR="00054D7D" w:rsidRPr="00456B23" w14:paraId="73F0FD9F" w14:textId="77777777" w:rsidTr="00172AC1">
        <w:trPr>
          <w:trHeight w:val="453"/>
        </w:trPr>
        <w:tc>
          <w:tcPr>
            <w:tcW w:w="155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237"/>
            </w:tblGrid>
            <w:tr w:rsidR="00054D7D" w:rsidRPr="00456B23" w14:paraId="116B3950" w14:textId="77777777" w:rsidTr="00172AC1">
              <w:trPr>
                <w:trHeight w:val="145"/>
              </w:trPr>
              <w:tc>
                <w:tcPr>
                  <w:tcW w:w="0" w:type="auto"/>
                </w:tcPr>
                <w:p w14:paraId="71D4F295" w14:textId="77777777" w:rsidR="00054D7D" w:rsidRPr="00456B23" w:rsidRDefault="00054D7D" w:rsidP="00172AC1">
                  <w:pPr>
                    <w:autoSpaceDE w:val="0"/>
                    <w:autoSpaceDN w:val="0"/>
                    <w:adjustRightInd w:val="0"/>
                    <w:rPr>
                      <w:szCs w:val="22"/>
                      <w:lang w:val="sr-Latn-ME"/>
                    </w:rPr>
                  </w:pPr>
                  <w:r w:rsidRPr="00456B23">
                    <w:rPr>
                      <w:szCs w:val="22"/>
                      <w:lang w:val="sr-Latn-ME"/>
                    </w:rPr>
                    <w:t xml:space="preserve">ANOVA ln </w:t>
                  </w:r>
                </w:p>
              </w:tc>
            </w:tr>
          </w:tbl>
          <w:p w14:paraId="59827D37" w14:textId="77777777" w:rsidR="00054D7D" w:rsidRPr="00456B23" w:rsidRDefault="00054D7D" w:rsidP="00172AC1">
            <w:pPr>
              <w:keepNext/>
              <w:spacing w:before="120" w:after="120"/>
              <w:outlineLvl w:val="1"/>
              <w:rPr>
                <w:rFonts w:eastAsia="Calibri"/>
                <w:szCs w:val="22"/>
                <w:lang w:val="sr-Latn-ME"/>
              </w:rPr>
            </w:pPr>
          </w:p>
        </w:tc>
        <w:tc>
          <w:tcPr>
            <w:tcW w:w="1417" w:type="dxa"/>
            <w:shd w:val="clear" w:color="auto" w:fill="auto"/>
          </w:tcPr>
          <w:p w14:paraId="7E0A87EF"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AUC</w:t>
            </w:r>
          </w:p>
        </w:tc>
        <w:tc>
          <w:tcPr>
            <w:tcW w:w="1276" w:type="dxa"/>
            <w:shd w:val="clear" w:color="auto" w:fill="auto"/>
          </w:tcPr>
          <w:p w14:paraId="750DDDAC"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97,26</w:t>
            </w:r>
          </w:p>
        </w:tc>
        <w:tc>
          <w:tcPr>
            <w:tcW w:w="1875" w:type="dxa"/>
            <w:shd w:val="clear" w:color="auto" w:fill="auto"/>
          </w:tcPr>
          <w:p w14:paraId="2FFE0772"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90,05-105,05</w:t>
            </w:r>
          </w:p>
        </w:tc>
        <w:tc>
          <w:tcPr>
            <w:tcW w:w="1597" w:type="dxa"/>
            <w:shd w:val="clear" w:color="auto" w:fill="auto"/>
          </w:tcPr>
          <w:p w14:paraId="3F7072E9"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94,70</w:t>
            </w:r>
          </w:p>
        </w:tc>
        <w:tc>
          <w:tcPr>
            <w:tcW w:w="1602" w:type="dxa"/>
            <w:shd w:val="clear" w:color="auto" w:fill="auto"/>
          </w:tcPr>
          <w:p w14:paraId="57F52DF5"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91,51-98,00</w:t>
            </w:r>
          </w:p>
        </w:tc>
      </w:tr>
      <w:tr w:rsidR="00054D7D" w:rsidRPr="00456B23" w14:paraId="3874B502" w14:textId="77777777" w:rsidTr="00172AC1">
        <w:trPr>
          <w:trHeight w:val="453"/>
        </w:trPr>
        <w:tc>
          <w:tcPr>
            <w:tcW w:w="1555" w:type="dxa"/>
            <w:shd w:val="clear" w:color="auto" w:fill="auto"/>
          </w:tcPr>
          <w:p w14:paraId="7F3EB2FF" w14:textId="77777777" w:rsidR="00054D7D" w:rsidRPr="00456B23" w:rsidRDefault="00054D7D" w:rsidP="00172AC1">
            <w:pPr>
              <w:autoSpaceDE w:val="0"/>
              <w:autoSpaceDN w:val="0"/>
              <w:adjustRightInd w:val="0"/>
              <w:rPr>
                <w:rFonts w:eastAsia="Calibri"/>
                <w:szCs w:val="22"/>
                <w:lang w:val="sr-Latn-ME"/>
              </w:rPr>
            </w:pPr>
            <w:r w:rsidRPr="00456B23">
              <w:rPr>
                <w:rFonts w:eastAsia="Calibri"/>
                <w:szCs w:val="22"/>
                <w:lang w:val="sr-Latn-ME"/>
              </w:rPr>
              <w:t>ANOVA ln</w:t>
            </w:r>
          </w:p>
        </w:tc>
        <w:tc>
          <w:tcPr>
            <w:tcW w:w="1417" w:type="dxa"/>
            <w:shd w:val="clear" w:color="auto" w:fill="auto"/>
          </w:tcPr>
          <w:p w14:paraId="2365D2C1"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Cmax</w:t>
            </w:r>
          </w:p>
        </w:tc>
        <w:tc>
          <w:tcPr>
            <w:tcW w:w="1276" w:type="dxa"/>
            <w:shd w:val="clear" w:color="auto" w:fill="auto"/>
          </w:tcPr>
          <w:p w14:paraId="1453022B"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101,86</w:t>
            </w:r>
          </w:p>
        </w:tc>
        <w:tc>
          <w:tcPr>
            <w:tcW w:w="1875" w:type="dxa"/>
            <w:shd w:val="clear" w:color="auto" w:fill="auto"/>
          </w:tcPr>
          <w:p w14:paraId="4F86ED1C"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94,59-109,68</w:t>
            </w:r>
          </w:p>
        </w:tc>
        <w:tc>
          <w:tcPr>
            <w:tcW w:w="1597" w:type="dxa"/>
            <w:shd w:val="clear" w:color="auto" w:fill="auto"/>
          </w:tcPr>
          <w:p w14:paraId="06431B93"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101,75</w:t>
            </w:r>
          </w:p>
        </w:tc>
        <w:tc>
          <w:tcPr>
            <w:tcW w:w="1602" w:type="dxa"/>
            <w:shd w:val="clear" w:color="auto" w:fill="auto"/>
          </w:tcPr>
          <w:p w14:paraId="5785860E" w14:textId="77777777" w:rsidR="00054D7D" w:rsidRPr="00456B23" w:rsidRDefault="00054D7D" w:rsidP="00E54851">
            <w:pPr>
              <w:keepNext/>
              <w:spacing w:before="120" w:after="120"/>
              <w:jc w:val="center"/>
              <w:outlineLvl w:val="1"/>
              <w:rPr>
                <w:rFonts w:eastAsia="Calibri"/>
                <w:szCs w:val="22"/>
                <w:lang w:val="sr-Latn-ME"/>
              </w:rPr>
            </w:pPr>
            <w:r w:rsidRPr="00456B23">
              <w:rPr>
                <w:rFonts w:eastAsia="Calibri"/>
                <w:szCs w:val="22"/>
                <w:lang w:val="sr-Latn-ME"/>
              </w:rPr>
              <w:t>98,75-104,84</w:t>
            </w:r>
          </w:p>
        </w:tc>
      </w:tr>
    </w:tbl>
    <w:p w14:paraId="7050D31C" w14:textId="77777777" w:rsidR="00054D7D" w:rsidRPr="00456B23" w:rsidRDefault="00054D7D" w:rsidP="00172AC1">
      <w:pPr>
        <w:autoSpaceDE w:val="0"/>
        <w:autoSpaceDN w:val="0"/>
        <w:adjustRightInd w:val="0"/>
        <w:rPr>
          <w:rFonts w:eastAsia="Calibri"/>
          <w:color w:val="000000"/>
          <w:szCs w:val="22"/>
          <w:lang w:val="sr-Latn-ME"/>
        </w:rPr>
      </w:pPr>
    </w:p>
    <w:p w14:paraId="67BFBAA7" w14:textId="51B3B7E9" w:rsidR="00054D7D" w:rsidRPr="00456B23" w:rsidRDefault="00736D70" w:rsidP="00172AC1">
      <w:pPr>
        <w:rPr>
          <w:szCs w:val="22"/>
          <w:lang w:val="sr-Latn-ME"/>
        </w:rPr>
      </w:pPr>
      <w:r w:rsidRPr="00456B23">
        <w:rPr>
          <w:szCs w:val="22"/>
          <w:lang w:val="sr-Latn-ME"/>
        </w:rPr>
        <w:t>Na osnovu individualnog poređenja</w:t>
      </w:r>
      <w:r w:rsidR="00054D7D" w:rsidRPr="00456B23">
        <w:rPr>
          <w:szCs w:val="22"/>
          <w:lang w:val="sr-Latn-ME"/>
        </w:rPr>
        <w:t xml:space="preserve"> AUC-a, relativna bioraspoloživost prednizona je u prosjeku 97%, a prednizolona 95%.</w:t>
      </w:r>
    </w:p>
    <w:p w14:paraId="41687EA5" w14:textId="77777777" w:rsidR="00054D7D" w:rsidRPr="00456B23" w:rsidRDefault="00054D7D" w:rsidP="00172AC1">
      <w:pPr>
        <w:rPr>
          <w:szCs w:val="22"/>
          <w:lang w:val="sr-Latn-ME"/>
        </w:rPr>
      </w:pPr>
    </w:p>
    <w:p w14:paraId="60CF61F2" w14:textId="77777777" w:rsidR="00054D7D" w:rsidRPr="00456B23" w:rsidRDefault="00054D7D" w:rsidP="005E1E07">
      <w:pPr>
        <w:rPr>
          <w:szCs w:val="22"/>
          <w:lang w:val="sr-Latn-ME"/>
        </w:rPr>
      </w:pPr>
      <w:r w:rsidRPr="00456B23">
        <w:rPr>
          <w:szCs w:val="22"/>
          <w:lang w:val="sr-Latn-ME"/>
        </w:rPr>
        <w:t>CV-ANOVA za procjenu intraindividualne varijabilnosti prednizona i prednizolona, rezultira s 11,58%, odnosno 4,51% za AUC, te 10,34%, odnosno 12,22% za C</w:t>
      </w:r>
      <w:r w:rsidRPr="00456B23">
        <w:rPr>
          <w:szCs w:val="22"/>
          <w:vertAlign w:val="subscript"/>
          <w:lang w:val="sr-Latn-ME"/>
        </w:rPr>
        <w:t>max</w:t>
      </w:r>
      <w:r w:rsidRPr="00456B23">
        <w:rPr>
          <w:szCs w:val="22"/>
          <w:lang w:val="sr-Latn-ME"/>
        </w:rPr>
        <w:t>.</w:t>
      </w:r>
    </w:p>
    <w:p w14:paraId="0EED713C" w14:textId="77777777" w:rsidR="005E1E07" w:rsidRPr="00456B23" w:rsidRDefault="005E1E07">
      <w:pPr>
        <w:rPr>
          <w:szCs w:val="22"/>
          <w:lang w:val="sr-Latn-ME"/>
        </w:rPr>
      </w:pPr>
    </w:p>
    <w:p w14:paraId="461DC8FD" w14:textId="77777777" w:rsidR="00054D7D" w:rsidRPr="00456B23" w:rsidRDefault="00054D7D" w:rsidP="00E54851">
      <w:pPr>
        <w:pStyle w:val="Heading2"/>
        <w:numPr>
          <w:ilvl w:val="1"/>
          <w:numId w:val="23"/>
        </w:numPr>
        <w:spacing w:before="0" w:after="0"/>
        <w:rPr>
          <w:szCs w:val="22"/>
          <w:lang w:val="sr-Latn-ME"/>
        </w:rPr>
      </w:pPr>
      <w:r w:rsidRPr="00456B23">
        <w:rPr>
          <w:color w:val="000000"/>
          <w:szCs w:val="22"/>
          <w:lang w:val="sr-Latn-ME"/>
        </w:rPr>
        <w:t xml:space="preserve"> </w:t>
      </w:r>
      <w:r w:rsidRPr="00456B23">
        <w:rPr>
          <w:szCs w:val="22"/>
          <w:lang w:val="sr-Latn-ME"/>
        </w:rPr>
        <w:t>Pretklinički podaci o bezbjednosti</w:t>
      </w:r>
    </w:p>
    <w:p w14:paraId="7FB4629B" w14:textId="77777777" w:rsidR="005E1E07" w:rsidRPr="00456B23" w:rsidRDefault="005E1E07" w:rsidP="00F94082">
      <w:pPr>
        <w:rPr>
          <w:szCs w:val="22"/>
          <w:lang w:val="sr-Latn-ME"/>
        </w:rPr>
      </w:pPr>
    </w:p>
    <w:p w14:paraId="4637C633" w14:textId="77777777" w:rsidR="00054D7D" w:rsidRPr="00456B23" w:rsidRDefault="00054D7D">
      <w:pPr>
        <w:autoSpaceDE w:val="0"/>
        <w:autoSpaceDN w:val="0"/>
        <w:adjustRightInd w:val="0"/>
        <w:rPr>
          <w:rFonts w:eastAsia="Arial Unicode MS"/>
          <w:color w:val="000000"/>
          <w:szCs w:val="22"/>
          <w:lang w:val="sr-Latn-ME"/>
        </w:rPr>
      </w:pPr>
      <w:r w:rsidRPr="00456B23">
        <w:rPr>
          <w:rFonts w:eastAsia="Arial Unicode MS"/>
          <w:color w:val="000000"/>
          <w:szCs w:val="22"/>
          <w:lang w:val="sr-Latn-ME"/>
        </w:rPr>
        <w:t xml:space="preserve">Pretklinički podaci, </w:t>
      </w:r>
      <w:r w:rsidR="0094357D" w:rsidRPr="00456B23">
        <w:rPr>
          <w:rFonts w:eastAsia="Arial Unicode MS"/>
          <w:color w:val="000000"/>
          <w:szCs w:val="22"/>
          <w:lang w:val="sr-Latn-ME"/>
        </w:rPr>
        <w:t>u</w:t>
      </w:r>
      <w:r w:rsidRPr="00456B23">
        <w:rPr>
          <w:rFonts w:eastAsia="Arial Unicode MS"/>
          <w:color w:val="000000"/>
          <w:szCs w:val="22"/>
          <w:lang w:val="sr-Latn-ME"/>
        </w:rPr>
        <w:t>temeljeni na konvencionalnim studijama farmakološke bezbjednosti, toksičnosti ponovljenih doza, reproduktivne toksičnosti, genotoksičnosti i kancerogenog potencijala, ne ukazuju na poseban rizik za ljude.</w:t>
      </w:r>
    </w:p>
    <w:p w14:paraId="64BB6FF6" w14:textId="77777777" w:rsidR="00054D7D" w:rsidRPr="00456B23" w:rsidRDefault="00054D7D">
      <w:pPr>
        <w:autoSpaceDE w:val="0"/>
        <w:autoSpaceDN w:val="0"/>
        <w:adjustRightInd w:val="0"/>
        <w:rPr>
          <w:rFonts w:eastAsia="Arial Unicode MS"/>
          <w:color w:val="000000"/>
          <w:szCs w:val="22"/>
          <w:lang w:val="sr-Latn-ME"/>
        </w:rPr>
      </w:pPr>
    </w:p>
    <w:p w14:paraId="05C31D9E" w14:textId="77777777" w:rsidR="00054D7D" w:rsidRPr="00456B23" w:rsidRDefault="00054D7D" w:rsidP="005E1E07">
      <w:pPr>
        <w:autoSpaceDE w:val="0"/>
        <w:autoSpaceDN w:val="0"/>
        <w:adjustRightInd w:val="0"/>
        <w:rPr>
          <w:rFonts w:eastAsia="Arial Unicode MS"/>
          <w:b/>
          <w:color w:val="000000"/>
          <w:szCs w:val="22"/>
          <w:lang w:val="sr-Latn-ME"/>
        </w:rPr>
      </w:pPr>
      <w:r w:rsidRPr="00456B23">
        <w:rPr>
          <w:rFonts w:eastAsia="Arial Unicode MS"/>
          <w:b/>
          <w:color w:val="000000"/>
          <w:szCs w:val="22"/>
          <w:lang w:val="sr-Latn-ME"/>
        </w:rPr>
        <w:t>Akutna toksičnost</w:t>
      </w:r>
    </w:p>
    <w:p w14:paraId="2953E36F" w14:textId="6001A206" w:rsidR="00054D7D" w:rsidRPr="00456B23" w:rsidRDefault="00054D7D">
      <w:pPr>
        <w:autoSpaceDE w:val="0"/>
        <w:autoSpaceDN w:val="0"/>
        <w:adjustRightInd w:val="0"/>
        <w:contextualSpacing/>
        <w:rPr>
          <w:rFonts w:eastAsia="Calibri"/>
          <w:szCs w:val="22"/>
          <w:lang w:val="sr-Latn-ME"/>
        </w:rPr>
      </w:pPr>
      <w:r w:rsidRPr="00456B23">
        <w:rPr>
          <w:rFonts w:eastAsia="Calibri"/>
          <w:szCs w:val="22"/>
          <w:lang w:val="sr-Latn-ME"/>
        </w:rPr>
        <w:t>U studijama koje su ispitivale akutnu t</w:t>
      </w:r>
      <w:r w:rsidR="00E5487B" w:rsidRPr="00456B23">
        <w:rPr>
          <w:rFonts w:eastAsia="Calibri"/>
          <w:szCs w:val="22"/>
          <w:lang w:val="sr-Latn-ME"/>
        </w:rPr>
        <w:t>oksičnost prednizolona</w:t>
      </w:r>
      <w:r w:rsidR="00754E17" w:rsidRPr="00456B23">
        <w:rPr>
          <w:rFonts w:eastAsia="Calibri"/>
          <w:szCs w:val="22"/>
          <w:lang w:val="sr-Latn-ME"/>
        </w:rPr>
        <w:t xml:space="preserve"> i prednizona</w:t>
      </w:r>
      <w:r w:rsidR="00E5487B" w:rsidRPr="00456B23">
        <w:rPr>
          <w:rFonts w:eastAsia="Calibri"/>
          <w:szCs w:val="22"/>
          <w:lang w:val="sr-Latn-ME"/>
        </w:rPr>
        <w:t xml:space="preserve"> kod pacova</w:t>
      </w:r>
      <w:r w:rsidRPr="00456B23">
        <w:rPr>
          <w:rFonts w:eastAsia="Calibri"/>
          <w:szCs w:val="22"/>
          <w:lang w:val="sr-Latn-ME"/>
        </w:rPr>
        <w:t>, nađeno je da je LD</w:t>
      </w:r>
      <w:r w:rsidRPr="00456B23">
        <w:rPr>
          <w:rFonts w:eastAsia="Calibri"/>
          <w:position w:val="-8"/>
          <w:szCs w:val="22"/>
          <w:vertAlign w:val="subscript"/>
          <w:lang w:val="sr-Latn-ME"/>
        </w:rPr>
        <w:t xml:space="preserve">50 </w:t>
      </w:r>
      <w:r w:rsidRPr="00456B23">
        <w:rPr>
          <w:rFonts w:eastAsia="Calibri"/>
          <w:szCs w:val="22"/>
          <w:lang w:val="sr-Latn-ME"/>
        </w:rPr>
        <w:t xml:space="preserve">(pojava smrti unutar 7 dana), nakon jednokratne primjene, bila 240 mg prednizolona/kg TT. </w:t>
      </w:r>
    </w:p>
    <w:p w14:paraId="1248D32C" w14:textId="77777777" w:rsidR="00054D7D" w:rsidRPr="00456B23" w:rsidRDefault="00054D7D">
      <w:pPr>
        <w:autoSpaceDE w:val="0"/>
        <w:autoSpaceDN w:val="0"/>
        <w:adjustRightInd w:val="0"/>
        <w:contextualSpacing/>
        <w:rPr>
          <w:rFonts w:eastAsia="Calibri"/>
          <w:szCs w:val="22"/>
          <w:lang w:val="sr-Latn-ME"/>
        </w:rPr>
      </w:pPr>
    </w:p>
    <w:p w14:paraId="0ED9FB28" w14:textId="77777777" w:rsidR="00054D7D" w:rsidRPr="00456B23" w:rsidRDefault="00054D7D">
      <w:pPr>
        <w:autoSpaceDE w:val="0"/>
        <w:autoSpaceDN w:val="0"/>
        <w:adjustRightInd w:val="0"/>
        <w:ind w:right="-29"/>
        <w:contextualSpacing/>
        <w:rPr>
          <w:rFonts w:eastAsia="Calibri"/>
          <w:szCs w:val="22"/>
          <w:lang w:val="sr-Latn-ME"/>
        </w:rPr>
      </w:pPr>
      <w:r w:rsidRPr="00456B23">
        <w:rPr>
          <w:rFonts w:eastAsia="Calibri"/>
          <w:b/>
          <w:bCs/>
          <w:szCs w:val="22"/>
          <w:lang w:val="sr-Latn-ME"/>
        </w:rPr>
        <w:t xml:space="preserve">Subhronična/hronična toksičnost </w:t>
      </w:r>
    </w:p>
    <w:p w14:paraId="5B84DB89" w14:textId="4048A685" w:rsidR="00054D7D" w:rsidRPr="00456B23" w:rsidRDefault="00054D7D">
      <w:pPr>
        <w:autoSpaceDE w:val="0"/>
        <w:autoSpaceDN w:val="0"/>
        <w:adjustRightInd w:val="0"/>
        <w:ind w:right="-29"/>
        <w:contextualSpacing/>
        <w:rPr>
          <w:rFonts w:eastAsia="Calibri"/>
          <w:szCs w:val="22"/>
          <w:lang w:val="sr-Latn-ME"/>
        </w:rPr>
      </w:pPr>
      <w:r w:rsidRPr="00456B23">
        <w:rPr>
          <w:rFonts w:eastAsia="Calibri"/>
          <w:szCs w:val="22"/>
          <w:lang w:val="sr-Latn-ME"/>
        </w:rPr>
        <w:t>Nakon dnevne intraperitonealne primje</w:t>
      </w:r>
      <w:r w:rsidR="00DC3738" w:rsidRPr="00456B23">
        <w:rPr>
          <w:rFonts w:eastAsia="Calibri"/>
          <w:szCs w:val="22"/>
          <w:lang w:val="sr-Latn-ME"/>
        </w:rPr>
        <w:t xml:space="preserve">ne doze od 33 mg/kg TT </w:t>
      </w:r>
      <w:r w:rsidR="00754E17" w:rsidRPr="00456B23">
        <w:rPr>
          <w:rFonts w:eastAsia="Calibri"/>
          <w:szCs w:val="22"/>
          <w:lang w:val="sr-Latn-ME"/>
        </w:rPr>
        <w:t>predniz(ol)ona</w:t>
      </w:r>
      <w:r w:rsidR="00285424" w:rsidRPr="00456B23">
        <w:rPr>
          <w:rFonts w:eastAsia="Calibri"/>
          <w:szCs w:val="22"/>
          <w:lang w:val="sr-Latn-ME"/>
        </w:rPr>
        <w:t xml:space="preserve"> </w:t>
      </w:r>
      <w:r w:rsidR="00DC3738" w:rsidRPr="00456B23">
        <w:rPr>
          <w:rFonts w:eastAsia="Calibri"/>
          <w:szCs w:val="22"/>
          <w:lang w:val="sr-Latn-ME"/>
        </w:rPr>
        <w:t>kod pacova</w:t>
      </w:r>
      <w:r w:rsidRPr="00456B23">
        <w:rPr>
          <w:rFonts w:eastAsia="Calibri"/>
          <w:szCs w:val="22"/>
          <w:lang w:val="sr-Latn-ME"/>
        </w:rPr>
        <w:t>, tokom 7 do 14 dana, optičkim i elektronskim mikroskopom mogu se primijetiti promjene u ćelijama Langerhansovih o</w:t>
      </w:r>
      <w:r w:rsidR="0035439C" w:rsidRPr="00456B23">
        <w:rPr>
          <w:rFonts w:eastAsia="Calibri"/>
          <w:szCs w:val="22"/>
          <w:lang w:val="sr-Latn-ME"/>
        </w:rPr>
        <w:t>strvaca</w:t>
      </w:r>
      <w:r w:rsidR="00DC3738" w:rsidRPr="00456B23">
        <w:rPr>
          <w:rFonts w:eastAsia="Calibri"/>
          <w:szCs w:val="22"/>
          <w:lang w:val="sr-Latn-ME"/>
        </w:rPr>
        <w:t>. Eksperimentalno je indukovano oštećenje jetre kod</w:t>
      </w:r>
      <w:r w:rsidRPr="00456B23">
        <w:rPr>
          <w:rFonts w:eastAsia="Calibri"/>
          <w:szCs w:val="22"/>
          <w:lang w:val="sr-Latn-ME"/>
        </w:rPr>
        <w:t xml:space="preserve"> zečeva, s dnevnom primjenom 2-3 mg/kg TT, tokom 2 do 4 sedmice. </w:t>
      </w:r>
      <w:r w:rsidR="00754E17" w:rsidRPr="00456B23">
        <w:rPr>
          <w:rFonts w:eastAsia="Calibri"/>
          <w:szCs w:val="22"/>
          <w:lang w:val="sr-Latn-ME"/>
        </w:rPr>
        <w:t xml:space="preserve">Histološki </w:t>
      </w:r>
      <w:r w:rsidRPr="00456B23">
        <w:rPr>
          <w:rFonts w:eastAsia="Calibri"/>
          <w:szCs w:val="22"/>
          <w:lang w:val="sr-Latn-ME"/>
        </w:rPr>
        <w:t xml:space="preserve">efekti </w:t>
      </w:r>
      <w:r w:rsidR="0035439C" w:rsidRPr="00456B23">
        <w:rPr>
          <w:rFonts w:eastAsia="Calibri"/>
          <w:szCs w:val="22"/>
          <w:lang w:val="sr-Latn-ME"/>
        </w:rPr>
        <w:t>povezani sa</w:t>
      </w:r>
      <w:r w:rsidRPr="00456B23">
        <w:rPr>
          <w:rFonts w:eastAsia="Calibri"/>
          <w:szCs w:val="22"/>
          <w:lang w:val="sr-Latn-ME"/>
        </w:rPr>
        <w:t xml:space="preserve"> mišićn</w:t>
      </w:r>
      <w:r w:rsidR="0035439C" w:rsidRPr="00456B23">
        <w:rPr>
          <w:rFonts w:eastAsia="Calibri"/>
          <w:szCs w:val="22"/>
          <w:lang w:val="sr-Latn-ME"/>
        </w:rPr>
        <w:t>om</w:t>
      </w:r>
      <w:r w:rsidRPr="00456B23">
        <w:rPr>
          <w:rFonts w:eastAsia="Calibri"/>
          <w:szCs w:val="22"/>
          <w:lang w:val="sr-Latn-ME"/>
        </w:rPr>
        <w:t xml:space="preserve"> nekroz</w:t>
      </w:r>
      <w:r w:rsidR="0035439C" w:rsidRPr="00456B23">
        <w:rPr>
          <w:rFonts w:eastAsia="Calibri"/>
          <w:szCs w:val="22"/>
          <w:lang w:val="sr-Latn-ME"/>
        </w:rPr>
        <w:t>om</w:t>
      </w:r>
      <w:r w:rsidRPr="00456B23">
        <w:rPr>
          <w:rFonts w:eastAsia="Calibri"/>
          <w:szCs w:val="22"/>
          <w:lang w:val="sr-Latn-ME"/>
        </w:rPr>
        <w:t>, primijećeni su nakon nekoliko sedmica prim</w:t>
      </w:r>
      <w:r w:rsidR="00DC3738" w:rsidRPr="00456B23">
        <w:rPr>
          <w:rFonts w:eastAsia="Calibri"/>
          <w:szCs w:val="22"/>
          <w:lang w:val="sr-Latn-ME"/>
        </w:rPr>
        <w:t>jene doze od 0,5 do 5 mg/kg TT kod zamor</w:t>
      </w:r>
      <w:r w:rsidR="0035439C" w:rsidRPr="00456B23">
        <w:rPr>
          <w:rFonts w:eastAsia="Calibri"/>
          <w:szCs w:val="22"/>
          <w:lang w:val="sr-Latn-ME"/>
        </w:rPr>
        <w:t>čića</w:t>
      </w:r>
      <w:r w:rsidR="00DC3738" w:rsidRPr="00456B23">
        <w:rPr>
          <w:rFonts w:eastAsia="Calibri"/>
          <w:szCs w:val="22"/>
          <w:lang w:val="sr-Latn-ME"/>
        </w:rPr>
        <w:t xml:space="preserve"> i 4 mg/kg TT kod</w:t>
      </w:r>
      <w:r w:rsidRPr="00456B23">
        <w:rPr>
          <w:rFonts w:eastAsia="Calibri"/>
          <w:szCs w:val="22"/>
          <w:lang w:val="sr-Latn-ME"/>
        </w:rPr>
        <w:t xml:space="preserve"> pasa. </w:t>
      </w:r>
    </w:p>
    <w:p w14:paraId="12E704D8" w14:textId="77777777" w:rsidR="00054D7D" w:rsidRPr="00456B23" w:rsidRDefault="00054D7D">
      <w:pPr>
        <w:autoSpaceDE w:val="0"/>
        <w:autoSpaceDN w:val="0"/>
        <w:adjustRightInd w:val="0"/>
        <w:ind w:right="-29"/>
        <w:contextualSpacing/>
        <w:rPr>
          <w:rFonts w:eastAsia="Calibri"/>
          <w:szCs w:val="22"/>
          <w:lang w:val="sr-Latn-ME"/>
        </w:rPr>
      </w:pPr>
    </w:p>
    <w:p w14:paraId="43B17F6D" w14:textId="77777777" w:rsidR="00054D7D" w:rsidRPr="00456B23" w:rsidRDefault="00054D7D">
      <w:pPr>
        <w:autoSpaceDE w:val="0"/>
        <w:autoSpaceDN w:val="0"/>
        <w:adjustRightInd w:val="0"/>
        <w:contextualSpacing/>
        <w:rPr>
          <w:rFonts w:eastAsia="Calibri"/>
          <w:szCs w:val="22"/>
          <w:lang w:val="sr-Latn-ME"/>
        </w:rPr>
      </w:pPr>
      <w:r w:rsidRPr="00456B23">
        <w:rPr>
          <w:rFonts w:eastAsia="Calibri"/>
          <w:b/>
          <w:bCs/>
          <w:szCs w:val="22"/>
          <w:lang w:val="sr-Latn-ME"/>
        </w:rPr>
        <w:t>Mutageni i tumorogeni potencijal</w:t>
      </w:r>
    </w:p>
    <w:p w14:paraId="0B7251D7" w14:textId="77777777" w:rsidR="00054D7D" w:rsidRPr="00456B23" w:rsidRDefault="00054D7D">
      <w:pPr>
        <w:autoSpaceDE w:val="0"/>
        <w:autoSpaceDN w:val="0"/>
        <w:adjustRightInd w:val="0"/>
        <w:ind w:right="-29"/>
        <w:contextualSpacing/>
        <w:rPr>
          <w:rFonts w:eastAsia="Calibri"/>
          <w:szCs w:val="22"/>
          <w:lang w:val="sr-Latn-ME"/>
        </w:rPr>
      </w:pPr>
      <w:r w:rsidRPr="00456B23">
        <w:rPr>
          <w:rFonts w:eastAsia="Calibri"/>
          <w:szCs w:val="22"/>
          <w:lang w:val="sr-Latn-ME"/>
        </w:rPr>
        <w:t xml:space="preserve">Podaci iz postojećih studija za glukokortikoide, ne ukazuju na bilo kakva klinički relevantna genotoksična svojstva. </w:t>
      </w:r>
    </w:p>
    <w:p w14:paraId="3BBA6565" w14:textId="77777777" w:rsidR="00054D7D" w:rsidRPr="00456B23" w:rsidRDefault="00054D7D">
      <w:pPr>
        <w:autoSpaceDE w:val="0"/>
        <w:autoSpaceDN w:val="0"/>
        <w:adjustRightInd w:val="0"/>
        <w:rPr>
          <w:rFonts w:eastAsia="Arial Unicode MS"/>
          <w:color w:val="000000"/>
          <w:szCs w:val="22"/>
          <w:lang w:val="sr-Latn-ME"/>
        </w:rPr>
      </w:pPr>
    </w:p>
    <w:p w14:paraId="78D0A7AF" w14:textId="77777777" w:rsidR="005E1E07" w:rsidRPr="00456B23" w:rsidRDefault="005E1E07">
      <w:pPr>
        <w:autoSpaceDE w:val="0"/>
        <w:autoSpaceDN w:val="0"/>
        <w:adjustRightInd w:val="0"/>
        <w:rPr>
          <w:rFonts w:eastAsia="Arial Unicode MS"/>
          <w:color w:val="000000"/>
          <w:szCs w:val="22"/>
          <w:lang w:val="sr-Latn-ME"/>
        </w:rPr>
      </w:pPr>
    </w:p>
    <w:p w14:paraId="77BDD62A" w14:textId="77777777" w:rsidR="005E1E07" w:rsidRPr="00456B23" w:rsidRDefault="005E1E07">
      <w:pPr>
        <w:autoSpaceDE w:val="0"/>
        <w:autoSpaceDN w:val="0"/>
        <w:adjustRightInd w:val="0"/>
        <w:rPr>
          <w:rFonts w:eastAsia="Arial Unicode MS"/>
          <w:color w:val="000000"/>
          <w:szCs w:val="22"/>
          <w:lang w:val="sr-Latn-ME"/>
        </w:rPr>
      </w:pPr>
    </w:p>
    <w:p w14:paraId="6884F3D1" w14:textId="065F98FF" w:rsidR="005E1E07" w:rsidRPr="00456B23" w:rsidRDefault="00054D7D">
      <w:pPr>
        <w:autoSpaceDE w:val="0"/>
        <w:autoSpaceDN w:val="0"/>
        <w:adjustRightInd w:val="0"/>
        <w:rPr>
          <w:rFonts w:eastAsia="Arial Unicode MS"/>
          <w:b/>
          <w:color w:val="000000"/>
          <w:szCs w:val="22"/>
          <w:lang w:val="sr-Latn-ME"/>
        </w:rPr>
      </w:pPr>
      <w:r w:rsidRPr="00456B23">
        <w:rPr>
          <w:rFonts w:eastAsia="Arial Unicode MS"/>
          <w:b/>
          <w:color w:val="000000"/>
          <w:szCs w:val="22"/>
          <w:lang w:val="sr-Latn-ME"/>
        </w:rPr>
        <w:lastRenderedPageBreak/>
        <w:t>Oštećenje plodnosti</w:t>
      </w:r>
    </w:p>
    <w:p w14:paraId="4F8A8319" w14:textId="623BB565" w:rsidR="00054D7D" w:rsidRPr="00456B23" w:rsidRDefault="0035439C">
      <w:pPr>
        <w:autoSpaceDE w:val="0"/>
        <w:autoSpaceDN w:val="0"/>
        <w:adjustRightInd w:val="0"/>
        <w:rPr>
          <w:rFonts w:eastAsia="Arial Unicode MS"/>
          <w:color w:val="000000"/>
          <w:szCs w:val="22"/>
          <w:lang w:val="sr-Latn-ME"/>
        </w:rPr>
      </w:pPr>
      <w:r w:rsidRPr="00456B23">
        <w:rPr>
          <w:rFonts w:eastAsia="Arial Unicode MS"/>
          <w:color w:val="000000"/>
          <w:szCs w:val="22"/>
          <w:lang w:val="sr-Latn-ME"/>
        </w:rPr>
        <w:t>U</w:t>
      </w:r>
      <w:r w:rsidR="00DC3738" w:rsidRPr="00456B23">
        <w:rPr>
          <w:rFonts w:eastAsia="Arial Unicode MS"/>
          <w:color w:val="000000"/>
          <w:szCs w:val="22"/>
          <w:lang w:val="sr-Latn-ME"/>
        </w:rPr>
        <w:t xml:space="preserve"> animalni</w:t>
      </w:r>
      <w:r w:rsidRPr="00456B23">
        <w:rPr>
          <w:rFonts w:eastAsia="Arial Unicode MS"/>
          <w:color w:val="000000"/>
          <w:szCs w:val="22"/>
          <w:lang w:val="sr-Latn-ME"/>
        </w:rPr>
        <w:t>m</w:t>
      </w:r>
      <w:r w:rsidR="00054D7D" w:rsidRPr="00456B23">
        <w:rPr>
          <w:rFonts w:eastAsia="Arial Unicode MS"/>
          <w:color w:val="000000"/>
          <w:szCs w:val="22"/>
          <w:lang w:val="sr-Latn-ME"/>
        </w:rPr>
        <w:t xml:space="preserve"> st</w:t>
      </w:r>
      <w:r w:rsidR="00DC3738" w:rsidRPr="00456B23">
        <w:rPr>
          <w:rFonts w:eastAsia="Arial Unicode MS"/>
          <w:color w:val="000000"/>
          <w:szCs w:val="22"/>
          <w:lang w:val="sr-Latn-ME"/>
        </w:rPr>
        <w:t>udija</w:t>
      </w:r>
      <w:r w:rsidRPr="00456B23">
        <w:rPr>
          <w:rFonts w:eastAsia="Arial Unicode MS"/>
          <w:color w:val="000000"/>
          <w:szCs w:val="22"/>
          <w:lang w:val="sr-Latn-ME"/>
        </w:rPr>
        <w:t>ma</w:t>
      </w:r>
      <w:r w:rsidR="00DC3738" w:rsidRPr="00456B23">
        <w:rPr>
          <w:rFonts w:eastAsia="Arial Unicode MS"/>
          <w:color w:val="000000"/>
          <w:szCs w:val="22"/>
          <w:lang w:val="sr-Latn-ME"/>
        </w:rPr>
        <w:t xml:space="preserve"> dokazano je da kod</w:t>
      </w:r>
      <w:r w:rsidR="00054D7D" w:rsidRPr="00456B23">
        <w:rPr>
          <w:rFonts w:eastAsia="Arial Unicode MS"/>
          <w:color w:val="000000"/>
          <w:szCs w:val="22"/>
          <w:lang w:val="sr-Latn-ME"/>
        </w:rPr>
        <w:t xml:space="preserve"> miševa, zamor</w:t>
      </w:r>
      <w:r w:rsidRPr="00456B23">
        <w:rPr>
          <w:rFonts w:eastAsia="Arial Unicode MS"/>
          <w:color w:val="000000"/>
          <w:szCs w:val="22"/>
          <w:lang w:val="sr-Latn-ME"/>
        </w:rPr>
        <w:t>čić</w:t>
      </w:r>
      <w:r w:rsidR="00054D7D" w:rsidRPr="00456B23">
        <w:rPr>
          <w:rFonts w:eastAsia="Arial Unicode MS"/>
          <w:color w:val="000000"/>
          <w:szCs w:val="22"/>
          <w:lang w:val="sr-Latn-ME"/>
        </w:rPr>
        <w:t>a i zečeva prednizolon u</w:t>
      </w:r>
      <w:r w:rsidR="00DC3738" w:rsidRPr="00456B23">
        <w:rPr>
          <w:rFonts w:eastAsia="Arial Unicode MS"/>
          <w:color w:val="000000"/>
          <w:szCs w:val="22"/>
          <w:lang w:val="sr-Latn-ME"/>
        </w:rPr>
        <w:t>zrokuje rascjep nepca. Kod pacova</w:t>
      </w:r>
      <w:r w:rsidR="00054D7D" w:rsidRPr="00456B23">
        <w:rPr>
          <w:rFonts w:eastAsia="Arial Unicode MS"/>
          <w:color w:val="000000"/>
          <w:szCs w:val="22"/>
          <w:lang w:val="sr-Latn-ME"/>
        </w:rPr>
        <w:t>, nakon parenteralne primjene, prim</w:t>
      </w:r>
      <w:r w:rsidR="00DC3738" w:rsidRPr="00456B23">
        <w:rPr>
          <w:rFonts w:eastAsia="Arial Unicode MS"/>
          <w:color w:val="000000"/>
          <w:szCs w:val="22"/>
          <w:lang w:val="sr-Latn-ME"/>
        </w:rPr>
        <w:t>ijećene su neznatne anomalije lo</w:t>
      </w:r>
      <w:r w:rsidR="00054D7D" w:rsidRPr="00456B23">
        <w:rPr>
          <w:rFonts w:eastAsia="Arial Unicode MS"/>
          <w:color w:val="000000"/>
          <w:szCs w:val="22"/>
          <w:lang w:val="sr-Latn-ME"/>
        </w:rPr>
        <w:t xml:space="preserve">banje, </w:t>
      </w:r>
      <w:r w:rsidRPr="00456B23">
        <w:rPr>
          <w:rFonts w:eastAsia="Arial Unicode MS"/>
          <w:color w:val="000000"/>
          <w:szCs w:val="22"/>
          <w:lang w:val="sr-Latn-ME"/>
        </w:rPr>
        <w:t>vilice</w:t>
      </w:r>
      <w:r w:rsidR="00054D7D" w:rsidRPr="00456B23">
        <w:rPr>
          <w:rFonts w:eastAsia="Arial Unicode MS"/>
          <w:color w:val="000000"/>
          <w:szCs w:val="22"/>
          <w:lang w:val="sr-Latn-ME"/>
        </w:rPr>
        <w:t xml:space="preserve"> i jezika. Zabilježeni su i poremećaji intrauterinog rasta (takođe pogledati dio 4.6.). </w:t>
      </w:r>
    </w:p>
    <w:p w14:paraId="0FD43EAF" w14:textId="77777777" w:rsidR="00054D7D" w:rsidRPr="00456B23" w:rsidRDefault="00054D7D">
      <w:pPr>
        <w:autoSpaceDE w:val="0"/>
        <w:autoSpaceDN w:val="0"/>
        <w:adjustRightInd w:val="0"/>
        <w:rPr>
          <w:rFonts w:eastAsia="Arial Unicode MS"/>
          <w:color w:val="000000"/>
          <w:szCs w:val="22"/>
          <w:lang w:val="sr-Latn-ME"/>
        </w:rPr>
      </w:pPr>
    </w:p>
    <w:p w14:paraId="5C7588ED" w14:textId="0521A2BA" w:rsidR="00054D7D" w:rsidRPr="00456B23" w:rsidRDefault="00054D7D">
      <w:pPr>
        <w:autoSpaceDE w:val="0"/>
        <w:autoSpaceDN w:val="0"/>
        <w:adjustRightInd w:val="0"/>
        <w:rPr>
          <w:rFonts w:eastAsia="Arial Unicode MS"/>
          <w:color w:val="000000"/>
          <w:szCs w:val="22"/>
          <w:lang w:val="sr-Latn-ME"/>
        </w:rPr>
      </w:pPr>
      <w:r w:rsidRPr="00456B23">
        <w:rPr>
          <w:rFonts w:eastAsia="Arial Unicode MS"/>
          <w:color w:val="000000"/>
          <w:szCs w:val="22"/>
          <w:lang w:val="sr-Latn-ME"/>
        </w:rPr>
        <w:t xml:space="preserve">Primijenjen u visokoj dozi tokom dužeg perioda (30 mg dnevno, najmanje 4 sedmice), prednizolon uzrokuje </w:t>
      </w:r>
      <w:r w:rsidR="008E28F9" w:rsidRPr="00456B23">
        <w:rPr>
          <w:rFonts w:eastAsia="Arial Unicode MS"/>
          <w:color w:val="000000"/>
          <w:szCs w:val="22"/>
          <w:lang w:val="sr-Latn-ME"/>
        </w:rPr>
        <w:t>oštećenje</w:t>
      </w:r>
      <w:r w:rsidRPr="00456B23">
        <w:rPr>
          <w:rFonts w:eastAsia="Arial Unicode MS"/>
          <w:color w:val="000000"/>
          <w:szCs w:val="22"/>
          <w:lang w:val="sr-Latn-ME"/>
        </w:rPr>
        <w:t xml:space="preserve"> spermatogeneze, s trajanjem od nekoliko mjeseci nakon prestanka uzimanja lijeka.</w:t>
      </w:r>
    </w:p>
    <w:p w14:paraId="2412E5A2" w14:textId="77777777" w:rsidR="0035439C" w:rsidRPr="00456B23" w:rsidRDefault="0035439C">
      <w:pPr>
        <w:autoSpaceDE w:val="0"/>
        <w:autoSpaceDN w:val="0"/>
        <w:adjustRightInd w:val="0"/>
        <w:rPr>
          <w:color w:val="000000"/>
          <w:szCs w:val="22"/>
          <w:lang w:val="sr-Latn-ME"/>
        </w:rPr>
      </w:pPr>
    </w:p>
    <w:p w14:paraId="04004329" w14:textId="77777777" w:rsidR="00054D7D" w:rsidRPr="00456B23" w:rsidRDefault="00054D7D">
      <w:pPr>
        <w:rPr>
          <w:color w:val="000000"/>
          <w:szCs w:val="22"/>
          <w:lang w:val="sr-Latn-ME" w:eastAsia="hr-HR"/>
        </w:rPr>
      </w:pPr>
    </w:p>
    <w:p w14:paraId="191D1E11" w14:textId="77777777" w:rsidR="00054D7D" w:rsidRPr="00456B23" w:rsidRDefault="00054D7D">
      <w:pPr>
        <w:pStyle w:val="ListNumber"/>
        <w:numPr>
          <w:ilvl w:val="0"/>
          <w:numId w:val="22"/>
        </w:numPr>
        <w:rPr>
          <w:b/>
          <w:szCs w:val="22"/>
          <w:lang w:val="sr-Latn-ME"/>
        </w:rPr>
      </w:pPr>
      <w:r w:rsidRPr="00456B23">
        <w:rPr>
          <w:b/>
          <w:szCs w:val="22"/>
          <w:lang w:val="sr-Latn-ME"/>
        </w:rPr>
        <w:t>FARMACEUTSKI PODACI</w:t>
      </w:r>
    </w:p>
    <w:p w14:paraId="0D171F10" w14:textId="77777777" w:rsidR="005E1E07" w:rsidRPr="00456B23" w:rsidRDefault="005E1E07" w:rsidP="00832154">
      <w:pPr>
        <w:pStyle w:val="ListNumber"/>
        <w:numPr>
          <w:ilvl w:val="0"/>
          <w:numId w:val="0"/>
        </w:numPr>
        <w:ind w:left="360"/>
        <w:rPr>
          <w:b/>
          <w:szCs w:val="22"/>
          <w:lang w:val="sr-Latn-ME"/>
        </w:rPr>
      </w:pPr>
    </w:p>
    <w:p w14:paraId="4B0F54B8" w14:textId="77777777" w:rsidR="00054D7D" w:rsidRPr="00456B23" w:rsidRDefault="00054D7D" w:rsidP="00832154">
      <w:pPr>
        <w:pStyle w:val="Heading2"/>
        <w:numPr>
          <w:ilvl w:val="1"/>
          <w:numId w:val="22"/>
        </w:numPr>
        <w:spacing w:before="0" w:after="0"/>
        <w:rPr>
          <w:szCs w:val="22"/>
          <w:lang w:val="sr-Latn-ME"/>
        </w:rPr>
      </w:pPr>
      <w:r w:rsidRPr="00456B23">
        <w:rPr>
          <w:szCs w:val="22"/>
          <w:lang w:val="sr-Latn-ME"/>
        </w:rPr>
        <w:t xml:space="preserve"> Lista pomoćnih supstanci (ekscipijenasa)</w:t>
      </w:r>
    </w:p>
    <w:p w14:paraId="2632019E" w14:textId="77777777" w:rsidR="005E1E07" w:rsidRPr="00456B23" w:rsidRDefault="005E1E07" w:rsidP="00832154">
      <w:pPr>
        <w:rPr>
          <w:szCs w:val="22"/>
          <w:lang w:val="sr-Latn-ME"/>
        </w:rPr>
      </w:pPr>
    </w:p>
    <w:p w14:paraId="6774DE04" w14:textId="77777777" w:rsidR="00054D7D" w:rsidRPr="00456B23" w:rsidRDefault="00054D7D">
      <w:pPr>
        <w:numPr>
          <w:ilvl w:val="0"/>
          <w:numId w:val="4"/>
        </w:numPr>
        <w:tabs>
          <w:tab w:val="left" w:pos="8505"/>
        </w:tabs>
        <w:rPr>
          <w:color w:val="000000"/>
          <w:szCs w:val="22"/>
          <w:lang w:val="sr-Latn-ME"/>
        </w:rPr>
      </w:pPr>
      <w:r w:rsidRPr="00456B23">
        <w:rPr>
          <w:color w:val="000000"/>
          <w:szCs w:val="22"/>
          <w:lang w:val="sr-Latn-ME"/>
        </w:rPr>
        <w:t>Laktoza DC</w:t>
      </w:r>
    </w:p>
    <w:p w14:paraId="09763492" w14:textId="74EA2D1E" w:rsidR="00054D7D" w:rsidRPr="00456B23" w:rsidRDefault="00054D7D">
      <w:pPr>
        <w:pStyle w:val="ListParagraph"/>
        <w:numPr>
          <w:ilvl w:val="0"/>
          <w:numId w:val="4"/>
        </w:numPr>
        <w:rPr>
          <w:color w:val="000000"/>
          <w:szCs w:val="22"/>
          <w:lang w:val="sr-Latn-ME"/>
        </w:rPr>
      </w:pPr>
      <w:r w:rsidRPr="00456B23">
        <w:rPr>
          <w:color w:val="000000"/>
          <w:szCs w:val="22"/>
          <w:lang w:val="sr-Latn-ME"/>
        </w:rPr>
        <w:t>Natrijum skrob glikolat</w:t>
      </w:r>
    </w:p>
    <w:p w14:paraId="16CB74D9" w14:textId="77777777" w:rsidR="00054D7D" w:rsidRPr="00456B23" w:rsidRDefault="00054D7D">
      <w:pPr>
        <w:pStyle w:val="ListParagraph"/>
        <w:numPr>
          <w:ilvl w:val="0"/>
          <w:numId w:val="4"/>
        </w:numPr>
        <w:rPr>
          <w:szCs w:val="22"/>
          <w:lang w:val="sr-Latn-ME"/>
        </w:rPr>
      </w:pPr>
      <w:r w:rsidRPr="00456B23">
        <w:rPr>
          <w:szCs w:val="22"/>
          <w:lang w:val="sr-Latn-ME"/>
        </w:rPr>
        <w:t>Natrijum laurilsulfat</w:t>
      </w:r>
    </w:p>
    <w:p w14:paraId="164E57F7" w14:textId="042172AB" w:rsidR="00054D7D" w:rsidRPr="00456B23" w:rsidRDefault="00054D7D">
      <w:pPr>
        <w:pStyle w:val="ListParagraph"/>
        <w:numPr>
          <w:ilvl w:val="0"/>
          <w:numId w:val="4"/>
        </w:numPr>
        <w:rPr>
          <w:szCs w:val="22"/>
          <w:lang w:val="sr-Latn-ME"/>
        </w:rPr>
      </w:pPr>
      <w:r w:rsidRPr="00456B23">
        <w:rPr>
          <w:szCs w:val="22"/>
          <w:lang w:val="sr-Latn-ME"/>
        </w:rPr>
        <w:t>Silicijum dioksid</w:t>
      </w:r>
      <w:r w:rsidR="005E1E07" w:rsidRPr="00456B23">
        <w:rPr>
          <w:szCs w:val="22"/>
          <w:lang w:val="sr-Latn-ME"/>
        </w:rPr>
        <w:t xml:space="preserve">, </w:t>
      </w:r>
      <w:r w:rsidRPr="00456B23">
        <w:rPr>
          <w:szCs w:val="22"/>
          <w:lang w:val="sr-Latn-ME"/>
        </w:rPr>
        <w:t>koloidni</w:t>
      </w:r>
      <w:r w:rsidR="005E1E07" w:rsidRPr="00456B23">
        <w:rPr>
          <w:szCs w:val="22"/>
          <w:lang w:val="sr-Latn-ME"/>
        </w:rPr>
        <w:t>, bezvodni</w:t>
      </w:r>
    </w:p>
    <w:p w14:paraId="56915BDF" w14:textId="77777777" w:rsidR="00054D7D" w:rsidRPr="00456B23" w:rsidRDefault="00054D7D">
      <w:pPr>
        <w:pStyle w:val="ListParagraph"/>
        <w:numPr>
          <w:ilvl w:val="0"/>
          <w:numId w:val="4"/>
        </w:numPr>
        <w:rPr>
          <w:szCs w:val="22"/>
          <w:lang w:val="sr-Latn-ME"/>
        </w:rPr>
      </w:pPr>
      <w:r w:rsidRPr="00456B23">
        <w:rPr>
          <w:szCs w:val="22"/>
          <w:lang w:val="sr-Latn-ME"/>
        </w:rPr>
        <w:t>Magnezijum stearat</w:t>
      </w:r>
    </w:p>
    <w:p w14:paraId="217E5C3F" w14:textId="77777777" w:rsidR="00054D7D" w:rsidRPr="00456B23" w:rsidRDefault="00054D7D">
      <w:pPr>
        <w:rPr>
          <w:szCs w:val="22"/>
          <w:lang w:val="sr-Latn-ME"/>
        </w:rPr>
      </w:pPr>
      <w:r w:rsidRPr="00456B23">
        <w:rPr>
          <w:szCs w:val="22"/>
          <w:lang w:val="sr-Latn-ME"/>
        </w:rPr>
        <w:tab/>
      </w:r>
      <w:r w:rsidRPr="00456B23">
        <w:rPr>
          <w:szCs w:val="22"/>
          <w:lang w:val="sr-Latn-ME"/>
        </w:rPr>
        <w:tab/>
      </w:r>
    </w:p>
    <w:p w14:paraId="7660A8CA" w14:textId="59448E0D" w:rsidR="005E1E07" w:rsidRPr="00456B23" w:rsidRDefault="00054D7D" w:rsidP="00832154">
      <w:pPr>
        <w:pStyle w:val="Heading2"/>
        <w:numPr>
          <w:ilvl w:val="1"/>
          <w:numId w:val="22"/>
        </w:numPr>
        <w:spacing w:before="0" w:after="0"/>
        <w:rPr>
          <w:color w:val="000000"/>
          <w:szCs w:val="22"/>
          <w:lang w:val="sr-Latn-ME"/>
        </w:rPr>
      </w:pPr>
      <w:r w:rsidRPr="00456B23">
        <w:rPr>
          <w:color w:val="000000"/>
          <w:szCs w:val="22"/>
          <w:lang w:val="sr-Latn-ME"/>
        </w:rPr>
        <w:t xml:space="preserve"> Inkompatibilnosti </w:t>
      </w:r>
    </w:p>
    <w:p w14:paraId="0ACB5634" w14:textId="77777777" w:rsidR="00456B23" w:rsidRPr="00456B23" w:rsidRDefault="00456B23">
      <w:pPr>
        <w:rPr>
          <w:bCs/>
          <w:color w:val="000000"/>
          <w:szCs w:val="22"/>
          <w:lang w:val="sr-Latn-ME"/>
        </w:rPr>
      </w:pPr>
    </w:p>
    <w:p w14:paraId="75384591" w14:textId="319DB8E7" w:rsidR="00054D7D" w:rsidRPr="00456B23" w:rsidRDefault="00054D7D">
      <w:pPr>
        <w:rPr>
          <w:bCs/>
          <w:color w:val="000000"/>
          <w:szCs w:val="22"/>
          <w:lang w:val="sr-Latn-ME"/>
        </w:rPr>
      </w:pPr>
      <w:r w:rsidRPr="00456B23">
        <w:rPr>
          <w:bCs/>
          <w:color w:val="000000"/>
          <w:szCs w:val="22"/>
          <w:lang w:val="sr-Latn-ME"/>
        </w:rPr>
        <w:t>Nije primjenljivo.</w:t>
      </w:r>
    </w:p>
    <w:p w14:paraId="0AD1B301" w14:textId="77777777" w:rsidR="00054D7D" w:rsidRPr="00456B23" w:rsidRDefault="00054D7D">
      <w:pPr>
        <w:rPr>
          <w:bCs/>
          <w:color w:val="000000"/>
          <w:szCs w:val="22"/>
          <w:lang w:val="sr-Latn-ME"/>
        </w:rPr>
      </w:pPr>
    </w:p>
    <w:p w14:paraId="36A349B5" w14:textId="103D49CC" w:rsidR="005E1E07" w:rsidRPr="00456B23" w:rsidRDefault="00054D7D" w:rsidP="00832154">
      <w:pPr>
        <w:pStyle w:val="Heading2"/>
        <w:numPr>
          <w:ilvl w:val="1"/>
          <w:numId w:val="22"/>
        </w:numPr>
        <w:spacing w:before="0" w:after="0"/>
        <w:rPr>
          <w:color w:val="000000"/>
          <w:szCs w:val="22"/>
          <w:lang w:val="sr-Latn-ME"/>
        </w:rPr>
      </w:pPr>
      <w:r w:rsidRPr="00456B23">
        <w:rPr>
          <w:color w:val="000000"/>
          <w:szCs w:val="22"/>
          <w:lang w:val="sr-Latn-ME"/>
        </w:rPr>
        <w:t xml:space="preserve"> Rok upotrebe</w:t>
      </w:r>
    </w:p>
    <w:p w14:paraId="52634998" w14:textId="77777777" w:rsidR="00456B23" w:rsidRPr="00456B23" w:rsidRDefault="00456B23">
      <w:pPr>
        <w:rPr>
          <w:color w:val="000000"/>
          <w:szCs w:val="22"/>
          <w:lang w:val="sr-Latn-ME"/>
        </w:rPr>
      </w:pPr>
    </w:p>
    <w:p w14:paraId="314F6591" w14:textId="397ED94E" w:rsidR="00054D7D" w:rsidRPr="00456B23" w:rsidRDefault="00054D7D">
      <w:pPr>
        <w:rPr>
          <w:color w:val="000000"/>
          <w:szCs w:val="22"/>
          <w:lang w:val="sr-Latn-ME"/>
        </w:rPr>
      </w:pPr>
      <w:r w:rsidRPr="00456B23">
        <w:rPr>
          <w:color w:val="000000"/>
          <w:szCs w:val="22"/>
          <w:lang w:val="sr-Latn-ME"/>
        </w:rPr>
        <w:t>36 mjeseci.</w:t>
      </w:r>
    </w:p>
    <w:p w14:paraId="4DF84A16" w14:textId="77777777" w:rsidR="00054D7D" w:rsidRPr="00456B23" w:rsidRDefault="00054D7D">
      <w:pPr>
        <w:rPr>
          <w:color w:val="000000"/>
          <w:szCs w:val="22"/>
          <w:lang w:val="sr-Latn-ME"/>
        </w:rPr>
      </w:pPr>
    </w:p>
    <w:p w14:paraId="493F02BC" w14:textId="77777777" w:rsidR="00054D7D" w:rsidRPr="00456B23" w:rsidRDefault="00054D7D" w:rsidP="00832154">
      <w:pPr>
        <w:pStyle w:val="Heading2"/>
        <w:numPr>
          <w:ilvl w:val="1"/>
          <w:numId w:val="22"/>
        </w:numPr>
        <w:spacing w:before="0" w:after="0"/>
        <w:rPr>
          <w:szCs w:val="22"/>
          <w:lang w:val="sr-Latn-ME"/>
        </w:rPr>
      </w:pPr>
      <w:r w:rsidRPr="00456B23">
        <w:rPr>
          <w:szCs w:val="22"/>
          <w:lang w:val="sr-Latn-ME"/>
        </w:rPr>
        <w:t xml:space="preserve"> Posebne mjere upozorenja pri čuvanju lijeka</w:t>
      </w:r>
    </w:p>
    <w:p w14:paraId="1158D0D9" w14:textId="77777777" w:rsidR="005E1E07" w:rsidRPr="00456B23" w:rsidRDefault="005E1E07" w:rsidP="00832154">
      <w:pPr>
        <w:rPr>
          <w:szCs w:val="22"/>
          <w:lang w:val="sr-Latn-ME"/>
        </w:rPr>
      </w:pPr>
    </w:p>
    <w:p w14:paraId="363DAC33" w14:textId="5EDB569D" w:rsidR="00085028" w:rsidRPr="00456B23" w:rsidRDefault="00054D7D">
      <w:pPr>
        <w:rPr>
          <w:color w:val="000000"/>
          <w:szCs w:val="22"/>
          <w:lang w:val="sr-Latn-ME"/>
        </w:rPr>
      </w:pPr>
      <w:r w:rsidRPr="00456B23">
        <w:rPr>
          <w:color w:val="000000"/>
          <w:szCs w:val="22"/>
          <w:lang w:val="sr-Latn-ME"/>
        </w:rPr>
        <w:t>Čuvati na temperaturi do 30°C.</w:t>
      </w:r>
    </w:p>
    <w:p w14:paraId="1F96AD6A" w14:textId="6C7EB33A" w:rsidR="00085028" w:rsidRPr="00456B23" w:rsidRDefault="0028478E">
      <w:pPr>
        <w:rPr>
          <w:color w:val="000000"/>
          <w:szCs w:val="22"/>
          <w:lang w:val="sr-Latn-ME"/>
        </w:rPr>
      </w:pPr>
      <w:r w:rsidRPr="00456B23">
        <w:rPr>
          <w:color w:val="000000"/>
          <w:szCs w:val="22"/>
          <w:lang w:val="sr-Latn-ME"/>
        </w:rPr>
        <w:t>Lijek čuvajte van pogleda i domašaja djece.</w:t>
      </w:r>
    </w:p>
    <w:p w14:paraId="12D07CFA" w14:textId="77777777" w:rsidR="00054D7D" w:rsidRPr="00456B23" w:rsidRDefault="00054D7D">
      <w:pPr>
        <w:rPr>
          <w:b/>
          <w:color w:val="000000"/>
          <w:szCs w:val="22"/>
          <w:lang w:val="sr-Latn-ME"/>
        </w:rPr>
      </w:pPr>
    </w:p>
    <w:p w14:paraId="63573180" w14:textId="77777777" w:rsidR="00054D7D" w:rsidRPr="00456B23" w:rsidRDefault="00054D7D" w:rsidP="00832154">
      <w:pPr>
        <w:pStyle w:val="Heading2"/>
        <w:numPr>
          <w:ilvl w:val="1"/>
          <w:numId w:val="22"/>
        </w:numPr>
        <w:spacing w:before="0" w:after="0"/>
        <w:contextualSpacing/>
        <w:rPr>
          <w:szCs w:val="22"/>
          <w:lang w:val="sr-Latn-ME"/>
        </w:rPr>
      </w:pPr>
      <w:r w:rsidRPr="00456B23">
        <w:rPr>
          <w:szCs w:val="22"/>
          <w:lang w:val="sr-Latn-ME"/>
        </w:rPr>
        <w:t xml:space="preserve"> Vrsta i sadržaj pakovanja</w:t>
      </w:r>
    </w:p>
    <w:p w14:paraId="2312DB8F" w14:textId="77777777" w:rsidR="005E1E07" w:rsidRPr="00456B23" w:rsidRDefault="005E1E07" w:rsidP="00832154">
      <w:pPr>
        <w:rPr>
          <w:szCs w:val="22"/>
          <w:lang w:val="sr-Latn-ME"/>
        </w:rPr>
      </w:pPr>
    </w:p>
    <w:p w14:paraId="257DD18C" w14:textId="649C0208" w:rsidR="005E1E07" w:rsidRPr="00456B23" w:rsidRDefault="005E1E07">
      <w:pPr>
        <w:contextualSpacing/>
        <w:rPr>
          <w:color w:val="000000"/>
          <w:szCs w:val="22"/>
          <w:lang w:val="sr-Latn-ME"/>
        </w:rPr>
      </w:pPr>
      <w:r w:rsidRPr="00456B23">
        <w:rPr>
          <w:color w:val="000000"/>
          <w:szCs w:val="22"/>
          <w:lang w:val="sr-Latn-ME"/>
        </w:rPr>
        <w:t xml:space="preserve">Unutrašnje pakovanje je </w:t>
      </w:r>
      <w:r w:rsidR="00B45CCF" w:rsidRPr="00456B23">
        <w:rPr>
          <w:color w:val="000000"/>
          <w:szCs w:val="22"/>
          <w:lang w:val="sr-Latn-ME"/>
        </w:rPr>
        <w:t xml:space="preserve">PVC/Al </w:t>
      </w:r>
      <w:r w:rsidR="00054D7D" w:rsidRPr="00456B23">
        <w:rPr>
          <w:color w:val="000000"/>
          <w:szCs w:val="22"/>
          <w:lang w:val="sr-Latn-ME"/>
        </w:rPr>
        <w:t xml:space="preserve">blister </w:t>
      </w:r>
      <w:r w:rsidRPr="00456B23">
        <w:rPr>
          <w:color w:val="000000"/>
          <w:szCs w:val="22"/>
          <w:lang w:val="sr-Latn-ME"/>
        </w:rPr>
        <w:t xml:space="preserve">koji </w:t>
      </w:r>
      <w:r w:rsidR="00054D7D" w:rsidRPr="00456B23">
        <w:rPr>
          <w:color w:val="000000"/>
          <w:szCs w:val="22"/>
          <w:lang w:val="sr-Latn-ME"/>
        </w:rPr>
        <w:t>sadrž</w:t>
      </w:r>
      <w:r w:rsidRPr="00456B23">
        <w:rPr>
          <w:color w:val="000000"/>
          <w:szCs w:val="22"/>
          <w:lang w:val="sr-Latn-ME"/>
        </w:rPr>
        <w:t>i</w:t>
      </w:r>
      <w:r w:rsidR="00054D7D" w:rsidRPr="00456B23">
        <w:rPr>
          <w:color w:val="000000"/>
          <w:szCs w:val="22"/>
          <w:lang w:val="sr-Latn-ME"/>
        </w:rPr>
        <w:t xml:space="preserve"> 10 tableta</w:t>
      </w:r>
      <w:r w:rsidRPr="00456B23">
        <w:rPr>
          <w:color w:val="000000"/>
          <w:szCs w:val="22"/>
          <w:lang w:val="sr-Latn-ME"/>
        </w:rPr>
        <w:t>.</w:t>
      </w:r>
      <w:r w:rsidR="00054D7D" w:rsidRPr="00456B23">
        <w:rPr>
          <w:color w:val="000000"/>
          <w:szCs w:val="22"/>
          <w:lang w:val="sr-Latn-ME"/>
        </w:rPr>
        <w:t xml:space="preserve"> </w:t>
      </w:r>
    </w:p>
    <w:p w14:paraId="38AA5F21" w14:textId="77777777" w:rsidR="005E1E07" w:rsidRPr="00456B23" w:rsidRDefault="005E1E07" w:rsidP="005E1E07">
      <w:pPr>
        <w:contextualSpacing/>
        <w:rPr>
          <w:color w:val="000000"/>
          <w:szCs w:val="22"/>
          <w:lang w:val="sr-Latn-ME"/>
        </w:rPr>
      </w:pPr>
      <w:r w:rsidRPr="00456B23">
        <w:rPr>
          <w:color w:val="000000"/>
          <w:szCs w:val="22"/>
          <w:lang w:val="sr-Latn-ME"/>
        </w:rPr>
        <w:t>Spoljašnje pakovanje je složiva kartonska kutija koja sadrži 1 blister i Uputstvo za lijek.</w:t>
      </w:r>
    </w:p>
    <w:p w14:paraId="3BC10BC8" w14:textId="257C86DE" w:rsidR="00054D7D" w:rsidRPr="00456B23" w:rsidRDefault="005E1E07">
      <w:pPr>
        <w:contextualSpacing/>
        <w:rPr>
          <w:color w:val="000000"/>
          <w:szCs w:val="22"/>
          <w:lang w:val="sr-Latn-ME"/>
        </w:rPr>
      </w:pPr>
      <w:r w:rsidRPr="00456B23" w:rsidDel="005E1E07">
        <w:rPr>
          <w:color w:val="000000"/>
          <w:szCs w:val="22"/>
          <w:lang w:val="sr-Latn-ME"/>
        </w:rPr>
        <w:t xml:space="preserve"> </w:t>
      </w:r>
    </w:p>
    <w:p w14:paraId="77EDDAA2" w14:textId="77777777" w:rsidR="00054D7D" w:rsidRPr="00456B23" w:rsidRDefault="00054D7D" w:rsidP="00832154">
      <w:pPr>
        <w:pStyle w:val="Heading2"/>
        <w:numPr>
          <w:ilvl w:val="1"/>
          <w:numId w:val="22"/>
        </w:numPr>
        <w:spacing w:before="0" w:after="0"/>
        <w:rPr>
          <w:szCs w:val="22"/>
          <w:lang w:val="sr-Latn-ME"/>
        </w:rPr>
      </w:pPr>
      <w:r w:rsidRPr="00456B23">
        <w:rPr>
          <w:szCs w:val="22"/>
          <w:lang w:val="sr-Latn-ME"/>
        </w:rPr>
        <w:t xml:space="preserve"> Posebne mjere opreza pri odlaganju materijala koji treba odbaciti nakon primjene lijeka (i druga uputstva za rukovanje lijekom)</w:t>
      </w:r>
    </w:p>
    <w:p w14:paraId="7AE97707" w14:textId="77777777" w:rsidR="005E1E07" w:rsidRPr="00456B23" w:rsidRDefault="005E1E07" w:rsidP="00832154">
      <w:pPr>
        <w:rPr>
          <w:szCs w:val="22"/>
          <w:lang w:val="sr-Latn-ME"/>
        </w:rPr>
      </w:pPr>
    </w:p>
    <w:p w14:paraId="6988433F" w14:textId="77777777" w:rsidR="00054D7D" w:rsidRPr="00456B23" w:rsidRDefault="00054D7D">
      <w:pPr>
        <w:rPr>
          <w:rFonts w:eastAsia="Calibri"/>
          <w:iCs/>
          <w:szCs w:val="22"/>
          <w:lang w:val="sr-Latn-ME" w:eastAsia="hr-HR"/>
        </w:rPr>
      </w:pPr>
      <w:r w:rsidRPr="00456B23">
        <w:rPr>
          <w:rFonts w:eastAsia="Calibri"/>
          <w:iCs/>
          <w:szCs w:val="22"/>
          <w:lang w:val="sr-Latn-ME" w:eastAsia="hr-HR"/>
        </w:rPr>
        <w:t>Svu neiskorišćenu količinu lijeka ili otpadnog materijala nakon njegove upotrebe treba ukloniti u skladu sa važećim propisima.</w:t>
      </w:r>
    </w:p>
    <w:p w14:paraId="38CFF345" w14:textId="1403778C" w:rsidR="005E1E07" w:rsidRDefault="005E1E07">
      <w:pPr>
        <w:rPr>
          <w:color w:val="000000"/>
          <w:szCs w:val="22"/>
          <w:lang w:val="sr-Latn-ME"/>
        </w:rPr>
      </w:pPr>
    </w:p>
    <w:p w14:paraId="640E026F" w14:textId="77777777" w:rsidR="00456B23" w:rsidRPr="00456B23" w:rsidRDefault="00456B23">
      <w:pPr>
        <w:rPr>
          <w:color w:val="000000"/>
          <w:szCs w:val="22"/>
          <w:lang w:val="sr-Latn-ME"/>
        </w:rPr>
      </w:pPr>
    </w:p>
    <w:p w14:paraId="1CB4780F" w14:textId="77777777" w:rsidR="00054D7D" w:rsidRPr="00456B23" w:rsidRDefault="00054D7D">
      <w:pPr>
        <w:pStyle w:val="ListNumber"/>
        <w:numPr>
          <w:ilvl w:val="0"/>
          <w:numId w:val="22"/>
        </w:numPr>
        <w:rPr>
          <w:b/>
          <w:szCs w:val="22"/>
          <w:lang w:val="sr-Latn-ME"/>
        </w:rPr>
      </w:pPr>
      <w:r w:rsidRPr="00456B23">
        <w:rPr>
          <w:b/>
          <w:szCs w:val="22"/>
          <w:lang w:val="sr-Latn-ME"/>
        </w:rPr>
        <w:t>NOSILAC DOZVOLE</w:t>
      </w:r>
    </w:p>
    <w:p w14:paraId="526E90B2" w14:textId="77777777" w:rsidR="00054D7D" w:rsidRPr="00456B23" w:rsidRDefault="00054D7D">
      <w:pPr>
        <w:pStyle w:val="ListNumber"/>
        <w:numPr>
          <w:ilvl w:val="0"/>
          <w:numId w:val="0"/>
        </w:numPr>
        <w:rPr>
          <w:b/>
          <w:szCs w:val="22"/>
          <w:lang w:val="sr-Latn-ME"/>
        </w:rPr>
      </w:pPr>
    </w:p>
    <w:p w14:paraId="76B1CDCF" w14:textId="77777777" w:rsidR="005E1E07" w:rsidRPr="00456B23" w:rsidRDefault="00054D7D">
      <w:pPr>
        <w:pStyle w:val="BodyText2"/>
        <w:rPr>
          <w:bCs/>
          <w:color w:val="000000"/>
          <w:szCs w:val="22"/>
          <w:lang w:val="sr-Latn-ME"/>
        </w:rPr>
      </w:pPr>
      <w:r w:rsidRPr="00456B23">
        <w:rPr>
          <w:bCs/>
          <w:color w:val="000000"/>
          <w:szCs w:val="22"/>
          <w:lang w:val="sr-Latn-ME"/>
        </w:rPr>
        <w:t xml:space="preserve">Bosnalijek d.d. Predstavništvo Crna Gora, </w:t>
      </w:r>
    </w:p>
    <w:p w14:paraId="1E31738A" w14:textId="2A6636F7" w:rsidR="00054D7D" w:rsidRPr="00456B23" w:rsidRDefault="00054D7D">
      <w:pPr>
        <w:pStyle w:val="BodyText2"/>
        <w:rPr>
          <w:bCs/>
          <w:color w:val="000000"/>
          <w:szCs w:val="22"/>
          <w:lang w:val="sr-Latn-ME"/>
        </w:rPr>
      </w:pPr>
      <w:r w:rsidRPr="00456B23">
        <w:rPr>
          <w:bCs/>
          <w:color w:val="000000"/>
          <w:szCs w:val="22"/>
          <w:lang w:val="sr-Latn-ME"/>
        </w:rPr>
        <w:t>Bulevar Svetog Petra Cetinjskog 63, Podgorica, Crna Gora</w:t>
      </w:r>
    </w:p>
    <w:p w14:paraId="2E576FE2" w14:textId="48CD4893" w:rsidR="00D02BEC" w:rsidRDefault="00D02BEC">
      <w:pPr>
        <w:pStyle w:val="BodyText2"/>
        <w:rPr>
          <w:szCs w:val="22"/>
          <w:lang w:val="sr-Latn-ME"/>
        </w:rPr>
      </w:pPr>
    </w:p>
    <w:p w14:paraId="06661023" w14:textId="77777777" w:rsidR="00456B23" w:rsidRPr="00456B23" w:rsidRDefault="00456B23">
      <w:pPr>
        <w:pStyle w:val="BodyText2"/>
        <w:rPr>
          <w:szCs w:val="22"/>
          <w:lang w:val="sr-Latn-ME"/>
        </w:rPr>
      </w:pPr>
    </w:p>
    <w:p w14:paraId="6A2A39FD" w14:textId="77777777" w:rsidR="00054D7D" w:rsidRPr="00456B23" w:rsidRDefault="00054D7D" w:rsidP="00832154">
      <w:pPr>
        <w:pStyle w:val="Heading1"/>
        <w:numPr>
          <w:ilvl w:val="0"/>
          <w:numId w:val="22"/>
        </w:numPr>
        <w:spacing w:before="0" w:after="0"/>
        <w:rPr>
          <w:szCs w:val="22"/>
          <w:lang w:val="sr-Latn-ME"/>
        </w:rPr>
      </w:pPr>
      <w:r w:rsidRPr="00456B23">
        <w:rPr>
          <w:szCs w:val="22"/>
          <w:lang w:val="sr-Latn-ME"/>
        </w:rPr>
        <w:lastRenderedPageBreak/>
        <w:t>broj dozvole za stavljanje lijeka u promet</w:t>
      </w:r>
    </w:p>
    <w:p w14:paraId="70FF9C56" w14:textId="77777777" w:rsidR="005E1E07" w:rsidRPr="00456B23" w:rsidRDefault="005E1E07" w:rsidP="00832154">
      <w:pPr>
        <w:rPr>
          <w:szCs w:val="22"/>
          <w:lang w:val="sr-Latn-ME"/>
        </w:rPr>
      </w:pPr>
    </w:p>
    <w:p w14:paraId="54749C66" w14:textId="4A2B8DBC" w:rsidR="00456B23" w:rsidRPr="00456B23" w:rsidRDefault="00456B23" w:rsidP="00456B23">
      <w:pPr>
        <w:tabs>
          <w:tab w:val="left" w:pos="426"/>
        </w:tabs>
        <w:rPr>
          <w:szCs w:val="22"/>
          <w:lang w:val="sr-Latn-ME"/>
        </w:rPr>
      </w:pPr>
      <w:r w:rsidRPr="00456B23">
        <w:rPr>
          <w:szCs w:val="22"/>
          <w:lang w:val="sr-Latn-ME"/>
        </w:rPr>
        <w:t xml:space="preserve">2030/24/2036 – 8715 </w:t>
      </w:r>
    </w:p>
    <w:p w14:paraId="191D91FF" w14:textId="77777777" w:rsidR="00054D7D" w:rsidRPr="00456B23" w:rsidRDefault="00054D7D">
      <w:pPr>
        <w:rPr>
          <w:szCs w:val="22"/>
          <w:lang w:val="sr-Latn-ME"/>
        </w:rPr>
      </w:pPr>
    </w:p>
    <w:p w14:paraId="1E7695C4" w14:textId="77777777" w:rsidR="00C71B61" w:rsidRPr="00456B23" w:rsidRDefault="00C71B61">
      <w:pPr>
        <w:rPr>
          <w:szCs w:val="22"/>
          <w:lang w:val="sr-Latn-ME"/>
        </w:rPr>
      </w:pPr>
    </w:p>
    <w:p w14:paraId="465C4789" w14:textId="77777777" w:rsidR="00054D7D" w:rsidRPr="00456B23" w:rsidRDefault="00054D7D" w:rsidP="00832154">
      <w:pPr>
        <w:pStyle w:val="Heading1"/>
        <w:numPr>
          <w:ilvl w:val="0"/>
          <w:numId w:val="22"/>
        </w:numPr>
        <w:spacing w:before="0" w:after="0"/>
        <w:rPr>
          <w:szCs w:val="22"/>
          <w:lang w:val="sr-Latn-ME"/>
        </w:rPr>
      </w:pPr>
      <w:r w:rsidRPr="00456B23">
        <w:rPr>
          <w:szCs w:val="22"/>
          <w:lang w:val="sr-Latn-ME"/>
        </w:rPr>
        <w:t xml:space="preserve">datum prve dozvole/obnove dozvole za stavljanje lijeka u promet </w:t>
      </w:r>
    </w:p>
    <w:p w14:paraId="5D31299C" w14:textId="77777777" w:rsidR="005E1E07" w:rsidRPr="00456B23" w:rsidRDefault="005E1E07" w:rsidP="00832154">
      <w:pPr>
        <w:rPr>
          <w:szCs w:val="22"/>
          <w:lang w:val="sr-Latn-ME"/>
        </w:rPr>
      </w:pPr>
    </w:p>
    <w:p w14:paraId="42163384" w14:textId="77777777" w:rsidR="00054D7D" w:rsidRPr="00456B23" w:rsidRDefault="00054D7D">
      <w:pPr>
        <w:rPr>
          <w:szCs w:val="22"/>
          <w:lang w:val="sr-Latn-ME"/>
        </w:rPr>
      </w:pPr>
      <w:r w:rsidRPr="00456B23">
        <w:rPr>
          <w:szCs w:val="22"/>
          <w:lang w:val="sr-Latn-ME"/>
        </w:rPr>
        <w:t>Datum prve dozvole: 17.07.2012. godine.</w:t>
      </w:r>
    </w:p>
    <w:p w14:paraId="68C333BB" w14:textId="6D96A5E6" w:rsidR="005E1E07" w:rsidRPr="00456B23" w:rsidRDefault="005E1E07">
      <w:pPr>
        <w:rPr>
          <w:szCs w:val="22"/>
          <w:lang w:val="sr-Latn-ME"/>
        </w:rPr>
      </w:pPr>
      <w:r w:rsidRPr="00456B23">
        <w:rPr>
          <w:szCs w:val="22"/>
          <w:lang w:val="sr-Latn-ME"/>
        </w:rPr>
        <w:t xml:space="preserve">Datum posljednje obnove dozvole: </w:t>
      </w:r>
      <w:r w:rsidR="007C2408">
        <w:rPr>
          <w:szCs w:val="22"/>
          <w:lang w:val="sr-Latn-ME"/>
        </w:rPr>
        <w:t>10</w:t>
      </w:r>
      <w:r w:rsidR="00456B23" w:rsidRPr="00456B23">
        <w:rPr>
          <w:szCs w:val="22"/>
          <w:lang w:val="sr-Latn-ME"/>
        </w:rPr>
        <w:t>.04.2024. godine</w:t>
      </w:r>
    </w:p>
    <w:p w14:paraId="76CAD74B" w14:textId="530198B5" w:rsidR="005E1E07" w:rsidRPr="00456B23" w:rsidRDefault="005E1E07">
      <w:pPr>
        <w:rPr>
          <w:szCs w:val="22"/>
          <w:lang w:val="sr-Latn-ME"/>
        </w:rPr>
      </w:pPr>
    </w:p>
    <w:p w14:paraId="7F4C4299" w14:textId="77777777" w:rsidR="00456B23" w:rsidRPr="00456B23" w:rsidRDefault="00456B23">
      <w:pPr>
        <w:rPr>
          <w:szCs w:val="22"/>
          <w:lang w:val="sr-Latn-ME"/>
        </w:rPr>
      </w:pPr>
    </w:p>
    <w:p w14:paraId="5EB25D2B" w14:textId="77777777" w:rsidR="00054D7D" w:rsidRPr="00456B23" w:rsidRDefault="00054D7D" w:rsidP="00832154">
      <w:pPr>
        <w:pStyle w:val="Heading1"/>
        <w:numPr>
          <w:ilvl w:val="0"/>
          <w:numId w:val="22"/>
        </w:numPr>
        <w:spacing w:before="0" w:after="0"/>
        <w:rPr>
          <w:szCs w:val="22"/>
          <w:lang w:val="sr-Latn-ME"/>
        </w:rPr>
      </w:pPr>
      <w:r w:rsidRPr="00456B23">
        <w:rPr>
          <w:szCs w:val="22"/>
          <w:lang w:val="sr-Latn-ME"/>
        </w:rPr>
        <w:t xml:space="preserve">datum REVIzIje teksta </w:t>
      </w:r>
    </w:p>
    <w:p w14:paraId="3B4FB505" w14:textId="77777777" w:rsidR="00DC3738" w:rsidRPr="00456B23" w:rsidRDefault="00DC3738">
      <w:pPr>
        <w:pStyle w:val="BodyText2"/>
        <w:rPr>
          <w:color w:val="000000"/>
          <w:szCs w:val="22"/>
          <w:lang w:val="sr-Latn-ME"/>
        </w:rPr>
      </w:pPr>
    </w:p>
    <w:p w14:paraId="7BE05E8C" w14:textId="4AA6766C" w:rsidR="00DC3738" w:rsidRPr="00456B23" w:rsidRDefault="00456B23">
      <w:pPr>
        <w:pStyle w:val="BodyText2"/>
        <w:rPr>
          <w:color w:val="000000"/>
          <w:szCs w:val="22"/>
          <w:lang w:val="sr-Latn-ME"/>
        </w:rPr>
      </w:pPr>
      <w:r w:rsidRPr="00456B23">
        <w:rPr>
          <w:color w:val="000000"/>
          <w:szCs w:val="22"/>
          <w:lang w:val="sr-Latn-ME"/>
        </w:rPr>
        <w:t>April, 2024. godine</w:t>
      </w:r>
    </w:p>
    <w:p w14:paraId="699829FA" w14:textId="77777777" w:rsidR="00DC3738" w:rsidRPr="00456B23" w:rsidRDefault="00DC3738">
      <w:pPr>
        <w:pStyle w:val="BodyText2"/>
        <w:rPr>
          <w:color w:val="000000"/>
          <w:szCs w:val="22"/>
          <w:lang w:val="sr-Latn-ME"/>
        </w:rPr>
      </w:pPr>
    </w:p>
    <w:p w14:paraId="0D8F453F" w14:textId="77777777" w:rsidR="00DC3738" w:rsidRPr="00456B23" w:rsidRDefault="00DC3738">
      <w:pPr>
        <w:pStyle w:val="BodyText2"/>
        <w:rPr>
          <w:color w:val="000000"/>
          <w:szCs w:val="22"/>
          <w:lang w:val="sr-Latn-ME"/>
        </w:rPr>
      </w:pPr>
    </w:p>
    <w:p w14:paraId="4C604B2B" w14:textId="77777777" w:rsidR="00DC3738" w:rsidRPr="00456B23" w:rsidRDefault="00DC3738">
      <w:pPr>
        <w:pStyle w:val="BodyText2"/>
        <w:rPr>
          <w:color w:val="000000"/>
          <w:szCs w:val="22"/>
          <w:lang w:val="sr-Latn-ME"/>
        </w:rPr>
      </w:pPr>
    </w:p>
    <w:p w14:paraId="25307CD3" w14:textId="77777777" w:rsidR="00DC3738" w:rsidRPr="00456B23" w:rsidRDefault="00DC3738">
      <w:pPr>
        <w:pStyle w:val="BodyText2"/>
        <w:rPr>
          <w:color w:val="000000"/>
          <w:szCs w:val="22"/>
          <w:lang w:val="sr-Latn-ME"/>
        </w:rPr>
      </w:pPr>
    </w:p>
    <w:p w14:paraId="6160096E" w14:textId="77777777" w:rsidR="00054D7D" w:rsidRPr="00456B23" w:rsidRDefault="00054D7D" w:rsidP="00172AC1">
      <w:pPr>
        <w:rPr>
          <w:color w:val="000000"/>
          <w:szCs w:val="22"/>
          <w:lang w:val="sr-Latn-ME"/>
        </w:rPr>
      </w:pPr>
    </w:p>
    <w:p w14:paraId="3C56A1C5" w14:textId="77777777" w:rsidR="00054D7D" w:rsidRPr="00456B23" w:rsidRDefault="00054D7D" w:rsidP="00172AC1">
      <w:pPr>
        <w:rPr>
          <w:color w:val="000000"/>
          <w:szCs w:val="22"/>
          <w:lang w:val="sr-Latn-ME"/>
        </w:rPr>
      </w:pPr>
    </w:p>
    <w:p w14:paraId="6288D01E" w14:textId="77777777" w:rsidR="00054D7D" w:rsidRPr="00456B23" w:rsidRDefault="00054D7D" w:rsidP="00EB1C82">
      <w:pPr>
        <w:rPr>
          <w:color w:val="000000"/>
          <w:szCs w:val="22"/>
          <w:lang w:val="sr-Latn-ME"/>
        </w:rPr>
      </w:pPr>
    </w:p>
    <w:p w14:paraId="35A4E8AA" w14:textId="77777777" w:rsidR="00054D7D" w:rsidRPr="00456B23" w:rsidRDefault="00054D7D">
      <w:pPr>
        <w:rPr>
          <w:szCs w:val="22"/>
          <w:lang w:val="sr-Latn-ME"/>
        </w:rPr>
      </w:pPr>
    </w:p>
    <w:p w14:paraId="127E8C77" w14:textId="77777777" w:rsidR="00861B4F" w:rsidRPr="00456B23" w:rsidRDefault="00861B4F">
      <w:pPr>
        <w:rPr>
          <w:szCs w:val="22"/>
          <w:lang w:val="sr-Latn-ME"/>
        </w:rPr>
      </w:pPr>
    </w:p>
    <w:sectPr w:rsidR="00861B4F" w:rsidRPr="00456B23" w:rsidSect="006B28D6">
      <w:headerReference w:type="default" r:id="rId14"/>
      <w:footerReference w:type="even" r:id="rId15"/>
      <w:footerReference w:type="default" r:id="rId16"/>
      <w:pgSz w:w="12242" w:h="15842" w:code="1"/>
      <w:pgMar w:top="851" w:right="1418" w:bottom="1134" w:left="1418" w:header="734" w:footer="7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2BE07" w14:textId="77777777" w:rsidR="00423F44" w:rsidRDefault="00423F44" w:rsidP="00C93F23">
      <w:r>
        <w:separator/>
      </w:r>
    </w:p>
  </w:endnote>
  <w:endnote w:type="continuationSeparator" w:id="0">
    <w:p w14:paraId="5EF585C0" w14:textId="77777777" w:rsidR="00423F44" w:rsidRDefault="00423F44" w:rsidP="00C9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Univers Condense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72A55" w14:textId="77777777" w:rsidR="00B702CE" w:rsidRDefault="00B702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5FFDD0" w14:textId="77777777" w:rsidR="00B702CE" w:rsidRDefault="00B702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A0CF6" w14:textId="77777777" w:rsidR="00B702CE" w:rsidRDefault="00B702CE">
    <w:pPr>
      <w:pStyle w:val="Footer"/>
      <w:jc w:val="center"/>
      <w:rPr>
        <w:caps/>
        <w:color w:val="5B9BD5" w:themeColor="accent1"/>
      </w:rPr>
    </w:pPr>
  </w:p>
  <w:p w14:paraId="7C201F57" w14:textId="77777777" w:rsidR="00B702CE" w:rsidRDefault="00B702CE">
    <w:pPr>
      <w:pStyle w:val="Footer"/>
      <w:jc w:val="center"/>
      <w:rPr>
        <w:caps/>
        <w:color w:val="5B9BD5" w:themeColor="accent1"/>
      </w:rPr>
    </w:pPr>
  </w:p>
  <w:p w14:paraId="775F54F9" w14:textId="3EDDF95E" w:rsidR="00B702CE" w:rsidRPr="006B28D6" w:rsidRDefault="00B702CE">
    <w:pPr>
      <w:pStyle w:val="Footer"/>
      <w:jc w:val="center"/>
      <w:rPr>
        <w:caps/>
        <w:noProof/>
      </w:rPr>
    </w:pPr>
    <w:r w:rsidRPr="006B28D6">
      <w:rPr>
        <w:caps/>
      </w:rPr>
      <w:fldChar w:fldCharType="begin"/>
    </w:r>
    <w:r w:rsidRPr="006B28D6">
      <w:rPr>
        <w:caps/>
      </w:rPr>
      <w:instrText xml:space="preserve"> PAGE   \* MERGEFORMAT </w:instrText>
    </w:r>
    <w:r w:rsidRPr="006B28D6">
      <w:rPr>
        <w:caps/>
      </w:rPr>
      <w:fldChar w:fldCharType="separate"/>
    </w:r>
    <w:r w:rsidR="00BE33ED">
      <w:rPr>
        <w:caps/>
        <w:noProof/>
      </w:rPr>
      <w:t>18</w:t>
    </w:r>
    <w:r w:rsidRPr="006B28D6">
      <w:rPr>
        <w:caps/>
        <w:noProof/>
      </w:rPr>
      <w:fldChar w:fldCharType="end"/>
    </w:r>
    <w:r>
      <w:rPr>
        <w:caps/>
        <w:noProof/>
      </w:rPr>
      <w:t xml:space="preserve"> </w:t>
    </w:r>
    <w:r w:rsidRPr="006B28D6">
      <w:rPr>
        <w:caps/>
        <w:noProof/>
      </w:rPr>
      <w:t>/</w:t>
    </w:r>
    <w:r>
      <w:rPr>
        <w:caps/>
        <w:noProof/>
      </w:rPr>
      <w:t xml:space="preserve"> </w:t>
    </w:r>
    <w:r w:rsidRPr="006B28D6">
      <w:rPr>
        <w:caps/>
        <w:noProof/>
      </w:rPr>
      <w:t>1</w:t>
    </w:r>
    <w:r>
      <w:rPr>
        <w:caps/>
        <w:noProof/>
      </w:rPr>
      <w:t>8</w:t>
    </w:r>
  </w:p>
  <w:p w14:paraId="1F4BC4C7" w14:textId="77777777" w:rsidR="00B702CE" w:rsidRDefault="00B70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BCD02" w14:textId="77777777" w:rsidR="00423F44" w:rsidRDefault="00423F44" w:rsidP="00C93F23">
      <w:r>
        <w:separator/>
      </w:r>
    </w:p>
  </w:footnote>
  <w:footnote w:type="continuationSeparator" w:id="0">
    <w:p w14:paraId="7D15FE97" w14:textId="77777777" w:rsidR="00423F44" w:rsidRDefault="00423F44" w:rsidP="00C93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813C7" w14:textId="77777777" w:rsidR="00B702CE" w:rsidRDefault="00B702CE" w:rsidP="00172AC1">
    <w:pPr>
      <w:pStyle w:val="Header"/>
      <w:rPr>
        <w:rFonts w:cs="Arial"/>
        <w:sz w:val="20"/>
      </w:rPr>
    </w:pPr>
  </w:p>
  <w:p w14:paraId="726B7682" w14:textId="2F993C48" w:rsidR="00B702CE" w:rsidRDefault="00B702CE" w:rsidP="00172AC1">
    <w:pPr>
      <w:pStyle w:val="Header"/>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D80BB9A"/>
    <w:lvl w:ilvl="0">
      <w:start w:val="1"/>
      <w:numFmt w:val="decimal"/>
      <w:pStyle w:val="ListNumber"/>
      <w:lvlText w:val="%1."/>
      <w:lvlJc w:val="left"/>
      <w:pPr>
        <w:tabs>
          <w:tab w:val="num" w:pos="360"/>
        </w:tabs>
        <w:ind w:left="360" w:hanging="360"/>
      </w:pPr>
    </w:lvl>
  </w:abstractNum>
  <w:abstractNum w:abstractNumId="1" w15:restartNumberingAfterBreak="0">
    <w:nsid w:val="08705005"/>
    <w:multiLevelType w:val="multilevel"/>
    <w:tmpl w:val="52282E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9267B5"/>
    <w:multiLevelType w:val="hybridMultilevel"/>
    <w:tmpl w:val="AAC4BCFE"/>
    <w:lvl w:ilvl="0" w:tplc="F724BEEC">
      <w:numFmt w:val="bullet"/>
      <w:lvlText w:val="-"/>
      <w:lvlJc w:val="left"/>
      <w:pPr>
        <w:ind w:left="720" w:hanging="360"/>
      </w:pPr>
      <w:rPr>
        <w:rFonts w:ascii="Microsoft Sans Serif" w:eastAsia="Calibri"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9C054C"/>
    <w:multiLevelType w:val="hybridMultilevel"/>
    <w:tmpl w:val="0BD65A62"/>
    <w:lvl w:ilvl="0" w:tplc="F724BEEC">
      <w:numFmt w:val="bullet"/>
      <w:lvlText w:val="-"/>
      <w:lvlJc w:val="left"/>
      <w:pPr>
        <w:ind w:left="720" w:hanging="360"/>
      </w:pPr>
      <w:rPr>
        <w:rFonts w:ascii="Microsoft Sans Serif" w:eastAsia="Calibri"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411042"/>
    <w:multiLevelType w:val="multilevel"/>
    <w:tmpl w:val="B462804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845389"/>
    <w:multiLevelType w:val="hybridMultilevel"/>
    <w:tmpl w:val="0C125F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593DE5"/>
    <w:multiLevelType w:val="multilevel"/>
    <w:tmpl w:val="517C59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CB6B7E"/>
    <w:multiLevelType w:val="hybridMultilevel"/>
    <w:tmpl w:val="292E4238"/>
    <w:lvl w:ilvl="0" w:tplc="F724BEEC">
      <w:numFmt w:val="bullet"/>
      <w:lvlText w:val="-"/>
      <w:lvlJc w:val="left"/>
      <w:pPr>
        <w:ind w:left="720" w:hanging="360"/>
      </w:pPr>
      <w:rPr>
        <w:rFonts w:ascii="Microsoft Sans Serif" w:eastAsia="Calibri"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D6A055B"/>
    <w:multiLevelType w:val="hybridMultilevel"/>
    <w:tmpl w:val="605065CA"/>
    <w:lvl w:ilvl="0" w:tplc="F724BEEC">
      <w:numFmt w:val="bullet"/>
      <w:lvlText w:val="-"/>
      <w:lvlJc w:val="left"/>
      <w:pPr>
        <w:ind w:left="720" w:hanging="360"/>
      </w:pPr>
      <w:rPr>
        <w:rFonts w:ascii="Microsoft Sans Serif" w:eastAsia="Calibri"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F90650F"/>
    <w:multiLevelType w:val="hybridMultilevel"/>
    <w:tmpl w:val="79120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600CF3"/>
    <w:multiLevelType w:val="hybridMultilevel"/>
    <w:tmpl w:val="E8C09AE4"/>
    <w:lvl w:ilvl="0" w:tplc="F724BEEC">
      <w:numFmt w:val="bullet"/>
      <w:lvlText w:val="-"/>
      <w:lvlJc w:val="left"/>
      <w:pPr>
        <w:ind w:left="720" w:hanging="360"/>
      </w:pPr>
      <w:rPr>
        <w:rFonts w:ascii="Microsoft Sans Serif" w:eastAsia="Calibri"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0F00048"/>
    <w:multiLevelType w:val="hybridMultilevel"/>
    <w:tmpl w:val="088EA1C4"/>
    <w:lvl w:ilvl="0" w:tplc="F724BEEC">
      <w:numFmt w:val="bullet"/>
      <w:lvlText w:val="-"/>
      <w:lvlJc w:val="left"/>
      <w:pPr>
        <w:ind w:left="720" w:hanging="360"/>
      </w:pPr>
      <w:rPr>
        <w:rFonts w:ascii="Microsoft Sans Serif" w:eastAsia="Calibri"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13A10F1"/>
    <w:multiLevelType w:val="multilevel"/>
    <w:tmpl w:val="B8869BF0"/>
    <w:lvl w:ilvl="0">
      <w:start w:val="1"/>
      <w:numFmt w:val="decimal"/>
      <w:pStyle w:val="Heading1"/>
      <w:lvlText w:val="%1."/>
      <w:lvlJc w:val="left"/>
      <w:pPr>
        <w:tabs>
          <w:tab w:val="num" w:pos="567"/>
        </w:tabs>
        <w:ind w:left="567" w:hanging="567"/>
      </w:pPr>
      <w:rPr>
        <w:rFonts w:ascii="Times New Roman" w:hAnsi="Times New Roman" w:hint="default"/>
        <w:b/>
        <w:i w:val="0"/>
        <w:sz w:val="24"/>
      </w:rPr>
    </w:lvl>
    <w:lvl w:ilvl="1">
      <w:start w:val="1"/>
      <w:numFmt w:val="decimal"/>
      <w:pStyle w:val="Heading2"/>
      <w:lvlText w:val="%1.%2."/>
      <w:lvlJc w:val="left"/>
      <w:pPr>
        <w:tabs>
          <w:tab w:val="num" w:pos="567"/>
        </w:tabs>
        <w:ind w:left="567" w:hanging="567"/>
      </w:pPr>
      <w:rPr>
        <w:rFonts w:ascii="Times New Roman" w:hAnsi="Times New Roman" w:hint="default"/>
        <w:b/>
        <w:i w:val="0"/>
        <w:sz w:val="24"/>
      </w:rPr>
    </w:lvl>
    <w:lvl w:ilvl="2">
      <w:start w:val="1"/>
      <w:numFmt w:val="decimal"/>
      <w:pStyle w:val="Heading3"/>
      <w:lvlText w:val="%1.%2.%3"/>
      <w:lvlJc w:val="left"/>
      <w:pPr>
        <w:tabs>
          <w:tab w:val="num" w:pos="1985"/>
        </w:tabs>
        <w:ind w:left="1985" w:hanging="1985"/>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1AC18B1"/>
    <w:multiLevelType w:val="hybridMultilevel"/>
    <w:tmpl w:val="D1402698"/>
    <w:lvl w:ilvl="0" w:tplc="F724BEEC">
      <w:numFmt w:val="bullet"/>
      <w:lvlText w:val="-"/>
      <w:lvlJc w:val="left"/>
      <w:pPr>
        <w:ind w:left="720" w:hanging="360"/>
      </w:pPr>
      <w:rPr>
        <w:rFonts w:ascii="Microsoft Sans Serif" w:eastAsia="Calibri"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89141B"/>
    <w:multiLevelType w:val="multilevel"/>
    <w:tmpl w:val="166E01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28522F"/>
    <w:multiLevelType w:val="hybridMultilevel"/>
    <w:tmpl w:val="1DD02C74"/>
    <w:lvl w:ilvl="0" w:tplc="F724BEEC">
      <w:numFmt w:val="bullet"/>
      <w:lvlText w:val="-"/>
      <w:lvlJc w:val="left"/>
      <w:pPr>
        <w:ind w:left="720" w:hanging="360"/>
      </w:pPr>
      <w:rPr>
        <w:rFonts w:ascii="Microsoft Sans Serif" w:eastAsia="Calibri"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61475E4"/>
    <w:multiLevelType w:val="hybridMultilevel"/>
    <w:tmpl w:val="6B52974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72F5B65"/>
    <w:multiLevelType w:val="hybridMultilevel"/>
    <w:tmpl w:val="E534B5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B5F0996"/>
    <w:multiLevelType w:val="hybridMultilevel"/>
    <w:tmpl w:val="F83E08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2227524"/>
    <w:multiLevelType w:val="hybridMultilevel"/>
    <w:tmpl w:val="6C2431C0"/>
    <w:lvl w:ilvl="0" w:tplc="F724BEEC">
      <w:numFmt w:val="bullet"/>
      <w:lvlText w:val="-"/>
      <w:lvlJc w:val="left"/>
      <w:pPr>
        <w:ind w:left="720" w:hanging="360"/>
      </w:pPr>
      <w:rPr>
        <w:rFonts w:ascii="Microsoft Sans Serif" w:eastAsia="Calibri"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DB751FC"/>
    <w:multiLevelType w:val="hybridMultilevel"/>
    <w:tmpl w:val="12603F1C"/>
    <w:lvl w:ilvl="0" w:tplc="F724BEEC">
      <w:numFmt w:val="bullet"/>
      <w:lvlText w:val="-"/>
      <w:lvlJc w:val="left"/>
      <w:pPr>
        <w:ind w:left="720" w:hanging="360"/>
      </w:pPr>
      <w:rPr>
        <w:rFonts w:ascii="Microsoft Sans Serif" w:eastAsia="Calibri"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F6969AC"/>
    <w:multiLevelType w:val="hybridMultilevel"/>
    <w:tmpl w:val="50D2DE3C"/>
    <w:lvl w:ilvl="0" w:tplc="F724BEEC">
      <w:numFmt w:val="bullet"/>
      <w:lvlText w:val="-"/>
      <w:lvlJc w:val="left"/>
      <w:pPr>
        <w:ind w:left="720" w:hanging="360"/>
      </w:pPr>
      <w:rPr>
        <w:rFonts w:ascii="Microsoft Sans Serif" w:eastAsia="Calibri"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3AB46C0"/>
    <w:multiLevelType w:val="hybridMultilevel"/>
    <w:tmpl w:val="049062B6"/>
    <w:lvl w:ilvl="0" w:tplc="F724BEEC">
      <w:numFmt w:val="bullet"/>
      <w:lvlText w:val="-"/>
      <w:lvlJc w:val="left"/>
      <w:pPr>
        <w:ind w:left="720" w:hanging="360"/>
      </w:pPr>
      <w:rPr>
        <w:rFonts w:ascii="Microsoft Sans Serif" w:eastAsia="Calibri"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9"/>
  </w:num>
  <w:num w:numId="5">
    <w:abstractNumId w:val="13"/>
  </w:num>
  <w:num w:numId="6">
    <w:abstractNumId w:val="3"/>
  </w:num>
  <w:num w:numId="7">
    <w:abstractNumId w:val="18"/>
  </w:num>
  <w:num w:numId="8">
    <w:abstractNumId w:val="5"/>
  </w:num>
  <w:num w:numId="9">
    <w:abstractNumId w:val="17"/>
  </w:num>
  <w:num w:numId="10">
    <w:abstractNumId w:val="2"/>
  </w:num>
  <w:num w:numId="11">
    <w:abstractNumId w:val="20"/>
  </w:num>
  <w:num w:numId="12">
    <w:abstractNumId w:val="11"/>
  </w:num>
  <w:num w:numId="13">
    <w:abstractNumId w:val="7"/>
  </w:num>
  <w:num w:numId="14">
    <w:abstractNumId w:val="22"/>
  </w:num>
  <w:num w:numId="15">
    <w:abstractNumId w:val="10"/>
  </w:num>
  <w:num w:numId="16">
    <w:abstractNumId w:val="15"/>
  </w:num>
  <w:num w:numId="17">
    <w:abstractNumId w:val="8"/>
  </w:num>
  <w:num w:numId="18">
    <w:abstractNumId w:val="16"/>
  </w:num>
  <w:num w:numId="19">
    <w:abstractNumId w:val="19"/>
  </w:num>
  <w:num w:numId="20">
    <w:abstractNumId w:val="21"/>
  </w:num>
  <w:num w:numId="21">
    <w:abstractNumId w:val="4"/>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7D"/>
    <w:rsid w:val="00001524"/>
    <w:rsid w:val="00044D4A"/>
    <w:rsid w:val="00054D7D"/>
    <w:rsid w:val="00085028"/>
    <w:rsid w:val="00093709"/>
    <w:rsid w:val="000B3EE4"/>
    <w:rsid w:val="000C16F7"/>
    <w:rsid w:val="00162B72"/>
    <w:rsid w:val="00172AC1"/>
    <w:rsid w:val="00196762"/>
    <w:rsid w:val="001A2E1C"/>
    <w:rsid w:val="001D792B"/>
    <w:rsid w:val="00212628"/>
    <w:rsid w:val="002201B5"/>
    <w:rsid w:val="00253FB0"/>
    <w:rsid w:val="00255D80"/>
    <w:rsid w:val="00255E4B"/>
    <w:rsid w:val="0028478E"/>
    <w:rsid w:val="00285424"/>
    <w:rsid w:val="002A3118"/>
    <w:rsid w:val="002C2CC4"/>
    <w:rsid w:val="002D789A"/>
    <w:rsid w:val="002D7BA2"/>
    <w:rsid w:val="002E78C0"/>
    <w:rsid w:val="002F229A"/>
    <w:rsid w:val="003023FE"/>
    <w:rsid w:val="00342495"/>
    <w:rsid w:val="0035417F"/>
    <w:rsid w:val="0035439C"/>
    <w:rsid w:val="003D6377"/>
    <w:rsid w:val="003E6311"/>
    <w:rsid w:val="003F5010"/>
    <w:rsid w:val="004140A6"/>
    <w:rsid w:val="00417700"/>
    <w:rsid w:val="00423F44"/>
    <w:rsid w:val="0043443B"/>
    <w:rsid w:val="00451F18"/>
    <w:rsid w:val="00456B23"/>
    <w:rsid w:val="00465201"/>
    <w:rsid w:val="00491DB7"/>
    <w:rsid w:val="004A3AEF"/>
    <w:rsid w:val="004A6B96"/>
    <w:rsid w:val="004B2B45"/>
    <w:rsid w:val="004C6AA6"/>
    <w:rsid w:val="004D79BA"/>
    <w:rsid w:val="005177D9"/>
    <w:rsid w:val="00533EFB"/>
    <w:rsid w:val="0056489B"/>
    <w:rsid w:val="005B2D92"/>
    <w:rsid w:val="005B505B"/>
    <w:rsid w:val="005E1C7D"/>
    <w:rsid w:val="005E1E07"/>
    <w:rsid w:val="005E7A4B"/>
    <w:rsid w:val="00600B37"/>
    <w:rsid w:val="00602C7B"/>
    <w:rsid w:val="006135B0"/>
    <w:rsid w:val="006313D5"/>
    <w:rsid w:val="0064540E"/>
    <w:rsid w:val="0067781B"/>
    <w:rsid w:val="006A3910"/>
    <w:rsid w:val="006A5043"/>
    <w:rsid w:val="006B28D6"/>
    <w:rsid w:val="007068AC"/>
    <w:rsid w:val="00720B5C"/>
    <w:rsid w:val="00736D70"/>
    <w:rsid w:val="00752789"/>
    <w:rsid w:val="00754E17"/>
    <w:rsid w:val="007A12E5"/>
    <w:rsid w:val="007B1205"/>
    <w:rsid w:val="007C2408"/>
    <w:rsid w:val="007C7362"/>
    <w:rsid w:val="007D4023"/>
    <w:rsid w:val="007D5216"/>
    <w:rsid w:val="00804A4D"/>
    <w:rsid w:val="00815706"/>
    <w:rsid w:val="00822454"/>
    <w:rsid w:val="00832154"/>
    <w:rsid w:val="0083609B"/>
    <w:rsid w:val="00861B4F"/>
    <w:rsid w:val="008777CB"/>
    <w:rsid w:val="008815C1"/>
    <w:rsid w:val="008B64D2"/>
    <w:rsid w:val="008E203C"/>
    <w:rsid w:val="008E28F9"/>
    <w:rsid w:val="00927401"/>
    <w:rsid w:val="0094357D"/>
    <w:rsid w:val="009439F3"/>
    <w:rsid w:val="009462D0"/>
    <w:rsid w:val="009A04C4"/>
    <w:rsid w:val="009C44E6"/>
    <w:rsid w:val="00A00799"/>
    <w:rsid w:val="00A41E81"/>
    <w:rsid w:val="00A613A6"/>
    <w:rsid w:val="00A644CE"/>
    <w:rsid w:val="00AA526F"/>
    <w:rsid w:val="00B264CC"/>
    <w:rsid w:val="00B45CCF"/>
    <w:rsid w:val="00B702CE"/>
    <w:rsid w:val="00BB5BFF"/>
    <w:rsid w:val="00BD6B11"/>
    <w:rsid w:val="00BE33ED"/>
    <w:rsid w:val="00C0104A"/>
    <w:rsid w:val="00C062AF"/>
    <w:rsid w:val="00C54D32"/>
    <w:rsid w:val="00C64916"/>
    <w:rsid w:val="00C65CEF"/>
    <w:rsid w:val="00C71B61"/>
    <w:rsid w:val="00C73586"/>
    <w:rsid w:val="00C93F23"/>
    <w:rsid w:val="00CC59B0"/>
    <w:rsid w:val="00CF38E0"/>
    <w:rsid w:val="00D02BEC"/>
    <w:rsid w:val="00D1131C"/>
    <w:rsid w:val="00D232A9"/>
    <w:rsid w:val="00D50E94"/>
    <w:rsid w:val="00D63B7C"/>
    <w:rsid w:val="00D93121"/>
    <w:rsid w:val="00DA7C6B"/>
    <w:rsid w:val="00DC3738"/>
    <w:rsid w:val="00DC7309"/>
    <w:rsid w:val="00E10ADD"/>
    <w:rsid w:val="00E54851"/>
    <w:rsid w:val="00E5487B"/>
    <w:rsid w:val="00E5626A"/>
    <w:rsid w:val="00E6566F"/>
    <w:rsid w:val="00EB1C82"/>
    <w:rsid w:val="00ED0D07"/>
    <w:rsid w:val="00ED25DF"/>
    <w:rsid w:val="00F1441A"/>
    <w:rsid w:val="00F25095"/>
    <w:rsid w:val="00F47FA1"/>
    <w:rsid w:val="00F70D46"/>
    <w:rsid w:val="00F94082"/>
    <w:rsid w:val="00FB6458"/>
    <w:rsid w:val="00FF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D5FEA"/>
  <w15:docId w15:val="{ECFAC64F-AB91-4B26-A1A4-DCF113A7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D7D"/>
    <w:pPr>
      <w:spacing w:after="0" w:line="240" w:lineRule="auto"/>
      <w:jc w:val="both"/>
    </w:pPr>
    <w:rPr>
      <w:rFonts w:ascii="Times New Roman" w:eastAsia="Times New Roman" w:hAnsi="Times New Roman" w:cs="Times New Roman"/>
      <w:szCs w:val="20"/>
      <w:lang w:val="en-AU"/>
    </w:rPr>
  </w:style>
  <w:style w:type="paragraph" w:styleId="Heading1">
    <w:name w:val="heading 1"/>
    <w:basedOn w:val="Normal"/>
    <w:next w:val="Normal"/>
    <w:link w:val="Heading1Char"/>
    <w:qFormat/>
    <w:rsid w:val="00054D7D"/>
    <w:pPr>
      <w:keepNext/>
      <w:numPr>
        <w:numId w:val="1"/>
      </w:numPr>
      <w:spacing w:before="240" w:after="240"/>
      <w:ind w:left="0" w:firstLine="0"/>
      <w:outlineLvl w:val="0"/>
    </w:pPr>
    <w:rPr>
      <w:b/>
      <w:caps/>
      <w:lang w:val="en-GB"/>
    </w:rPr>
  </w:style>
  <w:style w:type="paragraph" w:styleId="Heading2">
    <w:name w:val="heading 2"/>
    <w:basedOn w:val="Normal"/>
    <w:next w:val="Normal"/>
    <w:link w:val="Heading2Char"/>
    <w:qFormat/>
    <w:rsid w:val="00054D7D"/>
    <w:pPr>
      <w:keepNext/>
      <w:numPr>
        <w:ilvl w:val="1"/>
        <w:numId w:val="1"/>
      </w:numPr>
      <w:spacing w:before="120" w:after="120"/>
      <w:outlineLvl w:val="1"/>
    </w:pPr>
    <w:rPr>
      <w:b/>
      <w:lang w:val="en-US"/>
    </w:rPr>
  </w:style>
  <w:style w:type="paragraph" w:styleId="Heading3">
    <w:name w:val="heading 3"/>
    <w:basedOn w:val="Normal"/>
    <w:next w:val="Normal"/>
    <w:link w:val="Heading3Char"/>
    <w:qFormat/>
    <w:rsid w:val="00054D7D"/>
    <w:pPr>
      <w:keepNext/>
      <w:numPr>
        <w:ilvl w:val="2"/>
        <w:numId w:val="1"/>
      </w:numPr>
      <w:outlineLvl w:val="2"/>
    </w:pPr>
    <w:rPr>
      <w:b/>
      <w:lang w:val="en-GB"/>
    </w:rPr>
  </w:style>
  <w:style w:type="paragraph" w:styleId="Heading4">
    <w:name w:val="heading 4"/>
    <w:basedOn w:val="Normal"/>
    <w:next w:val="Normal"/>
    <w:link w:val="Heading4Char"/>
    <w:qFormat/>
    <w:rsid w:val="00054D7D"/>
    <w:pPr>
      <w:keepNext/>
      <w:numPr>
        <w:ilvl w:val="3"/>
        <w:numId w:val="1"/>
      </w:numPr>
      <w:outlineLvl w:val="3"/>
    </w:pPr>
    <w:rPr>
      <w:b/>
      <w:lang w:val="ru-RU"/>
    </w:rPr>
  </w:style>
  <w:style w:type="paragraph" w:styleId="Heading5">
    <w:name w:val="heading 5"/>
    <w:basedOn w:val="Normal"/>
    <w:next w:val="Normal"/>
    <w:link w:val="Heading5Char"/>
    <w:qFormat/>
    <w:rsid w:val="00054D7D"/>
    <w:pPr>
      <w:keepNext/>
      <w:numPr>
        <w:ilvl w:val="4"/>
        <w:numId w:val="1"/>
      </w:numPr>
      <w:outlineLvl w:val="4"/>
    </w:pPr>
    <w:rPr>
      <w:b/>
      <w:lang w:val="en-GB"/>
    </w:rPr>
  </w:style>
  <w:style w:type="paragraph" w:styleId="Heading6">
    <w:name w:val="heading 6"/>
    <w:basedOn w:val="Normal"/>
    <w:next w:val="Normal"/>
    <w:link w:val="Heading6Char"/>
    <w:qFormat/>
    <w:rsid w:val="00054D7D"/>
    <w:pPr>
      <w:numPr>
        <w:ilvl w:val="5"/>
        <w:numId w:val="1"/>
      </w:numPr>
      <w:spacing w:before="240" w:after="60"/>
      <w:outlineLvl w:val="5"/>
    </w:pPr>
    <w:rPr>
      <w:b/>
      <w:bCs/>
      <w:szCs w:val="22"/>
    </w:rPr>
  </w:style>
  <w:style w:type="paragraph" w:styleId="Heading7">
    <w:name w:val="heading 7"/>
    <w:basedOn w:val="Normal"/>
    <w:next w:val="Normal"/>
    <w:link w:val="Heading7Char"/>
    <w:qFormat/>
    <w:rsid w:val="00054D7D"/>
    <w:pPr>
      <w:numPr>
        <w:ilvl w:val="6"/>
        <w:numId w:val="1"/>
      </w:numPr>
      <w:spacing w:before="240" w:after="60"/>
      <w:outlineLvl w:val="6"/>
    </w:pPr>
    <w:rPr>
      <w:szCs w:val="24"/>
    </w:rPr>
  </w:style>
  <w:style w:type="paragraph" w:styleId="Heading8">
    <w:name w:val="heading 8"/>
    <w:basedOn w:val="Normal"/>
    <w:next w:val="Normal"/>
    <w:link w:val="Heading8Char"/>
    <w:qFormat/>
    <w:rsid w:val="00054D7D"/>
    <w:pPr>
      <w:numPr>
        <w:ilvl w:val="7"/>
        <w:numId w:val="1"/>
      </w:numPr>
      <w:spacing w:before="240" w:after="60"/>
      <w:outlineLvl w:val="7"/>
    </w:pPr>
    <w:rPr>
      <w:i/>
      <w:iCs/>
      <w:szCs w:val="24"/>
    </w:rPr>
  </w:style>
  <w:style w:type="paragraph" w:styleId="Heading9">
    <w:name w:val="heading 9"/>
    <w:basedOn w:val="Normal"/>
    <w:next w:val="Normal"/>
    <w:link w:val="Heading9Char"/>
    <w:qFormat/>
    <w:rsid w:val="00054D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4D7D"/>
    <w:rPr>
      <w:rFonts w:ascii="Times New Roman" w:eastAsia="Times New Roman" w:hAnsi="Times New Roman" w:cs="Times New Roman"/>
      <w:b/>
      <w:caps/>
      <w:szCs w:val="20"/>
      <w:lang w:val="en-GB"/>
    </w:rPr>
  </w:style>
  <w:style w:type="character" w:customStyle="1" w:styleId="Heading2Char">
    <w:name w:val="Heading 2 Char"/>
    <w:basedOn w:val="DefaultParagraphFont"/>
    <w:link w:val="Heading2"/>
    <w:rsid w:val="00054D7D"/>
    <w:rPr>
      <w:rFonts w:ascii="Times New Roman" w:eastAsia="Times New Roman" w:hAnsi="Times New Roman" w:cs="Times New Roman"/>
      <w:b/>
      <w:szCs w:val="20"/>
      <w:lang w:val="en-US"/>
    </w:rPr>
  </w:style>
  <w:style w:type="character" w:customStyle="1" w:styleId="Heading3Char">
    <w:name w:val="Heading 3 Char"/>
    <w:basedOn w:val="DefaultParagraphFont"/>
    <w:link w:val="Heading3"/>
    <w:rsid w:val="00054D7D"/>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054D7D"/>
    <w:rPr>
      <w:rFonts w:ascii="Times New Roman" w:eastAsia="Times New Roman" w:hAnsi="Times New Roman" w:cs="Times New Roman"/>
      <w:b/>
      <w:szCs w:val="20"/>
      <w:lang w:val="ru-RU"/>
    </w:rPr>
  </w:style>
  <w:style w:type="character" w:customStyle="1" w:styleId="Heading5Char">
    <w:name w:val="Heading 5 Char"/>
    <w:basedOn w:val="DefaultParagraphFont"/>
    <w:link w:val="Heading5"/>
    <w:rsid w:val="00054D7D"/>
    <w:rPr>
      <w:rFonts w:ascii="Times New Roman" w:eastAsia="Times New Roman" w:hAnsi="Times New Roman" w:cs="Times New Roman"/>
      <w:b/>
      <w:szCs w:val="20"/>
      <w:lang w:val="en-GB"/>
    </w:rPr>
  </w:style>
  <w:style w:type="character" w:customStyle="1" w:styleId="Heading6Char">
    <w:name w:val="Heading 6 Char"/>
    <w:basedOn w:val="DefaultParagraphFont"/>
    <w:link w:val="Heading6"/>
    <w:rsid w:val="00054D7D"/>
    <w:rPr>
      <w:rFonts w:ascii="Times New Roman" w:eastAsia="Times New Roman" w:hAnsi="Times New Roman" w:cs="Times New Roman"/>
      <w:b/>
      <w:bCs/>
      <w:lang w:val="en-AU"/>
    </w:rPr>
  </w:style>
  <w:style w:type="character" w:customStyle="1" w:styleId="Heading7Char">
    <w:name w:val="Heading 7 Char"/>
    <w:basedOn w:val="DefaultParagraphFont"/>
    <w:link w:val="Heading7"/>
    <w:rsid w:val="00054D7D"/>
    <w:rPr>
      <w:rFonts w:ascii="Times New Roman" w:eastAsia="Times New Roman" w:hAnsi="Times New Roman" w:cs="Times New Roman"/>
      <w:szCs w:val="24"/>
      <w:lang w:val="en-AU"/>
    </w:rPr>
  </w:style>
  <w:style w:type="character" w:customStyle="1" w:styleId="Heading8Char">
    <w:name w:val="Heading 8 Char"/>
    <w:basedOn w:val="DefaultParagraphFont"/>
    <w:link w:val="Heading8"/>
    <w:rsid w:val="00054D7D"/>
    <w:rPr>
      <w:rFonts w:ascii="Times New Roman" w:eastAsia="Times New Roman" w:hAnsi="Times New Roman" w:cs="Times New Roman"/>
      <w:i/>
      <w:iCs/>
      <w:szCs w:val="24"/>
      <w:lang w:val="en-AU"/>
    </w:rPr>
  </w:style>
  <w:style w:type="character" w:customStyle="1" w:styleId="Heading9Char">
    <w:name w:val="Heading 9 Char"/>
    <w:basedOn w:val="DefaultParagraphFont"/>
    <w:link w:val="Heading9"/>
    <w:rsid w:val="00054D7D"/>
    <w:rPr>
      <w:rFonts w:ascii="Times New Roman" w:eastAsia="Times New Roman" w:hAnsi="Times New Roman" w:cs="Arial"/>
      <w:lang w:val="en-AU"/>
    </w:rPr>
  </w:style>
  <w:style w:type="paragraph" w:styleId="Header">
    <w:name w:val="header"/>
    <w:basedOn w:val="Normal"/>
    <w:link w:val="HeaderChar"/>
    <w:rsid w:val="00054D7D"/>
    <w:pPr>
      <w:tabs>
        <w:tab w:val="center" w:pos="4153"/>
        <w:tab w:val="right" w:pos="8306"/>
      </w:tabs>
    </w:pPr>
  </w:style>
  <w:style w:type="character" w:customStyle="1" w:styleId="HeaderChar">
    <w:name w:val="Header Char"/>
    <w:basedOn w:val="DefaultParagraphFont"/>
    <w:link w:val="Header"/>
    <w:rsid w:val="00054D7D"/>
    <w:rPr>
      <w:rFonts w:ascii="Times New Roman" w:eastAsia="Times New Roman" w:hAnsi="Times New Roman" w:cs="Times New Roman"/>
      <w:szCs w:val="20"/>
      <w:lang w:val="en-AU"/>
    </w:rPr>
  </w:style>
  <w:style w:type="paragraph" w:styleId="Footer">
    <w:name w:val="footer"/>
    <w:basedOn w:val="Normal"/>
    <w:link w:val="FooterChar"/>
    <w:uiPriority w:val="99"/>
    <w:rsid w:val="00054D7D"/>
    <w:pPr>
      <w:tabs>
        <w:tab w:val="center" w:pos="4153"/>
        <w:tab w:val="right" w:pos="8306"/>
      </w:tabs>
    </w:pPr>
  </w:style>
  <w:style w:type="character" w:customStyle="1" w:styleId="FooterChar">
    <w:name w:val="Footer Char"/>
    <w:basedOn w:val="DefaultParagraphFont"/>
    <w:link w:val="Footer"/>
    <w:uiPriority w:val="99"/>
    <w:rsid w:val="00054D7D"/>
    <w:rPr>
      <w:rFonts w:ascii="Times New Roman" w:eastAsia="Times New Roman" w:hAnsi="Times New Roman" w:cs="Times New Roman"/>
      <w:szCs w:val="20"/>
      <w:lang w:val="en-AU"/>
    </w:rPr>
  </w:style>
  <w:style w:type="character" w:styleId="PageNumber">
    <w:name w:val="page number"/>
    <w:basedOn w:val="DefaultParagraphFont"/>
    <w:rsid w:val="00054D7D"/>
  </w:style>
  <w:style w:type="paragraph" w:styleId="BodyText">
    <w:name w:val="Body Text"/>
    <w:basedOn w:val="Normal"/>
    <w:link w:val="BodyTextChar"/>
    <w:rsid w:val="00054D7D"/>
  </w:style>
  <w:style w:type="character" w:customStyle="1" w:styleId="BodyTextChar">
    <w:name w:val="Body Text Char"/>
    <w:basedOn w:val="DefaultParagraphFont"/>
    <w:link w:val="BodyText"/>
    <w:rsid w:val="00054D7D"/>
    <w:rPr>
      <w:rFonts w:ascii="Times New Roman" w:eastAsia="Times New Roman" w:hAnsi="Times New Roman" w:cs="Times New Roman"/>
      <w:szCs w:val="20"/>
      <w:lang w:val="en-AU"/>
    </w:rPr>
  </w:style>
  <w:style w:type="paragraph" w:styleId="BodyText2">
    <w:name w:val="Body Text 2"/>
    <w:basedOn w:val="Normal"/>
    <w:link w:val="BodyText2Char"/>
    <w:rsid w:val="00054D7D"/>
  </w:style>
  <w:style w:type="character" w:customStyle="1" w:styleId="BodyText2Char">
    <w:name w:val="Body Text 2 Char"/>
    <w:basedOn w:val="DefaultParagraphFont"/>
    <w:link w:val="BodyText2"/>
    <w:rsid w:val="00054D7D"/>
    <w:rPr>
      <w:rFonts w:ascii="Times New Roman" w:eastAsia="Times New Roman" w:hAnsi="Times New Roman" w:cs="Times New Roman"/>
      <w:szCs w:val="20"/>
      <w:lang w:val="en-AU"/>
    </w:rPr>
  </w:style>
  <w:style w:type="paragraph" w:styleId="ListNumber">
    <w:name w:val="List Number"/>
    <w:basedOn w:val="Normal"/>
    <w:rsid w:val="00054D7D"/>
    <w:pPr>
      <w:numPr>
        <w:numId w:val="2"/>
      </w:numPr>
    </w:pPr>
  </w:style>
  <w:style w:type="paragraph" w:styleId="ListParagraph">
    <w:name w:val="List Paragraph"/>
    <w:basedOn w:val="Normal"/>
    <w:uiPriority w:val="34"/>
    <w:qFormat/>
    <w:rsid w:val="00054D7D"/>
    <w:pPr>
      <w:ind w:left="720"/>
      <w:contextualSpacing/>
    </w:pPr>
  </w:style>
  <w:style w:type="paragraph" w:styleId="BalloonText">
    <w:name w:val="Balloon Text"/>
    <w:basedOn w:val="Normal"/>
    <w:link w:val="BalloonTextChar"/>
    <w:uiPriority w:val="99"/>
    <w:semiHidden/>
    <w:unhideWhenUsed/>
    <w:rsid w:val="000C16F7"/>
    <w:rPr>
      <w:rFonts w:ascii="Tahoma" w:hAnsi="Tahoma" w:cs="Tahoma"/>
      <w:sz w:val="16"/>
      <w:szCs w:val="16"/>
    </w:rPr>
  </w:style>
  <w:style w:type="character" w:customStyle="1" w:styleId="BalloonTextChar">
    <w:name w:val="Balloon Text Char"/>
    <w:basedOn w:val="DefaultParagraphFont"/>
    <w:link w:val="BalloonText"/>
    <w:uiPriority w:val="99"/>
    <w:semiHidden/>
    <w:rsid w:val="000C16F7"/>
    <w:rPr>
      <w:rFonts w:ascii="Tahoma" w:eastAsia="Times New Roman" w:hAnsi="Tahoma" w:cs="Tahoma"/>
      <w:sz w:val="16"/>
      <w:szCs w:val="16"/>
      <w:lang w:val="en-AU"/>
    </w:rPr>
  </w:style>
  <w:style w:type="paragraph" w:styleId="NoSpacing">
    <w:name w:val="No Spacing"/>
    <w:link w:val="NoSpacingChar"/>
    <w:uiPriority w:val="1"/>
    <w:qFormat/>
    <w:rsid w:val="00FF4376"/>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FF4376"/>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C65CEF"/>
    <w:rPr>
      <w:sz w:val="16"/>
      <w:szCs w:val="16"/>
    </w:rPr>
  </w:style>
  <w:style w:type="paragraph" w:styleId="CommentText">
    <w:name w:val="annotation text"/>
    <w:basedOn w:val="Normal"/>
    <w:link w:val="CommentTextChar"/>
    <w:uiPriority w:val="99"/>
    <w:semiHidden/>
    <w:unhideWhenUsed/>
    <w:rsid w:val="00C65CEF"/>
    <w:rPr>
      <w:sz w:val="20"/>
    </w:rPr>
  </w:style>
  <w:style w:type="character" w:customStyle="1" w:styleId="CommentTextChar">
    <w:name w:val="Comment Text Char"/>
    <w:basedOn w:val="DefaultParagraphFont"/>
    <w:link w:val="CommentText"/>
    <w:uiPriority w:val="99"/>
    <w:semiHidden/>
    <w:rsid w:val="00C65CEF"/>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C65CEF"/>
    <w:rPr>
      <w:b/>
      <w:bCs/>
    </w:rPr>
  </w:style>
  <w:style w:type="character" w:customStyle="1" w:styleId="CommentSubjectChar">
    <w:name w:val="Comment Subject Char"/>
    <w:basedOn w:val="CommentTextChar"/>
    <w:link w:val="CommentSubject"/>
    <w:uiPriority w:val="99"/>
    <w:semiHidden/>
    <w:rsid w:val="00C65CEF"/>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6E024-0512-4956-9F85-1D83FD02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5772</Words>
  <Characters>32903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Naida Mirvić</dc:creator>
  <cp:lastModifiedBy>Tatjana Banković</cp:lastModifiedBy>
  <cp:revision>5</cp:revision>
  <dcterms:created xsi:type="dcterms:W3CDTF">2024-04-09T07:08:00Z</dcterms:created>
  <dcterms:modified xsi:type="dcterms:W3CDTF">2024-04-10T10:20:00Z</dcterms:modified>
</cp:coreProperties>
</file>