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B78EE2" w14:textId="77777777" w:rsidR="001A5518" w:rsidRPr="0093403C" w:rsidRDefault="001A5518" w:rsidP="007C5B43">
      <w:pPr>
        <w:jc w:val="both"/>
        <w:rPr>
          <w:b/>
          <w:bCs/>
          <w:i/>
          <w:iCs/>
          <w:sz w:val="22"/>
          <w:szCs w:val="22"/>
          <w:u w:val="single"/>
          <w:lang w:val="sr-Latn-ME"/>
        </w:rPr>
      </w:pPr>
    </w:p>
    <w:p w14:paraId="16F15BF4" w14:textId="77777777" w:rsidR="00F91C7B" w:rsidRPr="0093403C" w:rsidRDefault="00F91C7B" w:rsidP="007C5B43">
      <w:pPr>
        <w:jc w:val="both"/>
        <w:rPr>
          <w:b/>
          <w:bCs/>
          <w:i/>
          <w:iCs/>
          <w:sz w:val="22"/>
          <w:szCs w:val="22"/>
          <w:u w:val="single"/>
          <w:lang w:val="sr-Latn-ME"/>
        </w:rPr>
      </w:pPr>
    </w:p>
    <w:p w14:paraId="4461700A" w14:textId="77777777" w:rsidR="002510A5" w:rsidRPr="0093403C" w:rsidRDefault="002510A5" w:rsidP="007C5B43">
      <w:pPr>
        <w:jc w:val="center"/>
        <w:rPr>
          <w:b/>
          <w:bCs/>
          <w:iCs/>
          <w:sz w:val="22"/>
          <w:szCs w:val="22"/>
          <w:u w:val="single"/>
          <w:lang w:val="sr-Latn-ME"/>
        </w:rPr>
      </w:pPr>
      <w:r w:rsidRPr="0093403C">
        <w:rPr>
          <w:b/>
          <w:bCs/>
          <w:iCs/>
          <w:sz w:val="22"/>
          <w:szCs w:val="22"/>
          <w:u w:val="single"/>
          <w:lang w:val="sr-Latn-ME"/>
        </w:rPr>
        <w:t>SAŽETAK KARAKTERISTIKA LIJEKA</w:t>
      </w:r>
    </w:p>
    <w:p w14:paraId="691405A6" w14:textId="77777777" w:rsidR="002510A5" w:rsidRPr="0093403C" w:rsidRDefault="002510A5" w:rsidP="007C5B43">
      <w:pPr>
        <w:jc w:val="both"/>
        <w:rPr>
          <w:b/>
          <w:bCs/>
          <w:i/>
          <w:iCs/>
          <w:sz w:val="22"/>
          <w:szCs w:val="22"/>
          <w:u w:val="single"/>
          <w:lang w:val="sr-Latn-ME"/>
        </w:rPr>
      </w:pPr>
    </w:p>
    <w:p w14:paraId="40299F3A" w14:textId="77777777" w:rsidR="003C17AB" w:rsidRPr="0093403C" w:rsidRDefault="003C17AB" w:rsidP="007C5B43">
      <w:pPr>
        <w:jc w:val="both"/>
        <w:rPr>
          <w:sz w:val="22"/>
          <w:szCs w:val="22"/>
          <w:lang w:val="sr-Latn-ME"/>
        </w:rPr>
      </w:pPr>
    </w:p>
    <w:p w14:paraId="18BC41CC" w14:textId="77777777" w:rsidR="00411B4B" w:rsidRPr="0093403C" w:rsidRDefault="00411B4B" w:rsidP="007C5B43">
      <w:pPr>
        <w:tabs>
          <w:tab w:val="left" w:pos="540"/>
          <w:tab w:val="left" w:pos="569"/>
        </w:tabs>
        <w:jc w:val="both"/>
        <w:rPr>
          <w:b/>
          <w:bCs/>
          <w:sz w:val="22"/>
          <w:szCs w:val="22"/>
          <w:lang w:val="sr-Latn-ME"/>
        </w:rPr>
      </w:pPr>
      <w:r w:rsidRPr="0093403C">
        <w:rPr>
          <w:b/>
          <w:bCs/>
          <w:sz w:val="22"/>
          <w:szCs w:val="22"/>
          <w:lang w:val="sr-Latn-ME"/>
        </w:rPr>
        <w:t>1.</w:t>
      </w:r>
      <w:r w:rsidR="00F5167F" w:rsidRPr="0093403C">
        <w:rPr>
          <w:b/>
          <w:bCs/>
          <w:sz w:val="22"/>
          <w:szCs w:val="22"/>
          <w:lang w:val="sr-Latn-ME"/>
        </w:rPr>
        <w:tab/>
      </w:r>
      <w:r w:rsidR="002846DB" w:rsidRPr="0093403C">
        <w:rPr>
          <w:b/>
          <w:bCs/>
          <w:sz w:val="22"/>
          <w:szCs w:val="22"/>
          <w:lang w:val="sr-Latn-ME"/>
        </w:rPr>
        <w:t xml:space="preserve">NAZIV </w:t>
      </w:r>
      <w:r w:rsidRPr="0093403C">
        <w:rPr>
          <w:b/>
          <w:bCs/>
          <w:sz w:val="22"/>
          <w:szCs w:val="22"/>
          <w:lang w:val="sr-Latn-ME"/>
        </w:rPr>
        <w:t>LIJEKA</w:t>
      </w:r>
    </w:p>
    <w:p w14:paraId="00FB510B" w14:textId="77777777" w:rsidR="002E634B" w:rsidRPr="0093403C" w:rsidRDefault="002E634B" w:rsidP="007C5B43">
      <w:pPr>
        <w:jc w:val="both"/>
        <w:rPr>
          <w:i/>
          <w:iCs/>
          <w:color w:val="808080"/>
          <w:sz w:val="22"/>
          <w:szCs w:val="22"/>
          <w:lang w:val="sr-Latn-ME"/>
        </w:rPr>
      </w:pPr>
    </w:p>
    <w:p w14:paraId="4460B4DD" w14:textId="77777777" w:rsidR="002E634B" w:rsidRPr="0093403C" w:rsidRDefault="002E634B" w:rsidP="007C5B43">
      <w:pPr>
        <w:jc w:val="both"/>
        <w:rPr>
          <w:sz w:val="22"/>
          <w:szCs w:val="22"/>
          <w:lang w:val="sr-Latn-ME"/>
        </w:rPr>
      </w:pPr>
      <w:proofErr w:type="spellStart"/>
      <w:r w:rsidRPr="0093403C">
        <w:rPr>
          <w:sz w:val="22"/>
          <w:szCs w:val="22"/>
          <w:lang w:val="sr-Latn-ME"/>
        </w:rPr>
        <w:t>Bonviva</w:t>
      </w:r>
      <w:proofErr w:type="spellEnd"/>
      <w:r w:rsidRPr="0093403C">
        <w:rPr>
          <w:sz w:val="22"/>
          <w:szCs w:val="22"/>
          <w:lang w:val="sr-Latn-ME"/>
        </w:rPr>
        <w:t>, 3 mg/3 ml, rastvor za injekciju</w:t>
      </w:r>
    </w:p>
    <w:p w14:paraId="3FCC1155" w14:textId="77777777" w:rsidR="002E634B" w:rsidRPr="0093403C" w:rsidRDefault="002E634B" w:rsidP="007C5B43">
      <w:pPr>
        <w:jc w:val="both"/>
        <w:rPr>
          <w:sz w:val="22"/>
          <w:szCs w:val="22"/>
          <w:lang w:val="sr-Latn-ME"/>
        </w:rPr>
      </w:pPr>
    </w:p>
    <w:p w14:paraId="34FC60B7" w14:textId="2EFB8E0A" w:rsidR="006D20A5" w:rsidRPr="0093403C" w:rsidRDefault="002E634B" w:rsidP="007C5B43">
      <w:pPr>
        <w:jc w:val="both"/>
        <w:rPr>
          <w:sz w:val="22"/>
          <w:szCs w:val="22"/>
          <w:lang w:val="sr-Latn-ME"/>
        </w:rPr>
      </w:pPr>
      <w:proofErr w:type="spellStart"/>
      <w:r w:rsidRPr="0093403C">
        <w:rPr>
          <w:sz w:val="22"/>
          <w:szCs w:val="22"/>
          <w:lang w:val="sr-Latn-ME"/>
        </w:rPr>
        <w:t>INN</w:t>
      </w:r>
      <w:proofErr w:type="spellEnd"/>
      <w:r w:rsidRPr="0093403C">
        <w:rPr>
          <w:sz w:val="22"/>
          <w:szCs w:val="22"/>
          <w:lang w:val="sr-Latn-ME"/>
        </w:rPr>
        <w:t>:</w:t>
      </w:r>
      <w:r w:rsidRPr="0093403C">
        <w:rPr>
          <w:sz w:val="22"/>
          <w:szCs w:val="22"/>
          <w:lang w:val="sr-Latn-ME"/>
        </w:rPr>
        <w:tab/>
      </w:r>
      <w:proofErr w:type="spellStart"/>
      <w:r w:rsidRPr="0093403C">
        <w:rPr>
          <w:sz w:val="22"/>
          <w:szCs w:val="22"/>
          <w:lang w:val="sr-Latn-ME"/>
        </w:rPr>
        <w:t>ibandronska</w:t>
      </w:r>
      <w:proofErr w:type="spellEnd"/>
      <w:r w:rsidRPr="0093403C">
        <w:rPr>
          <w:sz w:val="22"/>
          <w:szCs w:val="22"/>
          <w:lang w:val="sr-Latn-ME"/>
        </w:rPr>
        <w:t xml:space="preserve"> kiselina</w:t>
      </w:r>
    </w:p>
    <w:p w14:paraId="7FE0EC90" w14:textId="2659B63B" w:rsidR="00530BD7" w:rsidRPr="0093403C" w:rsidRDefault="00530BD7" w:rsidP="007C5B43">
      <w:pPr>
        <w:jc w:val="both"/>
        <w:rPr>
          <w:bCs/>
          <w:sz w:val="22"/>
          <w:szCs w:val="22"/>
          <w:lang w:val="sr-Latn-ME"/>
        </w:rPr>
      </w:pPr>
    </w:p>
    <w:p w14:paraId="5AB0CC93" w14:textId="77777777" w:rsidR="007C5B43" w:rsidRPr="0093403C" w:rsidRDefault="007C5B43" w:rsidP="007C5B43">
      <w:pPr>
        <w:jc w:val="both"/>
        <w:rPr>
          <w:bCs/>
          <w:sz w:val="22"/>
          <w:szCs w:val="22"/>
          <w:lang w:val="sr-Latn-ME"/>
        </w:rPr>
      </w:pPr>
    </w:p>
    <w:p w14:paraId="72E03FE1" w14:textId="77777777" w:rsidR="00411B4B" w:rsidRPr="0093403C" w:rsidRDefault="00411B4B" w:rsidP="007C5B43">
      <w:pPr>
        <w:tabs>
          <w:tab w:val="left" w:pos="540"/>
          <w:tab w:val="left" w:pos="569"/>
        </w:tabs>
        <w:jc w:val="both"/>
        <w:rPr>
          <w:b/>
          <w:bCs/>
          <w:sz w:val="22"/>
          <w:szCs w:val="22"/>
          <w:lang w:val="sr-Latn-ME"/>
        </w:rPr>
      </w:pPr>
      <w:r w:rsidRPr="0093403C">
        <w:rPr>
          <w:b/>
          <w:bCs/>
          <w:sz w:val="22"/>
          <w:szCs w:val="22"/>
          <w:lang w:val="sr-Latn-ME"/>
        </w:rPr>
        <w:t xml:space="preserve">2. </w:t>
      </w:r>
      <w:r w:rsidR="00F5167F" w:rsidRPr="0093403C">
        <w:rPr>
          <w:b/>
          <w:bCs/>
          <w:sz w:val="22"/>
          <w:szCs w:val="22"/>
          <w:lang w:val="sr-Latn-ME"/>
        </w:rPr>
        <w:tab/>
      </w:r>
      <w:r w:rsidRPr="0093403C">
        <w:rPr>
          <w:b/>
          <w:bCs/>
          <w:sz w:val="22"/>
          <w:szCs w:val="22"/>
          <w:lang w:val="sr-Latn-ME"/>
        </w:rPr>
        <w:t>KVALITATIVNI I KVANTITATIVNI SASTAV</w:t>
      </w:r>
    </w:p>
    <w:p w14:paraId="6E88E70F" w14:textId="58C80D2B" w:rsidR="002E634B" w:rsidRPr="0093403C" w:rsidRDefault="002E634B" w:rsidP="007C5B43">
      <w:pPr>
        <w:jc w:val="both"/>
        <w:rPr>
          <w:sz w:val="22"/>
          <w:szCs w:val="22"/>
          <w:lang w:val="sr-Latn-ME"/>
        </w:rPr>
      </w:pPr>
    </w:p>
    <w:p w14:paraId="1515299B" w14:textId="77777777" w:rsidR="002E634B" w:rsidRPr="0093403C" w:rsidRDefault="002E634B" w:rsidP="007C5B43">
      <w:pPr>
        <w:jc w:val="both"/>
        <w:rPr>
          <w:sz w:val="22"/>
          <w:szCs w:val="22"/>
          <w:lang w:val="sr-Latn-ME"/>
        </w:rPr>
      </w:pPr>
      <w:r w:rsidRPr="0093403C">
        <w:rPr>
          <w:sz w:val="22"/>
          <w:szCs w:val="22"/>
          <w:lang w:val="sr-Latn-ME"/>
        </w:rPr>
        <w:t xml:space="preserve">Jedan napunjeni injekcioni špric sa 3 ml rastvora za injekciju sadrži 3 mg </w:t>
      </w:r>
      <w:proofErr w:type="spellStart"/>
      <w:r w:rsidRPr="0093403C">
        <w:rPr>
          <w:sz w:val="22"/>
          <w:szCs w:val="22"/>
          <w:lang w:val="sr-Latn-ME"/>
        </w:rPr>
        <w:t>ibandronske</w:t>
      </w:r>
      <w:proofErr w:type="spellEnd"/>
      <w:r w:rsidRPr="0093403C">
        <w:rPr>
          <w:sz w:val="22"/>
          <w:szCs w:val="22"/>
          <w:lang w:val="sr-Latn-ME"/>
        </w:rPr>
        <w:t xml:space="preserve"> kiseline (u obliku natrijum </w:t>
      </w:r>
      <w:proofErr w:type="spellStart"/>
      <w:r w:rsidRPr="0093403C">
        <w:rPr>
          <w:sz w:val="22"/>
          <w:szCs w:val="22"/>
          <w:lang w:val="sr-Latn-ME"/>
        </w:rPr>
        <w:t>ibandronat</w:t>
      </w:r>
      <w:proofErr w:type="spellEnd"/>
      <w:r w:rsidRPr="0093403C">
        <w:rPr>
          <w:sz w:val="22"/>
          <w:szCs w:val="22"/>
          <w:lang w:val="sr-Latn-ME"/>
        </w:rPr>
        <w:t xml:space="preserve"> </w:t>
      </w:r>
      <w:proofErr w:type="spellStart"/>
      <w:r w:rsidRPr="0093403C">
        <w:rPr>
          <w:sz w:val="22"/>
          <w:szCs w:val="22"/>
          <w:lang w:val="sr-Latn-ME"/>
        </w:rPr>
        <w:t>monohidrata</w:t>
      </w:r>
      <w:proofErr w:type="spellEnd"/>
      <w:r w:rsidRPr="0093403C">
        <w:rPr>
          <w:sz w:val="22"/>
          <w:szCs w:val="22"/>
          <w:lang w:val="sr-Latn-ME"/>
        </w:rPr>
        <w:t xml:space="preserve">). </w:t>
      </w:r>
    </w:p>
    <w:p w14:paraId="67E9DC39" w14:textId="77777777" w:rsidR="002E634B" w:rsidRPr="0093403C" w:rsidRDefault="002E634B" w:rsidP="007C5B43">
      <w:pPr>
        <w:jc w:val="both"/>
        <w:rPr>
          <w:sz w:val="22"/>
          <w:szCs w:val="22"/>
          <w:lang w:val="sr-Latn-ME"/>
        </w:rPr>
      </w:pPr>
      <w:r w:rsidRPr="0093403C">
        <w:rPr>
          <w:sz w:val="22"/>
          <w:szCs w:val="22"/>
          <w:lang w:val="sr-Latn-ME"/>
        </w:rPr>
        <w:t xml:space="preserve">Koncentracija </w:t>
      </w:r>
      <w:proofErr w:type="spellStart"/>
      <w:r w:rsidRPr="0093403C">
        <w:rPr>
          <w:sz w:val="22"/>
          <w:szCs w:val="22"/>
          <w:lang w:val="sr-Latn-ME"/>
        </w:rPr>
        <w:t>ibandronske</w:t>
      </w:r>
      <w:proofErr w:type="spellEnd"/>
      <w:r w:rsidRPr="0093403C">
        <w:rPr>
          <w:sz w:val="22"/>
          <w:szCs w:val="22"/>
          <w:lang w:val="sr-Latn-ME"/>
        </w:rPr>
        <w:t xml:space="preserve"> kiseline u rastvoru za injekciju je 1 mg/ml.</w:t>
      </w:r>
    </w:p>
    <w:p w14:paraId="11B26A66" w14:textId="77777777" w:rsidR="002E634B" w:rsidRPr="0093403C" w:rsidRDefault="002E634B" w:rsidP="007C5B43">
      <w:pPr>
        <w:jc w:val="both"/>
        <w:rPr>
          <w:sz w:val="22"/>
          <w:szCs w:val="22"/>
          <w:lang w:val="sr-Latn-ME"/>
        </w:rPr>
      </w:pPr>
    </w:p>
    <w:p w14:paraId="725DAAEC" w14:textId="04A88FEB" w:rsidR="0003793F" w:rsidRPr="0093403C" w:rsidRDefault="002E634B" w:rsidP="007C5B43">
      <w:pPr>
        <w:jc w:val="both"/>
        <w:rPr>
          <w:sz w:val="22"/>
          <w:szCs w:val="22"/>
          <w:lang w:val="sr-Latn-ME"/>
        </w:rPr>
      </w:pPr>
      <w:r w:rsidRPr="0093403C">
        <w:rPr>
          <w:sz w:val="22"/>
          <w:szCs w:val="22"/>
          <w:lang w:val="sr-Latn-ME"/>
        </w:rPr>
        <w:t xml:space="preserve">Za spisak svih </w:t>
      </w:r>
      <w:proofErr w:type="spellStart"/>
      <w:r w:rsidRPr="0093403C">
        <w:rPr>
          <w:sz w:val="22"/>
          <w:szCs w:val="22"/>
          <w:lang w:val="sr-Latn-ME"/>
        </w:rPr>
        <w:t>ekscipijenasa</w:t>
      </w:r>
      <w:proofErr w:type="spellEnd"/>
      <w:r w:rsidRPr="0093403C">
        <w:rPr>
          <w:sz w:val="22"/>
          <w:szCs w:val="22"/>
          <w:lang w:val="sr-Latn-ME"/>
        </w:rPr>
        <w:t>, pogledati dio 6.1.</w:t>
      </w:r>
    </w:p>
    <w:p w14:paraId="0E731CA5" w14:textId="559ECDD5" w:rsidR="00C37FD7" w:rsidRPr="0093403C" w:rsidRDefault="00C37FD7" w:rsidP="007C5B43">
      <w:pPr>
        <w:jc w:val="both"/>
        <w:rPr>
          <w:sz w:val="22"/>
          <w:szCs w:val="22"/>
          <w:lang w:val="sr-Latn-ME"/>
        </w:rPr>
      </w:pPr>
    </w:p>
    <w:p w14:paraId="484B57B2" w14:textId="77777777" w:rsidR="007C5B43" w:rsidRPr="0093403C" w:rsidRDefault="007C5B43" w:rsidP="007C5B43">
      <w:pPr>
        <w:jc w:val="both"/>
        <w:rPr>
          <w:sz w:val="22"/>
          <w:szCs w:val="22"/>
          <w:lang w:val="sr-Latn-ME"/>
        </w:rPr>
      </w:pPr>
    </w:p>
    <w:p w14:paraId="711E919F" w14:textId="77777777" w:rsidR="00411B4B" w:rsidRPr="0093403C" w:rsidRDefault="00411B4B" w:rsidP="007C5B43">
      <w:pPr>
        <w:tabs>
          <w:tab w:val="left" w:pos="540"/>
          <w:tab w:val="left" w:pos="569"/>
        </w:tabs>
        <w:jc w:val="both"/>
        <w:rPr>
          <w:b/>
          <w:bCs/>
          <w:sz w:val="22"/>
          <w:szCs w:val="22"/>
          <w:lang w:val="sr-Latn-ME"/>
        </w:rPr>
      </w:pPr>
      <w:r w:rsidRPr="0093403C">
        <w:rPr>
          <w:b/>
          <w:bCs/>
          <w:sz w:val="22"/>
          <w:szCs w:val="22"/>
          <w:lang w:val="sr-Latn-ME"/>
        </w:rPr>
        <w:t xml:space="preserve">3. </w:t>
      </w:r>
      <w:r w:rsidR="00F5167F" w:rsidRPr="0093403C">
        <w:rPr>
          <w:b/>
          <w:bCs/>
          <w:sz w:val="22"/>
          <w:szCs w:val="22"/>
          <w:lang w:val="sr-Latn-ME"/>
        </w:rPr>
        <w:tab/>
      </w:r>
      <w:r w:rsidRPr="0093403C">
        <w:rPr>
          <w:b/>
          <w:bCs/>
          <w:sz w:val="22"/>
          <w:szCs w:val="22"/>
          <w:lang w:val="sr-Latn-ME"/>
        </w:rPr>
        <w:t>FARMACEUTSKI OBLIK</w:t>
      </w:r>
      <w:r w:rsidR="009F2D23" w:rsidRPr="0093403C">
        <w:rPr>
          <w:b/>
          <w:bCs/>
          <w:sz w:val="22"/>
          <w:szCs w:val="22"/>
          <w:lang w:val="sr-Latn-ME"/>
        </w:rPr>
        <w:t xml:space="preserve"> </w:t>
      </w:r>
    </w:p>
    <w:p w14:paraId="3CC57CFE" w14:textId="77777777" w:rsidR="00411B4B" w:rsidRPr="0093403C" w:rsidRDefault="00411B4B" w:rsidP="007C5B43">
      <w:pPr>
        <w:jc w:val="both"/>
        <w:rPr>
          <w:bCs/>
          <w:sz w:val="22"/>
          <w:szCs w:val="22"/>
          <w:lang w:val="sr-Latn-ME"/>
        </w:rPr>
      </w:pPr>
    </w:p>
    <w:p w14:paraId="585E02ED" w14:textId="77777777" w:rsidR="002E634B" w:rsidRPr="0093403C" w:rsidRDefault="002E634B" w:rsidP="007C5B43">
      <w:pPr>
        <w:jc w:val="both"/>
        <w:rPr>
          <w:bCs/>
          <w:sz w:val="22"/>
          <w:szCs w:val="22"/>
          <w:lang w:val="sr-Latn-ME"/>
        </w:rPr>
      </w:pPr>
      <w:r w:rsidRPr="0093403C">
        <w:rPr>
          <w:bCs/>
          <w:sz w:val="22"/>
          <w:szCs w:val="22"/>
          <w:lang w:val="sr-Latn-ME"/>
        </w:rPr>
        <w:t>Rastvor za injekciju.</w:t>
      </w:r>
    </w:p>
    <w:p w14:paraId="7F58FC67" w14:textId="29A3335D" w:rsidR="00EC2532" w:rsidRPr="0093403C" w:rsidRDefault="002E634B" w:rsidP="007C5B43">
      <w:pPr>
        <w:jc w:val="both"/>
        <w:rPr>
          <w:bCs/>
          <w:sz w:val="22"/>
          <w:szCs w:val="22"/>
          <w:lang w:val="sr-Latn-ME"/>
        </w:rPr>
      </w:pPr>
      <w:r w:rsidRPr="0093403C">
        <w:rPr>
          <w:bCs/>
          <w:sz w:val="22"/>
          <w:szCs w:val="22"/>
          <w:lang w:val="sr-Latn-ME"/>
        </w:rPr>
        <w:t>Bistar, bezbojni rastvor za injekciju.</w:t>
      </w:r>
    </w:p>
    <w:p w14:paraId="2449EC4C" w14:textId="47CA2B76" w:rsidR="002E634B" w:rsidRPr="0093403C" w:rsidRDefault="002E634B" w:rsidP="007C5B43">
      <w:pPr>
        <w:jc w:val="both"/>
        <w:rPr>
          <w:bCs/>
          <w:sz w:val="22"/>
          <w:szCs w:val="22"/>
          <w:lang w:val="sr-Latn-ME"/>
        </w:rPr>
      </w:pPr>
    </w:p>
    <w:p w14:paraId="31F22BE7" w14:textId="77777777" w:rsidR="007C5B43" w:rsidRPr="0093403C" w:rsidRDefault="007C5B43" w:rsidP="007C5B43">
      <w:pPr>
        <w:jc w:val="both"/>
        <w:rPr>
          <w:bCs/>
          <w:sz w:val="22"/>
          <w:szCs w:val="22"/>
          <w:lang w:val="sr-Latn-ME"/>
        </w:rPr>
      </w:pPr>
    </w:p>
    <w:p w14:paraId="13D7FD59" w14:textId="77777777" w:rsidR="00411B4B" w:rsidRPr="0093403C" w:rsidRDefault="00411B4B" w:rsidP="007C5B43">
      <w:pPr>
        <w:tabs>
          <w:tab w:val="left" w:pos="540"/>
          <w:tab w:val="left" w:pos="569"/>
        </w:tabs>
        <w:jc w:val="both"/>
        <w:rPr>
          <w:b/>
          <w:bCs/>
          <w:sz w:val="22"/>
          <w:szCs w:val="22"/>
          <w:lang w:val="sr-Latn-ME"/>
        </w:rPr>
      </w:pPr>
      <w:r w:rsidRPr="0093403C">
        <w:rPr>
          <w:b/>
          <w:bCs/>
          <w:sz w:val="22"/>
          <w:szCs w:val="22"/>
          <w:lang w:val="sr-Latn-ME"/>
        </w:rPr>
        <w:t xml:space="preserve">4. </w:t>
      </w:r>
      <w:r w:rsidR="00480FB1" w:rsidRPr="0093403C">
        <w:rPr>
          <w:b/>
          <w:bCs/>
          <w:sz w:val="22"/>
          <w:szCs w:val="22"/>
          <w:lang w:val="sr-Latn-ME"/>
        </w:rPr>
        <w:tab/>
      </w:r>
      <w:r w:rsidRPr="0093403C">
        <w:rPr>
          <w:b/>
          <w:bCs/>
          <w:sz w:val="22"/>
          <w:szCs w:val="22"/>
          <w:lang w:val="sr-Latn-ME"/>
        </w:rPr>
        <w:t>KLINIČKI PODACI</w:t>
      </w:r>
    </w:p>
    <w:p w14:paraId="601EF19B" w14:textId="77777777" w:rsidR="00CD6F02" w:rsidRPr="0093403C" w:rsidRDefault="00CD6F02" w:rsidP="007C5B43">
      <w:pPr>
        <w:tabs>
          <w:tab w:val="left" w:pos="540"/>
          <w:tab w:val="left" w:pos="569"/>
        </w:tabs>
        <w:jc w:val="both"/>
        <w:rPr>
          <w:bCs/>
          <w:sz w:val="22"/>
          <w:szCs w:val="22"/>
          <w:lang w:val="sr-Latn-ME"/>
        </w:rPr>
      </w:pPr>
    </w:p>
    <w:p w14:paraId="1E27C2F1" w14:textId="77777777" w:rsidR="00411B4B" w:rsidRPr="0093403C" w:rsidRDefault="00411B4B" w:rsidP="007C5B43">
      <w:pPr>
        <w:tabs>
          <w:tab w:val="left" w:pos="540"/>
          <w:tab w:val="left" w:pos="569"/>
        </w:tabs>
        <w:jc w:val="both"/>
        <w:rPr>
          <w:b/>
          <w:bCs/>
          <w:sz w:val="22"/>
          <w:szCs w:val="22"/>
          <w:lang w:val="sr-Latn-ME"/>
        </w:rPr>
      </w:pPr>
      <w:r w:rsidRPr="0093403C">
        <w:rPr>
          <w:b/>
          <w:bCs/>
          <w:sz w:val="22"/>
          <w:szCs w:val="22"/>
          <w:lang w:val="sr-Latn-ME"/>
        </w:rPr>
        <w:t xml:space="preserve">4.1. </w:t>
      </w:r>
      <w:r w:rsidR="00480FB1" w:rsidRPr="0093403C">
        <w:rPr>
          <w:b/>
          <w:bCs/>
          <w:sz w:val="22"/>
          <w:szCs w:val="22"/>
          <w:lang w:val="sr-Latn-ME"/>
        </w:rPr>
        <w:tab/>
      </w:r>
      <w:r w:rsidRPr="0093403C">
        <w:rPr>
          <w:b/>
          <w:bCs/>
          <w:sz w:val="22"/>
          <w:szCs w:val="22"/>
          <w:lang w:val="sr-Latn-ME"/>
        </w:rPr>
        <w:t>Terapijske indikacije</w:t>
      </w:r>
    </w:p>
    <w:p w14:paraId="766E6626" w14:textId="77777777" w:rsidR="00411B4B" w:rsidRPr="0093403C" w:rsidRDefault="00411B4B" w:rsidP="007C5B43">
      <w:pPr>
        <w:tabs>
          <w:tab w:val="left" w:pos="540"/>
          <w:tab w:val="left" w:pos="569"/>
        </w:tabs>
        <w:jc w:val="both"/>
        <w:rPr>
          <w:bCs/>
          <w:sz w:val="22"/>
          <w:szCs w:val="22"/>
          <w:lang w:val="sr-Latn-ME"/>
        </w:rPr>
      </w:pPr>
    </w:p>
    <w:p w14:paraId="6ADA676A" w14:textId="24DA95AF" w:rsidR="002E634B" w:rsidRPr="0093403C" w:rsidRDefault="002E634B" w:rsidP="007C5B43">
      <w:pPr>
        <w:tabs>
          <w:tab w:val="left" w:pos="540"/>
          <w:tab w:val="left" w:pos="569"/>
        </w:tabs>
        <w:jc w:val="both"/>
        <w:rPr>
          <w:bCs/>
          <w:sz w:val="22"/>
          <w:szCs w:val="22"/>
          <w:lang w:val="sr-Latn-ME"/>
        </w:rPr>
      </w:pPr>
      <w:r w:rsidRPr="0093403C">
        <w:rPr>
          <w:bCs/>
          <w:sz w:val="22"/>
          <w:szCs w:val="22"/>
          <w:lang w:val="sr-Latn-ME"/>
        </w:rPr>
        <w:t xml:space="preserve">Terapija </w:t>
      </w:r>
      <w:proofErr w:type="spellStart"/>
      <w:r w:rsidRPr="0093403C">
        <w:rPr>
          <w:bCs/>
          <w:sz w:val="22"/>
          <w:szCs w:val="22"/>
          <w:lang w:val="sr-Latn-ME"/>
        </w:rPr>
        <w:t>osteoporoze</w:t>
      </w:r>
      <w:proofErr w:type="spellEnd"/>
      <w:r w:rsidRPr="0093403C">
        <w:rPr>
          <w:bCs/>
          <w:sz w:val="22"/>
          <w:szCs w:val="22"/>
          <w:lang w:val="sr-Latn-ME"/>
        </w:rPr>
        <w:t xml:space="preserve"> kod </w:t>
      </w:r>
      <w:proofErr w:type="spellStart"/>
      <w:r w:rsidRPr="0093403C">
        <w:rPr>
          <w:bCs/>
          <w:sz w:val="22"/>
          <w:szCs w:val="22"/>
          <w:lang w:val="sr-Latn-ME"/>
        </w:rPr>
        <w:t>postmenopauzalnih</w:t>
      </w:r>
      <w:proofErr w:type="spellEnd"/>
      <w:r w:rsidRPr="0093403C">
        <w:rPr>
          <w:bCs/>
          <w:sz w:val="22"/>
          <w:szCs w:val="22"/>
          <w:lang w:val="sr-Latn-ME"/>
        </w:rPr>
        <w:t xml:space="preserve"> žena, kod kojih postoji povećan rizik od </w:t>
      </w:r>
      <w:proofErr w:type="spellStart"/>
      <w:r w:rsidRPr="0093403C">
        <w:rPr>
          <w:bCs/>
          <w:sz w:val="22"/>
          <w:szCs w:val="22"/>
          <w:lang w:val="sr-Latn-ME"/>
        </w:rPr>
        <w:t>preloma</w:t>
      </w:r>
      <w:proofErr w:type="spellEnd"/>
      <w:r w:rsidRPr="0093403C">
        <w:rPr>
          <w:bCs/>
          <w:sz w:val="22"/>
          <w:szCs w:val="22"/>
          <w:lang w:val="sr-Latn-ME"/>
        </w:rPr>
        <w:t xml:space="preserve"> kostiju (vidjeti dio 5.1). Utvrđeno je smanjenje rizika od </w:t>
      </w:r>
      <w:proofErr w:type="spellStart"/>
      <w:r w:rsidRPr="0093403C">
        <w:rPr>
          <w:bCs/>
          <w:sz w:val="22"/>
          <w:szCs w:val="22"/>
          <w:lang w:val="sr-Latn-ME"/>
        </w:rPr>
        <w:t>preloma</w:t>
      </w:r>
      <w:proofErr w:type="spellEnd"/>
      <w:r w:rsidRPr="0093403C">
        <w:rPr>
          <w:bCs/>
          <w:sz w:val="22"/>
          <w:szCs w:val="22"/>
          <w:lang w:val="sr-Latn-ME"/>
        </w:rPr>
        <w:t xml:space="preserve"> kičmenih pršljenova, a efikasnost u smanjenju </w:t>
      </w:r>
      <w:proofErr w:type="spellStart"/>
      <w:r w:rsidRPr="0093403C">
        <w:rPr>
          <w:bCs/>
          <w:sz w:val="22"/>
          <w:szCs w:val="22"/>
          <w:lang w:val="sr-Latn-ME"/>
        </w:rPr>
        <w:t>preloma</w:t>
      </w:r>
      <w:proofErr w:type="spellEnd"/>
      <w:r w:rsidRPr="0093403C">
        <w:rPr>
          <w:bCs/>
          <w:sz w:val="22"/>
          <w:szCs w:val="22"/>
          <w:lang w:val="sr-Latn-ME"/>
        </w:rPr>
        <w:t xml:space="preserve"> vrata butne kosti nije pokazana.</w:t>
      </w:r>
    </w:p>
    <w:p w14:paraId="39761F59" w14:textId="77777777" w:rsidR="002E634B" w:rsidRPr="0093403C" w:rsidRDefault="002E634B" w:rsidP="007C5B43">
      <w:pPr>
        <w:tabs>
          <w:tab w:val="left" w:pos="540"/>
          <w:tab w:val="left" w:pos="569"/>
        </w:tabs>
        <w:jc w:val="both"/>
        <w:rPr>
          <w:bCs/>
          <w:sz w:val="22"/>
          <w:szCs w:val="22"/>
          <w:lang w:val="sr-Latn-ME"/>
        </w:rPr>
      </w:pPr>
    </w:p>
    <w:p w14:paraId="0451AE67" w14:textId="77777777" w:rsidR="00411B4B" w:rsidRPr="0093403C" w:rsidRDefault="00411B4B" w:rsidP="007C5B43">
      <w:pPr>
        <w:tabs>
          <w:tab w:val="left" w:pos="540"/>
          <w:tab w:val="left" w:pos="569"/>
        </w:tabs>
        <w:jc w:val="both"/>
        <w:rPr>
          <w:b/>
          <w:bCs/>
          <w:sz w:val="22"/>
          <w:szCs w:val="22"/>
          <w:lang w:val="sr-Latn-ME"/>
        </w:rPr>
      </w:pPr>
      <w:r w:rsidRPr="0093403C">
        <w:rPr>
          <w:b/>
          <w:bCs/>
          <w:sz w:val="22"/>
          <w:szCs w:val="22"/>
          <w:lang w:val="sr-Latn-ME"/>
        </w:rPr>
        <w:t xml:space="preserve">4.2. </w:t>
      </w:r>
      <w:r w:rsidR="00480FB1" w:rsidRPr="0093403C">
        <w:rPr>
          <w:b/>
          <w:bCs/>
          <w:sz w:val="22"/>
          <w:szCs w:val="22"/>
          <w:lang w:val="sr-Latn-ME"/>
        </w:rPr>
        <w:tab/>
      </w:r>
      <w:r w:rsidRPr="0093403C">
        <w:rPr>
          <w:b/>
          <w:bCs/>
          <w:sz w:val="22"/>
          <w:szCs w:val="22"/>
          <w:lang w:val="sr-Latn-ME"/>
        </w:rPr>
        <w:t>Doziranje i način primjene</w:t>
      </w:r>
    </w:p>
    <w:p w14:paraId="4C9C5CCA" w14:textId="77777777" w:rsidR="0072020E" w:rsidRPr="0093403C" w:rsidRDefault="0072020E" w:rsidP="007C5B43">
      <w:pPr>
        <w:tabs>
          <w:tab w:val="left" w:pos="540"/>
          <w:tab w:val="left" w:pos="569"/>
        </w:tabs>
        <w:jc w:val="both"/>
        <w:rPr>
          <w:bCs/>
          <w:sz w:val="22"/>
          <w:szCs w:val="22"/>
          <w:lang w:val="sr-Latn-ME"/>
        </w:rPr>
      </w:pPr>
    </w:p>
    <w:p w14:paraId="25A09424" w14:textId="77777777" w:rsidR="00452E9D" w:rsidRPr="0093403C" w:rsidRDefault="00452E9D" w:rsidP="007C5B43">
      <w:pPr>
        <w:tabs>
          <w:tab w:val="left" w:pos="540"/>
          <w:tab w:val="left" w:pos="569"/>
        </w:tabs>
        <w:jc w:val="both"/>
        <w:rPr>
          <w:bCs/>
          <w:sz w:val="22"/>
          <w:szCs w:val="22"/>
          <w:u w:val="single"/>
          <w:lang w:val="sr-Latn-ME"/>
        </w:rPr>
      </w:pPr>
      <w:r w:rsidRPr="0093403C">
        <w:rPr>
          <w:bCs/>
          <w:sz w:val="22"/>
          <w:szCs w:val="22"/>
          <w:u w:val="single"/>
          <w:lang w:val="sr-Latn-ME"/>
        </w:rPr>
        <w:t>Doziranje</w:t>
      </w:r>
    </w:p>
    <w:p w14:paraId="35068BCE" w14:textId="77777777" w:rsidR="002E634B" w:rsidRPr="0093403C" w:rsidRDefault="002E634B" w:rsidP="007C5B43">
      <w:pPr>
        <w:tabs>
          <w:tab w:val="left" w:pos="540"/>
          <w:tab w:val="left" w:pos="569"/>
        </w:tabs>
        <w:jc w:val="both"/>
        <w:rPr>
          <w:bCs/>
          <w:sz w:val="22"/>
          <w:szCs w:val="22"/>
          <w:lang w:val="sr-Latn-ME"/>
        </w:rPr>
      </w:pPr>
      <w:r w:rsidRPr="0093403C">
        <w:rPr>
          <w:bCs/>
          <w:sz w:val="22"/>
          <w:szCs w:val="22"/>
          <w:lang w:val="sr-Latn-ME"/>
        </w:rPr>
        <w:t xml:space="preserve">Preporučena doza </w:t>
      </w:r>
      <w:proofErr w:type="spellStart"/>
      <w:r w:rsidRPr="0093403C">
        <w:rPr>
          <w:bCs/>
          <w:sz w:val="22"/>
          <w:szCs w:val="22"/>
          <w:lang w:val="sr-Latn-ME"/>
        </w:rPr>
        <w:t>ibandronske</w:t>
      </w:r>
      <w:proofErr w:type="spellEnd"/>
      <w:r w:rsidRPr="0093403C">
        <w:rPr>
          <w:bCs/>
          <w:sz w:val="22"/>
          <w:szCs w:val="22"/>
          <w:lang w:val="sr-Latn-ME"/>
        </w:rPr>
        <w:t xml:space="preserve"> kiseline je 3 mg, kada se daje kao </w:t>
      </w:r>
      <w:proofErr w:type="spellStart"/>
      <w:r w:rsidRPr="0093403C">
        <w:rPr>
          <w:bCs/>
          <w:sz w:val="22"/>
          <w:szCs w:val="22"/>
          <w:lang w:val="sr-Latn-ME"/>
        </w:rPr>
        <w:t>intravenska</w:t>
      </w:r>
      <w:proofErr w:type="spellEnd"/>
      <w:r w:rsidRPr="0093403C">
        <w:rPr>
          <w:bCs/>
          <w:sz w:val="22"/>
          <w:szCs w:val="22"/>
          <w:lang w:val="sr-Latn-ME"/>
        </w:rPr>
        <w:t xml:space="preserve"> injekcija tokom 15-30 sekundi, jednom u tri mjeseca. </w:t>
      </w:r>
    </w:p>
    <w:p w14:paraId="572E3A85" w14:textId="77777777" w:rsidR="002E634B" w:rsidRPr="0093403C" w:rsidRDefault="002E634B" w:rsidP="007C5B43">
      <w:pPr>
        <w:tabs>
          <w:tab w:val="left" w:pos="540"/>
          <w:tab w:val="left" w:pos="569"/>
        </w:tabs>
        <w:jc w:val="both"/>
        <w:rPr>
          <w:bCs/>
          <w:sz w:val="22"/>
          <w:szCs w:val="22"/>
          <w:lang w:val="sr-Latn-ME"/>
        </w:rPr>
      </w:pPr>
      <w:proofErr w:type="spellStart"/>
      <w:r w:rsidRPr="0093403C">
        <w:rPr>
          <w:bCs/>
          <w:sz w:val="22"/>
          <w:szCs w:val="22"/>
          <w:lang w:val="sr-Latn-ME"/>
        </w:rPr>
        <w:t>Pacijentkinje</w:t>
      </w:r>
      <w:proofErr w:type="spellEnd"/>
      <w:r w:rsidRPr="0093403C">
        <w:rPr>
          <w:bCs/>
          <w:sz w:val="22"/>
          <w:szCs w:val="22"/>
          <w:lang w:val="sr-Latn-ME"/>
        </w:rPr>
        <w:t xml:space="preserve"> moraju uzimati dopunski kalcijum i vitamin D (vidjeti djelove 4.4 i  4.5). </w:t>
      </w:r>
    </w:p>
    <w:p w14:paraId="2387F49B" w14:textId="77777777" w:rsidR="002E634B" w:rsidRPr="0093403C" w:rsidRDefault="002E634B" w:rsidP="007C5B43">
      <w:pPr>
        <w:tabs>
          <w:tab w:val="left" w:pos="540"/>
          <w:tab w:val="left" w:pos="569"/>
        </w:tabs>
        <w:jc w:val="both"/>
        <w:rPr>
          <w:bCs/>
          <w:sz w:val="22"/>
          <w:szCs w:val="22"/>
          <w:lang w:val="sr-Latn-ME"/>
        </w:rPr>
      </w:pPr>
      <w:r w:rsidRPr="0093403C">
        <w:rPr>
          <w:bCs/>
          <w:sz w:val="22"/>
          <w:szCs w:val="22"/>
          <w:lang w:val="sr-Latn-ME"/>
        </w:rPr>
        <w:t>Ako se doza propusti, treba injekciju dati što je moguće prije. Poslije toga, injekcije treba davati u redovnim intervalima od tri mjeseca poslije prethodne injekcije, brojeći od dana posljednje primljene injekcije.</w:t>
      </w:r>
    </w:p>
    <w:p w14:paraId="21F7AB88" w14:textId="77777777" w:rsidR="002E634B" w:rsidRPr="0093403C" w:rsidRDefault="002E634B" w:rsidP="007C5B43">
      <w:pPr>
        <w:tabs>
          <w:tab w:val="left" w:pos="540"/>
          <w:tab w:val="left" w:pos="569"/>
        </w:tabs>
        <w:jc w:val="both"/>
        <w:rPr>
          <w:bCs/>
          <w:sz w:val="22"/>
          <w:szCs w:val="22"/>
          <w:lang w:val="sr-Latn-ME"/>
        </w:rPr>
      </w:pPr>
      <w:r w:rsidRPr="0093403C">
        <w:rPr>
          <w:bCs/>
          <w:sz w:val="22"/>
          <w:szCs w:val="22"/>
          <w:lang w:val="sr-Latn-ME"/>
        </w:rPr>
        <w:t xml:space="preserve">Optimalno trajanje terapije </w:t>
      </w:r>
      <w:proofErr w:type="spellStart"/>
      <w:r w:rsidRPr="0093403C">
        <w:rPr>
          <w:bCs/>
          <w:sz w:val="22"/>
          <w:szCs w:val="22"/>
          <w:lang w:val="sr-Latn-ME"/>
        </w:rPr>
        <w:t>osteoporoze</w:t>
      </w:r>
      <w:proofErr w:type="spellEnd"/>
      <w:r w:rsidRPr="0093403C">
        <w:rPr>
          <w:bCs/>
          <w:sz w:val="22"/>
          <w:szCs w:val="22"/>
          <w:lang w:val="sr-Latn-ME"/>
        </w:rPr>
        <w:t xml:space="preserve"> </w:t>
      </w:r>
      <w:proofErr w:type="spellStart"/>
      <w:r w:rsidRPr="0093403C">
        <w:rPr>
          <w:bCs/>
          <w:sz w:val="22"/>
          <w:szCs w:val="22"/>
          <w:lang w:val="sr-Latn-ME"/>
        </w:rPr>
        <w:t>bisfosfonatima</w:t>
      </w:r>
      <w:proofErr w:type="spellEnd"/>
      <w:r w:rsidRPr="0093403C">
        <w:rPr>
          <w:bCs/>
          <w:sz w:val="22"/>
          <w:szCs w:val="22"/>
          <w:lang w:val="sr-Latn-ME"/>
        </w:rPr>
        <w:t xml:space="preserve"> nije utvrđeno. Potreba za nastavkom terapije treba da se periodično </w:t>
      </w:r>
      <w:proofErr w:type="spellStart"/>
      <w:r w:rsidRPr="0093403C">
        <w:rPr>
          <w:bCs/>
          <w:sz w:val="22"/>
          <w:szCs w:val="22"/>
          <w:lang w:val="sr-Latn-ME"/>
        </w:rPr>
        <w:t>reevaluira</w:t>
      </w:r>
      <w:proofErr w:type="spellEnd"/>
      <w:r w:rsidRPr="0093403C">
        <w:rPr>
          <w:bCs/>
          <w:sz w:val="22"/>
          <w:szCs w:val="22"/>
          <w:lang w:val="sr-Latn-ME"/>
        </w:rPr>
        <w:t xml:space="preserve"> vodeći računa o korisnim efektima i potencijalnim rizicima lijeka </w:t>
      </w:r>
      <w:proofErr w:type="spellStart"/>
      <w:r w:rsidRPr="0093403C">
        <w:rPr>
          <w:bCs/>
          <w:sz w:val="22"/>
          <w:szCs w:val="22"/>
          <w:lang w:val="sr-Latn-ME"/>
        </w:rPr>
        <w:t>Bonviva</w:t>
      </w:r>
      <w:proofErr w:type="spellEnd"/>
      <w:r w:rsidRPr="0093403C">
        <w:rPr>
          <w:bCs/>
          <w:sz w:val="22"/>
          <w:szCs w:val="22"/>
          <w:lang w:val="sr-Latn-ME"/>
        </w:rPr>
        <w:t xml:space="preserve"> za svakog pojedinog pacijenta, pogotovo nakon 5 ili više godina primjene.</w:t>
      </w:r>
    </w:p>
    <w:p w14:paraId="791B940E" w14:textId="77777777" w:rsidR="002E634B" w:rsidRPr="0093403C" w:rsidRDefault="002E634B" w:rsidP="007C5B43">
      <w:pPr>
        <w:tabs>
          <w:tab w:val="left" w:pos="540"/>
          <w:tab w:val="left" w:pos="569"/>
        </w:tabs>
        <w:jc w:val="both"/>
        <w:rPr>
          <w:bCs/>
          <w:sz w:val="22"/>
          <w:szCs w:val="22"/>
          <w:lang w:val="sr-Latn-ME"/>
        </w:rPr>
      </w:pPr>
    </w:p>
    <w:p w14:paraId="79410E7E" w14:textId="77777777" w:rsidR="002E634B" w:rsidRPr="0093403C" w:rsidRDefault="002E634B" w:rsidP="007C5B43">
      <w:pPr>
        <w:pStyle w:val="Header"/>
        <w:tabs>
          <w:tab w:val="left" w:pos="284"/>
        </w:tabs>
        <w:spacing w:before="80" w:after="80"/>
        <w:jc w:val="both"/>
        <w:rPr>
          <w:bCs/>
          <w:i/>
          <w:sz w:val="22"/>
          <w:szCs w:val="22"/>
          <w:u w:val="single"/>
          <w:lang w:val="sr-Latn-ME"/>
        </w:rPr>
      </w:pPr>
      <w:r w:rsidRPr="0093403C">
        <w:rPr>
          <w:bCs/>
          <w:i/>
          <w:sz w:val="22"/>
          <w:szCs w:val="22"/>
          <w:u w:val="single"/>
          <w:lang w:val="sr-Latn-ME"/>
        </w:rPr>
        <w:t>Posebne populacije</w:t>
      </w:r>
    </w:p>
    <w:p w14:paraId="4FD5F50E" w14:textId="77777777" w:rsidR="002E634B" w:rsidRPr="0093403C" w:rsidRDefault="002E634B" w:rsidP="007C5B43">
      <w:pPr>
        <w:pStyle w:val="Header"/>
        <w:tabs>
          <w:tab w:val="left" w:pos="284"/>
        </w:tabs>
        <w:spacing w:before="80" w:after="80"/>
        <w:jc w:val="both"/>
        <w:rPr>
          <w:bCs/>
          <w:i/>
          <w:sz w:val="22"/>
          <w:szCs w:val="22"/>
          <w:lang w:val="sr-Latn-ME"/>
        </w:rPr>
      </w:pPr>
      <w:proofErr w:type="spellStart"/>
      <w:r w:rsidRPr="0093403C">
        <w:rPr>
          <w:bCs/>
          <w:i/>
          <w:sz w:val="22"/>
          <w:szCs w:val="22"/>
          <w:lang w:val="sr-Latn-ME"/>
        </w:rPr>
        <w:t>Pacijentkinje</w:t>
      </w:r>
      <w:proofErr w:type="spellEnd"/>
      <w:r w:rsidRPr="0093403C">
        <w:rPr>
          <w:bCs/>
          <w:i/>
          <w:sz w:val="22"/>
          <w:szCs w:val="22"/>
          <w:lang w:val="sr-Latn-ME"/>
        </w:rPr>
        <w:t xml:space="preserve"> sa bubrežnom </w:t>
      </w:r>
      <w:proofErr w:type="spellStart"/>
      <w:r w:rsidRPr="0093403C">
        <w:rPr>
          <w:bCs/>
          <w:i/>
          <w:sz w:val="22"/>
          <w:szCs w:val="22"/>
          <w:lang w:val="sr-Latn-ME"/>
        </w:rPr>
        <w:t>insuficijencijom</w:t>
      </w:r>
      <w:proofErr w:type="spellEnd"/>
    </w:p>
    <w:p w14:paraId="5E26E889" w14:textId="77777777" w:rsidR="002E634B" w:rsidRPr="0093403C" w:rsidRDefault="002E634B" w:rsidP="007C5B43">
      <w:pPr>
        <w:pStyle w:val="Header"/>
        <w:tabs>
          <w:tab w:val="left" w:pos="284"/>
        </w:tabs>
        <w:spacing w:before="80" w:after="80"/>
        <w:jc w:val="both"/>
        <w:rPr>
          <w:bCs/>
          <w:sz w:val="22"/>
          <w:szCs w:val="22"/>
          <w:lang w:val="sr-Latn-ME"/>
        </w:rPr>
      </w:pPr>
      <w:r w:rsidRPr="0093403C">
        <w:rPr>
          <w:bCs/>
          <w:sz w:val="22"/>
          <w:szCs w:val="22"/>
          <w:lang w:val="sr-Latn-ME"/>
        </w:rPr>
        <w:t xml:space="preserve">Injekcije lijeka </w:t>
      </w:r>
      <w:proofErr w:type="spellStart"/>
      <w:r w:rsidRPr="0093403C">
        <w:rPr>
          <w:bCs/>
          <w:sz w:val="22"/>
          <w:szCs w:val="22"/>
          <w:lang w:val="sr-Latn-ME"/>
        </w:rPr>
        <w:t>Bonviva</w:t>
      </w:r>
      <w:proofErr w:type="spellEnd"/>
      <w:r w:rsidRPr="0093403C">
        <w:rPr>
          <w:bCs/>
          <w:sz w:val="22"/>
          <w:szCs w:val="22"/>
          <w:lang w:val="sr-Latn-ME"/>
        </w:rPr>
        <w:t xml:space="preserve"> se ne preporučuju za </w:t>
      </w:r>
      <w:proofErr w:type="spellStart"/>
      <w:r w:rsidRPr="0093403C">
        <w:rPr>
          <w:bCs/>
          <w:sz w:val="22"/>
          <w:szCs w:val="22"/>
          <w:lang w:val="sr-Latn-ME"/>
        </w:rPr>
        <w:t>pacijentkinje</w:t>
      </w:r>
      <w:proofErr w:type="spellEnd"/>
      <w:r w:rsidRPr="0093403C">
        <w:rPr>
          <w:bCs/>
          <w:sz w:val="22"/>
          <w:szCs w:val="22"/>
          <w:lang w:val="sr-Latn-ME"/>
        </w:rPr>
        <w:t xml:space="preserve"> koje imaju vrijednost </w:t>
      </w:r>
      <w:proofErr w:type="spellStart"/>
      <w:r w:rsidRPr="0093403C">
        <w:rPr>
          <w:bCs/>
          <w:sz w:val="22"/>
          <w:szCs w:val="22"/>
          <w:lang w:val="sr-Latn-ME"/>
        </w:rPr>
        <w:t>kreatinina</w:t>
      </w:r>
      <w:proofErr w:type="spellEnd"/>
      <w:r w:rsidRPr="0093403C">
        <w:rPr>
          <w:bCs/>
          <w:sz w:val="22"/>
          <w:szCs w:val="22"/>
          <w:lang w:val="sr-Latn-ME"/>
        </w:rPr>
        <w:t xml:space="preserve"> u serumu veću od 200 </w:t>
      </w:r>
      <w:r w:rsidRPr="0093403C">
        <w:rPr>
          <w:bCs/>
          <w:sz w:val="22"/>
          <w:szCs w:val="22"/>
          <w:lang w:val="sr-Latn-ME"/>
        </w:rPr>
        <w:sym w:font="Symbol" w:char="F06D"/>
      </w:r>
      <w:r w:rsidRPr="0093403C">
        <w:rPr>
          <w:bCs/>
          <w:sz w:val="22"/>
          <w:szCs w:val="22"/>
          <w:lang w:val="sr-Latn-ME"/>
        </w:rPr>
        <w:t xml:space="preserve">mol/l (2,3 mg/dl) ili kod kojih je </w:t>
      </w:r>
      <w:proofErr w:type="spellStart"/>
      <w:r w:rsidRPr="0093403C">
        <w:rPr>
          <w:bCs/>
          <w:sz w:val="22"/>
          <w:szCs w:val="22"/>
          <w:lang w:val="sr-Latn-ME"/>
        </w:rPr>
        <w:t>klirens</w:t>
      </w:r>
      <w:proofErr w:type="spellEnd"/>
      <w:r w:rsidRPr="0093403C">
        <w:rPr>
          <w:bCs/>
          <w:sz w:val="22"/>
          <w:szCs w:val="22"/>
          <w:lang w:val="sr-Latn-ME"/>
        </w:rPr>
        <w:t xml:space="preserve"> </w:t>
      </w:r>
      <w:proofErr w:type="spellStart"/>
      <w:r w:rsidRPr="0093403C">
        <w:rPr>
          <w:bCs/>
          <w:sz w:val="22"/>
          <w:szCs w:val="22"/>
          <w:lang w:val="sr-Latn-ME"/>
        </w:rPr>
        <w:t>kreatinina</w:t>
      </w:r>
      <w:proofErr w:type="spellEnd"/>
      <w:r w:rsidRPr="0093403C">
        <w:rPr>
          <w:bCs/>
          <w:sz w:val="22"/>
          <w:szCs w:val="22"/>
          <w:lang w:val="sr-Latn-ME"/>
        </w:rPr>
        <w:t xml:space="preserve"> (mjereni ili procijenjeni) manji od 30 ml/min zbog ograničenog kliničkog iskustva sa ovakvim </w:t>
      </w:r>
      <w:proofErr w:type="spellStart"/>
      <w:r w:rsidRPr="0093403C">
        <w:rPr>
          <w:bCs/>
          <w:sz w:val="22"/>
          <w:szCs w:val="22"/>
          <w:lang w:val="sr-Latn-ME"/>
        </w:rPr>
        <w:t>pacijentkinjama</w:t>
      </w:r>
      <w:proofErr w:type="spellEnd"/>
      <w:r w:rsidRPr="0093403C">
        <w:rPr>
          <w:bCs/>
          <w:sz w:val="22"/>
          <w:szCs w:val="22"/>
          <w:lang w:val="sr-Latn-ME"/>
        </w:rPr>
        <w:t xml:space="preserve"> (vidjeti djelove 4.4. i 5.2).</w:t>
      </w:r>
    </w:p>
    <w:p w14:paraId="15B3B06E" w14:textId="77777777" w:rsidR="002E634B" w:rsidRPr="0093403C" w:rsidRDefault="002E634B" w:rsidP="007C5B43">
      <w:pPr>
        <w:pStyle w:val="Header"/>
        <w:tabs>
          <w:tab w:val="left" w:pos="284"/>
        </w:tabs>
        <w:spacing w:before="80" w:after="80"/>
        <w:jc w:val="both"/>
        <w:rPr>
          <w:bCs/>
          <w:sz w:val="22"/>
          <w:szCs w:val="22"/>
          <w:lang w:val="sr-Latn-ME"/>
        </w:rPr>
      </w:pPr>
    </w:p>
    <w:p w14:paraId="29842B94" w14:textId="77777777" w:rsidR="002E634B" w:rsidRPr="0093403C" w:rsidRDefault="002E634B" w:rsidP="007C5B43">
      <w:pPr>
        <w:pStyle w:val="Header"/>
        <w:tabs>
          <w:tab w:val="left" w:pos="284"/>
        </w:tabs>
        <w:spacing w:before="80" w:after="80"/>
        <w:jc w:val="both"/>
        <w:rPr>
          <w:bCs/>
          <w:sz w:val="22"/>
          <w:szCs w:val="22"/>
          <w:lang w:val="sr-Latn-ME"/>
        </w:rPr>
      </w:pPr>
      <w:r w:rsidRPr="0093403C">
        <w:rPr>
          <w:bCs/>
          <w:sz w:val="22"/>
          <w:szCs w:val="22"/>
          <w:lang w:val="sr-Latn-ME"/>
        </w:rPr>
        <w:lastRenderedPageBreak/>
        <w:t xml:space="preserve">Nije neophodno podešavanje doze za </w:t>
      </w:r>
      <w:proofErr w:type="spellStart"/>
      <w:r w:rsidRPr="0093403C">
        <w:rPr>
          <w:bCs/>
          <w:sz w:val="22"/>
          <w:szCs w:val="22"/>
          <w:lang w:val="sr-Latn-ME"/>
        </w:rPr>
        <w:t>pacijentkinje</w:t>
      </w:r>
      <w:proofErr w:type="spellEnd"/>
      <w:r w:rsidRPr="0093403C">
        <w:rPr>
          <w:bCs/>
          <w:sz w:val="22"/>
          <w:szCs w:val="22"/>
          <w:lang w:val="sr-Latn-ME"/>
        </w:rPr>
        <w:t xml:space="preserve"> sa blagom do umjerenom bubrežnom </w:t>
      </w:r>
      <w:proofErr w:type="spellStart"/>
      <w:r w:rsidRPr="0093403C">
        <w:rPr>
          <w:bCs/>
          <w:sz w:val="22"/>
          <w:szCs w:val="22"/>
          <w:lang w:val="sr-Latn-ME"/>
        </w:rPr>
        <w:t>insuficijencijom</w:t>
      </w:r>
      <w:proofErr w:type="spellEnd"/>
      <w:r w:rsidRPr="0093403C">
        <w:rPr>
          <w:bCs/>
          <w:sz w:val="22"/>
          <w:szCs w:val="22"/>
          <w:lang w:val="sr-Latn-ME"/>
        </w:rPr>
        <w:t xml:space="preserve"> kada je vrijednost </w:t>
      </w:r>
      <w:proofErr w:type="spellStart"/>
      <w:r w:rsidRPr="0093403C">
        <w:rPr>
          <w:bCs/>
          <w:sz w:val="22"/>
          <w:szCs w:val="22"/>
          <w:lang w:val="sr-Latn-ME"/>
        </w:rPr>
        <w:t>kreatinina</w:t>
      </w:r>
      <w:proofErr w:type="spellEnd"/>
      <w:r w:rsidRPr="0093403C">
        <w:rPr>
          <w:bCs/>
          <w:sz w:val="22"/>
          <w:szCs w:val="22"/>
          <w:lang w:val="sr-Latn-ME"/>
        </w:rPr>
        <w:t xml:space="preserve"> u serumu jednaka ili manja od 200 </w:t>
      </w:r>
      <w:r w:rsidRPr="0093403C">
        <w:rPr>
          <w:bCs/>
          <w:sz w:val="22"/>
          <w:szCs w:val="22"/>
          <w:lang w:val="sr-Latn-ME"/>
        </w:rPr>
        <w:sym w:font="Symbol" w:char="F06D"/>
      </w:r>
      <w:r w:rsidRPr="0093403C">
        <w:rPr>
          <w:bCs/>
          <w:sz w:val="22"/>
          <w:szCs w:val="22"/>
          <w:lang w:val="sr-Latn-ME"/>
        </w:rPr>
        <w:t xml:space="preserve">mol/l (2,3 mg/dl) ili kod kojih je </w:t>
      </w:r>
      <w:proofErr w:type="spellStart"/>
      <w:r w:rsidRPr="0093403C">
        <w:rPr>
          <w:bCs/>
          <w:sz w:val="22"/>
          <w:szCs w:val="22"/>
          <w:lang w:val="sr-Latn-ME"/>
        </w:rPr>
        <w:t>klirens</w:t>
      </w:r>
      <w:proofErr w:type="spellEnd"/>
      <w:r w:rsidRPr="0093403C">
        <w:rPr>
          <w:bCs/>
          <w:sz w:val="22"/>
          <w:szCs w:val="22"/>
          <w:lang w:val="sr-Latn-ME"/>
        </w:rPr>
        <w:t xml:space="preserve"> </w:t>
      </w:r>
      <w:proofErr w:type="spellStart"/>
      <w:r w:rsidRPr="0093403C">
        <w:rPr>
          <w:bCs/>
          <w:sz w:val="22"/>
          <w:szCs w:val="22"/>
          <w:lang w:val="sr-Latn-ME"/>
        </w:rPr>
        <w:t>kreatinina</w:t>
      </w:r>
      <w:proofErr w:type="spellEnd"/>
      <w:r w:rsidRPr="0093403C">
        <w:rPr>
          <w:bCs/>
          <w:sz w:val="22"/>
          <w:szCs w:val="22"/>
          <w:lang w:val="sr-Latn-ME"/>
        </w:rPr>
        <w:t xml:space="preserve"> (mjereni ili procijenjeni) jednak ili veći od 30 ml/min. </w:t>
      </w:r>
    </w:p>
    <w:p w14:paraId="4E888868" w14:textId="77777777" w:rsidR="002E634B" w:rsidRPr="0093403C" w:rsidRDefault="002E634B" w:rsidP="007C5B43">
      <w:pPr>
        <w:pStyle w:val="Header"/>
        <w:tabs>
          <w:tab w:val="left" w:pos="284"/>
        </w:tabs>
        <w:spacing w:before="80"/>
        <w:jc w:val="both"/>
        <w:rPr>
          <w:bCs/>
          <w:sz w:val="22"/>
          <w:szCs w:val="22"/>
          <w:lang w:val="sr-Latn-ME"/>
        </w:rPr>
      </w:pPr>
    </w:p>
    <w:p w14:paraId="66E5EE19" w14:textId="77777777" w:rsidR="002E634B" w:rsidRPr="0093403C" w:rsidRDefault="002E634B" w:rsidP="007C5B43">
      <w:pPr>
        <w:pStyle w:val="Header"/>
        <w:tabs>
          <w:tab w:val="left" w:pos="284"/>
        </w:tabs>
        <w:jc w:val="both"/>
        <w:rPr>
          <w:bCs/>
          <w:i/>
          <w:sz w:val="22"/>
          <w:szCs w:val="22"/>
          <w:lang w:val="sr-Latn-ME"/>
        </w:rPr>
      </w:pPr>
      <w:proofErr w:type="spellStart"/>
      <w:r w:rsidRPr="0093403C">
        <w:rPr>
          <w:bCs/>
          <w:i/>
          <w:sz w:val="22"/>
          <w:szCs w:val="22"/>
          <w:lang w:val="sr-Latn-ME"/>
        </w:rPr>
        <w:t>Pacijentkinje</w:t>
      </w:r>
      <w:proofErr w:type="spellEnd"/>
      <w:r w:rsidRPr="0093403C">
        <w:rPr>
          <w:bCs/>
          <w:i/>
          <w:sz w:val="22"/>
          <w:szCs w:val="22"/>
          <w:lang w:val="sr-Latn-ME"/>
        </w:rPr>
        <w:t xml:space="preserve"> sa </w:t>
      </w:r>
      <w:proofErr w:type="spellStart"/>
      <w:r w:rsidRPr="0093403C">
        <w:rPr>
          <w:bCs/>
          <w:i/>
          <w:sz w:val="22"/>
          <w:szCs w:val="22"/>
          <w:lang w:val="sr-Latn-ME"/>
        </w:rPr>
        <w:t>hepatičkom</w:t>
      </w:r>
      <w:proofErr w:type="spellEnd"/>
      <w:r w:rsidRPr="0093403C">
        <w:rPr>
          <w:bCs/>
          <w:i/>
          <w:sz w:val="22"/>
          <w:szCs w:val="22"/>
          <w:lang w:val="sr-Latn-ME"/>
        </w:rPr>
        <w:t xml:space="preserve"> </w:t>
      </w:r>
      <w:proofErr w:type="spellStart"/>
      <w:r w:rsidRPr="0093403C">
        <w:rPr>
          <w:bCs/>
          <w:i/>
          <w:sz w:val="22"/>
          <w:szCs w:val="22"/>
          <w:lang w:val="sr-Latn-ME"/>
        </w:rPr>
        <w:t>insuficijencijom</w:t>
      </w:r>
      <w:proofErr w:type="spellEnd"/>
    </w:p>
    <w:p w14:paraId="1DEC19A3" w14:textId="77777777" w:rsidR="002E634B" w:rsidRPr="0093403C" w:rsidRDefault="002E634B" w:rsidP="00EE6A5F">
      <w:pPr>
        <w:pStyle w:val="Header"/>
        <w:tabs>
          <w:tab w:val="left" w:pos="284"/>
        </w:tabs>
        <w:jc w:val="both"/>
        <w:rPr>
          <w:bCs/>
          <w:sz w:val="22"/>
          <w:szCs w:val="22"/>
          <w:lang w:val="sr-Latn-ME"/>
        </w:rPr>
      </w:pPr>
      <w:r w:rsidRPr="0093403C">
        <w:rPr>
          <w:bCs/>
          <w:sz w:val="22"/>
          <w:szCs w:val="22"/>
          <w:lang w:val="sr-Latn-ME"/>
        </w:rPr>
        <w:t>Nije potrebno podešavanje doze (vidjeti dio 5.2).</w:t>
      </w:r>
    </w:p>
    <w:p w14:paraId="05A052EB" w14:textId="77777777" w:rsidR="002E634B" w:rsidRPr="0093403C" w:rsidRDefault="002E634B" w:rsidP="007C5B43">
      <w:pPr>
        <w:pStyle w:val="Header"/>
        <w:tabs>
          <w:tab w:val="left" w:pos="284"/>
        </w:tabs>
        <w:jc w:val="both"/>
        <w:rPr>
          <w:bCs/>
          <w:sz w:val="22"/>
          <w:szCs w:val="22"/>
          <w:lang w:val="sr-Latn-ME"/>
        </w:rPr>
      </w:pPr>
    </w:p>
    <w:p w14:paraId="7299A688" w14:textId="77777777" w:rsidR="002E634B" w:rsidRPr="0093403C" w:rsidRDefault="002E634B" w:rsidP="007C5B43">
      <w:pPr>
        <w:pStyle w:val="Header"/>
        <w:tabs>
          <w:tab w:val="left" w:pos="284"/>
        </w:tabs>
        <w:jc w:val="both"/>
        <w:rPr>
          <w:bCs/>
          <w:sz w:val="22"/>
          <w:szCs w:val="22"/>
          <w:lang w:val="sr-Latn-ME"/>
        </w:rPr>
      </w:pPr>
      <w:r w:rsidRPr="0093403C">
        <w:rPr>
          <w:bCs/>
          <w:i/>
          <w:sz w:val="22"/>
          <w:szCs w:val="22"/>
          <w:lang w:val="sr-Latn-ME"/>
        </w:rPr>
        <w:t>Starija populacija (&gt;65 godina)</w:t>
      </w:r>
    </w:p>
    <w:p w14:paraId="0B96B335" w14:textId="77777777" w:rsidR="002E634B" w:rsidRPr="0093403C" w:rsidRDefault="002E634B" w:rsidP="00EE6A5F">
      <w:pPr>
        <w:pStyle w:val="Header"/>
        <w:tabs>
          <w:tab w:val="left" w:pos="284"/>
        </w:tabs>
        <w:jc w:val="both"/>
        <w:rPr>
          <w:bCs/>
          <w:sz w:val="22"/>
          <w:szCs w:val="22"/>
          <w:lang w:val="sr-Latn-ME"/>
        </w:rPr>
      </w:pPr>
      <w:r w:rsidRPr="0093403C">
        <w:rPr>
          <w:bCs/>
          <w:sz w:val="22"/>
          <w:szCs w:val="22"/>
          <w:lang w:val="sr-Latn-ME"/>
        </w:rPr>
        <w:t>Nije potrebno podešavanje doze (vidjeti dio 5.2).</w:t>
      </w:r>
    </w:p>
    <w:p w14:paraId="19760CCE" w14:textId="77777777" w:rsidR="007C5B43" w:rsidRPr="0093403C" w:rsidRDefault="007C5B43" w:rsidP="007C5B43">
      <w:pPr>
        <w:pStyle w:val="Header"/>
        <w:tabs>
          <w:tab w:val="left" w:pos="284"/>
        </w:tabs>
        <w:jc w:val="both"/>
        <w:rPr>
          <w:bCs/>
          <w:i/>
          <w:sz w:val="22"/>
          <w:szCs w:val="22"/>
          <w:lang w:val="sr-Latn-ME"/>
        </w:rPr>
      </w:pPr>
    </w:p>
    <w:p w14:paraId="2F65BF36" w14:textId="576D5C2D" w:rsidR="002E634B" w:rsidRPr="0093403C" w:rsidRDefault="002E634B" w:rsidP="007C5B43">
      <w:pPr>
        <w:pStyle w:val="Header"/>
        <w:tabs>
          <w:tab w:val="left" w:pos="284"/>
        </w:tabs>
        <w:jc w:val="both"/>
        <w:rPr>
          <w:bCs/>
          <w:i/>
          <w:sz w:val="22"/>
          <w:szCs w:val="22"/>
          <w:lang w:val="sr-Latn-ME"/>
        </w:rPr>
      </w:pPr>
      <w:r w:rsidRPr="0093403C">
        <w:rPr>
          <w:bCs/>
          <w:i/>
          <w:sz w:val="22"/>
          <w:szCs w:val="22"/>
          <w:lang w:val="sr-Latn-ME"/>
        </w:rPr>
        <w:t>Pedijatrijska populacija</w:t>
      </w:r>
    </w:p>
    <w:p w14:paraId="6D6554FA" w14:textId="77777777" w:rsidR="002E634B" w:rsidRPr="0093403C" w:rsidRDefault="002E634B" w:rsidP="00EE6A5F">
      <w:pPr>
        <w:pStyle w:val="Header"/>
        <w:tabs>
          <w:tab w:val="left" w:pos="284"/>
        </w:tabs>
        <w:spacing w:after="80"/>
        <w:jc w:val="both"/>
        <w:rPr>
          <w:bCs/>
          <w:sz w:val="22"/>
          <w:szCs w:val="22"/>
          <w:lang w:val="sr-Latn-ME"/>
        </w:rPr>
      </w:pPr>
      <w:proofErr w:type="spellStart"/>
      <w:r w:rsidRPr="0093403C">
        <w:rPr>
          <w:bCs/>
          <w:sz w:val="22"/>
          <w:szCs w:val="22"/>
          <w:lang w:val="sr-Latn-ME"/>
        </w:rPr>
        <w:t>Bonviva</w:t>
      </w:r>
      <w:proofErr w:type="spellEnd"/>
      <w:r w:rsidRPr="0093403C">
        <w:rPr>
          <w:bCs/>
          <w:sz w:val="22"/>
          <w:szCs w:val="22"/>
          <w:lang w:val="sr-Latn-ME"/>
        </w:rPr>
        <w:t xml:space="preserve"> nije bila značajno primjenjivana kod djece mlađe od 18 godina pa nije ispitivana u ovoj populaciji (vidjeti djelove 5.1 i 5.2). </w:t>
      </w:r>
    </w:p>
    <w:p w14:paraId="168B4E21" w14:textId="77777777" w:rsidR="002E634B" w:rsidRPr="0093403C" w:rsidRDefault="002E634B" w:rsidP="007C5B43">
      <w:pPr>
        <w:tabs>
          <w:tab w:val="left" w:pos="540"/>
          <w:tab w:val="left" w:pos="569"/>
        </w:tabs>
        <w:jc w:val="both"/>
        <w:rPr>
          <w:bCs/>
          <w:sz w:val="22"/>
          <w:szCs w:val="22"/>
          <w:lang w:val="sr-Latn-ME"/>
        </w:rPr>
      </w:pPr>
    </w:p>
    <w:p w14:paraId="26ED2A9E" w14:textId="357C3575" w:rsidR="00452E9D" w:rsidRPr="0093403C" w:rsidRDefault="00452E9D" w:rsidP="007C5B43">
      <w:pPr>
        <w:tabs>
          <w:tab w:val="left" w:pos="540"/>
          <w:tab w:val="left" w:pos="569"/>
        </w:tabs>
        <w:jc w:val="both"/>
        <w:rPr>
          <w:bCs/>
          <w:sz w:val="22"/>
          <w:szCs w:val="22"/>
          <w:u w:val="single"/>
          <w:lang w:val="sr-Latn-ME"/>
        </w:rPr>
      </w:pPr>
      <w:r w:rsidRPr="0093403C">
        <w:rPr>
          <w:bCs/>
          <w:sz w:val="22"/>
          <w:szCs w:val="22"/>
          <w:u w:val="single"/>
          <w:lang w:val="sr-Latn-ME"/>
        </w:rPr>
        <w:t>Način primjene</w:t>
      </w:r>
    </w:p>
    <w:p w14:paraId="4F14B863" w14:textId="77777777" w:rsidR="002E634B" w:rsidRPr="0093403C" w:rsidRDefault="002E634B" w:rsidP="007C5B43">
      <w:pPr>
        <w:jc w:val="both"/>
        <w:rPr>
          <w:bCs/>
          <w:sz w:val="22"/>
          <w:szCs w:val="22"/>
          <w:lang w:val="sr-Latn-ME"/>
        </w:rPr>
      </w:pPr>
      <w:r w:rsidRPr="0093403C">
        <w:rPr>
          <w:bCs/>
          <w:sz w:val="22"/>
          <w:szCs w:val="22"/>
          <w:lang w:val="sr-Latn-ME"/>
        </w:rPr>
        <w:t xml:space="preserve">Za </w:t>
      </w:r>
      <w:proofErr w:type="spellStart"/>
      <w:r w:rsidRPr="0093403C">
        <w:rPr>
          <w:bCs/>
          <w:sz w:val="22"/>
          <w:szCs w:val="22"/>
          <w:lang w:val="sr-Latn-ME"/>
        </w:rPr>
        <w:t>intravensku</w:t>
      </w:r>
      <w:proofErr w:type="spellEnd"/>
      <w:r w:rsidRPr="0093403C">
        <w:rPr>
          <w:bCs/>
          <w:sz w:val="22"/>
          <w:szCs w:val="22"/>
          <w:lang w:val="sr-Latn-ME"/>
        </w:rPr>
        <w:t xml:space="preserve"> primjenu tokom 15 – 30 sekundi, jednom u tri mjeseca.</w:t>
      </w:r>
    </w:p>
    <w:p w14:paraId="68F27E70" w14:textId="77777777" w:rsidR="002E634B" w:rsidRPr="0093403C" w:rsidRDefault="002E634B" w:rsidP="007C5B43">
      <w:pPr>
        <w:jc w:val="both"/>
        <w:rPr>
          <w:bCs/>
          <w:sz w:val="22"/>
          <w:szCs w:val="22"/>
          <w:lang w:val="sr-Latn-ME"/>
        </w:rPr>
      </w:pPr>
      <w:r w:rsidRPr="0093403C">
        <w:rPr>
          <w:bCs/>
          <w:sz w:val="22"/>
          <w:szCs w:val="22"/>
          <w:lang w:val="sr-Latn-ME"/>
        </w:rPr>
        <w:t xml:space="preserve">Obavezan je </w:t>
      </w:r>
      <w:proofErr w:type="spellStart"/>
      <w:r w:rsidRPr="0093403C">
        <w:rPr>
          <w:bCs/>
          <w:sz w:val="22"/>
          <w:szCs w:val="22"/>
          <w:lang w:val="sr-Latn-ME"/>
        </w:rPr>
        <w:t>intravenski</w:t>
      </w:r>
      <w:proofErr w:type="spellEnd"/>
      <w:r w:rsidRPr="0093403C">
        <w:rPr>
          <w:bCs/>
          <w:sz w:val="22"/>
          <w:szCs w:val="22"/>
          <w:lang w:val="sr-Latn-ME"/>
        </w:rPr>
        <w:t xml:space="preserve"> put primjene (vidjeti dio 4.4).</w:t>
      </w:r>
    </w:p>
    <w:p w14:paraId="7388C3D7" w14:textId="77777777" w:rsidR="00452E9D" w:rsidRPr="0093403C" w:rsidRDefault="00452E9D" w:rsidP="007C5B43">
      <w:pPr>
        <w:tabs>
          <w:tab w:val="left" w:pos="540"/>
          <w:tab w:val="left" w:pos="569"/>
        </w:tabs>
        <w:jc w:val="both"/>
        <w:rPr>
          <w:bCs/>
          <w:sz w:val="22"/>
          <w:szCs w:val="22"/>
          <w:lang w:val="sr-Latn-ME"/>
        </w:rPr>
      </w:pPr>
    </w:p>
    <w:p w14:paraId="60CE0424" w14:textId="77777777" w:rsidR="00411B4B" w:rsidRPr="0093403C" w:rsidRDefault="00411B4B" w:rsidP="007C5B43">
      <w:pPr>
        <w:tabs>
          <w:tab w:val="left" w:pos="540"/>
          <w:tab w:val="left" w:pos="569"/>
        </w:tabs>
        <w:jc w:val="both"/>
        <w:rPr>
          <w:b/>
          <w:bCs/>
          <w:sz w:val="22"/>
          <w:szCs w:val="22"/>
          <w:lang w:val="sr-Latn-ME"/>
        </w:rPr>
      </w:pPr>
      <w:r w:rsidRPr="0093403C">
        <w:rPr>
          <w:b/>
          <w:bCs/>
          <w:sz w:val="22"/>
          <w:szCs w:val="22"/>
          <w:lang w:val="sr-Latn-ME"/>
        </w:rPr>
        <w:t xml:space="preserve">4.3. </w:t>
      </w:r>
      <w:r w:rsidR="00480FB1" w:rsidRPr="0093403C">
        <w:rPr>
          <w:b/>
          <w:bCs/>
          <w:sz w:val="22"/>
          <w:szCs w:val="22"/>
          <w:lang w:val="sr-Latn-ME"/>
        </w:rPr>
        <w:tab/>
      </w:r>
      <w:proofErr w:type="spellStart"/>
      <w:r w:rsidRPr="0093403C">
        <w:rPr>
          <w:b/>
          <w:bCs/>
          <w:sz w:val="22"/>
          <w:szCs w:val="22"/>
          <w:lang w:val="sr-Latn-ME"/>
        </w:rPr>
        <w:t>Kontraindikacije</w:t>
      </w:r>
      <w:proofErr w:type="spellEnd"/>
    </w:p>
    <w:p w14:paraId="5A81CECA" w14:textId="77777777" w:rsidR="0072020E" w:rsidRPr="0093403C" w:rsidRDefault="0072020E" w:rsidP="007C5B43">
      <w:pPr>
        <w:tabs>
          <w:tab w:val="left" w:pos="540"/>
          <w:tab w:val="left" w:pos="569"/>
        </w:tabs>
        <w:jc w:val="both"/>
        <w:rPr>
          <w:bCs/>
          <w:sz w:val="22"/>
          <w:szCs w:val="22"/>
          <w:lang w:val="sr-Latn-ME"/>
        </w:rPr>
      </w:pPr>
    </w:p>
    <w:p w14:paraId="7E14A750" w14:textId="77777777" w:rsidR="002E634B" w:rsidRPr="0093403C" w:rsidRDefault="002E634B" w:rsidP="007C5B43">
      <w:pPr>
        <w:numPr>
          <w:ilvl w:val="0"/>
          <w:numId w:val="12"/>
        </w:numPr>
        <w:tabs>
          <w:tab w:val="clear" w:pos="720"/>
          <w:tab w:val="num" w:pos="426"/>
        </w:tabs>
        <w:ind w:left="426"/>
        <w:jc w:val="both"/>
        <w:rPr>
          <w:bCs/>
          <w:sz w:val="22"/>
          <w:szCs w:val="22"/>
          <w:lang w:val="sr-Latn-ME"/>
        </w:rPr>
      </w:pPr>
      <w:r w:rsidRPr="0093403C">
        <w:rPr>
          <w:bCs/>
          <w:sz w:val="22"/>
          <w:szCs w:val="22"/>
          <w:lang w:val="sr-Latn-ME"/>
        </w:rPr>
        <w:t xml:space="preserve">Preosjetljivost na </w:t>
      </w:r>
      <w:proofErr w:type="spellStart"/>
      <w:r w:rsidRPr="0093403C">
        <w:rPr>
          <w:bCs/>
          <w:sz w:val="22"/>
          <w:szCs w:val="22"/>
          <w:lang w:val="sr-Latn-ME"/>
        </w:rPr>
        <w:t>ibandronsku</w:t>
      </w:r>
      <w:proofErr w:type="spellEnd"/>
      <w:r w:rsidRPr="0093403C">
        <w:rPr>
          <w:bCs/>
          <w:sz w:val="22"/>
          <w:szCs w:val="22"/>
          <w:lang w:val="sr-Latn-ME"/>
        </w:rPr>
        <w:t xml:space="preserve"> kiselinu ili bilo koju od pomoćnih materija navedenih u dijelu 6.1.</w:t>
      </w:r>
    </w:p>
    <w:p w14:paraId="79639E25" w14:textId="77777777" w:rsidR="002E634B" w:rsidRPr="0093403C" w:rsidRDefault="002E634B" w:rsidP="007C5B43">
      <w:pPr>
        <w:numPr>
          <w:ilvl w:val="0"/>
          <w:numId w:val="12"/>
        </w:numPr>
        <w:tabs>
          <w:tab w:val="clear" w:pos="720"/>
        </w:tabs>
        <w:ind w:left="426"/>
        <w:jc w:val="both"/>
        <w:rPr>
          <w:bCs/>
          <w:sz w:val="22"/>
          <w:szCs w:val="22"/>
          <w:lang w:val="sr-Latn-ME"/>
        </w:rPr>
      </w:pPr>
      <w:proofErr w:type="spellStart"/>
      <w:r w:rsidRPr="0093403C">
        <w:rPr>
          <w:bCs/>
          <w:sz w:val="22"/>
          <w:szCs w:val="22"/>
          <w:lang w:val="sr-Latn-ME"/>
        </w:rPr>
        <w:t>Hipokalcemija</w:t>
      </w:r>
      <w:proofErr w:type="spellEnd"/>
      <w:r w:rsidRPr="0093403C">
        <w:rPr>
          <w:bCs/>
          <w:sz w:val="22"/>
          <w:szCs w:val="22"/>
          <w:lang w:val="sr-Latn-ME"/>
        </w:rPr>
        <w:t xml:space="preserve"> (vidjeti dio 4.4).</w:t>
      </w:r>
    </w:p>
    <w:p w14:paraId="16D17F7D" w14:textId="77777777" w:rsidR="002E634B" w:rsidRPr="0093403C" w:rsidRDefault="002E634B" w:rsidP="007C5B43">
      <w:pPr>
        <w:tabs>
          <w:tab w:val="left" w:pos="540"/>
          <w:tab w:val="left" w:pos="569"/>
        </w:tabs>
        <w:jc w:val="both"/>
        <w:rPr>
          <w:bCs/>
          <w:sz w:val="22"/>
          <w:szCs w:val="22"/>
          <w:lang w:val="sr-Latn-ME"/>
        </w:rPr>
      </w:pPr>
    </w:p>
    <w:p w14:paraId="40E702EF" w14:textId="77777777" w:rsidR="00411B4B" w:rsidRPr="0093403C" w:rsidRDefault="00411B4B" w:rsidP="007C5B43">
      <w:pPr>
        <w:tabs>
          <w:tab w:val="left" w:pos="540"/>
          <w:tab w:val="left" w:pos="569"/>
        </w:tabs>
        <w:jc w:val="both"/>
        <w:rPr>
          <w:b/>
          <w:bCs/>
          <w:sz w:val="22"/>
          <w:szCs w:val="22"/>
          <w:lang w:val="sr-Latn-ME"/>
        </w:rPr>
      </w:pPr>
      <w:r w:rsidRPr="0093403C">
        <w:rPr>
          <w:b/>
          <w:bCs/>
          <w:sz w:val="22"/>
          <w:szCs w:val="22"/>
          <w:lang w:val="sr-Latn-ME"/>
        </w:rPr>
        <w:t xml:space="preserve">4.4. </w:t>
      </w:r>
      <w:r w:rsidR="00480FB1" w:rsidRPr="0093403C">
        <w:rPr>
          <w:b/>
          <w:bCs/>
          <w:sz w:val="22"/>
          <w:szCs w:val="22"/>
          <w:lang w:val="sr-Latn-ME"/>
        </w:rPr>
        <w:tab/>
      </w:r>
      <w:r w:rsidRPr="0093403C">
        <w:rPr>
          <w:b/>
          <w:bCs/>
          <w:sz w:val="22"/>
          <w:szCs w:val="22"/>
          <w:lang w:val="sr-Latn-ME"/>
        </w:rPr>
        <w:t>Posebna upozorenja i mjere opreza pri upotrebi lijeka</w:t>
      </w:r>
    </w:p>
    <w:p w14:paraId="796865B6" w14:textId="77777777" w:rsidR="0072020E" w:rsidRPr="0093403C" w:rsidRDefault="0072020E" w:rsidP="007C5B43">
      <w:pPr>
        <w:tabs>
          <w:tab w:val="left" w:pos="540"/>
          <w:tab w:val="left" w:pos="569"/>
        </w:tabs>
        <w:jc w:val="both"/>
        <w:rPr>
          <w:bCs/>
          <w:sz w:val="22"/>
          <w:szCs w:val="22"/>
          <w:lang w:val="sr-Latn-ME"/>
        </w:rPr>
      </w:pPr>
    </w:p>
    <w:p w14:paraId="51976A3A" w14:textId="77777777" w:rsidR="002E634B" w:rsidRPr="0093403C" w:rsidRDefault="002E634B" w:rsidP="007C5B43">
      <w:pPr>
        <w:pStyle w:val="Header"/>
        <w:tabs>
          <w:tab w:val="left" w:pos="284"/>
        </w:tabs>
        <w:spacing w:before="80" w:after="80"/>
        <w:jc w:val="both"/>
        <w:rPr>
          <w:bCs/>
          <w:sz w:val="22"/>
          <w:szCs w:val="22"/>
          <w:u w:val="single"/>
          <w:lang w:val="sr-Latn-ME"/>
        </w:rPr>
      </w:pPr>
      <w:r w:rsidRPr="0093403C">
        <w:rPr>
          <w:bCs/>
          <w:sz w:val="22"/>
          <w:szCs w:val="22"/>
          <w:u w:val="single"/>
          <w:lang w:val="sr-Latn-ME"/>
        </w:rPr>
        <w:t>Greške prilikom primjene</w:t>
      </w:r>
    </w:p>
    <w:p w14:paraId="38D314B4" w14:textId="77777777" w:rsidR="002E634B" w:rsidRPr="0093403C" w:rsidRDefault="002E634B" w:rsidP="007C5B43">
      <w:pPr>
        <w:pStyle w:val="Header"/>
        <w:tabs>
          <w:tab w:val="left" w:pos="284"/>
        </w:tabs>
        <w:spacing w:before="80" w:after="80"/>
        <w:jc w:val="both"/>
        <w:rPr>
          <w:bCs/>
          <w:sz w:val="22"/>
          <w:szCs w:val="22"/>
          <w:lang w:val="sr-Latn-ME"/>
        </w:rPr>
      </w:pPr>
      <w:r w:rsidRPr="0093403C">
        <w:rPr>
          <w:bCs/>
          <w:sz w:val="22"/>
          <w:szCs w:val="22"/>
          <w:lang w:val="sr-Latn-ME"/>
        </w:rPr>
        <w:t xml:space="preserve">Mora se strogo voditi računa da se lijek daje isključivo </w:t>
      </w:r>
      <w:proofErr w:type="spellStart"/>
      <w:r w:rsidRPr="0093403C">
        <w:rPr>
          <w:bCs/>
          <w:sz w:val="22"/>
          <w:szCs w:val="22"/>
          <w:lang w:val="sr-Latn-ME"/>
        </w:rPr>
        <w:t>intravenski</w:t>
      </w:r>
      <w:proofErr w:type="spellEnd"/>
      <w:r w:rsidRPr="0093403C">
        <w:rPr>
          <w:bCs/>
          <w:sz w:val="22"/>
          <w:szCs w:val="22"/>
          <w:lang w:val="sr-Latn-ME"/>
        </w:rPr>
        <w:t xml:space="preserve">. Mora se voditi računa da se injekcije </w:t>
      </w:r>
      <w:proofErr w:type="spellStart"/>
      <w:r w:rsidRPr="0093403C">
        <w:rPr>
          <w:bCs/>
          <w:sz w:val="22"/>
          <w:szCs w:val="22"/>
          <w:lang w:val="sr-Latn-ME"/>
        </w:rPr>
        <w:t>Bonviva</w:t>
      </w:r>
      <w:proofErr w:type="spellEnd"/>
      <w:r w:rsidRPr="0093403C">
        <w:rPr>
          <w:bCs/>
          <w:sz w:val="22"/>
          <w:szCs w:val="22"/>
          <w:lang w:val="sr-Latn-ME"/>
        </w:rPr>
        <w:t xml:space="preserve"> ne smiju davati ni </w:t>
      </w:r>
      <w:proofErr w:type="spellStart"/>
      <w:r w:rsidRPr="0093403C">
        <w:rPr>
          <w:bCs/>
          <w:sz w:val="22"/>
          <w:szCs w:val="22"/>
          <w:lang w:val="sr-Latn-ME"/>
        </w:rPr>
        <w:t>intraarterijski</w:t>
      </w:r>
      <w:proofErr w:type="spellEnd"/>
      <w:r w:rsidRPr="0093403C">
        <w:rPr>
          <w:bCs/>
          <w:sz w:val="22"/>
          <w:szCs w:val="22"/>
          <w:lang w:val="sr-Latn-ME"/>
        </w:rPr>
        <w:t xml:space="preserve">, niti </w:t>
      </w:r>
      <w:proofErr w:type="spellStart"/>
      <w:r w:rsidRPr="0093403C">
        <w:rPr>
          <w:bCs/>
          <w:sz w:val="22"/>
          <w:szCs w:val="22"/>
          <w:lang w:val="sr-Latn-ME"/>
        </w:rPr>
        <w:t>paravenski</w:t>
      </w:r>
      <w:proofErr w:type="spellEnd"/>
      <w:r w:rsidRPr="0093403C">
        <w:rPr>
          <w:bCs/>
          <w:sz w:val="22"/>
          <w:szCs w:val="22"/>
          <w:lang w:val="sr-Latn-ME"/>
        </w:rPr>
        <w:t>, jer to može da dovede do oštećenja tkiva.</w:t>
      </w:r>
    </w:p>
    <w:p w14:paraId="14CE0ADF" w14:textId="77777777" w:rsidR="002E634B" w:rsidRPr="0093403C" w:rsidRDefault="002E634B" w:rsidP="007C5B43">
      <w:pPr>
        <w:pStyle w:val="Header"/>
        <w:tabs>
          <w:tab w:val="left" w:pos="284"/>
        </w:tabs>
        <w:spacing w:before="80"/>
        <w:jc w:val="both"/>
        <w:rPr>
          <w:bCs/>
          <w:sz w:val="22"/>
          <w:szCs w:val="22"/>
          <w:u w:val="single"/>
          <w:lang w:val="sr-Latn-ME"/>
        </w:rPr>
      </w:pPr>
    </w:p>
    <w:p w14:paraId="3F83B972" w14:textId="77777777" w:rsidR="002E634B" w:rsidRPr="0093403C" w:rsidRDefault="002E634B" w:rsidP="007C5B43">
      <w:pPr>
        <w:pStyle w:val="Header"/>
        <w:tabs>
          <w:tab w:val="left" w:pos="284"/>
        </w:tabs>
        <w:spacing w:after="80"/>
        <w:jc w:val="both"/>
        <w:rPr>
          <w:bCs/>
          <w:sz w:val="22"/>
          <w:szCs w:val="22"/>
          <w:u w:val="single"/>
          <w:lang w:val="sr-Latn-ME"/>
        </w:rPr>
      </w:pPr>
      <w:proofErr w:type="spellStart"/>
      <w:r w:rsidRPr="0093403C">
        <w:rPr>
          <w:bCs/>
          <w:sz w:val="22"/>
          <w:szCs w:val="22"/>
          <w:u w:val="single"/>
          <w:lang w:val="sr-Latn-ME"/>
        </w:rPr>
        <w:t>Hipokalcijemija</w:t>
      </w:r>
      <w:proofErr w:type="spellEnd"/>
    </w:p>
    <w:p w14:paraId="3B6E193D" w14:textId="77777777" w:rsidR="002E634B" w:rsidRPr="0093403C" w:rsidRDefault="002E634B" w:rsidP="007C5B43">
      <w:pPr>
        <w:pStyle w:val="Header"/>
        <w:tabs>
          <w:tab w:val="left" w:pos="284"/>
        </w:tabs>
        <w:spacing w:before="80" w:after="80"/>
        <w:jc w:val="both"/>
        <w:rPr>
          <w:bCs/>
          <w:sz w:val="22"/>
          <w:szCs w:val="22"/>
          <w:lang w:val="sr-Latn-ME"/>
        </w:rPr>
      </w:pPr>
      <w:proofErr w:type="spellStart"/>
      <w:r w:rsidRPr="0093403C">
        <w:rPr>
          <w:bCs/>
          <w:sz w:val="22"/>
          <w:szCs w:val="22"/>
          <w:lang w:val="sr-Latn-ME"/>
        </w:rPr>
        <w:t>Bonviva</w:t>
      </w:r>
      <w:proofErr w:type="spellEnd"/>
      <w:r w:rsidRPr="0093403C">
        <w:rPr>
          <w:bCs/>
          <w:sz w:val="22"/>
          <w:szCs w:val="22"/>
          <w:lang w:val="sr-Latn-ME"/>
        </w:rPr>
        <w:t xml:space="preserve">, kao i ostali </w:t>
      </w:r>
      <w:proofErr w:type="spellStart"/>
      <w:r w:rsidRPr="0093403C">
        <w:rPr>
          <w:bCs/>
          <w:sz w:val="22"/>
          <w:szCs w:val="22"/>
          <w:lang w:val="sr-Latn-ME"/>
        </w:rPr>
        <w:t>bisfosfonati</w:t>
      </w:r>
      <w:proofErr w:type="spellEnd"/>
      <w:r w:rsidRPr="0093403C">
        <w:rPr>
          <w:bCs/>
          <w:sz w:val="22"/>
          <w:szCs w:val="22"/>
          <w:lang w:val="sr-Latn-ME"/>
        </w:rPr>
        <w:t xml:space="preserve"> koji se daju </w:t>
      </w:r>
      <w:proofErr w:type="spellStart"/>
      <w:r w:rsidRPr="0093403C">
        <w:rPr>
          <w:bCs/>
          <w:sz w:val="22"/>
          <w:szCs w:val="22"/>
          <w:lang w:val="sr-Latn-ME"/>
        </w:rPr>
        <w:t>intravenski</w:t>
      </w:r>
      <w:proofErr w:type="spellEnd"/>
      <w:r w:rsidRPr="0093403C">
        <w:rPr>
          <w:bCs/>
          <w:sz w:val="22"/>
          <w:szCs w:val="22"/>
          <w:lang w:val="sr-Latn-ME"/>
        </w:rPr>
        <w:t xml:space="preserve">, može da dovede do prolaznog smanjenja vrijednosti kalcijuma u serumu. Postojeća </w:t>
      </w:r>
      <w:proofErr w:type="spellStart"/>
      <w:r w:rsidRPr="0093403C">
        <w:rPr>
          <w:bCs/>
          <w:sz w:val="22"/>
          <w:szCs w:val="22"/>
          <w:lang w:val="sr-Latn-ME"/>
        </w:rPr>
        <w:t>hipokalcemija</w:t>
      </w:r>
      <w:proofErr w:type="spellEnd"/>
      <w:r w:rsidRPr="0093403C">
        <w:rPr>
          <w:bCs/>
          <w:sz w:val="22"/>
          <w:szCs w:val="22"/>
          <w:lang w:val="sr-Latn-ME"/>
        </w:rPr>
        <w:t xml:space="preserve"> se mora korigovati prije započinjanja terapije lijekom </w:t>
      </w:r>
      <w:proofErr w:type="spellStart"/>
      <w:r w:rsidRPr="0093403C">
        <w:rPr>
          <w:bCs/>
          <w:sz w:val="22"/>
          <w:szCs w:val="22"/>
          <w:lang w:val="sr-Latn-ME"/>
        </w:rPr>
        <w:t>Bonviva</w:t>
      </w:r>
      <w:proofErr w:type="spellEnd"/>
      <w:r w:rsidRPr="0093403C">
        <w:rPr>
          <w:bCs/>
          <w:sz w:val="22"/>
          <w:szCs w:val="22"/>
          <w:lang w:val="sr-Latn-ME"/>
        </w:rPr>
        <w:t xml:space="preserve">. Prije započinjanja terapije injekcijama </w:t>
      </w:r>
      <w:proofErr w:type="spellStart"/>
      <w:r w:rsidRPr="0093403C">
        <w:rPr>
          <w:bCs/>
          <w:sz w:val="22"/>
          <w:szCs w:val="22"/>
          <w:lang w:val="sr-Latn-ME"/>
        </w:rPr>
        <w:t>Bonviva</w:t>
      </w:r>
      <w:proofErr w:type="spellEnd"/>
      <w:r w:rsidRPr="0093403C">
        <w:rPr>
          <w:bCs/>
          <w:sz w:val="22"/>
          <w:szCs w:val="22"/>
          <w:lang w:val="sr-Latn-ME"/>
        </w:rPr>
        <w:t xml:space="preserve">, treba efikasno liječiti i ostale poremećaje kostiju i metabolizma minerala. </w:t>
      </w:r>
    </w:p>
    <w:p w14:paraId="09CB164D" w14:textId="77777777" w:rsidR="002E634B" w:rsidRPr="0093403C" w:rsidRDefault="002E634B" w:rsidP="007C5B43">
      <w:pPr>
        <w:pStyle w:val="Header"/>
        <w:tabs>
          <w:tab w:val="left" w:pos="284"/>
        </w:tabs>
        <w:spacing w:before="80" w:after="80"/>
        <w:jc w:val="both"/>
        <w:rPr>
          <w:bCs/>
          <w:sz w:val="22"/>
          <w:szCs w:val="22"/>
          <w:lang w:val="sr-Latn-ME"/>
        </w:rPr>
      </w:pPr>
      <w:r w:rsidRPr="0093403C">
        <w:rPr>
          <w:bCs/>
          <w:sz w:val="22"/>
          <w:szCs w:val="22"/>
          <w:lang w:val="sr-Latn-ME"/>
        </w:rPr>
        <w:t xml:space="preserve">Sve </w:t>
      </w:r>
      <w:proofErr w:type="spellStart"/>
      <w:r w:rsidRPr="0093403C">
        <w:rPr>
          <w:bCs/>
          <w:sz w:val="22"/>
          <w:szCs w:val="22"/>
          <w:lang w:val="sr-Latn-ME"/>
        </w:rPr>
        <w:t>pacijentkinje</w:t>
      </w:r>
      <w:proofErr w:type="spellEnd"/>
      <w:r w:rsidRPr="0093403C">
        <w:rPr>
          <w:bCs/>
          <w:sz w:val="22"/>
          <w:szCs w:val="22"/>
          <w:lang w:val="sr-Latn-ME"/>
        </w:rPr>
        <w:t xml:space="preserve"> moraju da uzimaju dopunski kalcijum i vitamin D.</w:t>
      </w:r>
    </w:p>
    <w:p w14:paraId="4F2332FB" w14:textId="77777777" w:rsidR="002E634B" w:rsidRPr="0093403C" w:rsidRDefault="002E634B" w:rsidP="007C5B43">
      <w:pPr>
        <w:pStyle w:val="Header"/>
        <w:tabs>
          <w:tab w:val="left" w:pos="284"/>
        </w:tabs>
        <w:jc w:val="both"/>
        <w:rPr>
          <w:bCs/>
          <w:sz w:val="22"/>
          <w:szCs w:val="22"/>
          <w:lang w:val="sr-Latn-ME"/>
        </w:rPr>
      </w:pPr>
    </w:p>
    <w:p w14:paraId="1467AB11" w14:textId="77777777" w:rsidR="002E634B" w:rsidRPr="0093403C" w:rsidRDefault="002E634B" w:rsidP="007C5B43">
      <w:pPr>
        <w:pStyle w:val="Header"/>
        <w:tabs>
          <w:tab w:val="left" w:pos="284"/>
        </w:tabs>
        <w:spacing w:before="80" w:after="80"/>
        <w:jc w:val="both"/>
        <w:rPr>
          <w:bCs/>
          <w:sz w:val="22"/>
          <w:szCs w:val="22"/>
          <w:u w:val="single"/>
          <w:lang w:val="sr-Latn-ME"/>
        </w:rPr>
      </w:pPr>
      <w:proofErr w:type="spellStart"/>
      <w:r w:rsidRPr="0093403C">
        <w:rPr>
          <w:bCs/>
          <w:sz w:val="22"/>
          <w:szCs w:val="22"/>
          <w:u w:val="single"/>
          <w:lang w:val="sr-Latn-ME"/>
        </w:rPr>
        <w:t>Anafilaktička</w:t>
      </w:r>
      <w:proofErr w:type="spellEnd"/>
      <w:r w:rsidRPr="0093403C">
        <w:rPr>
          <w:bCs/>
          <w:sz w:val="22"/>
          <w:szCs w:val="22"/>
          <w:u w:val="single"/>
          <w:lang w:val="sr-Latn-ME"/>
        </w:rPr>
        <w:t xml:space="preserve"> reakcija/šok</w:t>
      </w:r>
    </w:p>
    <w:p w14:paraId="681A6385" w14:textId="77777777" w:rsidR="002E634B" w:rsidRPr="0093403C" w:rsidRDefault="002E634B" w:rsidP="007C5B43">
      <w:pPr>
        <w:pStyle w:val="Header"/>
        <w:tabs>
          <w:tab w:val="left" w:pos="284"/>
        </w:tabs>
        <w:spacing w:before="80" w:after="80"/>
        <w:jc w:val="both"/>
        <w:rPr>
          <w:bCs/>
          <w:sz w:val="22"/>
          <w:szCs w:val="22"/>
          <w:lang w:val="sr-Latn-ME"/>
        </w:rPr>
      </w:pPr>
      <w:r w:rsidRPr="0093403C">
        <w:rPr>
          <w:bCs/>
          <w:sz w:val="22"/>
          <w:szCs w:val="22"/>
          <w:lang w:val="sr-Latn-ME"/>
        </w:rPr>
        <w:t xml:space="preserve">Slučajevi </w:t>
      </w:r>
      <w:proofErr w:type="spellStart"/>
      <w:r w:rsidRPr="0093403C">
        <w:rPr>
          <w:bCs/>
          <w:sz w:val="22"/>
          <w:szCs w:val="22"/>
          <w:lang w:val="sr-Latn-ME"/>
        </w:rPr>
        <w:t>anafilaktičke</w:t>
      </w:r>
      <w:proofErr w:type="spellEnd"/>
      <w:r w:rsidRPr="0093403C">
        <w:rPr>
          <w:bCs/>
          <w:sz w:val="22"/>
          <w:szCs w:val="22"/>
          <w:lang w:val="sr-Latn-ME"/>
        </w:rPr>
        <w:t xml:space="preserve"> reakcije/šoka, uključujući događaje sa smrtnim ishodom, prijavljeni su kod pacijenata liječenih </w:t>
      </w:r>
      <w:proofErr w:type="spellStart"/>
      <w:r w:rsidRPr="0093403C">
        <w:rPr>
          <w:bCs/>
          <w:sz w:val="22"/>
          <w:szCs w:val="22"/>
          <w:lang w:val="sr-Latn-ME"/>
        </w:rPr>
        <w:t>intravenski</w:t>
      </w:r>
      <w:proofErr w:type="spellEnd"/>
      <w:r w:rsidRPr="0093403C">
        <w:rPr>
          <w:bCs/>
          <w:sz w:val="22"/>
          <w:szCs w:val="22"/>
          <w:lang w:val="sr-Latn-ME"/>
        </w:rPr>
        <w:t xml:space="preserve"> primijenjenom </w:t>
      </w:r>
      <w:proofErr w:type="spellStart"/>
      <w:r w:rsidRPr="0093403C">
        <w:rPr>
          <w:bCs/>
          <w:sz w:val="22"/>
          <w:szCs w:val="22"/>
          <w:lang w:val="sr-Latn-ME"/>
        </w:rPr>
        <w:t>ibandronskom</w:t>
      </w:r>
      <w:proofErr w:type="spellEnd"/>
      <w:r w:rsidRPr="0093403C">
        <w:rPr>
          <w:bCs/>
          <w:sz w:val="22"/>
          <w:szCs w:val="22"/>
          <w:lang w:val="sr-Latn-ME"/>
        </w:rPr>
        <w:t xml:space="preserve"> kiselinom.</w:t>
      </w:r>
    </w:p>
    <w:p w14:paraId="5768D5EF" w14:textId="77777777" w:rsidR="002E634B" w:rsidRPr="0093403C" w:rsidRDefault="002E634B" w:rsidP="007C5B43">
      <w:pPr>
        <w:pStyle w:val="Header"/>
        <w:tabs>
          <w:tab w:val="left" w:pos="284"/>
        </w:tabs>
        <w:spacing w:before="80" w:after="80"/>
        <w:jc w:val="both"/>
        <w:rPr>
          <w:bCs/>
          <w:sz w:val="22"/>
          <w:szCs w:val="22"/>
          <w:lang w:val="sr-Latn-ME"/>
        </w:rPr>
      </w:pPr>
      <w:r w:rsidRPr="0093403C">
        <w:rPr>
          <w:bCs/>
          <w:sz w:val="22"/>
          <w:szCs w:val="22"/>
          <w:lang w:val="sr-Latn-ME"/>
        </w:rPr>
        <w:t xml:space="preserve">Prilikom primjene </w:t>
      </w:r>
      <w:proofErr w:type="spellStart"/>
      <w:r w:rsidRPr="0093403C">
        <w:rPr>
          <w:bCs/>
          <w:sz w:val="22"/>
          <w:szCs w:val="22"/>
          <w:lang w:val="sr-Latn-ME"/>
        </w:rPr>
        <w:t>intravenske</w:t>
      </w:r>
      <w:proofErr w:type="spellEnd"/>
      <w:r w:rsidRPr="0093403C">
        <w:rPr>
          <w:bCs/>
          <w:sz w:val="22"/>
          <w:szCs w:val="22"/>
          <w:lang w:val="sr-Latn-ME"/>
        </w:rPr>
        <w:t xml:space="preserve"> injekcije lijeka </w:t>
      </w:r>
      <w:proofErr w:type="spellStart"/>
      <w:r w:rsidRPr="0093403C">
        <w:rPr>
          <w:bCs/>
          <w:sz w:val="22"/>
          <w:szCs w:val="22"/>
          <w:lang w:val="sr-Latn-ME"/>
        </w:rPr>
        <w:t>Bonviva</w:t>
      </w:r>
      <w:proofErr w:type="spellEnd"/>
      <w:r w:rsidRPr="0093403C">
        <w:rPr>
          <w:bCs/>
          <w:sz w:val="22"/>
          <w:szCs w:val="22"/>
          <w:lang w:val="sr-Latn-ME"/>
        </w:rPr>
        <w:t xml:space="preserve"> moraju biti dostupne odgovarajuća medicinska podrška i mjere nadzora. U slučaju pojave </w:t>
      </w:r>
      <w:proofErr w:type="spellStart"/>
      <w:r w:rsidRPr="0093403C">
        <w:rPr>
          <w:bCs/>
          <w:sz w:val="22"/>
          <w:szCs w:val="22"/>
          <w:lang w:val="sr-Latn-ME"/>
        </w:rPr>
        <w:t>anafilaktičke</w:t>
      </w:r>
      <w:proofErr w:type="spellEnd"/>
      <w:r w:rsidRPr="0093403C">
        <w:rPr>
          <w:bCs/>
          <w:sz w:val="22"/>
          <w:szCs w:val="22"/>
          <w:lang w:val="sr-Latn-ME"/>
        </w:rPr>
        <w:t xml:space="preserve"> ili neke druge teške reakcije preosjetljivosti/alergijske reakcije, odmah prekinite injekciju i započnite sa odgovarajućim liječenjem.</w:t>
      </w:r>
    </w:p>
    <w:p w14:paraId="39277519" w14:textId="13DEC57F" w:rsidR="002E634B" w:rsidRPr="0093403C" w:rsidRDefault="002E634B" w:rsidP="007C5B43">
      <w:pPr>
        <w:pStyle w:val="Header"/>
        <w:tabs>
          <w:tab w:val="left" w:pos="284"/>
        </w:tabs>
        <w:jc w:val="both"/>
        <w:rPr>
          <w:bCs/>
          <w:sz w:val="22"/>
          <w:szCs w:val="22"/>
          <w:lang w:val="sr-Latn-ME"/>
        </w:rPr>
      </w:pPr>
    </w:p>
    <w:p w14:paraId="39C41666" w14:textId="77777777" w:rsidR="002E634B" w:rsidRPr="0093403C" w:rsidRDefault="002E634B" w:rsidP="007C5B43">
      <w:pPr>
        <w:pStyle w:val="Header"/>
        <w:tabs>
          <w:tab w:val="left" w:pos="284"/>
        </w:tabs>
        <w:spacing w:before="80" w:after="80"/>
        <w:jc w:val="both"/>
        <w:rPr>
          <w:bCs/>
          <w:sz w:val="22"/>
          <w:szCs w:val="22"/>
          <w:u w:val="single"/>
          <w:lang w:val="sr-Latn-ME"/>
        </w:rPr>
      </w:pPr>
      <w:r w:rsidRPr="0093403C">
        <w:rPr>
          <w:bCs/>
          <w:sz w:val="22"/>
          <w:szCs w:val="22"/>
          <w:u w:val="single"/>
          <w:lang w:val="sr-Latn-ME"/>
        </w:rPr>
        <w:t>Oštećenje funkcije bubrega</w:t>
      </w:r>
    </w:p>
    <w:p w14:paraId="329C2A7C" w14:textId="77777777" w:rsidR="002E634B" w:rsidRPr="0093403C" w:rsidRDefault="002E634B" w:rsidP="007C5B43">
      <w:pPr>
        <w:pStyle w:val="Header"/>
        <w:tabs>
          <w:tab w:val="left" w:pos="284"/>
        </w:tabs>
        <w:spacing w:before="80" w:after="80"/>
        <w:jc w:val="both"/>
        <w:rPr>
          <w:bCs/>
          <w:sz w:val="22"/>
          <w:szCs w:val="22"/>
          <w:lang w:val="sr-Latn-ME"/>
        </w:rPr>
      </w:pPr>
      <w:proofErr w:type="spellStart"/>
      <w:r w:rsidRPr="0093403C">
        <w:rPr>
          <w:bCs/>
          <w:sz w:val="22"/>
          <w:szCs w:val="22"/>
          <w:lang w:val="sr-Latn-ME"/>
        </w:rPr>
        <w:t>Pacijentkinje</w:t>
      </w:r>
      <w:proofErr w:type="spellEnd"/>
      <w:r w:rsidRPr="0093403C">
        <w:rPr>
          <w:bCs/>
          <w:sz w:val="22"/>
          <w:szCs w:val="22"/>
          <w:lang w:val="sr-Latn-ME"/>
        </w:rPr>
        <w:t xml:space="preserve"> sa pratećim bolestima ili koje koriste i druge ljekove koje imaju potencijal za neželjena dejstva na bubrege treba tokom ove terapije kontrolisati redovno i u skladu sa dobrom medicinskom praksom. </w:t>
      </w:r>
    </w:p>
    <w:p w14:paraId="2C16B250" w14:textId="77777777" w:rsidR="002E634B" w:rsidRPr="0093403C" w:rsidRDefault="002E634B" w:rsidP="007C5B43">
      <w:pPr>
        <w:pStyle w:val="Header"/>
        <w:tabs>
          <w:tab w:val="left" w:pos="284"/>
        </w:tabs>
        <w:spacing w:before="80" w:after="80"/>
        <w:jc w:val="both"/>
        <w:rPr>
          <w:bCs/>
          <w:sz w:val="22"/>
          <w:szCs w:val="22"/>
          <w:lang w:val="sr-Latn-ME"/>
        </w:rPr>
      </w:pPr>
      <w:r w:rsidRPr="0093403C">
        <w:rPr>
          <w:bCs/>
          <w:sz w:val="22"/>
          <w:szCs w:val="22"/>
          <w:lang w:val="sr-Latn-ME"/>
        </w:rPr>
        <w:t xml:space="preserve">Injekcije </w:t>
      </w:r>
      <w:proofErr w:type="spellStart"/>
      <w:r w:rsidRPr="0093403C">
        <w:rPr>
          <w:bCs/>
          <w:sz w:val="22"/>
          <w:szCs w:val="22"/>
          <w:lang w:val="sr-Latn-ME"/>
        </w:rPr>
        <w:t>Bonviva</w:t>
      </w:r>
      <w:proofErr w:type="spellEnd"/>
      <w:r w:rsidRPr="0093403C">
        <w:rPr>
          <w:bCs/>
          <w:sz w:val="22"/>
          <w:szCs w:val="22"/>
          <w:lang w:val="sr-Latn-ME"/>
        </w:rPr>
        <w:t xml:space="preserve"> se ne preporučuju za </w:t>
      </w:r>
      <w:proofErr w:type="spellStart"/>
      <w:r w:rsidRPr="0093403C">
        <w:rPr>
          <w:bCs/>
          <w:sz w:val="22"/>
          <w:szCs w:val="22"/>
          <w:lang w:val="sr-Latn-ME"/>
        </w:rPr>
        <w:t>pacijentkinje</w:t>
      </w:r>
      <w:proofErr w:type="spellEnd"/>
      <w:r w:rsidRPr="0093403C">
        <w:rPr>
          <w:bCs/>
          <w:sz w:val="22"/>
          <w:szCs w:val="22"/>
          <w:lang w:val="sr-Latn-ME"/>
        </w:rPr>
        <w:t xml:space="preserve"> koje imaju vrijednost </w:t>
      </w:r>
      <w:proofErr w:type="spellStart"/>
      <w:r w:rsidRPr="0093403C">
        <w:rPr>
          <w:bCs/>
          <w:sz w:val="22"/>
          <w:szCs w:val="22"/>
          <w:lang w:val="sr-Latn-ME"/>
        </w:rPr>
        <w:t>kreatinina</w:t>
      </w:r>
      <w:proofErr w:type="spellEnd"/>
      <w:r w:rsidRPr="0093403C">
        <w:rPr>
          <w:bCs/>
          <w:sz w:val="22"/>
          <w:szCs w:val="22"/>
          <w:lang w:val="sr-Latn-ME"/>
        </w:rPr>
        <w:t xml:space="preserve"> u serumu jednaku ili veću od 200 </w:t>
      </w:r>
      <w:r w:rsidRPr="0093403C">
        <w:rPr>
          <w:bCs/>
          <w:sz w:val="22"/>
          <w:szCs w:val="22"/>
          <w:lang w:val="sr-Latn-ME"/>
        </w:rPr>
        <w:sym w:font="Symbol" w:char="F06D"/>
      </w:r>
      <w:r w:rsidRPr="0093403C">
        <w:rPr>
          <w:bCs/>
          <w:sz w:val="22"/>
          <w:szCs w:val="22"/>
          <w:lang w:val="sr-Latn-ME"/>
        </w:rPr>
        <w:t xml:space="preserve">mol/l (2,3 mg/dl) ili kod kojih je </w:t>
      </w:r>
      <w:proofErr w:type="spellStart"/>
      <w:r w:rsidRPr="0093403C">
        <w:rPr>
          <w:bCs/>
          <w:sz w:val="22"/>
          <w:szCs w:val="22"/>
          <w:lang w:val="sr-Latn-ME"/>
        </w:rPr>
        <w:t>klirens</w:t>
      </w:r>
      <w:proofErr w:type="spellEnd"/>
      <w:r w:rsidRPr="0093403C">
        <w:rPr>
          <w:bCs/>
          <w:sz w:val="22"/>
          <w:szCs w:val="22"/>
          <w:lang w:val="sr-Latn-ME"/>
        </w:rPr>
        <w:t xml:space="preserve"> </w:t>
      </w:r>
      <w:proofErr w:type="spellStart"/>
      <w:r w:rsidRPr="0093403C">
        <w:rPr>
          <w:bCs/>
          <w:sz w:val="22"/>
          <w:szCs w:val="22"/>
          <w:lang w:val="sr-Latn-ME"/>
        </w:rPr>
        <w:t>kreatinina</w:t>
      </w:r>
      <w:proofErr w:type="spellEnd"/>
      <w:r w:rsidRPr="0093403C">
        <w:rPr>
          <w:bCs/>
          <w:sz w:val="22"/>
          <w:szCs w:val="22"/>
          <w:lang w:val="sr-Latn-ME"/>
        </w:rPr>
        <w:t xml:space="preserve"> (mjereni ili procijenjeni) manji od 30 ml/min zbog ograničenog kliničkog iskustva kod ovih </w:t>
      </w:r>
      <w:proofErr w:type="spellStart"/>
      <w:r w:rsidRPr="0093403C">
        <w:rPr>
          <w:bCs/>
          <w:sz w:val="22"/>
          <w:szCs w:val="22"/>
          <w:lang w:val="sr-Latn-ME"/>
        </w:rPr>
        <w:t>pacijentkinja</w:t>
      </w:r>
      <w:proofErr w:type="spellEnd"/>
      <w:r w:rsidRPr="0093403C">
        <w:rPr>
          <w:bCs/>
          <w:sz w:val="22"/>
          <w:szCs w:val="22"/>
          <w:lang w:val="sr-Latn-ME"/>
        </w:rPr>
        <w:t xml:space="preserve"> (vidjeti djelove 4.4. i 5.2).</w:t>
      </w:r>
    </w:p>
    <w:p w14:paraId="7DC363AD" w14:textId="1CD4F1CB" w:rsidR="002E634B" w:rsidRDefault="002E634B" w:rsidP="007C5B43">
      <w:pPr>
        <w:pStyle w:val="Header"/>
        <w:tabs>
          <w:tab w:val="left" w:pos="284"/>
        </w:tabs>
        <w:spacing w:after="80"/>
        <w:jc w:val="both"/>
        <w:rPr>
          <w:bCs/>
          <w:sz w:val="22"/>
          <w:szCs w:val="22"/>
          <w:lang w:val="sr-Latn-ME"/>
        </w:rPr>
      </w:pPr>
    </w:p>
    <w:p w14:paraId="304CC134" w14:textId="77777777" w:rsidR="00EE6A5F" w:rsidRPr="0093403C" w:rsidRDefault="00EE6A5F" w:rsidP="007C5B43">
      <w:pPr>
        <w:pStyle w:val="Header"/>
        <w:tabs>
          <w:tab w:val="left" w:pos="284"/>
        </w:tabs>
        <w:spacing w:after="80"/>
        <w:jc w:val="both"/>
        <w:rPr>
          <w:bCs/>
          <w:sz w:val="22"/>
          <w:szCs w:val="22"/>
          <w:lang w:val="sr-Latn-ME"/>
        </w:rPr>
      </w:pPr>
    </w:p>
    <w:p w14:paraId="4BD3E207" w14:textId="77777777" w:rsidR="002E634B" w:rsidRPr="0093403C" w:rsidRDefault="002E634B" w:rsidP="007C5B43">
      <w:pPr>
        <w:pStyle w:val="Header"/>
        <w:tabs>
          <w:tab w:val="left" w:pos="284"/>
        </w:tabs>
        <w:spacing w:before="80" w:after="80"/>
        <w:jc w:val="both"/>
        <w:rPr>
          <w:bCs/>
          <w:sz w:val="22"/>
          <w:szCs w:val="22"/>
          <w:u w:val="single"/>
          <w:lang w:val="sr-Latn-ME"/>
        </w:rPr>
      </w:pPr>
      <w:r w:rsidRPr="0093403C">
        <w:rPr>
          <w:bCs/>
          <w:sz w:val="22"/>
          <w:szCs w:val="22"/>
          <w:u w:val="single"/>
          <w:lang w:val="sr-Latn-ME"/>
        </w:rPr>
        <w:lastRenderedPageBreak/>
        <w:t>Pacijenti sa oštećenjem srca</w:t>
      </w:r>
    </w:p>
    <w:p w14:paraId="1A92FBE4" w14:textId="77777777" w:rsidR="002E634B" w:rsidRPr="0093403C" w:rsidRDefault="002E634B" w:rsidP="007C5B43">
      <w:pPr>
        <w:pStyle w:val="Header"/>
        <w:tabs>
          <w:tab w:val="left" w:pos="284"/>
        </w:tabs>
        <w:spacing w:before="80" w:after="80"/>
        <w:jc w:val="both"/>
        <w:rPr>
          <w:bCs/>
          <w:sz w:val="22"/>
          <w:szCs w:val="22"/>
          <w:lang w:val="sr-Latn-ME"/>
        </w:rPr>
      </w:pPr>
      <w:r w:rsidRPr="0093403C">
        <w:rPr>
          <w:bCs/>
          <w:sz w:val="22"/>
          <w:szCs w:val="22"/>
          <w:lang w:val="sr-Latn-ME"/>
        </w:rPr>
        <w:t xml:space="preserve">Treba izbjegavati prekomjernu </w:t>
      </w:r>
      <w:proofErr w:type="spellStart"/>
      <w:r w:rsidRPr="0093403C">
        <w:rPr>
          <w:bCs/>
          <w:sz w:val="22"/>
          <w:szCs w:val="22"/>
          <w:lang w:val="sr-Latn-ME"/>
        </w:rPr>
        <w:t>hidraciju</w:t>
      </w:r>
      <w:proofErr w:type="spellEnd"/>
      <w:r w:rsidRPr="0093403C">
        <w:rPr>
          <w:bCs/>
          <w:sz w:val="22"/>
          <w:szCs w:val="22"/>
          <w:lang w:val="sr-Latn-ME"/>
        </w:rPr>
        <w:t xml:space="preserve"> kod pacijenata kod kojih postoji opasnost od </w:t>
      </w:r>
      <w:proofErr w:type="spellStart"/>
      <w:r w:rsidRPr="0093403C">
        <w:rPr>
          <w:bCs/>
          <w:sz w:val="22"/>
          <w:szCs w:val="22"/>
          <w:lang w:val="sr-Latn-ME"/>
        </w:rPr>
        <w:t>insuficijencije</w:t>
      </w:r>
      <w:proofErr w:type="spellEnd"/>
      <w:r w:rsidRPr="0093403C">
        <w:rPr>
          <w:bCs/>
          <w:sz w:val="22"/>
          <w:szCs w:val="22"/>
          <w:lang w:val="sr-Latn-ME"/>
        </w:rPr>
        <w:t xml:space="preserve"> srca.</w:t>
      </w:r>
    </w:p>
    <w:p w14:paraId="13D60909" w14:textId="77777777" w:rsidR="002E634B" w:rsidRPr="0093403C" w:rsidRDefault="002E634B" w:rsidP="007C5B43">
      <w:pPr>
        <w:pStyle w:val="Header"/>
        <w:tabs>
          <w:tab w:val="left" w:pos="284"/>
        </w:tabs>
        <w:jc w:val="both"/>
        <w:rPr>
          <w:bCs/>
          <w:sz w:val="22"/>
          <w:szCs w:val="22"/>
          <w:lang w:val="sr-Latn-ME"/>
        </w:rPr>
      </w:pPr>
    </w:p>
    <w:p w14:paraId="15256262" w14:textId="77777777" w:rsidR="002E634B" w:rsidRPr="0093403C" w:rsidRDefault="002E634B" w:rsidP="007C5B43">
      <w:pPr>
        <w:jc w:val="both"/>
        <w:rPr>
          <w:sz w:val="22"/>
          <w:szCs w:val="22"/>
          <w:u w:val="single"/>
          <w:lang w:val="sr-Latn-ME"/>
        </w:rPr>
      </w:pPr>
      <w:proofErr w:type="spellStart"/>
      <w:r w:rsidRPr="0093403C">
        <w:rPr>
          <w:sz w:val="22"/>
          <w:szCs w:val="22"/>
          <w:u w:val="single"/>
          <w:lang w:val="sr-Latn-ME"/>
        </w:rPr>
        <w:t>Osteonekroza</w:t>
      </w:r>
      <w:proofErr w:type="spellEnd"/>
      <w:r w:rsidRPr="0093403C">
        <w:rPr>
          <w:sz w:val="22"/>
          <w:szCs w:val="22"/>
          <w:u w:val="single"/>
          <w:lang w:val="sr-Latn-ME"/>
        </w:rPr>
        <w:t xml:space="preserve"> vilice</w:t>
      </w:r>
    </w:p>
    <w:p w14:paraId="563C0159" w14:textId="77777777" w:rsidR="002E634B" w:rsidRPr="0093403C" w:rsidRDefault="002E634B" w:rsidP="007C5B43">
      <w:pPr>
        <w:jc w:val="both"/>
        <w:rPr>
          <w:sz w:val="22"/>
          <w:szCs w:val="22"/>
          <w:lang w:val="sr-Latn-ME"/>
        </w:rPr>
      </w:pPr>
      <w:r w:rsidRPr="0093403C">
        <w:rPr>
          <w:sz w:val="22"/>
          <w:szCs w:val="22"/>
          <w:lang w:val="sr-Latn-ME"/>
        </w:rPr>
        <w:t xml:space="preserve">Kod pacijenata koji su primali lijek </w:t>
      </w:r>
      <w:proofErr w:type="spellStart"/>
      <w:r w:rsidRPr="0093403C">
        <w:rPr>
          <w:sz w:val="22"/>
          <w:szCs w:val="22"/>
          <w:lang w:val="sr-Latn-ME"/>
        </w:rPr>
        <w:t>Bonviva</w:t>
      </w:r>
      <w:proofErr w:type="spellEnd"/>
      <w:r w:rsidRPr="0093403C">
        <w:rPr>
          <w:sz w:val="22"/>
          <w:szCs w:val="22"/>
          <w:lang w:val="sr-Latn-ME"/>
        </w:rPr>
        <w:t xml:space="preserve"> za liječenje </w:t>
      </w:r>
      <w:proofErr w:type="spellStart"/>
      <w:r w:rsidRPr="0093403C">
        <w:rPr>
          <w:sz w:val="22"/>
          <w:szCs w:val="22"/>
          <w:lang w:val="sr-Latn-ME"/>
        </w:rPr>
        <w:t>osteoporoze</w:t>
      </w:r>
      <w:proofErr w:type="spellEnd"/>
      <w:r w:rsidRPr="0093403C">
        <w:rPr>
          <w:sz w:val="22"/>
          <w:szCs w:val="22"/>
          <w:lang w:val="sr-Latn-ME"/>
        </w:rPr>
        <w:t xml:space="preserve">, vrlo rijetko je prijavljena </w:t>
      </w:r>
      <w:proofErr w:type="spellStart"/>
      <w:r w:rsidRPr="0093403C">
        <w:rPr>
          <w:sz w:val="22"/>
          <w:szCs w:val="22"/>
          <w:lang w:val="sr-Latn-ME"/>
        </w:rPr>
        <w:t>osteonekroza</w:t>
      </w:r>
      <w:proofErr w:type="spellEnd"/>
      <w:r w:rsidRPr="0093403C">
        <w:rPr>
          <w:sz w:val="22"/>
          <w:szCs w:val="22"/>
          <w:lang w:val="sr-Latn-ME"/>
        </w:rPr>
        <w:t xml:space="preserve"> vilice (vidjeti dio 4.8).</w:t>
      </w:r>
    </w:p>
    <w:p w14:paraId="570C9291" w14:textId="77777777" w:rsidR="002E634B" w:rsidRPr="0093403C" w:rsidRDefault="002E634B" w:rsidP="007C5B43">
      <w:pPr>
        <w:jc w:val="both"/>
        <w:rPr>
          <w:sz w:val="22"/>
          <w:szCs w:val="22"/>
          <w:lang w:val="sr-Latn-ME"/>
        </w:rPr>
      </w:pPr>
      <w:r w:rsidRPr="0093403C">
        <w:rPr>
          <w:sz w:val="22"/>
          <w:szCs w:val="22"/>
          <w:lang w:val="sr-Latn-ME"/>
        </w:rPr>
        <w:t xml:space="preserve">Potrebno je odložiti početak liječenja ili novi ciklus liječenja kod pacijenata s </w:t>
      </w:r>
      <w:proofErr w:type="spellStart"/>
      <w:r w:rsidRPr="0093403C">
        <w:rPr>
          <w:sz w:val="22"/>
          <w:szCs w:val="22"/>
          <w:lang w:val="sr-Latn-ME"/>
        </w:rPr>
        <w:t>nezaliječenim</w:t>
      </w:r>
      <w:proofErr w:type="spellEnd"/>
      <w:r w:rsidRPr="0093403C">
        <w:rPr>
          <w:sz w:val="22"/>
          <w:szCs w:val="22"/>
          <w:lang w:val="sr-Latn-ME"/>
        </w:rPr>
        <w:t xml:space="preserve"> otvorenim </w:t>
      </w:r>
      <w:proofErr w:type="spellStart"/>
      <w:r w:rsidRPr="0093403C">
        <w:rPr>
          <w:sz w:val="22"/>
          <w:szCs w:val="22"/>
          <w:lang w:val="sr-Latn-ME"/>
        </w:rPr>
        <w:t>lezijama</w:t>
      </w:r>
      <w:proofErr w:type="spellEnd"/>
      <w:r w:rsidRPr="0093403C">
        <w:rPr>
          <w:sz w:val="22"/>
          <w:szCs w:val="22"/>
          <w:lang w:val="sr-Latn-ME"/>
        </w:rPr>
        <w:t xml:space="preserve"> mekog tkiva u ustima.</w:t>
      </w:r>
    </w:p>
    <w:p w14:paraId="185F9959" w14:textId="77777777" w:rsidR="002E634B" w:rsidRPr="0093403C" w:rsidRDefault="002E634B" w:rsidP="007C5B43">
      <w:pPr>
        <w:jc w:val="both"/>
        <w:rPr>
          <w:sz w:val="22"/>
          <w:szCs w:val="22"/>
          <w:lang w:val="sr-Latn-ME"/>
        </w:rPr>
      </w:pPr>
      <w:r w:rsidRPr="0093403C">
        <w:rPr>
          <w:sz w:val="22"/>
          <w:szCs w:val="22"/>
          <w:lang w:val="sr-Latn-ME"/>
        </w:rPr>
        <w:t xml:space="preserve">Kod pacijenata sa istovremeno prisutnim faktorima rizika preporučuje se prije liječenja lijekom </w:t>
      </w:r>
      <w:proofErr w:type="spellStart"/>
      <w:r w:rsidRPr="0093403C">
        <w:rPr>
          <w:sz w:val="22"/>
          <w:szCs w:val="22"/>
          <w:lang w:val="sr-Latn-ME"/>
        </w:rPr>
        <w:t>Bonviva</w:t>
      </w:r>
      <w:proofErr w:type="spellEnd"/>
      <w:r w:rsidRPr="0093403C">
        <w:rPr>
          <w:sz w:val="22"/>
          <w:szCs w:val="22"/>
          <w:lang w:val="sr-Latn-ME"/>
        </w:rPr>
        <w:t xml:space="preserve"> obaviti </w:t>
      </w:r>
      <w:proofErr w:type="spellStart"/>
      <w:r w:rsidRPr="0093403C">
        <w:rPr>
          <w:sz w:val="22"/>
          <w:szCs w:val="22"/>
          <w:lang w:val="sr-Latn-ME"/>
        </w:rPr>
        <w:t>pregled</w:t>
      </w:r>
      <w:proofErr w:type="spellEnd"/>
      <w:r w:rsidRPr="0093403C">
        <w:rPr>
          <w:sz w:val="22"/>
          <w:szCs w:val="22"/>
          <w:lang w:val="sr-Latn-ME"/>
        </w:rPr>
        <w:t xml:space="preserve"> zuba i preventivne stomatološke zahvate i procijeniti odnos koristi i rizika za svakog pojedinačnog pacijenta.</w:t>
      </w:r>
    </w:p>
    <w:p w14:paraId="268AA88D" w14:textId="77777777" w:rsidR="002E634B" w:rsidRPr="0093403C" w:rsidRDefault="002E634B" w:rsidP="007C5B43">
      <w:pPr>
        <w:jc w:val="both"/>
        <w:rPr>
          <w:sz w:val="22"/>
          <w:szCs w:val="22"/>
          <w:lang w:val="sr-Latn-ME"/>
        </w:rPr>
      </w:pPr>
    </w:p>
    <w:p w14:paraId="3070EC0F" w14:textId="77777777" w:rsidR="002E634B" w:rsidRPr="0093403C" w:rsidRDefault="002E634B" w:rsidP="007C5B43">
      <w:pPr>
        <w:jc w:val="both"/>
        <w:rPr>
          <w:sz w:val="22"/>
          <w:szCs w:val="22"/>
          <w:lang w:val="sr-Latn-ME"/>
        </w:rPr>
      </w:pPr>
      <w:r w:rsidRPr="0093403C">
        <w:rPr>
          <w:sz w:val="22"/>
          <w:szCs w:val="22"/>
          <w:lang w:val="sr-Latn-ME"/>
        </w:rPr>
        <w:t xml:space="preserve">Pri ocjenjivanju rizika za razvoj </w:t>
      </w:r>
      <w:proofErr w:type="spellStart"/>
      <w:r w:rsidRPr="0093403C">
        <w:rPr>
          <w:sz w:val="22"/>
          <w:szCs w:val="22"/>
          <w:lang w:val="sr-Latn-ME"/>
        </w:rPr>
        <w:t>osteonekroze</w:t>
      </w:r>
      <w:proofErr w:type="spellEnd"/>
      <w:r w:rsidRPr="0093403C">
        <w:rPr>
          <w:sz w:val="22"/>
          <w:szCs w:val="22"/>
          <w:lang w:val="sr-Latn-ME"/>
        </w:rPr>
        <w:t xml:space="preserve"> vilice potrebno je razmotriti sljedeće faktore rizika:</w:t>
      </w:r>
    </w:p>
    <w:p w14:paraId="771CD62F" w14:textId="77777777" w:rsidR="002E634B" w:rsidRPr="0093403C" w:rsidRDefault="002E634B" w:rsidP="007C5B43">
      <w:pPr>
        <w:jc w:val="both"/>
        <w:rPr>
          <w:sz w:val="22"/>
          <w:szCs w:val="22"/>
          <w:lang w:val="sr-Latn-ME"/>
        </w:rPr>
      </w:pPr>
      <w:r w:rsidRPr="0093403C">
        <w:rPr>
          <w:sz w:val="22"/>
          <w:szCs w:val="22"/>
          <w:lang w:val="sr-Latn-ME"/>
        </w:rPr>
        <w:t xml:space="preserve">- potentnost lijeka koji inhibira koštanu resorpciju (veći rizik kod primjene visoko potentnih jedinjenja), put primjene (veći rizik kod </w:t>
      </w:r>
      <w:proofErr w:type="spellStart"/>
      <w:r w:rsidRPr="0093403C">
        <w:rPr>
          <w:sz w:val="22"/>
          <w:szCs w:val="22"/>
          <w:lang w:val="sr-Latn-ME"/>
        </w:rPr>
        <w:t>parenteralne</w:t>
      </w:r>
      <w:proofErr w:type="spellEnd"/>
      <w:r w:rsidRPr="0093403C">
        <w:rPr>
          <w:sz w:val="22"/>
          <w:szCs w:val="22"/>
          <w:lang w:val="sr-Latn-ME"/>
        </w:rPr>
        <w:t xml:space="preserve"> primjene) i kumulativnu dozu </w:t>
      </w:r>
      <w:proofErr w:type="spellStart"/>
      <w:r w:rsidRPr="0093403C">
        <w:rPr>
          <w:sz w:val="22"/>
          <w:szCs w:val="22"/>
          <w:lang w:val="sr-Latn-ME"/>
        </w:rPr>
        <w:t>inhibitora</w:t>
      </w:r>
      <w:proofErr w:type="spellEnd"/>
      <w:r w:rsidRPr="0093403C">
        <w:rPr>
          <w:sz w:val="22"/>
          <w:szCs w:val="22"/>
          <w:lang w:val="sr-Latn-ME"/>
        </w:rPr>
        <w:t xml:space="preserve"> koštane resorpcije</w:t>
      </w:r>
    </w:p>
    <w:p w14:paraId="2851C801" w14:textId="77777777" w:rsidR="002E634B" w:rsidRPr="0093403C" w:rsidRDefault="002E634B" w:rsidP="007C5B43">
      <w:pPr>
        <w:jc w:val="both"/>
        <w:rPr>
          <w:sz w:val="22"/>
          <w:szCs w:val="22"/>
          <w:lang w:val="sr-Latn-ME"/>
        </w:rPr>
      </w:pPr>
      <w:r w:rsidRPr="0093403C">
        <w:rPr>
          <w:sz w:val="22"/>
          <w:szCs w:val="22"/>
          <w:lang w:val="sr-Latn-ME"/>
        </w:rPr>
        <w:t xml:space="preserve">- rak, propratna stanja (npr. anemija, </w:t>
      </w:r>
      <w:proofErr w:type="spellStart"/>
      <w:r w:rsidRPr="0093403C">
        <w:rPr>
          <w:sz w:val="22"/>
          <w:szCs w:val="22"/>
          <w:lang w:val="sr-Latn-ME"/>
        </w:rPr>
        <w:t>koagulopatije</w:t>
      </w:r>
      <w:proofErr w:type="spellEnd"/>
      <w:r w:rsidRPr="0093403C">
        <w:rPr>
          <w:sz w:val="22"/>
          <w:szCs w:val="22"/>
          <w:lang w:val="sr-Latn-ME"/>
        </w:rPr>
        <w:t>, infekcija), pušenje</w:t>
      </w:r>
    </w:p>
    <w:p w14:paraId="64729CD0" w14:textId="77777777" w:rsidR="002E634B" w:rsidRPr="0093403C" w:rsidRDefault="002E634B" w:rsidP="007C5B43">
      <w:pPr>
        <w:jc w:val="both"/>
        <w:rPr>
          <w:sz w:val="22"/>
          <w:szCs w:val="22"/>
          <w:lang w:val="sr-Latn-ME"/>
        </w:rPr>
      </w:pPr>
      <w:r w:rsidRPr="0093403C">
        <w:rPr>
          <w:sz w:val="22"/>
          <w:szCs w:val="22"/>
          <w:lang w:val="sr-Latn-ME"/>
        </w:rPr>
        <w:t xml:space="preserve">- istovremeno primijenjene terapije: </w:t>
      </w:r>
      <w:proofErr w:type="spellStart"/>
      <w:r w:rsidRPr="0093403C">
        <w:rPr>
          <w:sz w:val="22"/>
          <w:szCs w:val="22"/>
          <w:lang w:val="sr-Latn-ME"/>
        </w:rPr>
        <w:t>kortikosteroidi</w:t>
      </w:r>
      <w:proofErr w:type="spellEnd"/>
      <w:r w:rsidRPr="0093403C">
        <w:rPr>
          <w:sz w:val="22"/>
          <w:szCs w:val="22"/>
          <w:lang w:val="sr-Latn-ME"/>
        </w:rPr>
        <w:t xml:space="preserve">, </w:t>
      </w:r>
      <w:proofErr w:type="spellStart"/>
      <w:r w:rsidRPr="0093403C">
        <w:rPr>
          <w:sz w:val="22"/>
          <w:szCs w:val="22"/>
          <w:lang w:val="sr-Latn-ME"/>
        </w:rPr>
        <w:t>hemioterapija</w:t>
      </w:r>
      <w:proofErr w:type="spellEnd"/>
      <w:r w:rsidRPr="0093403C">
        <w:rPr>
          <w:sz w:val="22"/>
          <w:szCs w:val="22"/>
          <w:lang w:val="sr-Latn-ME"/>
        </w:rPr>
        <w:t xml:space="preserve">, </w:t>
      </w:r>
      <w:proofErr w:type="spellStart"/>
      <w:r w:rsidRPr="0093403C">
        <w:rPr>
          <w:sz w:val="22"/>
          <w:szCs w:val="22"/>
          <w:lang w:val="sr-Latn-ME"/>
        </w:rPr>
        <w:t>inhibitori</w:t>
      </w:r>
      <w:proofErr w:type="spellEnd"/>
      <w:r w:rsidRPr="0093403C">
        <w:rPr>
          <w:sz w:val="22"/>
          <w:szCs w:val="22"/>
          <w:lang w:val="sr-Latn-ME"/>
        </w:rPr>
        <w:t xml:space="preserve"> </w:t>
      </w:r>
      <w:proofErr w:type="spellStart"/>
      <w:r w:rsidRPr="0093403C">
        <w:rPr>
          <w:sz w:val="22"/>
          <w:szCs w:val="22"/>
          <w:lang w:val="sr-Latn-ME"/>
        </w:rPr>
        <w:t>angiogeneze</w:t>
      </w:r>
      <w:proofErr w:type="spellEnd"/>
      <w:r w:rsidRPr="0093403C">
        <w:rPr>
          <w:sz w:val="22"/>
          <w:szCs w:val="22"/>
          <w:lang w:val="sr-Latn-ME"/>
        </w:rPr>
        <w:t xml:space="preserve">, </w:t>
      </w:r>
      <w:proofErr w:type="spellStart"/>
      <w:r w:rsidRPr="0093403C">
        <w:rPr>
          <w:sz w:val="22"/>
          <w:szCs w:val="22"/>
          <w:lang w:val="sr-Latn-ME"/>
        </w:rPr>
        <w:t>radioterapija</w:t>
      </w:r>
      <w:proofErr w:type="spellEnd"/>
      <w:r w:rsidRPr="0093403C">
        <w:rPr>
          <w:sz w:val="22"/>
          <w:szCs w:val="22"/>
          <w:lang w:val="sr-Latn-ME"/>
        </w:rPr>
        <w:t xml:space="preserve"> glave i vrata</w:t>
      </w:r>
    </w:p>
    <w:p w14:paraId="1BF6B839" w14:textId="77777777" w:rsidR="002E634B" w:rsidRPr="0093403C" w:rsidRDefault="002E634B" w:rsidP="007C5B43">
      <w:pPr>
        <w:jc w:val="both"/>
        <w:rPr>
          <w:sz w:val="22"/>
          <w:szCs w:val="22"/>
          <w:lang w:val="sr-Latn-ME"/>
        </w:rPr>
      </w:pPr>
      <w:r w:rsidRPr="0093403C">
        <w:rPr>
          <w:sz w:val="22"/>
          <w:szCs w:val="22"/>
          <w:lang w:val="sr-Latn-ME"/>
        </w:rPr>
        <w:t xml:space="preserve">- loša oralna higijena, </w:t>
      </w:r>
      <w:proofErr w:type="spellStart"/>
      <w:r w:rsidRPr="0093403C">
        <w:rPr>
          <w:sz w:val="22"/>
          <w:szCs w:val="22"/>
          <w:lang w:val="sr-Latn-ME"/>
        </w:rPr>
        <w:t>periodontalna</w:t>
      </w:r>
      <w:proofErr w:type="spellEnd"/>
      <w:r w:rsidRPr="0093403C">
        <w:rPr>
          <w:sz w:val="22"/>
          <w:szCs w:val="22"/>
          <w:lang w:val="sr-Latn-ME"/>
        </w:rPr>
        <w:t xml:space="preserve"> bolest, loše postavljena zubna proteza, zubna bolest u anamnezi, </w:t>
      </w:r>
      <w:proofErr w:type="spellStart"/>
      <w:r w:rsidRPr="0093403C">
        <w:rPr>
          <w:sz w:val="22"/>
          <w:szCs w:val="22"/>
          <w:lang w:val="sr-Latn-ME"/>
        </w:rPr>
        <w:t>invazivni</w:t>
      </w:r>
      <w:proofErr w:type="spellEnd"/>
      <w:r w:rsidRPr="0093403C">
        <w:rPr>
          <w:sz w:val="22"/>
          <w:szCs w:val="22"/>
          <w:lang w:val="sr-Latn-ME"/>
        </w:rPr>
        <w:t xml:space="preserve"> stomatološki zahvati, npr. vađenje zuba.</w:t>
      </w:r>
    </w:p>
    <w:p w14:paraId="63062252" w14:textId="77777777" w:rsidR="002E634B" w:rsidRPr="0093403C" w:rsidRDefault="002E634B" w:rsidP="007C5B43">
      <w:pPr>
        <w:jc w:val="both"/>
        <w:rPr>
          <w:sz w:val="22"/>
          <w:szCs w:val="22"/>
          <w:lang w:val="sr-Latn-ME"/>
        </w:rPr>
      </w:pPr>
    </w:p>
    <w:p w14:paraId="7D5F85CB" w14:textId="77777777" w:rsidR="002E634B" w:rsidRPr="0093403C" w:rsidRDefault="002E634B" w:rsidP="007C5B43">
      <w:pPr>
        <w:jc w:val="both"/>
        <w:rPr>
          <w:sz w:val="22"/>
          <w:szCs w:val="22"/>
          <w:lang w:val="sr-Latn-ME"/>
        </w:rPr>
      </w:pPr>
      <w:r w:rsidRPr="0093403C">
        <w:rPr>
          <w:sz w:val="22"/>
          <w:szCs w:val="22"/>
          <w:lang w:val="sr-Latn-ME"/>
        </w:rPr>
        <w:t xml:space="preserve">Sve pacijente treba uputiti da tokom liječenja lijekom </w:t>
      </w:r>
      <w:proofErr w:type="spellStart"/>
      <w:r w:rsidRPr="0093403C">
        <w:rPr>
          <w:sz w:val="22"/>
          <w:szCs w:val="22"/>
          <w:lang w:val="sr-Latn-ME"/>
        </w:rPr>
        <w:t>Bonviva</w:t>
      </w:r>
      <w:proofErr w:type="spellEnd"/>
      <w:r w:rsidRPr="0093403C">
        <w:rPr>
          <w:sz w:val="22"/>
          <w:szCs w:val="22"/>
          <w:lang w:val="sr-Latn-ME"/>
        </w:rPr>
        <w:t xml:space="preserve"> održavaju dobru oralnu higijenu, redovno odlaze na kontrolne stomatološke </w:t>
      </w:r>
      <w:proofErr w:type="spellStart"/>
      <w:r w:rsidRPr="0093403C">
        <w:rPr>
          <w:sz w:val="22"/>
          <w:szCs w:val="22"/>
          <w:lang w:val="sr-Latn-ME"/>
        </w:rPr>
        <w:t>preglede</w:t>
      </w:r>
      <w:proofErr w:type="spellEnd"/>
      <w:r w:rsidRPr="0093403C">
        <w:rPr>
          <w:sz w:val="22"/>
          <w:szCs w:val="22"/>
          <w:lang w:val="sr-Latn-ME"/>
        </w:rPr>
        <w:t xml:space="preserve"> i odmah prijave sve oralne simptome poput pomjeranja zuba, bola ili oticanja, rana koje ne zarastaju ili iscjetka. Tokom liječenja, </w:t>
      </w:r>
      <w:proofErr w:type="spellStart"/>
      <w:r w:rsidRPr="0093403C">
        <w:rPr>
          <w:sz w:val="22"/>
          <w:szCs w:val="22"/>
          <w:lang w:val="sr-Latn-ME"/>
        </w:rPr>
        <w:t>invazivne</w:t>
      </w:r>
      <w:proofErr w:type="spellEnd"/>
      <w:r w:rsidRPr="0093403C">
        <w:rPr>
          <w:sz w:val="22"/>
          <w:szCs w:val="22"/>
          <w:lang w:val="sr-Latn-ME"/>
        </w:rPr>
        <w:t xml:space="preserve"> stomatološke zahvate treba sprovoditi tek nakon pažljivog razmatranja, a izbjegavati ih u periodu koji je blizak </w:t>
      </w:r>
      <w:proofErr w:type="spellStart"/>
      <w:r w:rsidRPr="0093403C">
        <w:rPr>
          <w:sz w:val="22"/>
          <w:szCs w:val="22"/>
          <w:lang w:val="sr-Latn-ME"/>
        </w:rPr>
        <w:t>vremenu</w:t>
      </w:r>
      <w:proofErr w:type="spellEnd"/>
      <w:r w:rsidRPr="0093403C">
        <w:rPr>
          <w:sz w:val="22"/>
          <w:szCs w:val="22"/>
          <w:lang w:val="sr-Latn-ME"/>
        </w:rPr>
        <w:t xml:space="preserve"> primjene lijeka </w:t>
      </w:r>
      <w:proofErr w:type="spellStart"/>
      <w:r w:rsidRPr="0093403C">
        <w:rPr>
          <w:sz w:val="22"/>
          <w:szCs w:val="22"/>
          <w:lang w:val="sr-Latn-ME"/>
        </w:rPr>
        <w:t>Bonviva</w:t>
      </w:r>
      <w:proofErr w:type="spellEnd"/>
      <w:r w:rsidRPr="0093403C">
        <w:rPr>
          <w:sz w:val="22"/>
          <w:szCs w:val="22"/>
          <w:lang w:val="sr-Latn-ME"/>
        </w:rPr>
        <w:t>.</w:t>
      </w:r>
    </w:p>
    <w:p w14:paraId="549CAD10" w14:textId="77777777" w:rsidR="002E634B" w:rsidRPr="0093403C" w:rsidRDefault="002E634B" w:rsidP="007C5B43">
      <w:pPr>
        <w:jc w:val="both"/>
        <w:rPr>
          <w:sz w:val="22"/>
          <w:szCs w:val="22"/>
          <w:lang w:val="sr-Latn-ME"/>
        </w:rPr>
      </w:pPr>
      <w:r w:rsidRPr="0093403C">
        <w:rPr>
          <w:sz w:val="22"/>
          <w:szCs w:val="22"/>
          <w:lang w:val="sr-Latn-ME"/>
        </w:rPr>
        <w:t xml:space="preserve">Plan liječenja bolesnika kod kojih se razvije </w:t>
      </w:r>
      <w:proofErr w:type="spellStart"/>
      <w:r w:rsidRPr="0093403C">
        <w:rPr>
          <w:sz w:val="22"/>
          <w:szCs w:val="22"/>
          <w:lang w:val="sr-Latn-ME"/>
        </w:rPr>
        <w:t>osteonekroza</w:t>
      </w:r>
      <w:proofErr w:type="spellEnd"/>
      <w:r w:rsidRPr="0093403C">
        <w:rPr>
          <w:sz w:val="22"/>
          <w:szCs w:val="22"/>
          <w:lang w:val="sr-Latn-ME"/>
        </w:rPr>
        <w:t xml:space="preserve"> vilice mora izraditi nadležni ljekar u saradnji sa stomatologom ili oralnim hirurgom s iskustvom u liječenju </w:t>
      </w:r>
      <w:proofErr w:type="spellStart"/>
      <w:r w:rsidRPr="0093403C">
        <w:rPr>
          <w:sz w:val="22"/>
          <w:szCs w:val="22"/>
          <w:lang w:val="sr-Latn-ME"/>
        </w:rPr>
        <w:t>osteonekroze</w:t>
      </w:r>
      <w:proofErr w:type="spellEnd"/>
      <w:r w:rsidRPr="0093403C">
        <w:rPr>
          <w:sz w:val="22"/>
          <w:szCs w:val="22"/>
          <w:lang w:val="sr-Latn-ME"/>
        </w:rPr>
        <w:t xml:space="preserve"> vilice.</w:t>
      </w:r>
    </w:p>
    <w:p w14:paraId="19A82372" w14:textId="77777777" w:rsidR="002E634B" w:rsidRPr="0093403C" w:rsidRDefault="002E634B" w:rsidP="007C5B43">
      <w:pPr>
        <w:jc w:val="both"/>
        <w:rPr>
          <w:sz w:val="22"/>
          <w:szCs w:val="22"/>
          <w:lang w:val="sr-Latn-ME"/>
        </w:rPr>
      </w:pPr>
      <w:r w:rsidRPr="0093403C">
        <w:rPr>
          <w:sz w:val="22"/>
          <w:szCs w:val="22"/>
          <w:lang w:val="sr-Latn-ME"/>
        </w:rPr>
        <w:t xml:space="preserve">Ako je moguće, treba razmotriti privremeni prekid liječenja lijekom </w:t>
      </w:r>
      <w:proofErr w:type="spellStart"/>
      <w:r w:rsidRPr="0093403C">
        <w:rPr>
          <w:sz w:val="22"/>
          <w:szCs w:val="22"/>
          <w:lang w:val="sr-Latn-ME"/>
        </w:rPr>
        <w:t>Bonviva</w:t>
      </w:r>
      <w:proofErr w:type="spellEnd"/>
      <w:r w:rsidRPr="0093403C">
        <w:rPr>
          <w:sz w:val="22"/>
          <w:szCs w:val="22"/>
          <w:lang w:val="sr-Latn-ME"/>
        </w:rPr>
        <w:t xml:space="preserve"> dok se ovo stanje ne povuče i ublaže faktori rizika koji su doprinijeli njegovom razvoju.</w:t>
      </w:r>
    </w:p>
    <w:p w14:paraId="62647DB7" w14:textId="77777777" w:rsidR="002E634B" w:rsidRPr="0093403C" w:rsidRDefault="002E634B" w:rsidP="007C5B43">
      <w:pPr>
        <w:jc w:val="both"/>
        <w:rPr>
          <w:sz w:val="22"/>
          <w:szCs w:val="22"/>
          <w:lang w:val="sr-Latn-ME"/>
        </w:rPr>
      </w:pPr>
    </w:p>
    <w:p w14:paraId="4437C340" w14:textId="77777777" w:rsidR="002E634B" w:rsidRPr="0093403C" w:rsidRDefault="002E634B" w:rsidP="007C5B43">
      <w:pPr>
        <w:pStyle w:val="Header"/>
        <w:tabs>
          <w:tab w:val="left" w:pos="284"/>
        </w:tabs>
        <w:spacing w:before="80" w:after="80"/>
        <w:jc w:val="both"/>
        <w:rPr>
          <w:bCs/>
          <w:sz w:val="22"/>
          <w:szCs w:val="22"/>
          <w:u w:val="single"/>
          <w:lang w:val="sr-Latn-ME"/>
        </w:rPr>
      </w:pPr>
      <w:proofErr w:type="spellStart"/>
      <w:r w:rsidRPr="0093403C">
        <w:rPr>
          <w:bCs/>
          <w:sz w:val="22"/>
          <w:szCs w:val="22"/>
          <w:u w:val="single"/>
          <w:lang w:val="sr-Latn-ME"/>
        </w:rPr>
        <w:t>Osteonekroza</w:t>
      </w:r>
      <w:proofErr w:type="spellEnd"/>
      <w:r w:rsidRPr="0093403C">
        <w:rPr>
          <w:bCs/>
          <w:sz w:val="22"/>
          <w:szCs w:val="22"/>
          <w:u w:val="single"/>
          <w:lang w:val="sr-Latn-ME"/>
        </w:rPr>
        <w:t xml:space="preserve"> spoljašnjeg slušnog kanala</w:t>
      </w:r>
    </w:p>
    <w:p w14:paraId="2A4A4C10" w14:textId="77777777" w:rsidR="002E634B" w:rsidRPr="0093403C" w:rsidRDefault="002E634B" w:rsidP="007C5B43">
      <w:pPr>
        <w:pStyle w:val="Header"/>
        <w:tabs>
          <w:tab w:val="left" w:pos="284"/>
        </w:tabs>
        <w:spacing w:before="80" w:after="80"/>
        <w:jc w:val="both"/>
        <w:rPr>
          <w:bCs/>
          <w:sz w:val="22"/>
          <w:szCs w:val="22"/>
          <w:lang w:val="sr-Latn-ME"/>
        </w:rPr>
      </w:pPr>
      <w:proofErr w:type="spellStart"/>
      <w:r w:rsidRPr="0093403C">
        <w:rPr>
          <w:bCs/>
          <w:sz w:val="22"/>
          <w:szCs w:val="22"/>
          <w:lang w:val="sr-Latn-ME"/>
        </w:rPr>
        <w:t>Osteonekroza</w:t>
      </w:r>
      <w:proofErr w:type="spellEnd"/>
      <w:r w:rsidRPr="0093403C">
        <w:rPr>
          <w:bCs/>
          <w:sz w:val="22"/>
          <w:szCs w:val="22"/>
          <w:lang w:val="sr-Latn-ME"/>
        </w:rPr>
        <w:t xml:space="preserve"> spoljašnjeg slušnog kanala prijavljena je prilikom terapije </w:t>
      </w:r>
      <w:proofErr w:type="spellStart"/>
      <w:r w:rsidRPr="0093403C">
        <w:rPr>
          <w:bCs/>
          <w:sz w:val="22"/>
          <w:szCs w:val="22"/>
          <w:lang w:val="sr-Latn-ME"/>
        </w:rPr>
        <w:t>bisfosfonatima</w:t>
      </w:r>
      <w:proofErr w:type="spellEnd"/>
      <w:r w:rsidRPr="0093403C">
        <w:rPr>
          <w:bCs/>
          <w:sz w:val="22"/>
          <w:szCs w:val="22"/>
          <w:lang w:val="sr-Latn-ME"/>
        </w:rPr>
        <w:t xml:space="preserve"> i uglavnom je povezana sa dugoročnom terapijom. Mogući faktori rizika </w:t>
      </w:r>
      <w:proofErr w:type="spellStart"/>
      <w:r w:rsidRPr="0093403C">
        <w:rPr>
          <w:bCs/>
          <w:sz w:val="22"/>
          <w:szCs w:val="22"/>
          <w:lang w:val="sr-Latn-ME"/>
        </w:rPr>
        <w:t>osteonekroze</w:t>
      </w:r>
      <w:proofErr w:type="spellEnd"/>
      <w:r w:rsidRPr="0093403C">
        <w:rPr>
          <w:bCs/>
          <w:sz w:val="22"/>
          <w:szCs w:val="22"/>
          <w:lang w:val="sr-Latn-ME"/>
        </w:rPr>
        <w:t xml:space="preserve"> spoljašnjeg slušnog kanala uključuju upotrebu </w:t>
      </w:r>
      <w:proofErr w:type="spellStart"/>
      <w:r w:rsidRPr="0093403C">
        <w:rPr>
          <w:bCs/>
          <w:sz w:val="22"/>
          <w:szCs w:val="22"/>
          <w:lang w:val="sr-Latn-ME"/>
        </w:rPr>
        <w:t>steroida</w:t>
      </w:r>
      <w:proofErr w:type="spellEnd"/>
      <w:r w:rsidRPr="0093403C">
        <w:rPr>
          <w:bCs/>
          <w:sz w:val="22"/>
          <w:szCs w:val="22"/>
          <w:lang w:val="sr-Latn-ME"/>
        </w:rPr>
        <w:t xml:space="preserve"> i </w:t>
      </w:r>
      <w:proofErr w:type="spellStart"/>
      <w:r w:rsidRPr="0093403C">
        <w:rPr>
          <w:bCs/>
          <w:sz w:val="22"/>
          <w:szCs w:val="22"/>
          <w:lang w:val="sr-Latn-ME"/>
        </w:rPr>
        <w:t>hemioterapiju</w:t>
      </w:r>
      <w:proofErr w:type="spellEnd"/>
      <w:r w:rsidRPr="0093403C">
        <w:rPr>
          <w:bCs/>
          <w:sz w:val="22"/>
          <w:szCs w:val="22"/>
          <w:lang w:val="sr-Latn-ME"/>
        </w:rPr>
        <w:t xml:space="preserve"> i/ili lokalne faktore rizika poput infekcije ili traume. Mogućnost </w:t>
      </w:r>
      <w:proofErr w:type="spellStart"/>
      <w:r w:rsidRPr="0093403C">
        <w:rPr>
          <w:bCs/>
          <w:sz w:val="22"/>
          <w:szCs w:val="22"/>
          <w:lang w:val="sr-Latn-ME"/>
        </w:rPr>
        <w:t>osteonekroze</w:t>
      </w:r>
      <w:proofErr w:type="spellEnd"/>
      <w:r w:rsidRPr="0093403C">
        <w:rPr>
          <w:bCs/>
          <w:sz w:val="22"/>
          <w:szCs w:val="22"/>
          <w:lang w:val="sr-Latn-ME"/>
        </w:rPr>
        <w:t xml:space="preserve"> spoljašnjeg slušnog kanala potrebno je razmotriti kod bolesnika koji primaju </w:t>
      </w:r>
      <w:proofErr w:type="spellStart"/>
      <w:r w:rsidRPr="0093403C">
        <w:rPr>
          <w:bCs/>
          <w:sz w:val="22"/>
          <w:szCs w:val="22"/>
          <w:lang w:val="sr-Latn-ME"/>
        </w:rPr>
        <w:t>bisfosfonate</w:t>
      </w:r>
      <w:proofErr w:type="spellEnd"/>
      <w:r w:rsidRPr="0093403C">
        <w:rPr>
          <w:bCs/>
          <w:sz w:val="22"/>
          <w:szCs w:val="22"/>
          <w:lang w:val="sr-Latn-ME"/>
        </w:rPr>
        <w:t>, a koji imaju simptome koji zahvataju uvo uključujući hronične infekcije uva.</w:t>
      </w:r>
    </w:p>
    <w:p w14:paraId="7F54C52B" w14:textId="77777777" w:rsidR="002E634B" w:rsidRPr="0093403C" w:rsidRDefault="002E634B" w:rsidP="007C5B43">
      <w:pPr>
        <w:pStyle w:val="Header"/>
        <w:jc w:val="both"/>
        <w:rPr>
          <w:bCs/>
          <w:sz w:val="22"/>
          <w:szCs w:val="22"/>
          <w:lang w:val="sr-Latn-ME"/>
        </w:rPr>
      </w:pPr>
    </w:p>
    <w:p w14:paraId="721D0E23" w14:textId="77777777" w:rsidR="002E634B" w:rsidRPr="0093403C" w:rsidRDefault="002E634B" w:rsidP="007C5B43">
      <w:pPr>
        <w:pStyle w:val="Header"/>
        <w:tabs>
          <w:tab w:val="left" w:pos="284"/>
        </w:tabs>
        <w:spacing w:after="80"/>
        <w:jc w:val="both"/>
        <w:rPr>
          <w:bCs/>
          <w:sz w:val="22"/>
          <w:szCs w:val="22"/>
          <w:u w:val="single"/>
          <w:lang w:val="sr-Latn-ME"/>
        </w:rPr>
      </w:pPr>
      <w:r w:rsidRPr="0093403C">
        <w:rPr>
          <w:bCs/>
          <w:sz w:val="22"/>
          <w:szCs w:val="22"/>
          <w:u w:val="single"/>
          <w:lang w:val="sr-Latn-ME"/>
        </w:rPr>
        <w:t>Atipični prelomi butne kosti</w:t>
      </w:r>
    </w:p>
    <w:p w14:paraId="5FB436F2" w14:textId="77777777" w:rsidR="002E634B" w:rsidRPr="0093403C" w:rsidRDefault="002E634B" w:rsidP="007C5B43">
      <w:pPr>
        <w:pStyle w:val="Header"/>
        <w:tabs>
          <w:tab w:val="left" w:pos="284"/>
        </w:tabs>
        <w:spacing w:before="80" w:after="80"/>
        <w:jc w:val="both"/>
        <w:rPr>
          <w:bCs/>
          <w:sz w:val="22"/>
          <w:szCs w:val="22"/>
          <w:lang w:val="sr-Latn-ME"/>
        </w:rPr>
      </w:pPr>
      <w:r w:rsidRPr="0093403C">
        <w:rPr>
          <w:bCs/>
          <w:sz w:val="22"/>
          <w:szCs w:val="22"/>
          <w:lang w:val="sr-Latn-ME"/>
        </w:rPr>
        <w:t xml:space="preserve">Atipične </w:t>
      </w:r>
      <w:proofErr w:type="spellStart"/>
      <w:r w:rsidRPr="0093403C">
        <w:rPr>
          <w:bCs/>
          <w:sz w:val="22"/>
          <w:szCs w:val="22"/>
          <w:lang w:val="sr-Latn-ME"/>
        </w:rPr>
        <w:t>subtrohanteričke</w:t>
      </w:r>
      <w:proofErr w:type="spellEnd"/>
      <w:r w:rsidRPr="0093403C">
        <w:rPr>
          <w:bCs/>
          <w:sz w:val="22"/>
          <w:szCs w:val="22"/>
          <w:lang w:val="sr-Latn-ME"/>
        </w:rPr>
        <w:t xml:space="preserve"> </w:t>
      </w:r>
      <w:proofErr w:type="spellStart"/>
      <w:r w:rsidRPr="0093403C">
        <w:rPr>
          <w:bCs/>
          <w:sz w:val="22"/>
          <w:szCs w:val="22"/>
          <w:lang w:val="sr-Latn-ME"/>
        </w:rPr>
        <w:t>dijafizealne</w:t>
      </w:r>
      <w:proofErr w:type="spellEnd"/>
      <w:r w:rsidRPr="0093403C">
        <w:rPr>
          <w:bCs/>
          <w:sz w:val="22"/>
          <w:szCs w:val="22"/>
          <w:lang w:val="sr-Latn-ME"/>
        </w:rPr>
        <w:t xml:space="preserve"> frakture </w:t>
      </w:r>
      <w:proofErr w:type="spellStart"/>
      <w:r w:rsidRPr="0093403C">
        <w:rPr>
          <w:bCs/>
          <w:sz w:val="22"/>
          <w:szCs w:val="22"/>
          <w:lang w:val="sr-Latn-ME"/>
        </w:rPr>
        <w:t>femura</w:t>
      </w:r>
      <w:proofErr w:type="spellEnd"/>
      <w:r w:rsidRPr="0093403C">
        <w:rPr>
          <w:bCs/>
          <w:sz w:val="22"/>
          <w:szCs w:val="22"/>
          <w:lang w:val="sr-Latn-ME"/>
        </w:rPr>
        <w:t xml:space="preserve"> zabilježene su kod liječenja </w:t>
      </w:r>
      <w:proofErr w:type="spellStart"/>
      <w:r w:rsidRPr="0093403C">
        <w:rPr>
          <w:bCs/>
          <w:sz w:val="22"/>
          <w:szCs w:val="22"/>
          <w:lang w:val="sr-Latn-ME"/>
        </w:rPr>
        <w:t>bisfosfonatima</w:t>
      </w:r>
      <w:proofErr w:type="spellEnd"/>
      <w:r w:rsidRPr="0093403C">
        <w:rPr>
          <w:bCs/>
          <w:sz w:val="22"/>
          <w:szCs w:val="22"/>
          <w:lang w:val="sr-Latn-ME"/>
        </w:rPr>
        <w:t xml:space="preserve">, prvenstveno kod pacijenata koji su dugotrajno primali ljekove protiv </w:t>
      </w:r>
      <w:proofErr w:type="spellStart"/>
      <w:r w:rsidRPr="0093403C">
        <w:rPr>
          <w:bCs/>
          <w:sz w:val="22"/>
          <w:szCs w:val="22"/>
          <w:lang w:val="sr-Latn-ME"/>
        </w:rPr>
        <w:t>osteoporoze</w:t>
      </w:r>
      <w:proofErr w:type="spellEnd"/>
      <w:r w:rsidRPr="0093403C">
        <w:rPr>
          <w:bCs/>
          <w:sz w:val="22"/>
          <w:szCs w:val="22"/>
          <w:lang w:val="sr-Latn-ME"/>
        </w:rPr>
        <w:t xml:space="preserve">. Ti poprečni i kratki kosi prelomi mogući su bilo gdje na butnoj kosti, odmah ispod maloga </w:t>
      </w:r>
      <w:proofErr w:type="spellStart"/>
      <w:r w:rsidRPr="0093403C">
        <w:rPr>
          <w:bCs/>
          <w:sz w:val="22"/>
          <w:szCs w:val="22"/>
          <w:lang w:val="sr-Latn-ME"/>
        </w:rPr>
        <w:t>trohantera</w:t>
      </w:r>
      <w:proofErr w:type="spellEnd"/>
      <w:r w:rsidRPr="0093403C">
        <w:rPr>
          <w:bCs/>
          <w:sz w:val="22"/>
          <w:szCs w:val="22"/>
          <w:lang w:val="sr-Latn-ME"/>
        </w:rPr>
        <w:t xml:space="preserve"> pa sve do iznad </w:t>
      </w:r>
      <w:proofErr w:type="spellStart"/>
      <w:r w:rsidRPr="0093403C">
        <w:rPr>
          <w:bCs/>
          <w:sz w:val="22"/>
          <w:szCs w:val="22"/>
          <w:lang w:val="sr-Latn-ME"/>
        </w:rPr>
        <w:t>suprakondilarnog</w:t>
      </w:r>
      <w:proofErr w:type="spellEnd"/>
      <w:r w:rsidRPr="0093403C">
        <w:rPr>
          <w:bCs/>
          <w:sz w:val="22"/>
          <w:szCs w:val="22"/>
          <w:lang w:val="sr-Latn-ME"/>
        </w:rPr>
        <w:t xml:space="preserve"> područja. Ovi prelomi nastaju </w:t>
      </w:r>
      <w:proofErr w:type="spellStart"/>
      <w:r w:rsidRPr="0093403C">
        <w:rPr>
          <w:bCs/>
          <w:sz w:val="22"/>
          <w:szCs w:val="22"/>
          <w:lang w:val="sr-Latn-ME"/>
        </w:rPr>
        <w:t>usljed</w:t>
      </w:r>
      <w:proofErr w:type="spellEnd"/>
      <w:r w:rsidRPr="0093403C">
        <w:rPr>
          <w:bCs/>
          <w:sz w:val="22"/>
          <w:szCs w:val="22"/>
          <w:lang w:val="sr-Latn-ME"/>
        </w:rPr>
        <w:t xml:space="preserve"> neznatne traume ili bez traume i neki pacijenti su osjećali bol u butini ili preponama, koja je često bila povezana sa nalazom stres-fraktura na snimcima, nedjeljama, pa i mjesecima prije kliničke slike potpunog </w:t>
      </w:r>
      <w:proofErr w:type="spellStart"/>
      <w:r w:rsidRPr="0093403C">
        <w:rPr>
          <w:bCs/>
          <w:sz w:val="22"/>
          <w:szCs w:val="22"/>
          <w:lang w:val="sr-Latn-ME"/>
        </w:rPr>
        <w:t>preloma</w:t>
      </w:r>
      <w:proofErr w:type="spellEnd"/>
      <w:r w:rsidRPr="0093403C">
        <w:rPr>
          <w:bCs/>
          <w:sz w:val="22"/>
          <w:szCs w:val="22"/>
          <w:lang w:val="sr-Latn-ME"/>
        </w:rPr>
        <w:t xml:space="preserve"> butne kosti. Prelomi su često bilateralni; zbog toga kod pacijenata koji primaju </w:t>
      </w:r>
      <w:proofErr w:type="spellStart"/>
      <w:r w:rsidRPr="0093403C">
        <w:rPr>
          <w:bCs/>
          <w:sz w:val="22"/>
          <w:szCs w:val="22"/>
          <w:lang w:val="sr-Latn-ME"/>
        </w:rPr>
        <w:t>bisfosfonate</w:t>
      </w:r>
      <w:proofErr w:type="spellEnd"/>
      <w:r w:rsidRPr="0093403C">
        <w:rPr>
          <w:bCs/>
          <w:sz w:val="22"/>
          <w:szCs w:val="22"/>
          <w:lang w:val="sr-Latn-ME"/>
        </w:rPr>
        <w:t xml:space="preserve"> i koji su imali prelom trupa butne kosti treba pregledati i butnu kost na suprotnoj nozi. Takođe je zabilježeno slabo zarastanje ovih </w:t>
      </w:r>
      <w:proofErr w:type="spellStart"/>
      <w:r w:rsidRPr="0093403C">
        <w:rPr>
          <w:bCs/>
          <w:sz w:val="22"/>
          <w:szCs w:val="22"/>
          <w:lang w:val="sr-Latn-ME"/>
        </w:rPr>
        <w:t>preloma</w:t>
      </w:r>
      <w:proofErr w:type="spellEnd"/>
      <w:r w:rsidRPr="0093403C">
        <w:rPr>
          <w:bCs/>
          <w:sz w:val="22"/>
          <w:szCs w:val="22"/>
          <w:lang w:val="sr-Latn-ME"/>
        </w:rPr>
        <w:t xml:space="preserve">. Kod pacijenata kod kojih se sumnja na atipičan prelom butne kosti treba razmotriti obustavljanje liječenja </w:t>
      </w:r>
      <w:proofErr w:type="spellStart"/>
      <w:r w:rsidRPr="0093403C">
        <w:rPr>
          <w:bCs/>
          <w:sz w:val="22"/>
          <w:szCs w:val="22"/>
          <w:lang w:val="sr-Latn-ME"/>
        </w:rPr>
        <w:t>bisfosfonatima</w:t>
      </w:r>
      <w:proofErr w:type="spellEnd"/>
      <w:r w:rsidRPr="0093403C">
        <w:rPr>
          <w:bCs/>
          <w:sz w:val="22"/>
          <w:szCs w:val="22"/>
          <w:lang w:val="sr-Latn-ME"/>
        </w:rPr>
        <w:t xml:space="preserve"> nakon procjene stanja pacijenta i na osnovu ocjene odnosa koristi i rizika za svakoga pojedinog pacijenta.</w:t>
      </w:r>
    </w:p>
    <w:p w14:paraId="1FACC0DA" w14:textId="77777777" w:rsidR="002E634B" w:rsidRPr="0093403C" w:rsidRDefault="002E634B" w:rsidP="007C5B43">
      <w:pPr>
        <w:pStyle w:val="Header"/>
        <w:tabs>
          <w:tab w:val="left" w:pos="284"/>
        </w:tabs>
        <w:spacing w:before="80" w:after="80"/>
        <w:jc w:val="both"/>
        <w:rPr>
          <w:bCs/>
          <w:sz w:val="22"/>
          <w:szCs w:val="22"/>
          <w:lang w:val="sr-Latn-ME"/>
        </w:rPr>
      </w:pPr>
      <w:r w:rsidRPr="0093403C">
        <w:rPr>
          <w:bCs/>
          <w:sz w:val="22"/>
          <w:szCs w:val="22"/>
          <w:lang w:val="sr-Latn-ME"/>
        </w:rPr>
        <w:t xml:space="preserve">Tokom liječenja </w:t>
      </w:r>
      <w:proofErr w:type="spellStart"/>
      <w:r w:rsidRPr="0093403C">
        <w:rPr>
          <w:bCs/>
          <w:sz w:val="22"/>
          <w:szCs w:val="22"/>
          <w:lang w:val="sr-Latn-ME"/>
        </w:rPr>
        <w:t>bisfosfonatima</w:t>
      </w:r>
      <w:proofErr w:type="spellEnd"/>
      <w:r w:rsidRPr="0093403C">
        <w:rPr>
          <w:bCs/>
          <w:sz w:val="22"/>
          <w:szCs w:val="22"/>
          <w:lang w:val="sr-Latn-ME"/>
        </w:rPr>
        <w:t>, pacijente treba uputiti da prijave bol u butinama, kukovima ili preponama te svakoga pacijenta sa ovim simptomima treba pregledati ne bi li se otkrio nepotpuni prelom butne kosti.</w:t>
      </w:r>
    </w:p>
    <w:p w14:paraId="2FCCE2D2" w14:textId="59382222" w:rsidR="00057E35" w:rsidRDefault="002E634B" w:rsidP="007C5B43">
      <w:pPr>
        <w:pStyle w:val="Header"/>
        <w:tabs>
          <w:tab w:val="left" w:pos="284"/>
        </w:tabs>
        <w:spacing w:before="80" w:after="80"/>
        <w:jc w:val="both"/>
        <w:rPr>
          <w:bCs/>
          <w:sz w:val="22"/>
          <w:szCs w:val="22"/>
          <w:lang w:val="sr-Latn-ME"/>
        </w:rPr>
      </w:pPr>
      <w:proofErr w:type="spellStart"/>
      <w:r w:rsidRPr="0093403C">
        <w:rPr>
          <w:bCs/>
          <w:sz w:val="22"/>
          <w:szCs w:val="22"/>
          <w:lang w:val="sr-Latn-ME"/>
        </w:rPr>
        <w:t>Bonviva</w:t>
      </w:r>
      <w:proofErr w:type="spellEnd"/>
      <w:r w:rsidRPr="0093403C">
        <w:rPr>
          <w:bCs/>
          <w:sz w:val="22"/>
          <w:szCs w:val="22"/>
          <w:lang w:val="sr-Latn-ME"/>
        </w:rPr>
        <w:t xml:space="preserve"> sadrži </w:t>
      </w:r>
      <w:proofErr w:type="spellStart"/>
      <w:r w:rsidRPr="0093403C">
        <w:rPr>
          <w:bCs/>
          <w:sz w:val="22"/>
          <w:szCs w:val="22"/>
          <w:lang w:val="sr-Latn-ME"/>
        </w:rPr>
        <w:t>zanemarlive</w:t>
      </w:r>
      <w:proofErr w:type="spellEnd"/>
      <w:r w:rsidRPr="0093403C">
        <w:rPr>
          <w:bCs/>
          <w:sz w:val="22"/>
          <w:szCs w:val="22"/>
          <w:lang w:val="sr-Latn-ME"/>
        </w:rPr>
        <w:t xml:space="preserve"> količine natrijuma.</w:t>
      </w:r>
    </w:p>
    <w:p w14:paraId="622665C2" w14:textId="77777777" w:rsidR="00411B4B" w:rsidRPr="0093403C" w:rsidRDefault="00411B4B" w:rsidP="007C5B43">
      <w:pPr>
        <w:tabs>
          <w:tab w:val="left" w:pos="540"/>
          <w:tab w:val="left" w:pos="569"/>
        </w:tabs>
        <w:jc w:val="both"/>
        <w:rPr>
          <w:b/>
          <w:bCs/>
          <w:sz w:val="22"/>
          <w:szCs w:val="22"/>
          <w:lang w:val="sr-Latn-ME"/>
        </w:rPr>
      </w:pPr>
      <w:r w:rsidRPr="0093403C">
        <w:rPr>
          <w:b/>
          <w:bCs/>
          <w:sz w:val="22"/>
          <w:szCs w:val="22"/>
          <w:lang w:val="sr-Latn-ME"/>
        </w:rPr>
        <w:lastRenderedPageBreak/>
        <w:t>4.5.</w:t>
      </w:r>
      <w:r w:rsidR="000D60CC" w:rsidRPr="0093403C">
        <w:rPr>
          <w:b/>
          <w:bCs/>
          <w:sz w:val="22"/>
          <w:szCs w:val="22"/>
          <w:lang w:val="sr-Latn-ME"/>
        </w:rPr>
        <w:tab/>
      </w:r>
      <w:r w:rsidRPr="0093403C">
        <w:rPr>
          <w:b/>
          <w:bCs/>
          <w:sz w:val="22"/>
          <w:szCs w:val="22"/>
          <w:lang w:val="sr-Latn-ME"/>
        </w:rPr>
        <w:t>Interakcije sa drugim ljekovima i druge vrste interakcija</w:t>
      </w:r>
    </w:p>
    <w:p w14:paraId="761AAAA6" w14:textId="77777777" w:rsidR="0072020E" w:rsidRPr="0093403C" w:rsidRDefault="0072020E" w:rsidP="007C5B43">
      <w:pPr>
        <w:tabs>
          <w:tab w:val="left" w:pos="540"/>
          <w:tab w:val="left" w:pos="569"/>
        </w:tabs>
        <w:jc w:val="both"/>
        <w:rPr>
          <w:bCs/>
          <w:sz w:val="22"/>
          <w:szCs w:val="22"/>
          <w:lang w:val="sr-Latn-ME"/>
        </w:rPr>
      </w:pPr>
    </w:p>
    <w:p w14:paraId="4A2E9DAD" w14:textId="77777777" w:rsidR="002E634B" w:rsidRPr="0093403C" w:rsidRDefault="002E634B" w:rsidP="007C5B43">
      <w:pPr>
        <w:pStyle w:val="Header"/>
        <w:tabs>
          <w:tab w:val="left" w:pos="284"/>
        </w:tabs>
        <w:spacing w:before="80" w:after="80"/>
        <w:jc w:val="both"/>
        <w:rPr>
          <w:bCs/>
          <w:sz w:val="22"/>
          <w:szCs w:val="22"/>
          <w:lang w:val="sr-Latn-ME"/>
        </w:rPr>
      </w:pPr>
      <w:proofErr w:type="spellStart"/>
      <w:r w:rsidRPr="0093403C">
        <w:rPr>
          <w:bCs/>
          <w:sz w:val="22"/>
          <w:szCs w:val="22"/>
          <w:lang w:val="sr-Latn-ME"/>
        </w:rPr>
        <w:t>Metaboličke</w:t>
      </w:r>
      <w:proofErr w:type="spellEnd"/>
      <w:r w:rsidRPr="0093403C">
        <w:rPr>
          <w:bCs/>
          <w:sz w:val="22"/>
          <w:szCs w:val="22"/>
          <w:lang w:val="sr-Latn-ME"/>
        </w:rPr>
        <w:t xml:space="preserve"> interakcije se ne smatraju vjerovatnima, budući da </w:t>
      </w:r>
      <w:proofErr w:type="spellStart"/>
      <w:r w:rsidRPr="0093403C">
        <w:rPr>
          <w:bCs/>
          <w:sz w:val="22"/>
          <w:szCs w:val="22"/>
          <w:lang w:val="sr-Latn-ME"/>
        </w:rPr>
        <w:t>ibandronska</w:t>
      </w:r>
      <w:proofErr w:type="spellEnd"/>
      <w:r w:rsidRPr="0093403C">
        <w:rPr>
          <w:bCs/>
          <w:sz w:val="22"/>
          <w:szCs w:val="22"/>
          <w:lang w:val="sr-Latn-ME"/>
        </w:rPr>
        <w:t xml:space="preserve"> kiselina ne inhibira glavne humane </w:t>
      </w:r>
      <w:proofErr w:type="spellStart"/>
      <w:r w:rsidRPr="0093403C">
        <w:rPr>
          <w:bCs/>
          <w:sz w:val="22"/>
          <w:szCs w:val="22"/>
          <w:lang w:val="sr-Latn-ME"/>
        </w:rPr>
        <w:t>hepatičke</w:t>
      </w:r>
      <w:proofErr w:type="spellEnd"/>
      <w:r w:rsidRPr="0093403C">
        <w:rPr>
          <w:bCs/>
          <w:sz w:val="22"/>
          <w:szCs w:val="22"/>
          <w:lang w:val="sr-Latn-ME"/>
        </w:rPr>
        <w:t xml:space="preserve"> </w:t>
      </w:r>
      <w:proofErr w:type="spellStart"/>
      <w:r w:rsidRPr="0093403C">
        <w:rPr>
          <w:bCs/>
          <w:sz w:val="22"/>
          <w:szCs w:val="22"/>
          <w:lang w:val="sr-Latn-ME"/>
        </w:rPr>
        <w:t>P450</w:t>
      </w:r>
      <w:proofErr w:type="spellEnd"/>
      <w:r w:rsidRPr="0093403C">
        <w:rPr>
          <w:bCs/>
          <w:sz w:val="22"/>
          <w:szCs w:val="22"/>
          <w:lang w:val="sr-Latn-ME"/>
        </w:rPr>
        <w:t xml:space="preserve"> </w:t>
      </w:r>
      <w:proofErr w:type="spellStart"/>
      <w:r w:rsidRPr="0093403C">
        <w:rPr>
          <w:bCs/>
          <w:sz w:val="22"/>
          <w:szCs w:val="22"/>
          <w:lang w:val="sr-Latn-ME"/>
        </w:rPr>
        <w:t>izoenzime</w:t>
      </w:r>
      <w:proofErr w:type="spellEnd"/>
      <w:r w:rsidRPr="0093403C">
        <w:rPr>
          <w:bCs/>
          <w:sz w:val="22"/>
          <w:szCs w:val="22"/>
          <w:lang w:val="sr-Latn-ME"/>
        </w:rPr>
        <w:t xml:space="preserve">, a pokazano je i da ne indukuje </w:t>
      </w:r>
      <w:proofErr w:type="spellStart"/>
      <w:r w:rsidRPr="0093403C">
        <w:rPr>
          <w:bCs/>
          <w:sz w:val="22"/>
          <w:szCs w:val="22"/>
          <w:lang w:val="sr-Latn-ME"/>
        </w:rPr>
        <w:t>hepatički</w:t>
      </w:r>
      <w:proofErr w:type="spellEnd"/>
      <w:r w:rsidRPr="0093403C">
        <w:rPr>
          <w:bCs/>
          <w:sz w:val="22"/>
          <w:szCs w:val="22"/>
          <w:lang w:val="sr-Latn-ME"/>
        </w:rPr>
        <w:t xml:space="preserve"> sistem </w:t>
      </w:r>
      <w:proofErr w:type="spellStart"/>
      <w:r w:rsidRPr="0093403C">
        <w:rPr>
          <w:bCs/>
          <w:sz w:val="22"/>
          <w:szCs w:val="22"/>
          <w:lang w:val="sr-Latn-ME"/>
        </w:rPr>
        <w:t>citohroma</w:t>
      </w:r>
      <w:proofErr w:type="spellEnd"/>
      <w:r w:rsidRPr="0093403C">
        <w:rPr>
          <w:bCs/>
          <w:sz w:val="22"/>
          <w:szCs w:val="22"/>
          <w:lang w:val="sr-Latn-ME"/>
        </w:rPr>
        <w:t xml:space="preserve"> </w:t>
      </w:r>
      <w:proofErr w:type="spellStart"/>
      <w:r w:rsidRPr="0093403C">
        <w:rPr>
          <w:bCs/>
          <w:sz w:val="22"/>
          <w:szCs w:val="22"/>
          <w:lang w:val="sr-Latn-ME"/>
        </w:rPr>
        <w:t>P450</w:t>
      </w:r>
      <w:proofErr w:type="spellEnd"/>
      <w:r w:rsidRPr="0093403C">
        <w:rPr>
          <w:bCs/>
          <w:sz w:val="22"/>
          <w:szCs w:val="22"/>
          <w:lang w:val="sr-Latn-ME"/>
        </w:rPr>
        <w:t xml:space="preserve"> kod pacova (vidjeti dio 5.2). </w:t>
      </w:r>
      <w:proofErr w:type="spellStart"/>
      <w:r w:rsidRPr="0093403C">
        <w:rPr>
          <w:bCs/>
          <w:sz w:val="22"/>
          <w:szCs w:val="22"/>
          <w:lang w:val="sr-Latn-ME"/>
        </w:rPr>
        <w:t>Ibandronska</w:t>
      </w:r>
      <w:proofErr w:type="spellEnd"/>
      <w:r w:rsidRPr="0093403C">
        <w:rPr>
          <w:bCs/>
          <w:sz w:val="22"/>
          <w:szCs w:val="22"/>
          <w:lang w:val="sr-Latn-ME"/>
        </w:rPr>
        <w:t xml:space="preserve"> kiselina se eliminiše isključivo bubrežnom ekskrecijom i ne </w:t>
      </w:r>
      <w:proofErr w:type="spellStart"/>
      <w:r w:rsidRPr="0093403C">
        <w:rPr>
          <w:bCs/>
          <w:sz w:val="22"/>
          <w:szCs w:val="22"/>
          <w:lang w:val="sr-Latn-ME"/>
        </w:rPr>
        <w:t>trpi</w:t>
      </w:r>
      <w:proofErr w:type="spellEnd"/>
      <w:r w:rsidRPr="0093403C">
        <w:rPr>
          <w:bCs/>
          <w:sz w:val="22"/>
          <w:szCs w:val="22"/>
          <w:lang w:val="sr-Latn-ME"/>
        </w:rPr>
        <w:t xml:space="preserve"> nikakvu </w:t>
      </w:r>
      <w:proofErr w:type="spellStart"/>
      <w:r w:rsidRPr="0093403C">
        <w:rPr>
          <w:bCs/>
          <w:sz w:val="22"/>
          <w:szCs w:val="22"/>
          <w:lang w:val="sr-Latn-ME"/>
        </w:rPr>
        <w:t>biotransformaciju</w:t>
      </w:r>
      <w:proofErr w:type="spellEnd"/>
      <w:r w:rsidRPr="0093403C">
        <w:rPr>
          <w:bCs/>
          <w:sz w:val="22"/>
          <w:szCs w:val="22"/>
          <w:lang w:val="sr-Latn-ME"/>
        </w:rPr>
        <w:t xml:space="preserve">. </w:t>
      </w:r>
    </w:p>
    <w:p w14:paraId="70ECDEDC" w14:textId="77777777" w:rsidR="002E634B" w:rsidRPr="0093403C" w:rsidRDefault="002E634B" w:rsidP="007C5B43">
      <w:pPr>
        <w:tabs>
          <w:tab w:val="left" w:pos="540"/>
          <w:tab w:val="left" w:pos="569"/>
        </w:tabs>
        <w:jc w:val="both"/>
        <w:rPr>
          <w:bCs/>
          <w:sz w:val="22"/>
          <w:szCs w:val="22"/>
          <w:lang w:val="sr-Latn-ME"/>
        </w:rPr>
      </w:pPr>
    </w:p>
    <w:p w14:paraId="7811A713" w14:textId="77777777" w:rsidR="0072020E" w:rsidRPr="0093403C" w:rsidRDefault="0072020E" w:rsidP="007C5B43">
      <w:pPr>
        <w:tabs>
          <w:tab w:val="left" w:pos="540"/>
          <w:tab w:val="left" w:pos="569"/>
        </w:tabs>
        <w:jc w:val="both"/>
        <w:rPr>
          <w:b/>
          <w:sz w:val="22"/>
          <w:szCs w:val="22"/>
          <w:lang w:val="sr-Latn-ME"/>
        </w:rPr>
      </w:pPr>
      <w:r w:rsidRPr="0093403C">
        <w:rPr>
          <w:b/>
          <w:bCs/>
          <w:sz w:val="22"/>
          <w:szCs w:val="22"/>
          <w:lang w:val="sr-Latn-ME"/>
        </w:rPr>
        <w:t xml:space="preserve">4.6. </w:t>
      </w:r>
      <w:r w:rsidR="00480FB1" w:rsidRPr="0093403C">
        <w:rPr>
          <w:b/>
          <w:bCs/>
          <w:sz w:val="22"/>
          <w:szCs w:val="22"/>
          <w:lang w:val="sr-Latn-ME"/>
        </w:rPr>
        <w:tab/>
      </w:r>
      <w:r w:rsidR="006D20A5" w:rsidRPr="0093403C">
        <w:rPr>
          <w:b/>
          <w:sz w:val="22"/>
          <w:szCs w:val="22"/>
          <w:lang w:val="sr-Latn-ME"/>
        </w:rPr>
        <w:t>Plodnost, trudnoća i dojenje</w:t>
      </w:r>
    </w:p>
    <w:p w14:paraId="58437F02" w14:textId="77777777" w:rsidR="002031B3" w:rsidRPr="0093403C" w:rsidRDefault="002031B3" w:rsidP="007C5B43">
      <w:pPr>
        <w:tabs>
          <w:tab w:val="left" w:pos="540"/>
          <w:tab w:val="left" w:pos="569"/>
        </w:tabs>
        <w:jc w:val="both"/>
        <w:rPr>
          <w:sz w:val="22"/>
          <w:szCs w:val="22"/>
          <w:u w:val="single"/>
          <w:lang w:val="sr-Latn-ME"/>
        </w:rPr>
      </w:pPr>
    </w:p>
    <w:p w14:paraId="65B412FC" w14:textId="77777777" w:rsidR="002E634B" w:rsidRPr="0093403C" w:rsidRDefault="002E634B" w:rsidP="007C5B43">
      <w:pPr>
        <w:pStyle w:val="Header"/>
        <w:tabs>
          <w:tab w:val="left" w:pos="284"/>
        </w:tabs>
        <w:spacing w:before="80" w:after="80"/>
        <w:jc w:val="both"/>
        <w:rPr>
          <w:bCs/>
          <w:sz w:val="22"/>
          <w:szCs w:val="22"/>
          <w:u w:val="single"/>
          <w:lang w:val="sr-Latn-ME"/>
        </w:rPr>
      </w:pPr>
      <w:r w:rsidRPr="0093403C">
        <w:rPr>
          <w:bCs/>
          <w:sz w:val="22"/>
          <w:szCs w:val="22"/>
          <w:u w:val="single"/>
          <w:lang w:val="sr-Latn-ME"/>
        </w:rPr>
        <w:t>Plodnost</w:t>
      </w:r>
    </w:p>
    <w:p w14:paraId="48493420" w14:textId="77777777" w:rsidR="002E634B" w:rsidRPr="0093403C" w:rsidRDefault="002E634B" w:rsidP="007C5B43">
      <w:pPr>
        <w:pStyle w:val="Header"/>
        <w:tabs>
          <w:tab w:val="left" w:pos="284"/>
        </w:tabs>
        <w:spacing w:before="80" w:after="80"/>
        <w:jc w:val="both"/>
        <w:rPr>
          <w:bCs/>
          <w:sz w:val="22"/>
          <w:szCs w:val="22"/>
          <w:lang w:val="sr-Latn-ME"/>
        </w:rPr>
      </w:pPr>
      <w:r w:rsidRPr="0093403C">
        <w:rPr>
          <w:bCs/>
          <w:sz w:val="22"/>
          <w:szCs w:val="22"/>
          <w:lang w:val="sr-Latn-ME"/>
        </w:rPr>
        <w:t xml:space="preserve">Nema saznanja o djelovanju </w:t>
      </w:r>
      <w:proofErr w:type="spellStart"/>
      <w:r w:rsidRPr="0093403C">
        <w:rPr>
          <w:bCs/>
          <w:sz w:val="22"/>
          <w:szCs w:val="22"/>
          <w:lang w:val="sr-Latn-ME"/>
        </w:rPr>
        <w:t>ibandronske</w:t>
      </w:r>
      <w:proofErr w:type="spellEnd"/>
      <w:r w:rsidRPr="0093403C">
        <w:rPr>
          <w:bCs/>
          <w:sz w:val="22"/>
          <w:szCs w:val="22"/>
          <w:lang w:val="sr-Latn-ME"/>
        </w:rPr>
        <w:t xml:space="preserve"> kiseline kod </w:t>
      </w:r>
      <w:proofErr w:type="spellStart"/>
      <w:r w:rsidRPr="0093403C">
        <w:rPr>
          <w:bCs/>
          <w:sz w:val="22"/>
          <w:szCs w:val="22"/>
          <w:lang w:val="sr-Latn-ME"/>
        </w:rPr>
        <w:t>ljudi</w:t>
      </w:r>
      <w:proofErr w:type="spellEnd"/>
      <w:r w:rsidRPr="0093403C">
        <w:rPr>
          <w:bCs/>
          <w:sz w:val="22"/>
          <w:szCs w:val="22"/>
          <w:lang w:val="sr-Latn-ME"/>
        </w:rPr>
        <w:t xml:space="preserve">. U reproduktivnim studijama </w:t>
      </w:r>
      <w:proofErr w:type="spellStart"/>
      <w:r w:rsidRPr="0093403C">
        <w:rPr>
          <w:bCs/>
          <w:sz w:val="22"/>
          <w:szCs w:val="22"/>
          <w:lang w:val="sr-Latn-ME"/>
        </w:rPr>
        <w:t>peroralne</w:t>
      </w:r>
      <w:proofErr w:type="spellEnd"/>
      <w:r w:rsidRPr="0093403C">
        <w:rPr>
          <w:bCs/>
          <w:sz w:val="22"/>
          <w:szCs w:val="22"/>
          <w:lang w:val="sr-Latn-ME"/>
        </w:rPr>
        <w:t xml:space="preserve"> primjene na pacovima, </w:t>
      </w:r>
      <w:proofErr w:type="spellStart"/>
      <w:r w:rsidRPr="0093403C">
        <w:rPr>
          <w:bCs/>
          <w:sz w:val="22"/>
          <w:szCs w:val="22"/>
          <w:lang w:val="sr-Latn-ME"/>
        </w:rPr>
        <w:t>ibandronska</w:t>
      </w:r>
      <w:proofErr w:type="spellEnd"/>
      <w:r w:rsidRPr="0093403C">
        <w:rPr>
          <w:bCs/>
          <w:sz w:val="22"/>
          <w:szCs w:val="22"/>
          <w:lang w:val="sr-Latn-ME"/>
        </w:rPr>
        <w:t xml:space="preserve"> kiselina je smanjila njihovu plodnost. U studijama na pacovima koji su lijek primali </w:t>
      </w:r>
      <w:proofErr w:type="spellStart"/>
      <w:r w:rsidRPr="0093403C">
        <w:rPr>
          <w:bCs/>
          <w:sz w:val="22"/>
          <w:szCs w:val="22"/>
          <w:lang w:val="sr-Latn-ME"/>
        </w:rPr>
        <w:t>intravenski</w:t>
      </w:r>
      <w:proofErr w:type="spellEnd"/>
      <w:r w:rsidRPr="0093403C">
        <w:rPr>
          <w:bCs/>
          <w:sz w:val="22"/>
          <w:szCs w:val="22"/>
          <w:lang w:val="sr-Latn-ME"/>
        </w:rPr>
        <w:t xml:space="preserve">, </w:t>
      </w:r>
      <w:proofErr w:type="spellStart"/>
      <w:r w:rsidRPr="0093403C">
        <w:rPr>
          <w:bCs/>
          <w:sz w:val="22"/>
          <w:szCs w:val="22"/>
          <w:lang w:val="sr-Latn-ME"/>
        </w:rPr>
        <w:t>ibandronska</w:t>
      </w:r>
      <w:proofErr w:type="spellEnd"/>
      <w:r w:rsidRPr="0093403C">
        <w:rPr>
          <w:bCs/>
          <w:sz w:val="22"/>
          <w:szCs w:val="22"/>
          <w:lang w:val="sr-Latn-ME"/>
        </w:rPr>
        <w:t xml:space="preserve">  kiselina je smanjila plodnost pri visokim dnevnim dozama (vidjeti dio 5.3).</w:t>
      </w:r>
    </w:p>
    <w:p w14:paraId="25F7E205" w14:textId="77777777" w:rsidR="002E634B" w:rsidRPr="0093403C" w:rsidRDefault="002E634B" w:rsidP="007C5B43">
      <w:pPr>
        <w:pStyle w:val="Header"/>
        <w:tabs>
          <w:tab w:val="left" w:pos="284"/>
        </w:tabs>
        <w:spacing w:before="80" w:after="80"/>
        <w:jc w:val="both"/>
        <w:rPr>
          <w:bCs/>
          <w:sz w:val="22"/>
          <w:szCs w:val="22"/>
          <w:lang w:val="sr-Latn-ME"/>
        </w:rPr>
      </w:pPr>
    </w:p>
    <w:p w14:paraId="223FC70C" w14:textId="77777777" w:rsidR="002E634B" w:rsidRPr="0093403C" w:rsidRDefault="002E634B" w:rsidP="007C5B43">
      <w:pPr>
        <w:keepNext/>
        <w:spacing w:line="260" w:lineRule="exact"/>
        <w:ind w:right="14"/>
        <w:jc w:val="both"/>
        <w:rPr>
          <w:bCs/>
          <w:sz w:val="22"/>
          <w:szCs w:val="22"/>
          <w:u w:val="single"/>
          <w:lang w:val="sr-Latn-ME"/>
        </w:rPr>
      </w:pPr>
      <w:r w:rsidRPr="0093403C">
        <w:rPr>
          <w:bCs/>
          <w:sz w:val="22"/>
          <w:szCs w:val="22"/>
          <w:u w:val="single"/>
          <w:lang w:val="sr-Latn-ME"/>
        </w:rPr>
        <w:t>Trudnoća</w:t>
      </w:r>
    </w:p>
    <w:p w14:paraId="03C3E3DD" w14:textId="77777777" w:rsidR="002E634B" w:rsidRPr="0093403C" w:rsidRDefault="002E634B" w:rsidP="007C5B43">
      <w:pPr>
        <w:jc w:val="both"/>
        <w:rPr>
          <w:sz w:val="22"/>
          <w:szCs w:val="22"/>
          <w:lang w:val="sr-Latn-ME"/>
        </w:rPr>
      </w:pPr>
      <w:proofErr w:type="spellStart"/>
      <w:r w:rsidRPr="0093403C">
        <w:rPr>
          <w:bCs/>
          <w:sz w:val="22"/>
          <w:szCs w:val="22"/>
          <w:lang w:val="sr-Latn-ME"/>
        </w:rPr>
        <w:t>Bonviva</w:t>
      </w:r>
      <w:proofErr w:type="spellEnd"/>
      <w:r w:rsidRPr="0093403C">
        <w:rPr>
          <w:bCs/>
          <w:sz w:val="22"/>
          <w:szCs w:val="22"/>
          <w:lang w:val="sr-Latn-ME"/>
        </w:rPr>
        <w:t xml:space="preserve"> je namijenjena isključivo za žene u </w:t>
      </w:r>
      <w:proofErr w:type="spellStart"/>
      <w:r w:rsidRPr="0093403C">
        <w:rPr>
          <w:bCs/>
          <w:sz w:val="22"/>
          <w:szCs w:val="22"/>
          <w:lang w:val="sr-Latn-ME"/>
        </w:rPr>
        <w:t>postmenopauzi</w:t>
      </w:r>
      <w:proofErr w:type="spellEnd"/>
      <w:r w:rsidRPr="0093403C">
        <w:rPr>
          <w:bCs/>
          <w:sz w:val="22"/>
          <w:szCs w:val="22"/>
          <w:lang w:val="sr-Latn-ME"/>
        </w:rPr>
        <w:t xml:space="preserve"> i ne smiju je primjenjivati žene u reproduktivnom periodu.</w:t>
      </w:r>
    </w:p>
    <w:p w14:paraId="0D095A39" w14:textId="77777777" w:rsidR="002E634B" w:rsidRPr="0093403C" w:rsidRDefault="002E634B" w:rsidP="007C5B43">
      <w:pPr>
        <w:pStyle w:val="Header"/>
        <w:tabs>
          <w:tab w:val="left" w:pos="284"/>
        </w:tabs>
        <w:spacing w:before="80" w:after="80"/>
        <w:jc w:val="both"/>
        <w:rPr>
          <w:bCs/>
          <w:sz w:val="22"/>
          <w:szCs w:val="22"/>
          <w:lang w:val="sr-Latn-ME"/>
        </w:rPr>
      </w:pPr>
      <w:r w:rsidRPr="0093403C">
        <w:rPr>
          <w:bCs/>
          <w:sz w:val="22"/>
          <w:szCs w:val="22"/>
          <w:lang w:val="sr-Latn-ME"/>
        </w:rPr>
        <w:t xml:space="preserve">Nema odgovarajućih podataka dobijenih pri upotrebi </w:t>
      </w:r>
      <w:proofErr w:type="spellStart"/>
      <w:r w:rsidRPr="0093403C">
        <w:rPr>
          <w:bCs/>
          <w:sz w:val="22"/>
          <w:szCs w:val="22"/>
          <w:lang w:val="sr-Latn-ME"/>
        </w:rPr>
        <w:t>ibandronske</w:t>
      </w:r>
      <w:proofErr w:type="spellEnd"/>
      <w:r w:rsidRPr="0093403C">
        <w:rPr>
          <w:bCs/>
          <w:sz w:val="22"/>
          <w:szCs w:val="22"/>
          <w:lang w:val="sr-Latn-ME"/>
        </w:rPr>
        <w:t xml:space="preserve"> kiseline kod trudnica. Ispitivanja na pacovima su pokazala određenu reproduktivnu toksičnost (vidjeti dio 5.3). Nije poznato koliki je potencijalni rizik pri primjeni kod </w:t>
      </w:r>
      <w:proofErr w:type="spellStart"/>
      <w:r w:rsidRPr="0093403C">
        <w:rPr>
          <w:bCs/>
          <w:sz w:val="22"/>
          <w:szCs w:val="22"/>
          <w:lang w:val="sr-Latn-ME"/>
        </w:rPr>
        <w:t>ljudi</w:t>
      </w:r>
      <w:proofErr w:type="spellEnd"/>
      <w:r w:rsidRPr="0093403C">
        <w:rPr>
          <w:bCs/>
          <w:sz w:val="22"/>
          <w:szCs w:val="22"/>
          <w:lang w:val="sr-Latn-ME"/>
        </w:rPr>
        <w:t xml:space="preserve">. </w:t>
      </w:r>
      <w:proofErr w:type="spellStart"/>
      <w:r w:rsidRPr="0093403C">
        <w:rPr>
          <w:bCs/>
          <w:sz w:val="22"/>
          <w:szCs w:val="22"/>
          <w:lang w:val="sr-Latn-ME"/>
        </w:rPr>
        <w:t>Bonviva</w:t>
      </w:r>
      <w:proofErr w:type="spellEnd"/>
      <w:r w:rsidRPr="0093403C">
        <w:rPr>
          <w:bCs/>
          <w:sz w:val="22"/>
          <w:szCs w:val="22"/>
          <w:lang w:val="sr-Latn-ME"/>
        </w:rPr>
        <w:t xml:space="preserve"> se ne smije koristiti tokom trudnoće. </w:t>
      </w:r>
    </w:p>
    <w:p w14:paraId="3AD6F461" w14:textId="77777777" w:rsidR="002E634B" w:rsidRPr="0093403C" w:rsidRDefault="002E634B" w:rsidP="007C5B43">
      <w:pPr>
        <w:pStyle w:val="Header"/>
        <w:tabs>
          <w:tab w:val="left" w:pos="284"/>
        </w:tabs>
        <w:spacing w:before="80"/>
        <w:jc w:val="both"/>
        <w:rPr>
          <w:bCs/>
          <w:sz w:val="22"/>
          <w:szCs w:val="22"/>
          <w:lang w:val="sr-Latn-ME"/>
        </w:rPr>
      </w:pPr>
    </w:p>
    <w:p w14:paraId="636A0581" w14:textId="77777777" w:rsidR="002E634B" w:rsidRPr="0093403C" w:rsidRDefault="002E634B" w:rsidP="007C5B43">
      <w:pPr>
        <w:pStyle w:val="Header"/>
        <w:tabs>
          <w:tab w:val="left" w:pos="284"/>
        </w:tabs>
        <w:spacing w:before="80" w:after="80"/>
        <w:jc w:val="both"/>
        <w:rPr>
          <w:bCs/>
          <w:sz w:val="22"/>
          <w:szCs w:val="22"/>
          <w:u w:val="single"/>
          <w:lang w:val="sr-Latn-ME"/>
        </w:rPr>
      </w:pPr>
      <w:r w:rsidRPr="0093403C">
        <w:rPr>
          <w:bCs/>
          <w:sz w:val="22"/>
          <w:szCs w:val="22"/>
          <w:u w:val="single"/>
          <w:lang w:val="sr-Latn-ME"/>
        </w:rPr>
        <w:t>Dojenje</w:t>
      </w:r>
    </w:p>
    <w:p w14:paraId="7561FEA6" w14:textId="77777777" w:rsidR="002E634B" w:rsidRPr="0093403C" w:rsidRDefault="002E634B" w:rsidP="007C5B43">
      <w:pPr>
        <w:pStyle w:val="Header"/>
        <w:tabs>
          <w:tab w:val="left" w:pos="284"/>
        </w:tabs>
        <w:spacing w:before="80" w:after="80"/>
        <w:jc w:val="both"/>
        <w:rPr>
          <w:bCs/>
          <w:sz w:val="22"/>
          <w:szCs w:val="22"/>
          <w:lang w:val="sr-Latn-ME"/>
        </w:rPr>
      </w:pPr>
      <w:r w:rsidRPr="0093403C">
        <w:rPr>
          <w:bCs/>
          <w:sz w:val="22"/>
          <w:szCs w:val="22"/>
          <w:lang w:val="sr-Latn-ME"/>
        </w:rPr>
        <w:t xml:space="preserve">Nije poznato da li se </w:t>
      </w:r>
      <w:proofErr w:type="spellStart"/>
      <w:r w:rsidRPr="0093403C">
        <w:rPr>
          <w:bCs/>
          <w:sz w:val="22"/>
          <w:szCs w:val="22"/>
          <w:lang w:val="sr-Latn-ME"/>
        </w:rPr>
        <w:t>ibandronska</w:t>
      </w:r>
      <w:proofErr w:type="spellEnd"/>
      <w:r w:rsidRPr="0093403C">
        <w:rPr>
          <w:bCs/>
          <w:sz w:val="22"/>
          <w:szCs w:val="22"/>
          <w:lang w:val="sr-Latn-ME"/>
        </w:rPr>
        <w:t xml:space="preserve"> kiselina izlučuje u majčinom mlijeku. Ispitivanja na ženkama pacova u fazi </w:t>
      </w:r>
      <w:proofErr w:type="spellStart"/>
      <w:r w:rsidRPr="0093403C">
        <w:rPr>
          <w:bCs/>
          <w:sz w:val="22"/>
          <w:szCs w:val="22"/>
          <w:lang w:val="sr-Latn-ME"/>
        </w:rPr>
        <w:t>laktacije</w:t>
      </w:r>
      <w:proofErr w:type="spellEnd"/>
      <w:r w:rsidRPr="0093403C">
        <w:rPr>
          <w:bCs/>
          <w:sz w:val="22"/>
          <w:szCs w:val="22"/>
          <w:lang w:val="sr-Latn-ME"/>
        </w:rPr>
        <w:t xml:space="preserve"> pokazala su prisustvo niskih nivoa </w:t>
      </w:r>
      <w:proofErr w:type="spellStart"/>
      <w:r w:rsidRPr="0093403C">
        <w:rPr>
          <w:bCs/>
          <w:sz w:val="22"/>
          <w:szCs w:val="22"/>
          <w:lang w:val="sr-Latn-ME"/>
        </w:rPr>
        <w:t>ibandronske</w:t>
      </w:r>
      <w:proofErr w:type="spellEnd"/>
      <w:r w:rsidRPr="0093403C">
        <w:rPr>
          <w:bCs/>
          <w:sz w:val="22"/>
          <w:szCs w:val="22"/>
          <w:lang w:val="sr-Latn-ME"/>
        </w:rPr>
        <w:t xml:space="preserve"> kiseline u mlijeku po </w:t>
      </w:r>
      <w:proofErr w:type="spellStart"/>
      <w:r w:rsidRPr="0093403C">
        <w:rPr>
          <w:bCs/>
          <w:sz w:val="22"/>
          <w:szCs w:val="22"/>
          <w:lang w:val="sr-Latn-ME"/>
        </w:rPr>
        <w:t>intravenskoj</w:t>
      </w:r>
      <w:proofErr w:type="spellEnd"/>
      <w:r w:rsidRPr="0093403C">
        <w:rPr>
          <w:bCs/>
          <w:sz w:val="22"/>
          <w:szCs w:val="22"/>
          <w:lang w:val="sr-Latn-ME"/>
        </w:rPr>
        <w:t xml:space="preserve"> primjeni.</w:t>
      </w:r>
    </w:p>
    <w:p w14:paraId="4B732FDF" w14:textId="77777777" w:rsidR="002E634B" w:rsidRPr="0093403C" w:rsidRDefault="002E634B" w:rsidP="007C5B43">
      <w:pPr>
        <w:pStyle w:val="Header"/>
        <w:tabs>
          <w:tab w:val="left" w:pos="284"/>
        </w:tabs>
        <w:spacing w:before="80" w:after="80"/>
        <w:jc w:val="both"/>
        <w:rPr>
          <w:bCs/>
          <w:sz w:val="22"/>
          <w:szCs w:val="22"/>
          <w:lang w:val="sr-Latn-ME"/>
        </w:rPr>
      </w:pPr>
      <w:proofErr w:type="spellStart"/>
      <w:r w:rsidRPr="0093403C">
        <w:rPr>
          <w:bCs/>
          <w:sz w:val="22"/>
          <w:szCs w:val="22"/>
          <w:lang w:val="sr-Latn-ME"/>
        </w:rPr>
        <w:t>Bonviva</w:t>
      </w:r>
      <w:proofErr w:type="spellEnd"/>
      <w:r w:rsidRPr="0093403C">
        <w:rPr>
          <w:bCs/>
          <w:sz w:val="22"/>
          <w:szCs w:val="22"/>
          <w:lang w:val="sr-Latn-ME"/>
        </w:rPr>
        <w:t xml:space="preserve"> se ne smije koristiti tokom dojenja.</w:t>
      </w:r>
    </w:p>
    <w:p w14:paraId="62AB2E49" w14:textId="77777777" w:rsidR="00227BDB" w:rsidRPr="0093403C" w:rsidRDefault="00227BDB" w:rsidP="007C5B43">
      <w:pPr>
        <w:tabs>
          <w:tab w:val="left" w:pos="540"/>
          <w:tab w:val="left" w:pos="569"/>
        </w:tabs>
        <w:ind w:left="540" w:hanging="540"/>
        <w:jc w:val="both"/>
        <w:rPr>
          <w:b/>
          <w:bCs/>
          <w:sz w:val="22"/>
          <w:szCs w:val="22"/>
          <w:lang w:val="sr-Latn-ME"/>
        </w:rPr>
      </w:pPr>
    </w:p>
    <w:p w14:paraId="5C1BA24D" w14:textId="77777777" w:rsidR="0072020E" w:rsidRPr="0093403C" w:rsidRDefault="0072020E" w:rsidP="007C5B43">
      <w:pPr>
        <w:tabs>
          <w:tab w:val="left" w:pos="540"/>
          <w:tab w:val="left" w:pos="569"/>
        </w:tabs>
        <w:ind w:left="540" w:hanging="540"/>
        <w:jc w:val="both"/>
        <w:rPr>
          <w:b/>
          <w:bCs/>
          <w:sz w:val="22"/>
          <w:szCs w:val="22"/>
          <w:lang w:val="sr-Latn-ME"/>
        </w:rPr>
      </w:pPr>
      <w:r w:rsidRPr="0093403C">
        <w:rPr>
          <w:b/>
          <w:bCs/>
          <w:sz w:val="22"/>
          <w:szCs w:val="22"/>
          <w:lang w:val="sr-Latn-ME"/>
        </w:rPr>
        <w:t xml:space="preserve">4.7. </w:t>
      </w:r>
      <w:r w:rsidR="00480FB1" w:rsidRPr="0093403C">
        <w:rPr>
          <w:b/>
          <w:bCs/>
          <w:sz w:val="22"/>
          <w:szCs w:val="22"/>
          <w:lang w:val="sr-Latn-ME"/>
        </w:rPr>
        <w:tab/>
      </w:r>
      <w:r w:rsidRPr="0093403C">
        <w:rPr>
          <w:b/>
          <w:bCs/>
          <w:sz w:val="22"/>
          <w:szCs w:val="22"/>
          <w:lang w:val="sr-Latn-ME"/>
        </w:rPr>
        <w:t xml:space="preserve">Uticaj na </w:t>
      </w:r>
      <w:r w:rsidR="002031B3" w:rsidRPr="0093403C">
        <w:rPr>
          <w:b/>
          <w:bCs/>
          <w:sz w:val="22"/>
          <w:szCs w:val="22"/>
          <w:lang w:val="sr-Latn-ME"/>
        </w:rPr>
        <w:t xml:space="preserve">sposobnost </w:t>
      </w:r>
      <w:r w:rsidR="00F34554" w:rsidRPr="0093403C">
        <w:rPr>
          <w:b/>
          <w:bCs/>
          <w:sz w:val="22"/>
          <w:szCs w:val="22"/>
          <w:lang w:val="sr-Latn-ME"/>
        </w:rPr>
        <w:t>upravljanja vozili</w:t>
      </w:r>
      <w:r w:rsidRPr="0093403C">
        <w:rPr>
          <w:b/>
          <w:bCs/>
          <w:sz w:val="22"/>
          <w:szCs w:val="22"/>
          <w:lang w:val="sr-Latn-ME"/>
        </w:rPr>
        <w:t>m</w:t>
      </w:r>
      <w:r w:rsidR="00F34554" w:rsidRPr="0093403C">
        <w:rPr>
          <w:b/>
          <w:bCs/>
          <w:sz w:val="22"/>
          <w:szCs w:val="22"/>
          <w:lang w:val="sr-Latn-ME"/>
        </w:rPr>
        <w:t>a</w:t>
      </w:r>
      <w:r w:rsidRPr="0093403C">
        <w:rPr>
          <w:b/>
          <w:bCs/>
          <w:sz w:val="22"/>
          <w:szCs w:val="22"/>
          <w:lang w:val="sr-Latn-ME"/>
        </w:rPr>
        <w:t xml:space="preserve"> i </w:t>
      </w:r>
      <w:r w:rsidR="000D3449" w:rsidRPr="0093403C">
        <w:rPr>
          <w:b/>
          <w:bCs/>
          <w:sz w:val="22"/>
          <w:szCs w:val="22"/>
          <w:lang w:val="sr-Latn-ME"/>
        </w:rPr>
        <w:t xml:space="preserve">rukovanje </w:t>
      </w:r>
      <w:r w:rsidRPr="0093403C">
        <w:rPr>
          <w:b/>
          <w:bCs/>
          <w:sz w:val="22"/>
          <w:szCs w:val="22"/>
          <w:lang w:val="sr-Latn-ME"/>
        </w:rPr>
        <w:t>mašinama</w:t>
      </w:r>
    </w:p>
    <w:p w14:paraId="412EEB2C" w14:textId="77777777" w:rsidR="002E634B" w:rsidRPr="0093403C" w:rsidRDefault="002E634B" w:rsidP="007C5B43">
      <w:pPr>
        <w:tabs>
          <w:tab w:val="left" w:pos="540"/>
          <w:tab w:val="left" w:pos="569"/>
        </w:tabs>
        <w:jc w:val="both"/>
        <w:rPr>
          <w:b/>
          <w:bCs/>
          <w:sz w:val="22"/>
          <w:szCs w:val="22"/>
          <w:lang w:val="sr-Latn-ME"/>
        </w:rPr>
      </w:pPr>
    </w:p>
    <w:p w14:paraId="541FE4E9" w14:textId="77777777" w:rsidR="002E634B" w:rsidRPr="0093403C" w:rsidRDefault="002E634B" w:rsidP="007C5B43">
      <w:pPr>
        <w:pStyle w:val="Header"/>
        <w:tabs>
          <w:tab w:val="left" w:pos="284"/>
        </w:tabs>
        <w:spacing w:before="80" w:after="80"/>
        <w:jc w:val="both"/>
        <w:rPr>
          <w:bCs/>
          <w:sz w:val="22"/>
          <w:szCs w:val="22"/>
          <w:lang w:val="sr-Latn-ME"/>
        </w:rPr>
      </w:pPr>
      <w:r w:rsidRPr="0093403C">
        <w:rPr>
          <w:bCs/>
          <w:sz w:val="22"/>
          <w:szCs w:val="22"/>
          <w:lang w:val="sr-Latn-ME"/>
        </w:rPr>
        <w:t xml:space="preserve">Nijesu objavljena ispitivanja da se utvrdi dejstvo ovog lijeka na sposobnost za upravljanje vozilima i mašinama. </w:t>
      </w:r>
    </w:p>
    <w:p w14:paraId="79668B2F" w14:textId="669D91F6" w:rsidR="002E634B" w:rsidRPr="0093403C" w:rsidRDefault="002E634B" w:rsidP="007C5B43">
      <w:pPr>
        <w:tabs>
          <w:tab w:val="left" w:pos="540"/>
          <w:tab w:val="left" w:pos="569"/>
        </w:tabs>
        <w:jc w:val="both"/>
        <w:rPr>
          <w:b/>
          <w:bCs/>
          <w:sz w:val="22"/>
          <w:szCs w:val="22"/>
          <w:lang w:val="sr-Latn-ME"/>
        </w:rPr>
      </w:pPr>
      <w:r w:rsidRPr="0093403C">
        <w:rPr>
          <w:bCs/>
          <w:sz w:val="22"/>
          <w:szCs w:val="22"/>
          <w:lang w:val="sr-Latn-ME"/>
        </w:rPr>
        <w:t xml:space="preserve">S obzirom na </w:t>
      </w:r>
      <w:proofErr w:type="spellStart"/>
      <w:r w:rsidRPr="0093403C">
        <w:rPr>
          <w:bCs/>
          <w:sz w:val="22"/>
          <w:szCs w:val="22"/>
          <w:lang w:val="sr-Latn-ME"/>
        </w:rPr>
        <w:t>farmakodinamički</w:t>
      </w:r>
      <w:proofErr w:type="spellEnd"/>
      <w:r w:rsidRPr="0093403C">
        <w:rPr>
          <w:bCs/>
          <w:sz w:val="22"/>
          <w:szCs w:val="22"/>
          <w:lang w:val="sr-Latn-ME"/>
        </w:rPr>
        <w:t xml:space="preserve"> i </w:t>
      </w:r>
      <w:proofErr w:type="spellStart"/>
      <w:r w:rsidRPr="0093403C">
        <w:rPr>
          <w:bCs/>
          <w:sz w:val="22"/>
          <w:szCs w:val="22"/>
          <w:lang w:val="sr-Latn-ME"/>
        </w:rPr>
        <w:t>farmakokinetički</w:t>
      </w:r>
      <w:proofErr w:type="spellEnd"/>
      <w:r w:rsidRPr="0093403C">
        <w:rPr>
          <w:bCs/>
          <w:sz w:val="22"/>
          <w:szCs w:val="22"/>
          <w:lang w:val="sr-Latn-ME"/>
        </w:rPr>
        <w:t xml:space="preserve"> profil lijeka i prijavljena neželjena dejstva, očekuje se da </w:t>
      </w:r>
      <w:proofErr w:type="spellStart"/>
      <w:r w:rsidRPr="0093403C">
        <w:rPr>
          <w:bCs/>
          <w:sz w:val="22"/>
          <w:szCs w:val="22"/>
          <w:lang w:val="sr-Latn-ME"/>
        </w:rPr>
        <w:t>Bonviva</w:t>
      </w:r>
      <w:proofErr w:type="spellEnd"/>
      <w:r w:rsidRPr="0093403C">
        <w:rPr>
          <w:bCs/>
          <w:sz w:val="22"/>
          <w:szCs w:val="22"/>
          <w:lang w:val="sr-Latn-ME"/>
        </w:rPr>
        <w:t xml:space="preserve"> ne utiče ili zanemarljivo utiče na sposobnost upravljanja vozilima i rukovanja mašinama.</w:t>
      </w:r>
    </w:p>
    <w:p w14:paraId="2634D6C4" w14:textId="77777777" w:rsidR="002E634B" w:rsidRPr="0093403C" w:rsidRDefault="002E634B" w:rsidP="007C5B43">
      <w:pPr>
        <w:tabs>
          <w:tab w:val="left" w:pos="540"/>
          <w:tab w:val="left" w:pos="569"/>
        </w:tabs>
        <w:jc w:val="both"/>
        <w:rPr>
          <w:b/>
          <w:bCs/>
          <w:sz w:val="22"/>
          <w:szCs w:val="22"/>
          <w:lang w:val="sr-Latn-ME"/>
        </w:rPr>
      </w:pPr>
    </w:p>
    <w:p w14:paraId="286DA195" w14:textId="4000CA88" w:rsidR="0072020E" w:rsidRPr="0093403C" w:rsidRDefault="0072020E" w:rsidP="007C5B43">
      <w:pPr>
        <w:tabs>
          <w:tab w:val="left" w:pos="540"/>
          <w:tab w:val="left" w:pos="569"/>
        </w:tabs>
        <w:jc w:val="both"/>
        <w:rPr>
          <w:b/>
          <w:bCs/>
          <w:sz w:val="22"/>
          <w:szCs w:val="22"/>
          <w:lang w:val="sr-Latn-ME"/>
        </w:rPr>
      </w:pPr>
      <w:r w:rsidRPr="0093403C">
        <w:rPr>
          <w:b/>
          <w:bCs/>
          <w:sz w:val="22"/>
          <w:szCs w:val="22"/>
          <w:lang w:val="sr-Latn-ME"/>
        </w:rPr>
        <w:t xml:space="preserve">4.8. </w:t>
      </w:r>
      <w:r w:rsidR="00480FB1" w:rsidRPr="0093403C">
        <w:rPr>
          <w:b/>
          <w:bCs/>
          <w:sz w:val="22"/>
          <w:szCs w:val="22"/>
          <w:lang w:val="sr-Latn-ME"/>
        </w:rPr>
        <w:tab/>
      </w:r>
      <w:r w:rsidRPr="0093403C">
        <w:rPr>
          <w:b/>
          <w:bCs/>
          <w:sz w:val="22"/>
          <w:szCs w:val="22"/>
          <w:lang w:val="sr-Latn-ME"/>
        </w:rPr>
        <w:t>Neželjena dejstva</w:t>
      </w:r>
    </w:p>
    <w:p w14:paraId="10DC8941" w14:textId="77777777" w:rsidR="004E70AD" w:rsidRPr="0093403C" w:rsidRDefault="004E70AD" w:rsidP="007C5B43">
      <w:pPr>
        <w:tabs>
          <w:tab w:val="left" w:pos="540"/>
          <w:tab w:val="left" w:pos="569"/>
        </w:tabs>
        <w:jc w:val="both"/>
        <w:rPr>
          <w:b/>
          <w:bCs/>
          <w:sz w:val="22"/>
          <w:szCs w:val="22"/>
          <w:lang w:val="sr-Latn-ME"/>
        </w:rPr>
      </w:pPr>
    </w:p>
    <w:p w14:paraId="38E36846" w14:textId="77777777" w:rsidR="002E634B" w:rsidRPr="0093403C" w:rsidRDefault="002E634B" w:rsidP="007C5B43">
      <w:pPr>
        <w:pStyle w:val="Header"/>
        <w:tabs>
          <w:tab w:val="left" w:pos="284"/>
        </w:tabs>
        <w:spacing w:before="80" w:after="80"/>
        <w:jc w:val="both"/>
        <w:rPr>
          <w:bCs/>
          <w:sz w:val="22"/>
          <w:szCs w:val="22"/>
          <w:u w:val="single"/>
          <w:lang w:val="sr-Latn-ME"/>
        </w:rPr>
      </w:pPr>
      <w:r w:rsidRPr="0093403C">
        <w:rPr>
          <w:bCs/>
          <w:sz w:val="22"/>
          <w:szCs w:val="22"/>
          <w:u w:val="single"/>
          <w:lang w:val="sr-Latn-ME"/>
        </w:rPr>
        <w:t xml:space="preserve">Sažetak </w:t>
      </w:r>
      <w:proofErr w:type="spellStart"/>
      <w:r w:rsidRPr="0093403C">
        <w:rPr>
          <w:bCs/>
          <w:sz w:val="22"/>
          <w:szCs w:val="22"/>
          <w:u w:val="single"/>
          <w:lang w:val="sr-Latn-ME"/>
        </w:rPr>
        <w:t>bezbjednosnog</w:t>
      </w:r>
      <w:proofErr w:type="spellEnd"/>
      <w:r w:rsidRPr="0093403C">
        <w:rPr>
          <w:bCs/>
          <w:sz w:val="22"/>
          <w:szCs w:val="22"/>
          <w:u w:val="single"/>
          <w:lang w:val="sr-Latn-ME"/>
        </w:rPr>
        <w:t xml:space="preserve"> profila</w:t>
      </w:r>
    </w:p>
    <w:p w14:paraId="0724233E" w14:textId="77777777" w:rsidR="002E634B" w:rsidRPr="0093403C" w:rsidRDefault="002E634B" w:rsidP="007C5B43">
      <w:pPr>
        <w:pStyle w:val="Header"/>
        <w:tabs>
          <w:tab w:val="left" w:pos="284"/>
        </w:tabs>
        <w:spacing w:before="80" w:after="80"/>
        <w:ind w:right="619"/>
        <w:jc w:val="both"/>
        <w:rPr>
          <w:bCs/>
          <w:sz w:val="22"/>
          <w:szCs w:val="22"/>
          <w:lang w:val="sr-Latn-ME"/>
        </w:rPr>
      </w:pPr>
      <w:r w:rsidRPr="0093403C">
        <w:rPr>
          <w:bCs/>
          <w:sz w:val="22"/>
          <w:szCs w:val="22"/>
          <w:lang w:val="sr-Latn-ME"/>
        </w:rPr>
        <w:t xml:space="preserve">Najozbiljnija prijavljena neželjena dejstva su </w:t>
      </w:r>
      <w:proofErr w:type="spellStart"/>
      <w:r w:rsidRPr="0093403C">
        <w:rPr>
          <w:bCs/>
          <w:sz w:val="22"/>
          <w:szCs w:val="22"/>
          <w:lang w:val="sr-Latn-ME"/>
        </w:rPr>
        <w:t>anafilaktička</w:t>
      </w:r>
      <w:proofErr w:type="spellEnd"/>
      <w:r w:rsidRPr="0093403C">
        <w:rPr>
          <w:bCs/>
          <w:sz w:val="22"/>
          <w:szCs w:val="22"/>
          <w:lang w:val="sr-Latn-ME"/>
        </w:rPr>
        <w:t xml:space="preserve"> reakcija/šok, atipični prelomi butne kosti, </w:t>
      </w:r>
      <w:proofErr w:type="spellStart"/>
      <w:r w:rsidRPr="0093403C">
        <w:rPr>
          <w:bCs/>
          <w:sz w:val="22"/>
          <w:szCs w:val="22"/>
          <w:lang w:val="sr-Latn-ME"/>
        </w:rPr>
        <w:t>osteonekroza</w:t>
      </w:r>
      <w:proofErr w:type="spellEnd"/>
      <w:r w:rsidRPr="0093403C">
        <w:rPr>
          <w:bCs/>
          <w:sz w:val="22"/>
          <w:szCs w:val="22"/>
          <w:lang w:val="sr-Latn-ME"/>
        </w:rPr>
        <w:t xml:space="preserve"> vilice i upala oka (vidjeti dio „Opis odabranih neželjenih dejstava“ i dio 4.4).</w:t>
      </w:r>
    </w:p>
    <w:p w14:paraId="1068C4E3" w14:textId="77777777" w:rsidR="002E634B" w:rsidRPr="0093403C" w:rsidRDefault="002E634B" w:rsidP="007C5B43">
      <w:pPr>
        <w:pStyle w:val="Header"/>
        <w:tabs>
          <w:tab w:val="left" w:pos="284"/>
        </w:tabs>
        <w:spacing w:before="80" w:after="80"/>
        <w:jc w:val="both"/>
        <w:rPr>
          <w:bCs/>
          <w:sz w:val="22"/>
          <w:szCs w:val="22"/>
          <w:lang w:val="sr-Latn-ME"/>
        </w:rPr>
      </w:pPr>
      <w:r w:rsidRPr="0093403C">
        <w:rPr>
          <w:bCs/>
          <w:sz w:val="22"/>
          <w:szCs w:val="22"/>
          <w:lang w:val="sr-Latn-ME"/>
        </w:rPr>
        <w:t xml:space="preserve">Najčešća prijavljivana neželjena dejstva su </w:t>
      </w:r>
      <w:proofErr w:type="spellStart"/>
      <w:r w:rsidRPr="0093403C">
        <w:rPr>
          <w:bCs/>
          <w:sz w:val="22"/>
          <w:szCs w:val="22"/>
          <w:lang w:val="sr-Latn-ME"/>
        </w:rPr>
        <w:t>artralgija</w:t>
      </w:r>
      <w:proofErr w:type="spellEnd"/>
      <w:r w:rsidRPr="0093403C">
        <w:rPr>
          <w:bCs/>
          <w:sz w:val="22"/>
          <w:szCs w:val="22"/>
          <w:lang w:val="sr-Latn-ME"/>
        </w:rPr>
        <w:t xml:space="preserve"> i simptomi slični gripu. Ti simptomi tipično su povezani sa prvom dozom, obično su kratkog trajanja, srednjeg ili umjerenog intenziteta i uglavnom prolaze tokom kontinuiranog liječenja bez potrebe za mjerama ublažavanja (vidjeti dio „Bolest slična gripu“).</w:t>
      </w:r>
    </w:p>
    <w:p w14:paraId="1E55F742" w14:textId="77777777" w:rsidR="002E634B" w:rsidRPr="0093403C" w:rsidRDefault="002E634B" w:rsidP="007C5B43">
      <w:pPr>
        <w:pStyle w:val="Header"/>
        <w:tabs>
          <w:tab w:val="left" w:pos="284"/>
        </w:tabs>
        <w:spacing w:before="80"/>
        <w:jc w:val="both"/>
        <w:rPr>
          <w:bCs/>
          <w:sz w:val="22"/>
          <w:szCs w:val="22"/>
          <w:lang w:val="sr-Latn-ME"/>
        </w:rPr>
      </w:pPr>
    </w:p>
    <w:p w14:paraId="62FB5AB1" w14:textId="77777777" w:rsidR="002E634B" w:rsidRPr="0093403C" w:rsidRDefault="002E634B" w:rsidP="007C5B43">
      <w:pPr>
        <w:pStyle w:val="Header"/>
        <w:tabs>
          <w:tab w:val="left" w:pos="284"/>
        </w:tabs>
        <w:spacing w:before="80" w:after="80"/>
        <w:jc w:val="both"/>
        <w:rPr>
          <w:bCs/>
          <w:sz w:val="22"/>
          <w:szCs w:val="22"/>
          <w:u w:val="single"/>
          <w:lang w:val="sr-Latn-ME"/>
        </w:rPr>
      </w:pPr>
      <w:r w:rsidRPr="0093403C">
        <w:rPr>
          <w:bCs/>
          <w:sz w:val="22"/>
          <w:szCs w:val="22"/>
          <w:u w:val="single"/>
          <w:lang w:val="sr-Latn-ME"/>
        </w:rPr>
        <w:t xml:space="preserve">Tabelarni prikaz neželjenih dejstava </w:t>
      </w:r>
    </w:p>
    <w:p w14:paraId="5FD32F96" w14:textId="77777777" w:rsidR="002E634B" w:rsidRPr="0093403C" w:rsidRDefault="002E634B" w:rsidP="007C5B43">
      <w:pPr>
        <w:pStyle w:val="Header"/>
        <w:tabs>
          <w:tab w:val="left" w:pos="284"/>
        </w:tabs>
        <w:spacing w:before="80" w:after="80"/>
        <w:jc w:val="both"/>
        <w:rPr>
          <w:bCs/>
          <w:sz w:val="22"/>
          <w:szCs w:val="22"/>
          <w:lang w:val="sr-Latn-ME"/>
        </w:rPr>
      </w:pPr>
      <w:r w:rsidRPr="0093403C">
        <w:rPr>
          <w:bCs/>
          <w:sz w:val="22"/>
          <w:szCs w:val="22"/>
          <w:lang w:val="sr-Latn-ME"/>
        </w:rPr>
        <w:t xml:space="preserve">U Tabeli 1 prikazan je popis svih poznatih neželjenih dejstava. </w:t>
      </w:r>
    </w:p>
    <w:p w14:paraId="43D56DED" w14:textId="77777777" w:rsidR="002E634B" w:rsidRPr="0093403C" w:rsidRDefault="002E634B" w:rsidP="007C5B43">
      <w:pPr>
        <w:pStyle w:val="Header"/>
        <w:tabs>
          <w:tab w:val="left" w:pos="284"/>
        </w:tabs>
        <w:spacing w:before="80" w:after="80"/>
        <w:jc w:val="both"/>
        <w:rPr>
          <w:bCs/>
          <w:sz w:val="22"/>
          <w:szCs w:val="22"/>
          <w:lang w:val="sr-Latn-ME"/>
        </w:rPr>
      </w:pPr>
      <w:r w:rsidRPr="0093403C">
        <w:rPr>
          <w:bCs/>
          <w:sz w:val="22"/>
          <w:szCs w:val="22"/>
          <w:lang w:val="sr-Latn-ME"/>
        </w:rPr>
        <w:t xml:space="preserve">Bezbjednost </w:t>
      </w:r>
      <w:proofErr w:type="spellStart"/>
      <w:r w:rsidRPr="0093403C">
        <w:rPr>
          <w:bCs/>
          <w:sz w:val="22"/>
          <w:szCs w:val="22"/>
          <w:lang w:val="sr-Latn-ME"/>
        </w:rPr>
        <w:t>peroralne</w:t>
      </w:r>
      <w:proofErr w:type="spellEnd"/>
      <w:r w:rsidRPr="0093403C">
        <w:rPr>
          <w:bCs/>
          <w:sz w:val="22"/>
          <w:szCs w:val="22"/>
          <w:lang w:val="sr-Latn-ME"/>
        </w:rPr>
        <w:t xml:space="preserve"> primjene </w:t>
      </w:r>
      <w:proofErr w:type="spellStart"/>
      <w:r w:rsidRPr="0093403C">
        <w:rPr>
          <w:bCs/>
          <w:sz w:val="22"/>
          <w:szCs w:val="22"/>
          <w:lang w:val="sr-Latn-ME"/>
        </w:rPr>
        <w:t>ibandronske</w:t>
      </w:r>
      <w:proofErr w:type="spellEnd"/>
      <w:r w:rsidRPr="0093403C">
        <w:rPr>
          <w:bCs/>
          <w:sz w:val="22"/>
          <w:szCs w:val="22"/>
          <w:lang w:val="sr-Latn-ME"/>
        </w:rPr>
        <w:t xml:space="preserve"> kiseline 2,5 mg jedanput dnevno ispitana je kod 1251 pacijenata u četiri </w:t>
      </w:r>
      <w:proofErr w:type="spellStart"/>
      <w:r w:rsidRPr="0093403C">
        <w:rPr>
          <w:bCs/>
          <w:sz w:val="22"/>
          <w:szCs w:val="22"/>
          <w:lang w:val="sr-Latn-ME"/>
        </w:rPr>
        <w:t>placebo</w:t>
      </w:r>
      <w:proofErr w:type="spellEnd"/>
      <w:r w:rsidRPr="0093403C">
        <w:rPr>
          <w:bCs/>
          <w:sz w:val="22"/>
          <w:szCs w:val="22"/>
          <w:lang w:val="sr-Latn-ME"/>
        </w:rPr>
        <w:t xml:space="preserve"> kontrolisane kliničke studije, od kojih je većina pacijenata bila prethodno uključena u </w:t>
      </w:r>
      <w:proofErr w:type="spellStart"/>
      <w:r w:rsidRPr="0093403C">
        <w:rPr>
          <w:bCs/>
          <w:sz w:val="22"/>
          <w:szCs w:val="22"/>
          <w:lang w:val="sr-Latn-ME"/>
        </w:rPr>
        <w:t>pivotalnu</w:t>
      </w:r>
      <w:proofErr w:type="spellEnd"/>
      <w:r w:rsidRPr="0093403C">
        <w:rPr>
          <w:bCs/>
          <w:sz w:val="22"/>
          <w:szCs w:val="22"/>
          <w:lang w:val="sr-Latn-ME"/>
        </w:rPr>
        <w:t xml:space="preserve"> trogodišnju kliničku studiju o </w:t>
      </w:r>
      <w:proofErr w:type="spellStart"/>
      <w:r w:rsidRPr="0093403C">
        <w:rPr>
          <w:bCs/>
          <w:sz w:val="22"/>
          <w:szCs w:val="22"/>
          <w:lang w:val="sr-Latn-ME"/>
        </w:rPr>
        <w:t>prelomima</w:t>
      </w:r>
      <w:proofErr w:type="spellEnd"/>
      <w:r w:rsidRPr="0093403C">
        <w:rPr>
          <w:bCs/>
          <w:sz w:val="22"/>
          <w:szCs w:val="22"/>
          <w:lang w:val="sr-Latn-ME"/>
        </w:rPr>
        <w:t xml:space="preserve"> (</w:t>
      </w:r>
      <w:proofErr w:type="spellStart"/>
      <w:r w:rsidRPr="0093403C">
        <w:rPr>
          <w:bCs/>
          <w:sz w:val="22"/>
          <w:szCs w:val="22"/>
          <w:lang w:val="sr-Latn-ME"/>
        </w:rPr>
        <w:t>MF</w:t>
      </w:r>
      <w:proofErr w:type="spellEnd"/>
      <w:r w:rsidRPr="0093403C">
        <w:rPr>
          <w:bCs/>
          <w:sz w:val="22"/>
          <w:szCs w:val="22"/>
          <w:lang w:val="sr-Latn-ME"/>
        </w:rPr>
        <w:t xml:space="preserve"> 4411).</w:t>
      </w:r>
    </w:p>
    <w:p w14:paraId="6DE6EE2B" w14:textId="77777777" w:rsidR="002E634B" w:rsidRPr="0093403C" w:rsidRDefault="002E634B" w:rsidP="007C5B43">
      <w:pPr>
        <w:pStyle w:val="Header"/>
        <w:tabs>
          <w:tab w:val="left" w:pos="284"/>
        </w:tabs>
        <w:spacing w:before="80" w:after="80"/>
        <w:jc w:val="both"/>
        <w:rPr>
          <w:bCs/>
          <w:sz w:val="22"/>
          <w:szCs w:val="22"/>
          <w:lang w:val="sr-Latn-ME"/>
        </w:rPr>
      </w:pPr>
      <w:r w:rsidRPr="0093403C">
        <w:rPr>
          <w:bCs/>
          <w:sz w:val="22"/>
          <w:szCs w:val="22"/>
          <w:lang w:val="sr-Latn-ME"/>
        </w:rPr>
        <w:lastRenderedPageBreak/>
        <w:t xml:space="preserve">Dvogodišnja </w:t>
      </w:r>
      <w:proofErr w:type="spellStart"/>
      <w:r w:rsidRPr="0093403C">
        <w:rPr>
          <w:bCs/>
          <w:sz w:val="22"/>
          <w:szCs w:val="22"/>
          <w:lang w:val="sr-Latn-ME"/>
        </w:rPr>
        <w:t>pivotalna</w:t>
      </w:r>
      <w:proofErr w:type="spellEnd"/>
      <w:r w:rsidRPr="0093403C">
        <w:rPr>
          <w:bCs/>
          <w:sz w:val="22"/>
          <w:szCs w:val="22"/>
          <w:lang w:val="sr-Latn-ME"/>
        </w:rPr>
        <w:t xml:space="preserve"> studija sprovedena kod žena sa </w:t>
      </w:r>
      <w:proofErr w:type="spellStart"/>
      <w:r w:rsidRPr="0093403C">
        <w:rPr>
          <w:bCs/>
          <w:sz w:val="22"/>
          <w:szCs w:val="22"/>
          <w:lang w:val="sr-Latn-ME"/>
        </w:rPr>
        <w:t>osteoporozom</w:t>
      </w:r>
      <w:proofErr w:type="spellEnd"/>
      <w:r w:rsidRPr="0093403C">
        <w:rPr>
          <w:bCs/>
          <w:sz w:val="22"/>
          <w:szCs w:val="22"/>
          <w:lang w:val="sr-Latn-ME"/>
        </w:rPr>
        <w:t xml:space="preserve"> u </w:t>
      </w:r>
      <w:proofErr w:type="spellStart"/>
      <w:r w:rsidRPr="0093403C">
        <w:rPr>
          <w:bCs/>
          <w:sz w:val="22"/>
          <w:szCs w:val="22"/>
          <w:lang w:val="sr-Latn-ME"/>
        </w:rPr>
        <w:t>postmenopauzi</w:t>
      </w:r>
      <w:proofErr w:type="spellEnd"/>
      <w:r w:rsidRPr="0093403C">
        <w:rPr>
          <w:bCs/>
          <w:sz w:val="22"/>
          <w:szCs w:val="22"/>
          <w:lang w:val="sr-Latn-ME"/>
        </w:rPr>
        <w:t xml:space="preserve"> (</w:t>
      </w:r>
      <w:proofErr w:type="spellStart"/>
      <w:r w:rsidRPr="0093403C">
        <w:rPr>
          <w:bCs/>
          <w:sz w:val="22"/>
          <w:szCs w:val="22"/>
          <w:lang w:val="sr-Latn-ME"/>
        </w:rPr>
        <w:t>BM</w:t>
      </w:r>
      <w:proofErr w:type="spellEnd"/>
      <w:r w:rsidRPr="0093403C">
        <w:rPr>
          <w:bCs/>
          <w:sz w:val="22"/>
          <w:szCs w:val="22"/>
          <w:lang w:val="sr-Latn-ME"/>
        </w:rPr>
        <w:t xml:space="preserve"> 16550) pokazala je sličnu sveukupnu bezbjednost primjene </w:t>
      </w:r>
      <w:proofErr w:type="spellStart"/>
      <w:r w:rsidRPr="0093403C">
        <w:rPr>
          <w:bCs/>
          <w:sz w:val="22"/>
          <w:szCs w:val="22"/>
          <w:lang w:val="sr-Latn-ME"/>
        </w:rPr>
        <w:t>intravenske</w:t>
      </w:r>
      <w:proofErr w:type="spellEnd"/>
      <w:r w:rsidRPr="0093403C">
        <w:rPr>
          <w:bCs/>
          <w:sz w:val="22"/>
          <w:szCs w:val="22"/>
          <w:lang w:val="sr-Latn-ME"/>
        </w:rPr>
        <w:t xml:space="preserve"> injekcije lijeka </w:t>
      </w:r>
      <w:proofErr w:type="spellStart"/>
      <w:r w:rsidRPr="0093403C">
        <w:rPr>
          <w:bCs/>
          <w:sz w:val="22"/>
          <w:szCs w:val="22"/>
          <w:lang w:val="sr-Latn-ME"/>
        </w:rPr>
        <w:t>Bonviva</w:t>
      </w:r>
      <w:proofErr w:type="spellEnd"/>
      <w:r w:rsidRPr="0093403C">
        <w:rPr>
          <w:bCs/>
          <w:sz w:val="22"/>
          <w:szCs w:val="22"/>
          <w:lang w:val="sr-Latn-ME"/>
        </w:rPr>
        <w:t xml:space="preserve"> 3 mg svaka tri mjeseca i </w:t>
      </w:r>
      <w:proofErr w:type="spellStart"/>
      <w:r w:rsidRPr="0093403C">
        <w:rPr>
          <w:bCs/>
          <w:sz w:val="22"/>
          <w:szCs w:val="22"/>
          <w:lang w:val="sr-Latn-ME"/>
        </w:rPr>
        <w:t>peroralno</w:t>
      </w:r>
      <w:proofErr w:type="spellEnd"/>
      <w:r w:rsidRPr="0093403C">
        <w:rPr>
          <w:bCs/>
          <w:sz w:val="22"/>
          <w:szCs w:val="22"/>
          <w:lang w:val="sr-Latn-ME"/>
        </w:rPr>
        <w:t xml:space="preserve"> primijenjene </w:t>
      </w:r>
      <w:proofErr w:type="spellStart"/>
      <w:r w:rsidRPr="0093403C">
        <w:rPr>
          <w:bCs/>
          <w:sz w:val="22"/>
          <w:szCs w:val="22"/>
          <w:lang w:val="sr-Latn-ME"/>
        </w:rPr>
        <w:t>ibandronske</w:t>
      </w:r>
      <w:proofErr w:type="spellEnd"/>
      <w:r w:rsidRPr="0093403C">
        <w:rPr>
          <w:bCs/>
          <w:sz w:val="22"/>
          <w:szCs w:val="22"/>
          <w:lang w:val="sr-Latn-ME"/>
        </w:rPr>
        <w:t xml:space="preserve"> kiseline 2,5 mg jedanput dnevno. Ukupan </w:t>
      </w:r>
      <w:proofErr w:type="spellStart"/>
      <w:r w:rsidRPr="0093403C">
        <w:rPr>
          <w:bCs/>
          <w:sz w:val="22"/>
          <w:szCs w:val="22"/>
          <w:lang w:val="sr-Latn-ME"/>
        </w:rPr>
        <w:t>udio</w:t>
      </w:r>
      <w:proofErr w:type="spellEnd"/>
      <w:r w:rsidRPr="0093403C">
        <w:rPr>
          <w:bCs/>
          <w:sz w:val="22"/>
          <w:szCs w:val="22"/>
          <w:lang w:val="sr-Latn-ME"/>
        </w:rPr>
        <w:t xml:space="preserve"> pacijenata koji su imali neželjena dejstva iznosio je 26,0% i 28,6% za </w:t>
      </w:r>
      <w:proofErr w:type="spellStart"/>
      <w:r w:rsidRPr="0093403C">
        <w:rPr>
          <w:bCs/>
          <w:sz w:val="22"/>
          <w:szCs w:val="22"/>
          <w:lang w:val="sr-Latn-ME"/>
        </w:rPr>
        <w:t>Bonviva</w:t>
      </w:r>
      <w:proofErr w:type="spellEnd"/>
      <w:r w:rsidRPr="0093403C">
        <w:rPr>
          <w:bCs/>
          <w:sz w:val="22"/>
          <w:szCs w:val="22"/>
          <w:lang w:val="sr-Latn-ME"/>
        </w:rPr>
        <w:t xml:space="preserve"> 3 mg injekciju primijenjenu svaka tri mjeseca nakon jedne, odnosno dvije godine. Kod većine slučajeva nijesu prouzrokovale prekid liječenja.</w:t>
      </w:r>
    </w:p>
    <w:p w14:paraId="4F4BD5FD" w14:textId="77777777" w:rsidR="002E634B" w:rsidRPr="0093403C" w:rsidRDefault="002E634B" w:rsidP="007C5B43">
      <w:pPr>
        <w:pStyle w:val="Header"/>
        <w:tabs>
          <w:tab w:val="left" w:pos="284"/>
        </w:tabs>
        <w:spacing w:before="80" w:after="80"/>
        <w:jc w:val="both"/>
        <w:rPr>
          <w:bCs/>
          <w:sz w:val="22"/>
          <w:szCs w:val="22"/>
          <w:lang w:val="sr-Latn-ME"/>
        </w:rPr>
      </w:pPr>
      <w:r w:rsidRPr="0093403C">
        <w:rPr>
          <w:bCs/>
          <w:sz w:val="22"/>
          <w:szCs w:val="22"/>
          <w:lang w:val="sr-Latn-ME"/>
        </w:rPr>
        <w:t xml:space="preserve">Neželjena dejstva su popisane prema </w:t>
      </w:r>
      <w:proofErr w:type="spellStart"/>
      <w:r w:rsidRPr="0093403C">
        <w:rPr>
          <w:bCs/>
          <w:sz w:val="22"/>
          <w:szCs w:val="22"/>
          <w:lang w:val="sr-Latn-ME"/>
        </w:rPr>
        <w:t>MedDRA</w:t>
      </w:r>
      <w:proofErr w:type="spellEnd"/>
      <w:r w:rsidRPr="0093403C">
        <w:rPr>
          <w:bCs/>
          <w:sz w:val="22"/>
          <w:szCs w:val="22"/>
          <w:lang w:val="sr-Latn-ME"/>
        </w:rPr>
        <w:t xml:space="preserve"> klasifikaciji organskih sistema i kategorijama učestalosti. Kategorije učestalosti definisane su na sljedeći način: vrlo često (≥1/10), često (≥1/100 i &lt;1/10), povremeno (≥1/1000 i &lt;1/100), rijetko (≥1/10 000 i &lt;1/1000), vrlo rijetko (&lt;1/10 000), nepoznato (ne može se procijeniti iz dostupnih podataka). Unutar svake grupe učestalosti neželjena dejstva su navedene u padajućem nizu prema ozbiljnosti.</w:t>
      </w:r>
    </w:p>
    <w:p w14:paraId="64D61E21" w14:textId="77777777" w:rsidR="002E634B" w:rsidRPr="0093403C" w:rsidRDefault="002E634B" w:rsidP="007C5B43">
      <w:pPr>
        <w:pStyle w:val="Header"/>
        <w:tabs>
          <w:tab w:val="left" w:pos="284"/>
        </w:tabs>
        <w:spacing w:before="80" w:after="80"/>
        <w:jc w:val="both"/>
        <w:rPr>
          <w:b/>
          <w:bCs/>
          <w:sz w:val="22"/>
          <w:szCs w:val="22"/>
          <w:lang w:val="sr-Latn-ME"/>
        </w:rPr>
      </w:pPr>
    </w:p>
    <w:p w14:paraId="38A2F91C" w14:textId="3613D43F" w:rsidR="002E634B" w:rsidRPr="0093403C" w:rsidRDefault="002E634B" w:rsidP="007C5B43">
      <w:pPr>
        <w:pStyle w:val="Header"/>
        <w:tabs>
          <w:tab w:val="left" w:pos="284"/>
        </w:tabs>
        <w:spacing w:before="80" w:after="80"/>
        <w:jc w:val="both"/>
        <w:rPr>
          <w:b/>
          <w:bCs/>
          <w:sz w:val="22"/>
          <w:szCs w:val="22"/>
          <w:lang w:val="sr-Latn-ME"/>
        </w:rPr>
      </w:pPr>
      <w:r w:rsidRPr="0093403C">
        <w:rPr>
          <w:b/>
          <w:bCs/>
          <w:sz w:val="22"/>
          <w:szCs w:val="22"/>
          <w:lang w:val="sr-Latn-ME"/>
        </w:rPr>
        <w:t xml:space="preserve">Tabela 1: </w:t>
      </w:r>
      <w:r w:rsidRPr="0093403C">
        <w:rPr>
          <w:sz w:val="22"/>
          <w:szCs w:val="22"/>
          <w:lang w:val="sr-Latn-ME"/>
        </w:rPr>
        <w:t xml:space="preserve">Neželjena dejstva koje se pojavljuju kod žena u </w:t>
      </w:r>
      <w:proofErr w:type="spellStart"/>
      <w:r w:rsidRPr="0093403C">
        <w:rPr>
          <w:sz w:val="22"/>
          <w:szCs w:val="22"/>
          <w:lang w:val="sr-Latn-ME"/>
        </w:rPr>
        <w:t>postmenopauzi</w:t>
      </w:r>
      <w:proofErr w:type="spellEnd"/>
      <w:r w:rsidRPr="0093403C">
        <w:rPr>
          <w:sz w:val="22"/>
          <w:szCs w:val="22"/>
          <w:lang w:val="sr-Latn-ME"/>
        </w:rPr>
        <w:t xml:space="preserve"> koje primaju </w:t>
      </w:r>
      <w:proofErr w:type="spellStart"/>
      <w:r w:rsidRPr="0093403C">
        <w:rPr>
          <w:sz w:val="22"/>
          <w:szCs w:val="22"/>
          <w:lang w:val="sr-Latn-ME"/>
        </w:rPr>
        <w:t>Bonviva</w:t>
      </w:r>
      <w:proofErr w:type="spellEnd"/>
      <w:r w:rsidRPr="0093403C">
        <w:rPr>
          <w:sz w:val="22"/>
          <w:szCs w:val="22"/>
          <w:lang w:val="sr-Latn-ME"/>
        </w:rPr>
        <w:t xml:space="preserve"> 3 mg injekcije svaka 3 mjeseca ili 2,5 mg </w:t>
      </w:r>
      <w:proofErr w:type="spellStart"/>
      <w:r w:rsidRPr="0093403C">
        <w:rPr>
          <w:sz w:val="22"/>
          <w:szCs w:val="22"/>
          <w:lang w:val="sr-Latn-ME"/>
        </w:rPr>
        <w:t>ibandronske</w:t>
      </w:r>
      <w:proofErr w:type="spellEnd"/>
      <w:r w:rsidRPr="0093403C">
        <w:rPr>
          <w:sz w:val="22"/>
          <w:szCs w:val="22"/>
          <w:lang w:val="sr-Latn-ME"/>
        </w:rPr>
        <w:t xml:space="preserve"> kiseline jedanput dnevno u ispitivanjima faze III BM16550 i </w:t>
      </w:r>
      <w:proofErr w:type="spellStart"/>
      <w:r w:rsidRPr="0093403C">
        <w:rPr>
          <w:sz w:val="22"/>
          <w:szCs w:val="22"/>
          <w:lang w:val="sr-Latn-ME"/>
        </w:rPr>
        <w:t>MF4411</w:t>
      </w:r>
      <w:proofErr w:type="spellEnd"/>
      <w:r w:rsidRPr="0093403C">
        <w:rPr>
          <w:sz w:val="22"/>
          <w:szCs w:val="22"/>
          <w:lang w:val="sr-Latn-ME"/>
        </w:rPr>
        <w:t xml:space="preserve"> i u </w:t>
      </w:r>
      <w:proofErr w:type="spellStart"/>
      <w:r w:rsidRPr="0093403C">
        <w:rPr>
          <w:sz w:val="22"/>
          <w:szCs w:val="22"/>
          <w:lang w:val="sr-Latn-ME"/>
        </w:rPr>
        <w:t>postmarketinškom</w:t>
      </w:r>
      <w:proofErr w:type="spellEnd"/>
      <w:r w:rsidRPr="0093403C">
        <w:rPr>
          <w:sz w:val="22"/>
          <w:szCs w:val="22"/>
          <w:lang w:val="sr-Latn-ME"/>
        </w:rPr>
        <w:t xml:space="preserve"> periodu.</w:t>
      </w: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8"/>
        <w:gridCol w:w="1668"/>
        <w:gridCol w:w="2184"/>
        <w:gridCol w:w="1764"/>
        <w:gridCol w:w="1683"/>
      </w:tblGrid>
      <w:tr w:rsidR="002E634B" w:rsidRPr="0093403C" w14:paraId="1134775D" w14:textId="77777777" w:rsidTr="002E634B">
        <w:tc>
          <w:tcPr>
            <w:tcW w:w="1988" w:type="dxa"/>
            <w:shd w:val="clear" w:color="auto" w:fill="auto"/>
          </w:tcPr>
          <w:p w14:paraId="0079C593" w14:textId="77777777" w:rsidR="002E634B" w:rsidRPr="0093403C" w:rsidRDefault="002E634B" w:rsidP="007C5B43">
            <w:pPr>
              <w:keepNext/>
              <w:keepLines/>
              <w:jc w:val="both"/>
              <w:rPr>
                <w:rFonts w:eastAsia="MS Mincho"/>
                <w:b/>
                <w:snapToGrid w:val="0"/>
                <w:color w:val="000000"/>
                <w:sz w:val="22"/>
                <w:szCs w:val="22"/>
                <w:lang w:val="sr-Latn-ME" w:eastAsia="hr-HR"/>
              </w:rPr>
            </w:pPr>
            <w:r w:rsidRPr="0093403C">
              <w:rPr>
                <w:rFonts w:eastAsia="MS Mincho"/>
                <w:b/>
                <w:snapToGrid w:val="0"/>
                <w:color w:val="000000"/>
                <w:sz w:val="22"/>
                <w:szCs w:val="22"/>
                <w:lang w:val="sr-Latn-ME" w:eastAsia="hr-HR"/>
              </w:rPr>
              <w:t>Klasifikacija organskih sistema</w:t>
            </w:r>
          </w:p>
        </w:tc>
        <w:tc>
          <w:tcPr>
            <w:tcW w:w="1668" w:type="dxa"/>
            <w:shd w:val="clear" w:color="auto" w:fill="auto"/>
          </w:tcPr>
          <w:p w14:paraId="5A9D4E0D" w14:textId="77777777" w:rsidR="002E634B" w:rsidRPr="0093403C" w:rsidRDefault="002E634B" w:rsidP="007C5B43">
            <w:pPr>
              <w:keepNext/>
              <w:keepLines/>
              <w:jc w:val="both"/>
              <w:rPr>
                <w:rFonts w:eastAsia="MS Mincho"/>
                <w:b/>
                <w:snapToGrid w:val="0"/>
                <w:color w:val="000000"/>
                <w:sz w:val="22"/>
                <w:szCs w:val="22"/>
                <w:lang w:val="sr-Latn-ME" w:eastAsia="hr-HR"/>
              </w:rPr>
            </w:pPr>
            <w:r w:rsidRPr="0093403C">
              <w:rPr>
                <w:rFonts w:eastAsia="MS Mincho"/>
                <w:b/>
                <w:snapToGrid w:val="0"/>
                <w:color w:val="000000"/>
                <w:sz w:val="22"/>
                <w:szCs w:val="22"/>
                <w:lang w:val="sr-Latn-ME" w:eastAsia="hr-HR"/>
              </w:rPr>
              <w:t>Često</w:t>
            </w:r>
          </w:p>
        </w:tc>
        <w:tc>
          <w:tcPr>
            <w:tcW w:w="2184" w:type="dxa"/>
            <w:shd w:val="clear" w:color="auto" w:fill="auto"/>
          </w:tcPr>
          <w:p w14:paraId="5FC824A9" w14:textId="77777777" w:rsidR="002E634B" w:rsidRPr="0093403C" w:rsidRDefault="002E634B" w:rsidP="007C5B43">
            <w:pPr>
              <w:keepNext/>
              <w:keepLines/>
              <w:jc w:val="both"/>
              <w:rPr>
                <w:rFonts w:eastAsia="MS Mincho"/>
                <w:b/>
                <w:snapToGrid w:val="0"/>
                <w:color w:val="000000"/>
                <w:sz w:val="22"/>
                <w:szCs w:val="22"/>
                <w:lang w:val="sr-Latn-ME" w:eastAsia="hr-HR"/>
              </w:rPr>
            </w:pPr>
            <w:r w:rsidRPr="0093403C">
              <w:rPr>
                <w:rFonts w:eastAsia="MS Mincho"/>
                <w:b/>
                <w:snapToGrid w:val="0"/>
                <w:color w:val="000000"/>
                <w:sz w:val="22"/>
                <w:szCs w:val="22"/>
                <w:lang w:val="sr-Latn-ME" w:eastAsia="hr-HR"/>
              </w:rPr>
              <w:t>Povremeno</w:t>
            </w:r>
          </w:p>
        </w:tc>
        <w:tc>
          <w:tcPr>
            <w:tcW w:w="1764" w:type="dxa"/>
            <w:shd w:val="clear" w:color="auto" w:fill="auto"/>
          </w:tcPr>
          <w:p w14:paraId="1C3347D4" w14:textId="77777777" w:rsidR="002E634B" w:rsidRPr="0093403C" w:rsidRDefault="002E634B" w:rsidP="007C5B43">
            <w:pPr>
              <w:keepNext/>
              <w:keepLines/>
              <w:jc w:val="both"/>
              <w:rPr>
                <w:rFonts w:eastAsia="MS Mincho"/>
                <w:b/>
                <w:snapToGrid w:val="0"/>
                <w:color w:val="000000"/>
                <w:sz w:val="22"/>
                <w:szCs w:val="22"/>
                <w:lang w:val="sr-Latn-ME" w:eastAsia="hr-HR"/>
              </w:rPr>
            </w:pPr>
            <w:r w:rsidRPr="0093403C">
              <w:rPr>
                <w:rFonts w:eastAsia="MS Mincho"/>
                <w:b/>
                <w:snapToGrid w:val="0"/>
                <w:color w:val="000000"/>
                <w:sz w:val="22"/>
                <w:szCs w:val="22"/>
                <w:lang w:val="sr-Latn-ME" w:eastAsia="hr-HR"/>
              </w:rPr>
              <w:t>Rijetko</w:t>
            </w:r>
          </w:p>
        </w:tc>
        <w:tc>
          <w:tcPr>
            <w:tcW w:w="1683" w:type="dxa"/>
            <w:shd w:val="clear" w:color="auto" w:fill="auto"/>
          </w:tcPr>
          <w:p w14:paraId="76576116" w14:textId="77777777" w:rsidR="002E634B" w:rsidRPr="0093403C" w:rsidRDefault="002E634B" w:rsidP="007C5B43">
            <w:pPr>
              <w:keepNext/>
              <w:keepLines/>
              <w:jc w:val="both"/>
              <w:rPr>
                <w:rFonts w:eastAsia="MS Mincho"/>
                <w:b/>
                <w:snapToGrid w:val="0"/>
                <w:color w:val="000000"/>
                <w:sz w:val="22"/>
                <w:szCs w:val="22"/>
                <w:lang w:val="sr-Latn-ME" w:eastAsia="hr-HR"/>
              </w:rPr>
            </w:pPr>
            <w:r w:rsidRPr="0093403C">
              <w:rPr>
                <w:rFonts w:eastAsia="MS Mincho"/>
                <w:b/>
                <w:snapToGrid w:val="0"/>
                <w:color w:val="000000"/>
                <w:sz w:val="22"/>
                <w:szCs w:val="22"/>
                <w:lang w:val="sr-Latn-ME" w:eastAsia="hr-HR"/>
              </w:rPr>
              <w:t>Vrlo rijetko</w:t>
            </w:r>
          </w:p>
        </w:tc>
      </w:tr>
      <w:tr w:rsidR="002E634B" w:rsidRPr="0093403C" w14:paraId="71C921AA" w14:textId="77777777" w:rsidTr="002E634B">
        <w:tc>
          <w:tcPr>
            <w:tcW w:w="1988" w:type="dxa"/>
            <w:shd w:val="clear" w:color="auto" w:fill="auto"/>
          </w:tcPr>
          <w:p w14:paraId="24D3F3B1" w14:textId="77777777" w:rsidR="002E634B" w:rsidRPr="0093403C" w:rsidRDefault="002E634B" w:rsidP="007C5B43">
            <w:pPr>
              <w:keepNext/>
              <w:keepLines/>
              <w:jc w:val="both"/>
              <w:rPr>
                <w:rFonts w:eastAsia="MS Mincho"/>
                <w:snapToGrid w:val="0"/>
                <w:color w:val="000000"/>
                <w:sz w:val="22"/>
                <w:szCs w:val="22"/>
                <w:lang w:val="sr-Latn-ME" w:eastAsia="hr-HR"/>
              </w:rPr>
            </w:pPr>
            <w:r w:rsidRPr="0093403C">
              <w:rPr>
                <w:rFonts w:eastAsia="MS Mincho"/>
                <w:snapToGrid w:val="0"/>
                <w:color w:val="000000"/>
                <w:sz w:val="22"/>
                <w:szCs w:val="22"/>
                <w:lang w:val="sr-Latn-ME" w:eastAsia="hr-HR"/>
              </w:rPr>
              <w:t>Poremećaji imunog sistema</w:t>
            </w:r>
          </w:p>
        </w:tc>
        <w:tc>
          <w:tcPr>
            <w:tcW w:w="1668" w:type="dxa"/>
            <w:shd w:val="clear" w:color="auto" w:fill="auto"/>
          </w:tcPr>
          <w:p w14:paraId="72389D06" w14:textId="77777777" w:rsidR="002E634B" w:rsidRPr="0093403C" w:rsidRDefault="002E634B" w:rsidP="007C5B43">
            <w:pPr>
              <w:keepNext/>
              <w:keepLines/>
              <w:jc w:val="both"/>
              <w:rPr>
                <w:rFonts w:eastAsia="MS Mincho"/>
                <w:snapToGrid w:val="0"/>
                <w:color w:val="000000"/>
                <w:sz w:val="22"/>
                <w:szCs w:val="22"/>
                <w:lang w:val="sr-Latn-ME" w:eastAsia="hr-HR"/>
              </w:rPr>
            </w:pPr>
          </w:p>
        </w:tc>
        <w:tc>
          <w:tcPr>
            <w:tcW w:w="2184" w:type="dxa"/>
            <w:shd w:val="clear" w:color="auto" w:fill="auto"/>
          </w:tcPr>
          <w:p w14:paraId="00ECD337" w14:textId="77777777" w:rsidR="002E634B" w:rsidRPr="0093403C" w:rsidRDefault="002E634B" w:rsidP="007C5B43">
            <w:pPr>
              <w:keepNext/>
              <w:keepLines/>
              <w:jc w:val="both"/>
              <w:rPr>
                <w:rFonts w:eastAsia="MS Mincho"/>
                <w:snapToGrid w:val="0"/>
                <w:color w:val="000000"/>
                <w:sz w:val="22"/>
                <w:szCs w:val="22"/>
                <w:lang w:val="sr-Latn-ME" w:eastAsia="hr-HR"/>
              </w:rPr>
            </w:pPr>
            <w:proofErr w:type="spellStart"/>
            <w:r w:rsidRPr="0093403C">
              <w:rPr>
                <w:rFonts w:eastAsia="MS Mincho"/>
                <w:snapToGrid w:val="0"/>
                <w:color w:val="000000"/>
                <w:sz w:val="22"/>
                <w:szCs w:val="22"/>
                <w:lang w:val="sr-Latn-ME" w:eastAsia="hr-HR"/>
              </w:rPr>
              <w:t>egzacerbacija</w:t>
            </w:r>
            <w:proofErr w:type="spellEnd"/>
            <w:r w:rsidRPr="0093403C">
              <w:rPr>
                <w:rFonts w:eastAsia="MS Mincho"/>
                <w:snapToGrid w:val="0"/>
                <w:color w:val="000000"/>
                <w:sz w:val="22"/>
                <w:szCs w:val="22"/>
                <w:lang w:val="sr-Latn-ME" w:eastAsia="hr-HR"/>
              </w:rPr>
              <w:t xml:space="preserve"> astme</w:t>
            </w:r>
          </w:p>
        </w:tc>
        <w:tc>
          <w:tcPr>
            <w:tcW w:w="1764" w:type="dxa"/>
            <w:shd w:val="clear" w:color="auto" w:fill="auto"/>
          </w:tcPr>
          <w:p w14:paraId="186F84FA" w14:textId="77777777" w:rsidR="002E634B" w:rsidRPr="0093403C" w:rsidRDefault="002E634B" w:rsidP="007C5B43">
            <w:pPr>
              <w:keepNext/>
              <w:keepLines/>
              <w:jc w:val="both"/>
              <w:rPr>
                <w:rFonts w:eastAsia="MS Mincho"/>
                <w:snapToGrid w:val="0"/>
                <w:color w:val="000000"/>
                <w:sz w:val="22"/>
                <w:szCs w:val="22"/>
                <w:lang w:val="sr-Latn-ME" w:eastAsia="hr-HR"/>
              </w:rPr>
            </w:pPr>
            <w:r w:rsidRPr="0093403C">
              <w:rPr>
                <w:rFonts w:eastAsia="MS Mincho"/>
                <w:snapToGrid w:val="0"/>
                <w:color w:val="000000"/>
                <w:sz w:val="22"/>
                <w:szCs w:val="22"/>
                <w:lang w:val="sr-Latn-ME" w:eastAsia="hr-HR"/>
              </w:rPr>
              <w:t>reakcija preosjetljivosti</w:t>
            </w:r>
          </w:p>
        </w:tc>
        <w:tc>
          <w:tcPr>
            <w:tcW w:w="1683" w:type="dxa"/>
            <w:shd w:val="clear" w:color="auto" w:fill="auto"/>
          </w:tcPr>
          <w:p w14:paraId="094D33CE" w14:textId="77777777" w:rsidR="002E634B" w:rsidRPr="0093403C" w:rsidRDefault="002E634B" w:rsidP="007C5B43">
            <w:pPr>
              <w:keepNext/>
              <w:keepLines/>
              <w:jc w:val="both"/>
              <w:rPr>
                <w:rFonts w:eastAsia="MS Mincho"/>
                <w:snapToGrid w:val="0"/>
                <w:color w:val="000000"/>
                <w:sz w:val="22"/>
                <w:szCs w:val="22"/>
                <w:lang w:val="sr-Latn-ME" w:eastAsia="hr-HR"/>
              </w:rPr>
            </w:pPr>
            <w:proofErr w:type="spellStart"/>
            <w:r w:rsidRPr="0093403C">
              <w:rPr>
                <w:rFonts w:eastAsia="MS Mincho"/>
                <w:snapToGrid w:val="0"/>
                <w:color w:val="000000"/>
                <w:sz w:val="22"/>
                <w:szCs w:val="22"/>
                <w:lang w:val="sr-Latn-ME" w:eastAsia="hr-HR"/>
              </w:rPr>
              <w:t>anafilaktička</w:t>
            </w:r>
            <w:proofErr w:type="spellEnd"/>
            <w:r w:rsidRPr="0093403C">
              <w:rPr>
                <w:rFonts w:eastAsia="MS Mincho"/>
                <w:snapToGrid w:val="0"/>
                <w:color w:val="000000"/>
                <w:sz w:val="22"/>
                <w:szCs w:val="22"/>
                <w:lang w:val="sr-Latn-ME" w:eastAsia="hr-HR"/>
              </w:rPr>
              <w:t xml:space="preserve"> reakcija/šok*†</w:t>
            </w:r>
          </w:p>
        </w:tc>
      </w:tr>
      <w:tr w:rsidR="002E634B" w:rsidRPr="0093403C" w14:paraId="32747DD6" w14:textId="77777777" w:rsidTr="002E634B">
        <w:tc>
          <w:tcPr>
            <w:tcW w:w="1988" w:type="dxa"/>
            <w:shd w:val="clear" w:color="auto" w:fill="auto"/>
          </w:tcPr>
          <w:p w14:paraId="4C1D6550" w14:textId="77777777" w:rsidR="002E634B" w:rsidRPr="0093403C" w:rsidRDefault="002E634B" w:rsidP="007C5B43">
            <w:pPr>
              <w:keepNext/>
              <w:keepLines/>
              <w:jc w:val="both"/>
              <w:rPr>
                <w:rFonts w:eastAsia="MS Mincho"/>
                <w:snapToGrid w:val="0"/>
                <w:color w:val="000000"/>
                <w:sz w:val="22"/>
                <w:szCs w:val="22"/>
                <w:lang w:val="sr-Latn-ME" w:eastAsia="hr-HR"/>
              </w:rPr>
            </w:pPr>
            <w:r w:rsidRPr="0093403C">
              <w:rPr>
                <w:rFonts w:eastAsia="MS Mincho"/>
                <w:snapToGrid w:val="0"/>
                <w:color w:val="000000"/>
                <w:sz w:val="22"/>
                <w:szCs w:val="22"/>
                <w:lang w:val="sr-Latn-ME" w:eastAsia="hr-HR"/>
              </w:rPr>
              <w:t>Poremećaji nervnog sistema</w:t>
            </w:r>
          </w:p>
        </w:tc>
        <w:tc>
          <w:tcPr>
            <w:tcW w:w="1668" w:type="dxa"/>
            <w:shd w:val="clear" w:color="auto" w:fill="auto"/>
          </w:tcPr>
          <w:p w14:paraId="1EC49B89" w14:textId="77777777" w:rsidR="002E634B" w:rsidRPr="0093403C" w:rsidRDefault="002E634B" w:rsidP="007C5B43">
            <w:pPr>
              <w:keepNext/>
              <w:keepLines/>
              <w:jc w:val="both"/>
              <w:rPr>
                <w:rFonts w:eastAsia="MS Mincho"/>
                <w:snapToGrid w:val="0"/>
                <w:color w:val="000000"/>
                <w:sz w:val="22"/>
                <w:szCs w:val="22"/>
                <w:lang w:val="sr-Latn-ME" w:eastAsia="hr-HR"/>
              </w:rPr>
            </w:pPr>
            <w:r w:rsidRPr="0093403C">
              <w:rPr>
                <w:rFonts w:eastAsia="MS Mincho"/>
                <w:snapToGrid w:val="0"/>
                <w:color w:val="000000"/>
                <w:sz w:val="22"/>
                <w:szCs w:val="22"/>
                <w:lang w:val="sr-Latn-ME" w:eastAsia="hr-HR"/>
              </w:rPr>
              <w:t>glavobolja</w:t>
            </w:r>
          </w:p>
        </w:tc>
        <w:tc>
          <w:tcPr>
            <w:tcW w:w="2184" w:type="dxa"/>
            <w:shd w:val="clear" w:color="auto" w:fill="auto"/>
          </w:tcPr>
          <w:p w14:paraId="778F98B4" w14:textId="77777777" w:rsidR="002E634B" w:rsidRPr="0093403C" w:rsidRDefault="002E634B" w:rsidP="007C5B43">
            <w:pPr>
              <w:keepNext/>
              <w:keepLines/>
              <w:jc w:val="both"/>
              <w:rPr>
                <w:rFonts w:eastAsia="MS Mincho"/>
                <w:snapToGrid w:val="0"/>
                <w:color w:val="000000"/>
                <w:sz w:val="22"/>
                <w:szCs w:val="22"/>
                <w:lang w:val="sr-Latn-ME" w:eastAsia="hr-HR"/>
              </w:rPr>
            </w:pPr>
          </w:p>
        </w:tc>
        <w:tc>
          <w:tcPr>
            <w:tcW w:w="1764" w:type="dxa"/>
            <w:shd w:val="clear" w:color="auto" w:fill="auto"/>
          </w:tcPr>
          <w:p w14:paraId="5AE22B99" w14:textId="77777777" w:rsidR="002E634B" w:rsidRPr="0093403C" w:rsidRDefault="002E634B" w:rsidP="007C5B43">
            <w:pPr>
              <w:keepNext/>
              <w:keepLines/>
              <w:jc w:val="both"/>
              <w:rPr>
                <w:rFonts w:eastAsia="MS Mincho"/>
                <w:snapToGrid w:val="0"/>
                <w:color w:val="000000"/>
                <w:sz w:val="22"/>
                <w:szCs w:val="22"/>
                <w:lang w:val="sr-Latn-ME" w:eastAsia="hr-HR"/>
              </w:rPr>
            </w:pPr>
          </w:p>
        </w:tc>
        <w:tc>
          <w:tcPr>
            <w:tcW w:w="1683" w:type="dxa"/>
            <w:shd w:val="clear" w:color="auto" w:fill="auto"/>
          </w:tcPr>
          <w:p w14:paraId="31AF7050" w14:textId="77777777" w:rsidR="002E634B" w:rsidRPr="0093403C" w:rsidRDefault="002E634B" w:rsidP="007C5B43">
            <w:pPr>
              <w:keepNext/>
              <w:keepLines/>
              <w:jc w:val="both"/>
              <w:rPr>
                <w:rFonts w:eastAsia="MS Mincho"/>
                <w:snapToGrid w:val="0"/>
                <w:color w:val="000000"/>
                <w:sz w:val="22"/>
                <w:szCs w:val="22"/>
                <w:lang w:val="sr-Latn-ME" w:eastAsia="hr-HR"/>
              </w:rPr>
            </w:pPr>
          </w:p>
        </w:tc>
      </w:tr>
      <w:tr w:rsidR="002E634B" w:rsidRPr="0093403C" w14:paraId="4404121D" w14:textId="77777777" w:rsidTr="002E634B">
        <w:tc>
          <w:tcPr>
            <w:tcW w:w="1988" w:type="dxa"/>
            <w:shd w:val="clear" w:color="auto" w:fill="auto"/>
          </w:tcPr>
          <w:p w14:paraId="3A0C4D3D" w14:textId="77777777" w:rsidR="002E634B" w:rsidRPr="0093403C" w:rsidRDefault="002E634B" w:rsidP="007C5B43">
            <w:pPr>
              <w:keepNext/>
              <w:keepLines/>
              <w:jc w:val="both"/>
              <w:rPr>
                <w:rFonts w:eastAsia="MS Mincho"/>
                <w:snapToGrid w:val="0"/>
                <w:color w:val="000000"/>
                <w:sz w:val="22"/>
                <w:szCs w:val="22"/>
                <w:lang w:val="sr-Latn-ME" w:eastAsia="hr-HR"/>
              </w:rPr>
            </w:pPr>
            <w:r w:rsidRPr="0093403C">
              <w:rPr>
                <w:rFonts w:eastAsia="MS Mincho"/>
                <w:snapToGrid w:val="0"/>
                <w:color w:val="000000"/>
                <w:sz w:val="22"/>
                <w:szCs w:val="22"/>
                <w:lang w:val="sr-Latn-ME" w:eastAsia="hr-HR"/>
              </w:rPr>
              <w:t>Poremećaji oka</w:t>
            </w:r>
          </w:p>
        </w:tc>
        <w:tc>
          <w:tcPr>
            <w:tcW w:w="1668" w:type="dxa"/>
            <w:shd w:val="clear" w:color="auto" w:fill="auto"/>
          </w:tcPr>
          <w:p w14:paraId="04FBF67B" w14:textId="77777777" w:rsidR="002E634B" w:rsidRPr="0093403C" w:rsidRDefault="002E634B" w:rsidP="007C5B43">
            <w:pPr>
              <w:keepNext/>
              <w:keepLines/>
              <w:jc w:val="both"/>
              <w:rPr>
                <w:rFonts w:eastAsia="MS Mincho"/>
                <w:snapToGrid w:val="0"/>
                <w:color w:val="000000"/>
                <w:sz w:val="22"/>
                <w:szCs w:val="22"/>
                <w:lang w:val="sr-Latn-ME" w:eastAsia="hr-HR"/>
              </w:rPr>
            </w:pPr>
          </w:p>
        </w:tc>
        <w:tc>
          <w:tcPr>
            <w:tcW w:w="2184" w:type="dxa"/>
            <w:shd w:val="clear" w:color="auto" w:fill="auto"/>
          </w:tcPr>
          <w:p w14:paraId="512B6D94" w14:textId="77777777" w:rsidR="002E634B" w:rsidRPr="0093403C" w:rsidRDefault="002E634B" w:rsidP="007C5B43">
            <w:pPr>
              <w:keepNext/>
              <w:keepLines/>
              <w:jc w:val="both"/>
              <w:rPr>
                <w:rFonts w:eastAsia="MS Mincho"/>
                <w:snapToGrid w:val="0"/>
                <w:color w:val="000000"/>
                <w:sz w:val="22"/>
                <w:szCs w:val="22"/>
                <w:lang w:val="sr-Latn-ME" w:eastAsia="hr-HR"/>
              </w:rPr>
            </w:pPr>
          </w:p>
        </w:tc>
        <w:tc>
          <w:tcPr>
            <w:tcW w:w="1764" w:type="dxa"/>
            <w:shd w:val="clear" w:color="auto" w:fill="auto"/>
          </w:tcPr>
          <w:p w14:paraId="0A1796A5" w14:textId="77777777" w:rsidR="002E634B" w:rsidRPr="0093403C" w:rsidRDefault="002E634B" w:rsidP="007C5B43">
            <w:pPr>
              <w:keepNext/>
              <w:keepLines/>
              <w:jc w:val="both"/>
              <w:rPr>
                <w:rFonts w:eastAsia="MS Mincho"/>
                <w:snapToGrid w:val="0"/>
                <w:color w:val="000000"/>
                <w:sz w:val="22"/>
                <w:szCs w:val="22"/>
                <w:lang w:val="sr-Latn-ME" w:eastAsia="hr-HR"/>
              </w:rPr>
            </w:pPr>
            <w:r w:rsidRPr="0093403C">
              <w:rPr>
                <w:rFonts w:eastAsia="MS Mincho"/>
                <w:snapToGrid w:val="0"/>
                <w:color w:val="000000"/>
                <w:sz w:val="22"/>
                <w:szCs w:val="22"/>
                <w:lang w:val="sr-Latn-ME" w:eastAsia="hr-HR"/>
              </w:rPr>
              <w:t>upala oka*†</w:t>
            </w:r>
          </w:p>
        </w:tc>
        <w:tc>
          <w:tcPr>
            <w:tcW w:w="1683" w:type="dxa"/>
            <w:shd w:val="clear" w:color="auto" w:fill="auto"/>
          </w:tcPr>
          <w:p w14:paraId="45FADD2E" w14:textId="77777777" w:rsidR="002E634B" w:rsidRPr="0093403C" w:rsidRDefault="002E634B" w:rsidP="007C5B43">
            <w:pPr>
              <w:keepNext/>
              <w:keepLines/>
              <w:jc w:val="both"/>
              <w:rPr>
                <w:rFonts w:eastAsia="MS Mincho"/>
                <w:snapToGrid w:val="0"/>
                <w:color w:val="000000"/>
                <w:sz w:val="22"/>
                <w:szCs w:val="22"/>
                <w:lang w:val="sr-Latn-ME" w:eastAsia="hr-HR"/>
              </w:rPr>
            </w:pPr>
          </w:p>
        </w:tc>
      </w:tr>
      <w:tr w:rsidR="002E634B" w:rsidRPr="0093403C" w14:paraId="2FA78AF1" w14:textId="77777777" w:rsidTr="002E634B">
        <w:tc>
          <w:tcPr>
            <w:tcW w:w="1988" w:type="dxa"/>
            <w:shd w:val="clear" w:color="auto" w:fill="auto"/>
          </w:tcPr>
          <w:p w14:paraId="6B37CBA8" w14:textId="77777777" w:rsidR="002E634B" w:rsidRPr="0093403C" w:rsidRDefault="002E634B" w:rsidP="007C5B43">
            <w:pPr>
              <w:keepNext/>
              <w:keepLines/>
              <w:jc w:val="both"/>
              <w:rPr>
                <w:rFonts w:eastAsia="MS Mincho"/>
                <w:snapToGrid w:val="0"/>
                <w:color w:val="000000"/>
                <w:sz w:val="22"/>
                <w:szCs w:val="22"/>
                <w:lang w:val="sr-Latn-ME" w:eastAsia="hr-HR"/>
              </w:rPr>
            </w:pPr>
            <w:r w:rsidRPr="0093403C">
              <w:rPr>
                <w:rFonts w:eastAsia="MS Mincho"/>
                <w:snapToGrid w:val="0"/>
                <w:color w:val="000000"/>
                <w:sz w:val="22"/>
                <w:szCs w:val="22"/>
                <w:lang w:val="sr-Latn-ME" w:eastAsia="hr-HR"/>
              </w:rPr>
              <w:t>Vaskularni poremećaji</w:t>
            </w:r>
          </w:p>
        </w:tc>
        <w:tc>
          <w:tcPr>
            <w:tcW w:w="1668" w:type="dxa"/>
            <w:shd w:val="clear" w:color="auto" w:fill="auto"/>
          </w:tcPr>
          <w:p w14:paraId="568CE62A" w14:textId="77777777" w:rsidR="002E634B" w:rsidRPr="0093403C" w:rsidRDefault="002E634B" w:rsidP="007C5B43">
            <w:pPr>
              <w:keepNext/>
              <w:keepLines/>
              <w:jc w:val="both"/>
              <w:rPr>
                <w:rFonts w:eastAsia="MS Mincho"/>
                <w:snapToGrid w:val="0"/>
                <w:color w:val="000000"/>
                <w:sz w:val="22"/>
                <w:szCs w:val="22"/>
                <w:lang w:val="sr-Latn-ME" w:eastAsia="hr-HR"/>
              </w:rPr>
            </w:pPr>
          </w:p>
        </w:tc>
        <w:tc>
          <w:tcPr>
            <w:tcW w:w="2184" w:type="dxa"/>
            <w:shd w:val="clear" w:color="auto" w:fill="auto"/>
          </w:tcPr>
          <w:p w14:paraId="7666B617" w14:textId="77777777" w:rsidR="002E634B" w:rsidRPr="0093403C" w:rsidRDefault="002E634B" w:rsidP="007C5B43">
            <w:pPr>
              <w:keepNext/>
              <w:keepLines/>
              <w:jc w:val="both"/>
              <w:rPr>
                <w:rFonts w:eastAsia="MS Mincho"/>
                <w:snapToGrid w:val="0"/>
                <w:color w:val="000000"/>
                <w:sz w:val="22"/>
                <w:szCs w:val="22"/>
                <w:lang w:val="sr-Latn-ME" w:eastAsia="hr-HR"/>
              </w:rPr>
            </w:pPr>
            <w:r w:rsidRPr="0093403C">
              <w:rPr>
                <w:rFonts w:eastAsia="MS Mincho"/>
                <w:snapToGrid w:val="0"/>
                <w:color w:val="000000"/>
                <w:sz w:val="22"/>
                <w:szCs w:val="22"/>
                <w:lang w:val="sr-Latn-ME" w:eastAsia="hr-HR"/>
              </w:rPr>
              <w:t>flebitis/</w:t>
            </w:r>
            <w:proofErr w:type="spellStart"/>
            <w:r w:rsidRPr="0093403C">
              <w:rPr>
                <w:rFonts w:eastAsia="MS Mincho"/>
                <w:snapToGrid w:val="0"/>
                <w:color w:val="000000"/>
                <w:sz w:val="22"/>
                <w:szCs w:val="22"/>
                <w:lang w:val="sr-Latn-ME" w:eastAsia="hr-HR"/>
              </w:rPr>
              <w:t>tromboflebitis</w:t>
            </w:r>
            <w:proofErr w:type="spellEnd"/>
          </w:p>
        </w:tc>
        <w:tc>
          <w:tcPr>
            <w:tcW w:w="1764" w:type="dxa"/>
            <w:shd w:val="clear" w:color="auto" w:fill="auto"/>
          </w:tcPr>
          <w:p w14:paraId="5D649294" w14:textId="77777777" w:rsidR="002E634B" w:rsidRPr="0093403C" w:rsidRDefault="002E634B" w:rsidP="007C5B43">
            <w:pPr>
              <w:keepNext/>
              <w:keepLines/>
              <w:jc w:val="both"/>
              <w:rPr>
                <w:rFonts w:eastAsia="MS Mincho"/>
                <w:snapToGrid w:val="0"/>
                <w:color w:val="000000"/>
                <w:sz w:val="22"/>
                <w:szCs w:val="22"/>
                <w:lang w:val="sr-Latn-ME" w:eastAsia="hr-HR"/>
              </w:rPr>
            </w:pPr>
          </w:p>
        </w:tc>
        <w:tc>
          <w:tcPr>
            <w:tcW w:w="1683" w:type="dxa"/>
            <w:shd w:val="clear" w:color="auto" w:fill="auto"/>
          </w:tcPr>
          <w:p w14:paraId="76582C47" w14:textId="77777777" w:rsidR="002E634B" w:rsidRPr="0093403C" w:rsidRDefault="002E634B" w:rsidP="007C5B43">
            <w:pPr>
              <w:keepNext/>
              <w:keepLines/>
              <w:jc w:val="both"/>
              <w:rPr>
                <w:rFonts w:eastAsia="MS Mincho"/>
                <w:snapToGrid w:val="0"/>
                <w:color w:val="000000"/>
                <w:sz w:val="22"/>
                <w:szCs w:val="22"/>
                <w:lang w:val="sr-Latn-ME" w:eastAsia="hr-HR"/>
              </w:rPr>
            </w:pPr>
          </w:p>
        </w:tc>
      </w:tr>
      <w:tr w:rsidR="002E634B" w:rsidRPr="0093403C" w14:paraId="4FB1728F" w14:textId="77777777" w:rsidTr="002E634B">
        <w:tc>
          <w:tcPr>
            <w:tcW w:w="1988" w:type="dxa"/>
            <w:shd w:val="clear" w:color="auto" w:fill="auto"/>
          </w:tcPr>
          <w:p w14:paraId="498A0FCC" w14:textId="77777777" w:rsidR="002E634B" w:rsidRPr="0093403C" w:rsidRDefault="002E634B" w:rsidP="007C5B43">
            <w:pPr>
              <w:keepNext/>
              <w:keepLines/>
              <w:jc w:val="both"/>
              <w:rPr>
                <w:rFonts w:eastAsia="MS Mincho"/>
                <w:snapToGrid w:val="0"/>
                <w:color w:val="000000"/>
                <w:sz w:val="22"/>
                <w:szCs w:val="22"/>
                <w:lang w:val="sr-Latn-ME" w:eastAsia="hr-HR"/>
              </w:rPr>
            </w:pPr>
            <w:r w:rsidRPr="0093403C">
              <w:rPr>
                <w:rFonts w:eastAsia="MS Mincho"/>
                <w:snapToGrid w:val="0"/>
                <w:color w:val="000000"/>
                <w:sz w:val="22"/>
                <w:szCs w:val="22"/>
                <w:lang w:val="sr-Latn-ME" w:eastAsia="hr-HR"/>
              </w:rPr>
              <w:t>Poremećaji gastrointestinalnog sistema*</w:t>
            </w:r>
          </w:p>
        </w:tc>
        <w:tc>
          <w:tcPr>
            <w:tcW w:w="1668" w:type="dxa"/>
            <w:shd w:val="clear" w:color="auto" w:fill="auto"/>
          </w:tcPr>
          <w:p w14:paraId="508CF38E" w14:textId="77777777" w:rsidR="002E634B" w:rsidRPr="0093403C" w:rsidRDefault="002E634B" w:rsidP="007C5B43">
            <w:pPr>
              <w:keepNext/>
              <w:keepLines/>
              <w:jc w:val="both"/>
              <w:rPr>
                <w:rFonts w:eastAsia="MS Mincho"/>
                <w:snapToGrid w:val="0"/>
                <w:color w:val="000000"/>
                <w:sz w:val="22"/>
                <w:szCs w:val="22"/>
                <w:lang w:val="sr-Latn-ME" w:eastAsia="hr-HR"/>
              </w:rPr>
            </w:pPr>
            <w:r w:rsidRPr="0093403C">
              <w:rPr>
                <w:rFonts w:eastAsia="MS Mincho"/>
                <w:snapToGrid w:val="0"/>
                <w:color w:val="000000"/>
                <w:sz w:val="22"/>
                <w:szCs w:val="22"/>
                <w:lang w:val="sr-Latn-ME" w:eastAsia="hr-HR"/>
              </w:rPr>
              <w:t>gastritis, dispepsija, proliv, bol u abdomenu, mučnina, opstipacija</w:t>
            </w:r>
          </w:p>
        </w:tc>
        <w:tc>
          <w:tcPr>
            <w:tcW w:w="2184" w:type="dxa"/>
            <w:shd w:val="clear" w:color="auto" w:fill="auto"/>
          </w:tcPr>
          <w:p w14:paraId="4A685E62" w14:textId="77777777" w:rsidR="002E634B" w:rsidRPr="0093403C" w:rsidRDefault="002E634B" w:rsidP="007C5B43">
            <w:pPr>
              <w:keepNext/>
              <w:keepLines/>
              <w:jc w:val="both"/>
              <w:rPr>
                <w:rFonts w:eastAsia="MS Mincho"/>
                <w:snapToGrid w:val="0"/>
                <w:color w:val="000000"/>
                <w:sz w:val="22"/>
                <w:szCs w:val="22"/>
                <w:lang w:val="sr-Latn-ME" w:eastAsia="hr-HR"/>
              </w:rPr>
            </w:pPr>
          </w:p>
        </w:tc>
        <w:tc>
          <w:tcPr>
            <w:tcW w:w="1764" w:type="dxa"/>
            <w:shd w:val="clear" w:color="auto" w:fill="auto"/>
          </w:tcPr>
          <w:p w14:paraId="20F9C09A" w14:textId="77777777" w:rsidR="002E634B" w:rsidRPr="0093403C" w:rsidRDefault="002E634B" w:rsidP="007C5B43">
            <w:pPr>
              <w:keepNext/>
              <w:keepLines/>
              <w:jc w:val="both"/>
              <w:rPr>
                <w:rFonts w:eastAsia="MS Mincho"/>
                <w:snapToGrid w:val="0"/>
                <w:color w:val="000000"/>
                <w:sz w:val="22"/>
                <w:szCs w:val="22"/>
                <w:lang w:val="sr-Latn-ME" w:eastAsia="hr-HR"/>
              </w:rPr>
            </w:pPr>
          </w:p>
        </w:tc>
        <w:tc>
          <w:tcPr>
            <w:tcW w:w="1683" w:type="dxa"/>
            <w:shd w:val="clear" w:color="auto" w:fill="auto"/>
          </w:tcPr>
          <w:p w14:paraId="285E961C" w14:textId="77777777" w:rsidR="002E634B" w:rsidRPr="0093403C" w:rsidRDefault="002E634B" w:rsidP="007C5B43">
            <w:pPr>
              <w:keepNext/>
              <w:keepLines/>
              <w:jc w:val="both"/>
              <w:rPr>
                <w:rFonts w:eastAsia="MS Mincho"/>
                <w:snapToGrid w:val="0"/>
                <w:color w:val="000000"/>
                <w:sz w:val="22"/>
                <w:szCs w:val="22"/>
                <w:lang w:val="sr-Latn-ME" w:eastAsia="hr-HR"/>
              </w:rPr>
            </w:pPr>
          </w:p>
        </w:tc>
      </w:tr>
      <w:tr w:rsidR="002E634B" w:rsidRPr="0093403C" w14:paraId="2C1D82A9" w14:textId="77777777" w:rsidTr="002E634B">
        <w:tc>
          <w:tcPr>
            <w:tcW w:w="1988" w:type="dxa"/>
            <w:shd w:val="clear" w:color="auto" w:fill="auto"/>
          </w:tcPr>
          <w:p w14:paraId="6584AF3D" w14:textId="77777777" w:rsidR="002E634B" w:rsidRPr="0093403C" w:rsidRDefault="002E634B" w:rsidP="007C5B43">
            <w:pPr>
              <w:keepNext/>
              <w:keepLines/>
              <w:jc w:val="both"/>
              <w:rPr>
                <w:rFonts w:eastAsia="MS Mincho"/>
                <w:snapToGrid w:val="0"/>
                <w:color w:val="000000"/>
                <w:sz w:val="22"/>
                <w:szCs w:val="22"/>
                <w:lang w:val="sr-Latn-ME" w:eastAsia="hr-HR"/>
              </w:rPr>
            </w:pPr>
            <w:r w:rsidRPr="0093403C">
              <w:rPr>
                <w:rFonts w:eastAsia="MS Mincho"/>
                <w:snapToGrid w:val="0"/>
                <w:color w:val="000000"/>
                <w:sz w:val="22"/>
                <w:szCs w:val="22"/>
                <w:lang w:val="sr-Latn-ME" w:eastAsia="hr-HR"/>
              </w:rPr>
              <w:t>Poremećaji kože i potkožnog tkiva</w:t>
            </w:r>
          </w:p>
        </w:tc>
        <w:tc>
          <w:tcPr>
            <w:tcW w:w="1668" w:type="dxa"/>
            <w:shd w:val="clear" w:color="auto" w:fill="auto"/>
          </w:tcPr>
          <w:p w14:paraId="2E43A874" w14:textId="77777777" w:rsidR="002E634B" w:rsidRPr="0093403C" w:rsidRDefault="002E634B" w:rsidP="007C5B43">
            <w:pPr>
              <w:keepNext/>
              <w:keepLines/>
              <w:jc w:val="both"/>
              <w:rPr>
                <w:rFonts w:eastAsia="MS Mincho"/>
                <w:snapToGrid w:val="0"/>
                <w:color w:val="000000"/>
                <w:sz w:val="22"/>
                <w:szCs w:val="22"/>
                <w:lang w:val="sr-Latn-ME" w:eastAsia="hr-HR"/>
              </w:rPr>
            </w:pPr>
            <w:r w:rsidRPr="0093403C">
              <w:rPr>
                <w:rFonts w:eastAsia="MS Mincho"/>
                <w:snapToGrid w:val="0"/>
                <w:color w:val="000000"/>
                <w:sz w:val="22"/>
                <w:szCs w:val="22"/>
                <w:lang w:val="sr-Latn-ME" w:eastAsia="hr-HR"/>
              </w:rPr>
              <w:t>osip</w:t>
            </w:r>
          </w:p>
        </w:tc>
        <w:tc>
          <w:tcPr>
            <w:tcW w:w="2184" w:type="dxa"/>
            <w:shd w:val="clear" w:color="auto" w:fill="auto"/>
          </w:tcPr>
          <w:p w14:paraId="74A23631" w14:textId="77777777" w:rsidR="002E634B" w:rsidRPr="0093403C" w:rsidRDefault="002E634B" w:rsidP="007C5B43">
            <w:pPr>
              <w:keepNext/>
              <w:keepLines/>
              <w:jc w:val="both"/>
              <w:rPr>
                <w:rFonts w:eastAsia="MS Mincho"/>
                <w:snapToGrid w:val="0"/>
                <w:color w:val="000000"/>
                <w:sz w:val="22"/>
                <w:szCs w:val="22"/>
                <w:lang w:val="sr-Latn-ME" w:eastAsia="hr-HR"/>
              </w:rPr>
            </w:pPr>
          </w:p>
        </w:tc>
        <w:tc>
          <w:tcPr>
            <w:tcW w:w="1764" w:type="dxa"/>
            <w:shd w:val="clear" w:color="auto" w:fill="auto"/>
          </w:tcPr>
          <w:p w14:paraId="0E05DDA8" w14:textId="77777777" w:rsidR="002E634B" w:rsidRPr="0093403C" w:rsidRDefault="002E634B" w:rsidP="007C5B43">
            <w:pPr>
              <w:keepNext/>
              <w:keepLines/>
              <w:jc w:val="both"/>
              <w:rPr>
                <w:rFonts w:eastAsia="MS Mincho"/>
                <w:snapToGrid w:val="0"/>
                <w:color w:val="000000"/>
                <w:sz w:val="22"/>
                <w:szCs w:val="22"/>
                <w:lang w:val="sr-Latn-ME" w:eastAsia="hr-HR"/>
              </w:rPr>
            </w:pPr>
            <w:proofErr w:type="spellStart"/>
            <w:r w:rsidRPr="0093403C">
              <w:rPr>
                <w:rFonts w:eastAsia="MS Mincho"/>
                <w:snapToGrid w:val="0"/>
                <w:color w:val="000000"/>
                <w:sz w:val="22"/>
                <w:szCs w:val="22"/>
                <w:lang w:val="sr-Latn-ME" w:eastAsia="hr-HR"/>
              </w:rPr>
              <w:t>angioedem</w:t>
            </w:r>
            <w:proofErr w:type="spellEnd"/>
            <w:r w:rsidRPr="0093403C">
              <w:rPr>
                <w:rFonts w:eastAsia="MS Mincho"/>
                <w:snapToGrid w:val="0"/>
                <w:color w:val="000000"/>
                <w:sz w:val="22"/>
                <w:szCs w:val="22"/>
                <w:lang w:val="sr-Latn-ME" w:eastAsia="hr-HR"/>
              </w:rPr>
              <w:t xml:space="preserve">, </w:t>
            </w:r>
            <w:proofErr w:type="spellStart"/>
            <w:r w:rsidRPr="0093403C">
              <w:rPr>
                <w:rFonts w:eastAsia="MS Mincho"/>
                <w:snapToGrid w:val="0"/>
                <w:color w:val="000000"/>
                <w:sz w:val="22"/>
                <w:szCs w:val="22"/>
                <w:lang w:val="sr-Latn-ME" w:eastAsia="hr-HR"/>
              </w:rPr>
              <w:t>edem</w:t>
            </w:r>
            <w:proofErr w:type="spellEnd"/>
            <w:r w:rsidRPr="0093403C">
              <w:rPr>
                <w:rFonts w:eastAsia="MS Mincho"/>
                <w:snapToGrid w:val="0"/>
                <w:color w:val="000000"/>
                <w:sz w:val="22"/>
                <w:szCs w:val="22"/>
                <w:lang w:val="sr-Latn-ME" w:eastAsia="hr-HR"/>
              </w:rPr>
              <w:t xml:space="preserve"> lica, urtikarija</w:t>
            </w:r>
          </w:p>
        </w:tc>
        <w:tc>
          <w:tcPr>
            <w:tcW w:w="1683" w:type="dxa"/>
            <w:shd w:val="clear" w:color="auto" w:fill="auto"/>
          </w:tcPr>
          <w:p w14:paraId="12152038" w14:textId="77777777" w:rsidR="002E634B" w:rsidRPr="0093403C" w:rsidRDefault="002E634B" w:rsidP="007C5B43">
            <w:pPr>
              <w:keepNext/>
              <w:keepLines/>
              <w:jc w:val="both"/>
              <w:rPr>
                <w:rFonts w:eastAsia="MS Mincho"/>
                <w:snapToGrid w:val="0"/>
                <w:color w:val="000000"/>
                <w:sz w:val="22"/>
                <w:szCs w:val="22"/>
                <w:lang w:val="sr-Latn-ME" w:eastAsia="hr-HR"/>
              </w:rPr>
            </w:pPr>
            <w:proofErr w:type="spellStart"/>
            <w:r w:rsidRPr="0093403C">
              <w:rPr>
                <w:rFonts w:eastAsia="MS Mincho"/>
                <w:snapToGrid w:val="0"/>
                <w:color w:val="000000"/>
                <w:sz w:val="22"/>
                <w:szCs w:val="22"/>
                <w:lang w:val="sr-Latn-ME" w:eastAsia="hr-HR"/>
              </w:rPr>
              <w:t>Stevens</w:t>
            </w:r>
            <w:proofErr w:type="spellEnd"/>
            <w:r w:rsidRPr="0093403C">
              <w:rPr>
                <w:rFonts w:eastAsia="MS Mincho"/>
                <w:snapToGrid w:val="0"/>
                <w:color w:val="000000"/>
                <w:sz w:val="22"/>
                <w:szCs w:val="22"/>
                <w:lang w:val="sr-Latn-ME" w:eastAsia="hr-HR"/>
              </w:rPr>
              <w:t>-</w:t>
            </w:r>
          </w:p>
          <w:p w14:paraId="4F81C1EF" w14:textId="77777777" w:rsidR="002E634B" w:rsidRPr="0093403C" w:rsidRDefault="002E634B" w:rsidP="007C5B43">
            <w:pPr>
              <w:keepNext/>
              <w:keepLines/>
              <w:jc w:val="both"/>
              <w:rPr>
                <w:rFonts w:eastAsia="MS Mincho"/>
                <w:snapToGrid w:val="0"/>
                <w:color w:val="000000"/>
                <w:sz w:val="22"/>
                <w:szCs w:val="22"/>
                <w:lang w:val="sr-Latn-ME" w:eastAsia="hr-HR"/>
              </w:rPr>
            </w:pPr>
            <w:proofErr w:type="spellStart"/>
            <w:r w:rsidRPr="0093403C">
              <w:rPr>
                <w:rFonts w:eastAsia="MS Mincho"/>
                <w:snapToGrid w:val="0"/>
                <w:color w:val="000000"/>
                <w:sz w:val="22"/>
                <w:szCs w:val="22"/>
                <w:lang w:val="sr-Latn-ME" w:eastAsia="hr-HR"/>
              </w:rPr>
              <w:t>Johnsonov</w:t>
            </w:r>
            <w:proofErr w:type="spellEnd"/>
          </w:p>
          <w:p w14:paraId="3FF9D381" w14:textId="77777777" w:rsidR="002E634B" w:rsidRPr="0093403C" w:rsidRDefault="002E634B" w:rsidP="007C5B43">
            <w:pPr>
              <w:keepNext/>
              <w:keepLines/>
              <w:jc w:val="both"/>
              <w:rPr>
                <w:rFonts w:eastAsia="MS Mincho"/>
                <w:snapToGrid w:val="0"/>
                <w:color w:val="000000"/>
                <w:sz w:val="22"/>
                <w:szCs w:val="22"/>
                <w:lang w:val="sr-Latn-ME" w:eastAsia="hr-HR"/>
              </w:rPr>
            </w:pPr>
            <w:r w:rsidRPr="0093403C">
              <w:rPr>
                <w:rFonts w:eastAsia="MS Mincho"/>
                <w:snapToGrid w:val="0"/>
                <w:color w:val="000000"/>
                <w:sz w:val="22"/>
                <w:szCs w:val="22"/>
                <w:lang w:val="sr-Latn-ME" w:eastAsia="hr-HR"/>
              </w:rPr>
              <w:t>sindrom†,</w:t>
            </w:r>
          </w:p>
          <w:p w14:paraId="6E33C1FE" w14:textId="77777777" w:rsidR="002E634B" w:rsidRPr="0093403C" w:rsidRDefault="002E634B" w:rsidP="007C5B43">
            <w:pPr>
              <w:keepNext/>
              <w:keepLines/>
              <w:jc w:val="both"/>
              <w:rPr>
                <w:rFonts w:eastAsia="MS Mincho"/>
                <w:snapToGrid w:val="0"/>
                <w:color w:val="000000"/>
                <w:sz w:val="22"/>
                <w:szCs w:val="22"/>
                <w:lang w:val="sr-Latn-ME" w:eastAsia="hr-HR"/>
              </w:rPr>
            </w:pPr>
            <w:proofErr w:type="spellStart"/>
            <w:r w:rsidRPr="0093403C">
              <w:rPr>
                <w:rFonts w:eastAsia="MS Mincho"/>
                <w:snapToGrid w:val="0"/>
                <w:color w:val="000000"/>
                <w:sz w:val="22"/>
                <w:szCs w:val="22"/>
                <w:lang w:val="sr-Latn-ME" w:eastAsia="hr-HR"/>
              </w:rPr>
              <w:t>multiformni</w:t>
            </w:r>
            <w:proofErr w:type="spellEnd"/>
          </w:p>
          <w:p w14:paraId="52A62E13" w14:textId="77777777" w:rsidR="002E634B" w:rsidRPr="0093403C" w:rsidRDefault="002E634B" w:rsidP="007C5B43">
            <w:pPr>
              <w:keepNext/>
              <w:keepLines/>
              <w:jc w:val="both"/>
              <w:rPr>
                <w:rFonts w:eastAsia="MS Mincho"/>
                <w:snapToGrid w:val="0"/>
                <w:color w:val="000000"/>
                <w:sz w:val="22"/>
                <w:szCs w:val="22"/>
                <w:lang w:val="sr-Latn-ME" w:eastAsia="hr-HR"/>
              </w:rPr>
            </w:pPr>
            <w:proofErr w:type="spellStart"/>
            <w:r w:rsidRPr="0093403C">
              <w:rPr>
                <w:rFonts w:eastAsia="MS Mincho"/>
                <w:snapToGrid w:val="0"/>
                <w:color w:val="000000"/>
                <w:sz w:val="22"/>
                <w:szCs w:val="22"/>
                <w:lang w:val="sr-Latn-ME" w:eastAsia="hr-HR"/>
              </w:rPr>
              <w:t>eritem</w:t>
            </w:r>
            <w:proofErr w:type="spellEnd"/>
            <w:r w:rsidRPr="0093403C">
              <w:rPr>
                <w:rFonts w:eastAsia="MS Mincho"/>
                <w:snapToGrid w:val="0"/>
                <w:color w:val="000000"/>
                <w:sz w:val="22"/>
                <w:szCs w:val="22"/>
                <w:lang w:val="sr-Latn-ME" w:eastAsia="hr-HR"/>
              </w:rPr>
              <w:t xml:space="preserve">†, </w:t>
            </w:r>
            <w:proofErr w:type="spellStart"/>
            <w:r w:rsidRPr="0093403C">
              <w:rPr>
                <w:rFonts w:eastAsia="MS Mincho"/>
                <w:snapToGrid w:val="0"/>
                <w:color w:val="000000"/>
                <w:sz w:val="22"/>
                <w:szCs w:val="22"/>
                <w:lang w:val="sr-Latn-ME" w:eastAsia="hr-HR"/>
              </w:rPr>
              <w:t>bulozni</w:t>
            </w:r>
            <w:proofErr w:type="spellEnd"/>
          </w:p>
          <w:p w14:paraId="4C427208" w14:textId="77777777" w:rsidR="002E634B" w:rsidRPr="0093403C" w:rsidRDefault="002E634B" w:rsidP="007C5B43">
            <w:pPr>
              <w:keepNext/>
              <w:keepLines/>
              <w:jc w:val="both"/>
              <w:rPr>
                <w:rFonts w:eastAsia="MS Mincho"/>
                <w:snapToGrid w:val="0"/>
                <w:color w:val="000000"/>
                <w:sz w:val="22"/>
                <w:szCs w:val="22"/>
                <w:lang w:val="sr-Latn-ME" w:eastAsia="hr-HR"/>
              </w:rPr>
            </w:pPr>
            <w:r w:rsidRPr="0093403C">
              <w:rPr>
                <w:rFonts w:eastAsia="MS Mincho"/>
                <w:snapToGrid w:val="0"/>
                <w:color w:val="000000"/>
                <w:sz w:val="22"/>
                <w:szCs w:val="22"/>
                <w:lang w:val="sr-Latn-ME" w:eastAsia="hr-HR"/>
              </w:rPr>
              <w:t>dermatitis†</w:t>
            </w:r>
          </w:p>
        </w:tc>
      </w:tr>
      <w:tr w:rsidR="002E634B" w:rsidRPr="0093403C" w14:paraId="34E0097E" w14:textId="77777777" w:rsidTr="002E634B">
        <w:tc>
          <w:tcPr>
            <w:tcW w:w="1988" w:type="dxa"/>
            <w:shd w:val="clear" w:color="auto" w:fill="auto"/>
          </w:tcPr>
          <w:p w14:paraId="032A5A80" w14:textId="77777777" w:rsidR="002E634B" w:rsidRPr="0093403C" w:rsidRDefault="002E634B" w:rsidP="007C5B43">
            <w:pPr>
              <w:keepNext/>
              <w:keepLines/>
              <w:jc w:val="both"/>
              <w:rPr>
                <w:rFonts w:eastAsia="MS Mincho"/>
                <w:snapToGrid w:val="0"/>
                <w:color w:val="000000"/>
                <w:sz w:val="22"/>
                <w:szCs w:val="22"/>
                <w:lang w:val="sr-Latn-ME" w:eastAsia="hr-HR"/>
              </w:rPr>
            </w:pPr>
            <w:r w:rsidRPr="0093403C">
              <w:rPr>
                <w:rFonts w:eastAsia="MS Mincho"/>
                <w:snapToGrid w:val="0"/>
                <w:color w:val="000000"/>
                <w:sz w:val="22"/>
                <w:szCs w:val="22"/>
                <w:lang w:val="sr-Latn-ME" w:eastAsia="hr-HR"/>
              </w:rPr>
              <w:t>Poremećaji mišićno skeletnog i vezivnog tkiva</w:t>
            </w:r>
          </w:p>
        </w:tc>
        <w:tc>
          <w:tcPr>
            <w:tcW w:w="1668" w:type="dxa"/>
            <w:shd w:val="clear" w:color="auto" w:fill="auto"/>
          </w:tcPr>
          <w:p w14:paraId="0ADE9075" w14:textId="77777777" w:rsidR="002E634B" w:rsidRPr="0093403C" w:rsidRDefault="002E634B" w:rsidP="007C5B43">
            <w:pPr>
              <w:keepNext/>
              <w:keepLines/>
              <w:jc w:val="both"/>
              <w:rPr>
                <w:rFonts w:eastAsia="MS Mincho"/>
                <w:snapToGrid w:val="0"/>
                <w:color w:val="000000"/>
                <w:sz w:val="22"/>
                <w:szCs w:val="22"/>
                <w:lang w:val="sr-Latn-ME" w:eastAsia="hr-HR"/>
              </w:rPr>
            </w:pPr>
            <w:r w:rsidRPr="0093403C">
              <w:rPr>
                <w:rFonts w:eastAsia="MS Mincho"/>
                <w:snapToGrid w:val="0"/>
                <w:color w:val="000000"/>
                <w:sz w:val="22"/>
                <w:szCs w:val="22"/>
                <w:lang w:val="sr-Latn-ME" w:eastAsia="hr-HR"/>
              </w:rPr>
              <w:t>bol u zglobovima, bol u mišićima, bol u mišićima i kostima, bol u leđima</w:t>
            </w:r>
          </w:p>
        </w:tc>
        <w:tc>
          <w:tcPr>
            <w:tcW w:w="2184" w:type="dxa"/>
            <w:shd w:val="clear" w:color="auto" w:fill="auto"/>
          </w:tcPr>
          <w:p w14:paraId="17589593" w14:textId="77777777" w:rsidR="002E634B" w:rsidRPr="0093403C" w:rsidRDefault="002E634B" w:rsidP="007C5B43">
            <w:pPr>
              <w:keepNext/>
              <w:keepLines/>
              <w:jc w:val="both"/>
              <w:rPr>
                <w:rFonts w:eastAsia="MS Mincho"/>
                <w:snapToGrid w:val="0"/>
                <w:color w:val="000000"/>
                <w:sz w:val="22"/>
                <w:szCs w:val="22"/>
                <w:lang w:val="sr-Latn-ME" w:eastAsia="hr-HR"/>
              </w:rPr>
            </w:pPr>
            <w:r w:rsidRPr="0093403C">
              <w:rPr>
                <w:rFonts w:eastAsia="MS Mincho"/>
                <w:snapToGrid w:val="0"/>
                <w:color w:val="000000"/>
                <w:sz w:val="22"/>
                <w:szCs w:val="22"/>
                <w:lang w:val="sr-Latn-ME" w:eastAsia="hr-HR"/>
              </w:rPr>
              <w:t>bol u kostima</w:t>
            </w:r>
          </w:p>
        </w:tc>
        <w:tc>
          <w:tcPr>
            <w:tcW w:w="1764" w:type="dxa"/>
            <w:shd w:val="clear" w:color="auto" w:fill="auto"/>
          </w:tcPr>
          <w:p w14:paraId="3C6EF44C" w14:textId="77777777" w:rsidR="002E634B" w:rsidRPr="0093403C" w:rsidRDefault="002E634B" w:rsidP="007C5B43">
            <w:pPr>
              <w:keepNext/>
              <w:keepLines/>
              <w:jc w:val="both"/>
              <w:rPr>
                <w:rFonts w:eastAsia="MS Mincho"/>
                <w:snapToGrid w:val="0"/>
                <w:color w:val="000000"/>
                <w:sz w:val="22"/>
                <w:szCs w:val="22"/>
                <w:lang w:val="sr-Latn-ME" w:eastAsia="hr-HR"/>
              </w:rPr>
            </w:pPr>
            <w:r w:rsidRPr="0093403C">
              <w:rPr>
                <w:rFonts w:eastAsia="MS Mincho"/>
                <w:bCs/>
                <w:snapToGrid w:val="0"/>
                <w:sz w:val="22"/>
                <w:szCs w:val="22"/>
                <w:lang w:val="sr-Latn-ME" w:eastAsia="hr-HR"/>
              </w:rPr>
              <w:t xml:space="preserve">atipične </w:t>
            </w:r>
            <w:proofErr w:type="spellStart"/>
            <w:r w:rsidRPr="0093403C">
              <w:rPr>
                <w:rFonts w:eastAsia="MS Mincho"/>
                <w:bCs/>
                <w:snapToGrid w:val="0"/>
                <w:sz w:val="22"/>
                <w:szCs w:val="22"/>
                <w:lang w:val="sr-Latn-ME" w:eastAsia="hr-HR"/>
              </w:rPr>
              <w:t>suptrohanteričke</w:t>
            </w:r>
            <w:proofErr w:type="spellEnd"/>
            <w:r w:rsidRPr="0093403C">
              <w:rPr>
                <w:rFonts w:eastAsia="MS Mincho"/>
                <w:bCs/>
                <w:snapToGrid w:val="0"/>
                <w:sz w:val="22"/>
                <w:szCs w:val="22"/>
                <w:lang w:val="sr-Latn-ME" w:eastAsia="hr-HR"/>
              </w:rPr>
              <w:t xml:space="preserve"> i </w:t>
            </w:r>
            <w:proofErr w:type="spellStart"/>
            <w:r w:rsidRPr="0093403C">
              <w:rPr>
                <w:rFonts w:eastAsia="MS Mincho"/>
                <w:bCs/>
                <w:snapToGrid w:val="0"/>
                <w:sz w:val="22"/>
                <w:szCs w:val="22"/>
                <w:lang w:val="sr-Latn-ME" w:eastAsia="hr-HR"/>
              </w:rPr>
              <w:t>dijafizealne</w:t>
            </w:r>
            <w:proofErr w:type="spellEnd"/>
            <w:r w:rsidRPr="0093403C">
              <w:rPr>
                <w:rFonts w:eastAsia="MS Mincho"/>
                <w:bCs/>
                <w:snapToGrid w:val="0"/>
                <w:sz w:val="22"/>
                <w:szCs w:val="22"/>
                <w:lang w:val="sr-Latn-ME" w:eastAsia="hr-HR"/>
              </w:rPr>
              <w:t xml:space="preserve"> frakture </w:t>
            </w:r>
            <w:proofErr w:type="spellStart"/>
            <w:r w:rsidRPr="0093403C">
              <w:rPr>
                <w:rFonts w:eastAsia="MS Mincho"/>
                <w:bCs/>
                <w:snapToGrid w:val="0"/>
                <w:sz w:val="22"/>
                <w:szCs w:val="22"/>
                <w:lang w:val="sr-Latn-ME" w:eastAsia="hr-HR"/>
              </w:rPr>
              <w:t>femura</w:t>
            </w:r>
            <w:proofErr w:type="spellEnd"/>
            <w:r w:rsidRPr="0093403C">
              <w:rPr>
                <w:rFonts w:eastAsia="MS Mincho"/>
                <w:snapToGrid w:val="0"/>
                <w:sz w:val="22"/>
                <w:szCs w:val="22"/>
                <w:lang w:val="sr-Latn-ME" w:eastAsia="hr-HR"/>
              </w:rPr>
              <w:t>†</w:t>
            </w:r>
            <w:r w:rsidRPr="0093403C">
              <w:rPr>
                <w:rFonts w:eastAsia="MS Mincho"/>
                <w:bCs/>
                <w:snapToGrid w:val="0"/>
                <w:sz w:val="22"/>
                <w:szCs w:val="22"/>
                <w:lang w:val="sr-Latn-ME" w:eastAsia="hr-HR"/>
              </w:rPr>
              <w:t xml:space="preserve"> </w:t>
            </w:r>
          </w:p>
        </w:tc>
        <w:tc>
          <w:tcPr>
            <w:tcW w:w="1683" w:type="dxa"/>
            <w:shd w:val="clear" w:color="auto" w:fill="auto"/>
          </w:tcPr>
          <w:p w14:paraId="079ED247" w14:textId="77777777" w:rsidR="002E634B" w:rsidRPr="0093403C" w:rsidRDefault="002E634B" w:rsidP="007C5B43">
            <w:pPr>
              <w:keepNext/>
              <w:keepLines/>
              <w:jc w:val="both"/>
              <w:rPr>
                <w:rFonts w:eastAsia="MS Mincho"/>
                <w:snapToGrid w:val="0"/>
                <w:color w:val="000000"/>
                <w:sz w:val="22"/>
                <w:szCs w:val="22"/>
                <w:lang w:val="sr-Latn-ME" w:eastAsia="hr-HR"/>
              </w:rPr>
            </w:pPr>
            <w:proofErr w:type="spellStart"/>
            <w:r w:rsidRPr="0093403C">
              <w:rPr>
                <w:rFonts w:eastAsia="MS Mincho"/>
                <w:snapToGrid w:val="0"/>
                <w:color w:val="000000"/>
                <w:sz w:val="22"/>
                <w:szCs w:val="22"/>
                <w:lang w:val="sr-Latn-ME" w:eastAsia="hr-HR"/>
              </w:rPr>
              <w:t>osteonekroza</w:t>
            </w:r>
            <w:proofErr w:type="spellEnd"/>
            <w:r w:rsidRPr="0093403C">
              <w:rPr>
                <w:rFonts w:eastAsia="MS Mincho"/>
                <w:snapToGrid w:val="0"/>
                <w:color w:val="000000"/>
                <w:sz w:val="22"/>
                <w:szCs w:val="22"/>
                <w:lang w:val="sr-Latn-ME" w:eastAsia="hr-HR"/>
              </w:rPr>
              <w:t xml:space="preserve"> vilice *†</w:t>
            </w:r>
            <w:proofErr w:type="spellStart"/>
            <w:r w:rsidRPr="0093403C">
              <w:rPr>
                <w:rFonts w:eastAsia="MS Mincho"/>
                <w:snapToGrid w:val="0"/>
                <w:color w:val="000000"/>
                <w:sz w:val="22"/>
                <w:szCs w:val="22"/>
                <w:lang w:val="sr-Latn-ME" w:eastAsia="hr-HR"/>
              </w:rPr>
              <w:t>osteonekroza</w:t>
            </w:r>
            <w:proofErr w:type="spellEnd"/>
          </w:p>
          <w:p w14:paraId="72F5B4AC" w14:textId="77777777" w:rsidR="002E634B" w:rsidRPr="0093403C" w:rsidRDefault="002E634B" w:rsidP="007C5B43">
            <w:pPr>
              <w:keepNext/>
              <w:keepLines/>
              <w:jc w:val="both"/>
              <w:rPr>
                <w:rFonts w:eastAsia="MS Mincho"/>
                <w:snapToGrid w:val="0"/>
                <w:color w:val="000000"/>
                <w:sz w:val="22"/>
                <w:szCs w:val="22"/>
                <w:lang w:val="sr-Latn-ME" w:eastAsia="hr-HR"/>
              </w:rPr>
            </w:pPr>
            <w:r w:rsidRPr="0093403C">
              <w:rPr>
                <w:rFonts w:eastAsia="MS Mincho"/>
                <w:snapToGrid w:val="0"/>
                <w:color w:val="000000"/>
                <w:sz w:val="22"/>
                <w:szCs w:val="22"/>
                <w:lang w:val="sr-Latn-ME" w:eastAsia="hr-HR"/>
              </w:rPr>
              <w:t>spoljašnjeg</w:t>
            </w:r>
          </w:p>
          <w:p w14:paraId="5721243E" w14:textId="77777777" w:rsidR="002E634B" w:rsidRPr="0093403C" w:rsidRDefault="002E634B" w:rsidP="007C5B43">
            <w:pPr>
              <w:keepNext/>
              <w:keepLines/>
              <w:jc w:val="both"/>
              <w:rPr>
                <w:rFonts w:eastAsia="MS Mincho"/>
                <w:snapToGrid w:val="0"/>
                <w:color w:val="000000"/>
                <w:sz w:val="22"/>
                <w:szCs w:val="22"/>
                <w:lang w:val="sr-Latn-ME" w:eastAsia="hr-HR"/>
              </w:rPr>
            </w:pPr>
            <w:r w:rsidRPr="0093403C">
              <w:rPr>
                <w:rFonts w:eastAsia="MS Mincho"/>
                <w:snapToGrid w:val="0"/>
                <w:color w:val="000000"/>
                <w:sz w:val="22"/>
                <w:szCs w:val="22"/>
                <w:lang w:val="sr-Latn-ME" w:eastAsia="hr-HR"/>
              </w:rPr>
              <w:t>slušnog kanala</w:t>
            </w:r>
          </w:p>
          <w:p w14:paraId="2D783ECF" w14:textId="77777777" w:rsidR="002E634B" w:rsidRPr="0093403C" w:rsidRDefault="002E634B" w:rsidP="007C5B43">
            <w:pPr>
              <w:keepNext/>
              <w:keepLines/>
              <w:jc w:val="both"/>
              <w:rPr>
                <w:rFonts w:eastAsia="MS Mincho"/>
                <w:snapToGrid w:val="0"/>
                <w:color w:val="000000"/>
                <w:sz w:val="22"/>
                <w:szCs w:val="22"/>
                <w:lang w:val="sr-Latn-ME" w:eastAsia="hr-HR"/>
              </w:rPr>
            </w:pPr>
            <w:r w:rsidRPr="0093403C">
              <w:rPr>
                <w:rFonts w:eastAsia="MS Mincho"/>
                <w:snapToGrid w:val="0"/>
                <w:color w:val="000000"/>
                <w:sz w:val="22"/>
                <w:szCs w:val="22"/>
                <w:lang w:val="sr-Latn-ME" w:eastAsia="hr-HR"/>
              </w:rPr>
              <w:t>(neželjeno dejstvo grupe</w:t>
            </w:r>
          </w:p>
          <w:p w14:paraId="790E4E55" w14:textId="77777777" w:rsidR="002E634B" w:rsidRPr="0093403C" w:rsidRDefault="002E634B" w:rsidP="007C5B43">
            <w:pPr>
              <w:keepNext/>
              <w:keepLines/>
              <w:jc w:val="both"/>
              <w:rPr>
                <w:rFonts w:eastAsia="MS Mincho"/>
                <w:snapToGrid w:val="0"/>
                <w:color w:val="000000"/>
                <w:sz w:val="22"/>
                <w:szCs w:val="22"/>
                <w:lang w:val="sr-Latn-ME" w:eastAsia="hr-HR"/>
              </w:rPr>
            </w:pPr>
            <w:proofErr w:type="spellStart"/>
            <w:r w:rsidRPr="0093403C">
              <w:rPr>
                <w:rFonts w:eastAsia="MS Mincho"/>
                <w:snapToGrid w:val="0"/>
                <w:color w:val="000000"/>
                <w:sz w:val="22"/>
                <w:szCs w:val="22"/>
                <w:lang w:val="sr-Latn-ME" w:eastAsia="hr-HR"/>
              </w:rPr>
              <w:t>bisfosfonata</w:t>
            </w:r>
            <w:proofErr w:type="spellEnd"/>
            <w:r w:rsidRPr="0093403C">
              <w:rPr>
                <w:rFonts w:eastAsia="MS Mincho"/>
                <w:snapToGrid w:val="0"/>
                <w:color w:val="000000"/>
                <w:sz w:val="22"/>
                <w:szCs w:val="22"/>
                <w:lang w:val="sr-Latn-ME" w:eastAsia="hr-HR"/>
              </w:rPr>
              <w:t>) †</w:t>
            </w:r>
          </w:p>
        </w:tc>
      </w:tr>
      <w:tr w:rsidR="002E634B" w:rsidRPr="0093403C" w14:paraId="4925246F" w14:textId="77777777" w:rsidTr="002E634B">
        <w:tc>
          <w:tcPr>
            <w:tcW w:w="1988" w:type="dxa"/>
            <w:shd w:val="clear" w:color="auto" w:fill="auto"/>
          </w:tcPr>
          <w:p w14:paraId="11D8EEEF" w14:textId="77777777" w:rsidR="002E634B" w:rsidRPr="0093403C" w:rsidRDefault="002E634B" w:rsidP="007C5B43">
            <w:pPr>
              <w:keepNext/>
              <w:keepLines/>
              <w:jc w:val="both"/>
              <w:rPr>
                <w:rFonts w:eastAsia="MS Mincho"/>
                <w:snapToGrid w:val="0"/>
                <w:color w:val="000000"/>
                <w:sz w:val="22"/>
                <w:szCs w:val="22"/>
                <w:lang w:val="sr-Latn-ME" w:eastAsia="hr-HR"/>
              </w:rPr>
            </w:pPr>
            <w:r w:rsidRPr="0093403C">
              <w:rPr>
                <w:rFonts w:eastAsia="MS Mincho"/>
                <w:snapToGrid w:val="0"/>
                <w:color w:val="000000"/>
                <w:sz w:val="22"/>
                <w:szCs w:val="22"/>
                <w:lang w:val="sr-Latn-ME" w:eastAsia="hr-HR"/>
              </w:rPr>
              <w:t>Opšti poremećaji i reakcije na mjestu primjene</w:t>
            </w:r>
          </w:p>
        </w:tc>
        <w:tc>
          <w:tcPr>
            <w:tcW w:w="1668" w:type="dxa"/>
            <w:shd w:val="clear" w:color="auto" w:fill="auto"/>
          </w:tcPr>
          <w:p w14:paraId="4A52F73A" w14:textId="77777777" w:rsidR="002E634B" w:rsidRPr="0093403C" w:rsidRDefault="002E634B" w:rsidP="007C5B43">
            <w:pPr>
              <w:keepNext/>
              <w:keepLines/>
              <w:jc w:val="both"/>
              <w:rPr>
                <w:rFonts w:eastAsia="MS Mincho"/>
                <w:snapToGrid w:val="0"/>
                <w:color w:val="000000"/>
                <w:sz w:val="22"/>
                <w:szCs w:val="22"/>
                <w:lang w:val="sr-Latn-ME" w:eastAsia="hr-HR"/>
              </w:rPr>
            </w:pPr>
            <w:r w:rsidRPr="0093403C">
              <w:rPr>
                <w:rFonts w:eastAsia="MS Mincho"/>
                <w:snapToGrid w:val="0"/>
                <w:color w:val="000000"/>
                <w:sz w:val="22"/>
                <w:szCs w:val="22"/>
                <w:lang w:val="sr-Latn-ME" w:eastAsia="hr-HR"/>
              </w:rPr>
              <w:t>bolest slična gripu *, umor</w:t>
            </w:r>
          </w:p>
        </w:tc>
        <w:tc>
          <w:tcPr>
            <w:tcW w:w="2184" w:type="dxa"/>
            <w:shd w:val="clear" w:color="auto" w:fill="auto"/>
          </w:tcPr>
          <w:p w14:paraId="6BE352F2" w14:textId="77777777" w:rsidR="002E634B" w:rsidRPr="0093403C" w:rsidRDefault="002E634B" w:rsidP="007C5B43">
            <w:pPr>
              <w:keepNext/>
              <w:keepLines/>
              <w:jc w:val="both"/>
              <w:rPr>
                <w:rFonts w:eastAsia="MS Mincho"/>
                <w:snapToGrid w:val="0"/>
                <w:color w:val="000000"/>
                <w:sz w:val="22"/>
                <w:szCs w:val="22"/>
                <w:lang w:val="sr-Latn-ME" w:eastAsia="hr-HR"/>
              </w:rPr>
            </w:pPr>
            <w:r w:rsidRPr="0093403C">
              <w:rPr>
                <w:rFonts w:eastAsia="MS Mincho"/>
                <w:snapToGrid w:val="0"/>
                <w:color w:val="000000"/>
                <w:sz w:val="22"/>
                <w:szCs w:val="22"/>
                <w:lang w:val="sr-Latn-ME" w:eastAsia="hr-HR"/>
              </w:rPr>
              <w:t>reakcija na mjestu uboda, astenija</w:t>
            </w:r>
          </w:p>
        </w:tc>
        <w:tc>
          <w:tcPr>
            <w:tcW w:w="1764" w:type="dxa"/>
            <w:shd w:val="clear" w:color="auto" w:fill="auto"/>
          </w:tcPr>
          <w:p w14:paraId="0AF1F6D1" w14:textId="77777777" w:rsidR="002E634B" w:rsidRPr="0093403C" w:rsidRDefault="002E634B" w:rsidP="007C5B43">
            <w:pPr>
              <w:keepNext/>
              <w:keepLines/>
              <w:jc w:val="both"/>
              <w:rPr>
                <w:rFonts w:eastAsia="MS Mincho"/>
                <w:snapToGrid w:val="0"/>
                <w:color w:val="000000"/>
                <w:sz w:val="22"/>
                <w:szCs w:val="22"/>
                <w:lang w:val="sr-Latn-ME" w:eastAsia="hr-HR"/>
              </w:rPr>
            </w:pPr>
          </w:p>
        </w:tc>
        <w:tc>
          <w:tcPr>
            <w:tcW w:w="1683" w:type="dxa"/>
            <w:shd w:val="clear" w:color="auto" w:fill="auto"/>
          </w:tcPr>
          <w:p w14:paraId="7F966EC9" w14:textId="77777777" w:rsidR="002E634B" w:rsidRPr="0093403C" w:rsidRDefault="002E634B" w:rsidP="007C5B43">
            <w:pPr>
              <w:keepNext/>
              <w:keepLines/>
              <w:jc w:val="both"/>
              <w:rPr>
                <w:rFonts w:eastAsia="MS Mincho"/>
                <w:snapToGrid w:val="0"/>
                <w:color w:val="000000"/>
                <w:sz w:val="22"/>
                <w:szCs w:val="22"/>
                <w:lang w:val="sr-Latn-ME" w:eastAsia="hr-HR"/>
              </w:rPr>
            </w:pPr>
          </w:p>
        </w:tc>
      </w:tr>
    </w:tbl>
    <w:p w14:paraId="590E8059" w14:textId="77777777" w:rsidR="002E634B" w:rsidRPr="0093403C" w:rsidRDefault="002E634B" w:rsidP="007C5B43">
      <w:pPr>
        <w:jc w:val="both"/>
        <w:rPr>
          <w:bCs/>
          <w:sz w:val="22"/>
          <w:szCs w:val="22"/>
          <w:lang w:val="sr-Latn-ME"/>
        </w:rPr>
      </w:pPr>
      <w:r w:rsidRPr="0093403C">
        <w:rPr>
          <w:bCs/>
          <w:sz w:val="22"/>
          <w:szCs w:val="22"/>
          <w:lang w:val="sr-Latn-ME"/>
        </w:rPr>
        <w:t>*Za dalje informacije vidjeti nastavak teksta</w:t>
      </w:r>
    </w:p>
    <w:p w14:paraId="3AEE6ADE" w14:textId="0FFF0657" w:rsidR="002E634B" w:rsidRPr="0093403C" w:rsidRDefault="002E634B" w:rsidP="007C5B43">
      <w:pPr>
        <w:jc w:val="both"/>
        <w:rPr>
          <w:bCs/>
          <w:sz w:val="22"/>
          <w:szCs w:val="22"/>
          <w:lang w:val="sr-Latn-ME"/>
        </w:rPr>
      </w:pPr>
      <w:r w:rsidRPr="0093403C">
        <w:rPr>
          <w:bCs/>
          <w:sz w:val="22"/>
          <w:szCs w:val="22"/>
          <w:lang w:val="sr-Latn-ME"/>
        </w:rPr>
        <w:t>† Zabilježeno nakon stavljanja lijeka na tržište</w:t>
      </w:r>
    </w:p>
    <w:p w14:paraId="45A2E2D7" w14:textId="77777777" w:rsidR="007C5B43" w:rsidRPr="0093403C" w:rsidRDefault="007C5B43" w:rsidP="007C5B43">
      <w:pPr>
        <w:jc w:val="both"/>
        <w:rPr>
          <w:bCs/>
          <w:sz w:val="22"/>
          <w:szCs w:val="22"/>
          <w:lang w:val="sr-Latn-ME"/>
        </w:rPr>
      </w:pPr>
    </w:p>
    <w:p w14:paraId="03C424D3" w14:textId="77777777" w:rsidR="002E634B" w:rsidRPr="0093403C" w:rsidRDefault="002E634B" w:rsidP="007C5B43">
      <w:pPr>
        <w:jc w:val="both"/>
        <w:rPr>
          <w:bCs/>
          <w:sz w:val="22"/>
          <w:szCs w:val="22"/>
          <w:u w:val="single"/>
          <w:lang w:val="sr-Latn-ME"/>
        </w:rPr>
      </w:pPr>
      <w:r w:rsidRPr="0093403C">
        <w:rPr>
          <w:bCs/>
          <w:sz w:val="22"/>
          <w:szCs w:val="22"/>
          <w:u w:val="single"/>
          <w:lang w:val="sr-Latn-ME"/>
        </w:rPr>
        <w:t>Opis odabranih neželjenih dejstava</w:t>
      </w:r>
    </w:p>
    <w:p w14:paraId="7FD44823" w14:textId="49EBB38A" w:rsidR="007C5B43" w:rsidRPr="0093403C" w:rsidRDefault="007C5B43" w:rsidP="007C5B43">
      <w:pPr>
        <w:jc w:val="both"/>
        <w:rPr>
          <w:bCs/>
          <w:sz w:val="22"/>
          <w:szCs w:val="22"/>
          <w:u w:val="single"/>
          <w:lang w:val="sr-Latn-ME"/>
        </w:rPr>
      </w:pPr>
    </w:p>
    <w:p w14:paraId="6EF5D7A2" w14:textId="77777777" w:rsidR="00EE6A5F" w:rsidRDefault="00EE6A5F" w:rsidP="007C5B43">
      <w:pPr>
        <w:jc w:val="both"/>
        <w:rPr>
          <w:bCs/>
          <w:i/>
          <w:sz w:val="22"/>
          <w:szCs w:val="22"/>
          <w:lang w:val="sr-Latn-ME"/>
        </w:rPr>
      </w:pPr>
    </w:p>
    <w:p w14:paraId="5A9B8291" w14:textId="77777777" w:rsidR="00EE6A5F" w:rsidRDefault="00EE6A5F" w:rsidP="007C5B43">
      <w:pPr>
        <w:jc w:val="both"/>
        <w:rPr>
          <w:bCs/>
          <w:i/>
          <w:sz w:val="22"/>
          <w:szCs w:val="22"/>
          <w:lang w:val="sr-Latn-ME"/>
        </w:rPr>
      </w:pPr>
    </w:p>
    <w:p w14:paraId="15A05468" w14:textId="77777777" w:rsidR="00EE6A5F" w:rsidRDefault="00EE6A5F" w:rsidP="007C5B43">
      <w:pPr>
        <w:jc w:val="both"/>
        <w:rPr>
          <w:bCs/>
          <w:i/>
          <w:sz w:val="22"/>
          <w:szCs w:val="22"/>
          <w:lang w:val="sr-Latn-ME"/>
        </w:rPr>
      </w:pPr>
    </w:p>
    <w:p w14:paraId="2E7E6B11" w14:textId="5727316F" w:rsidR="002E634B" w:rsidRPr="0093403C" w:rsidRDefault="002E634B" w:rsidP="007C5B43">
      <w:pPr>
        <w:jc w:val="both"/>
        <w:rPr>
          <w:bCs/>
          <w:i/>
          <w:sz w:val="22"/>
          <w:szCs w:val="22"/>
          <w:lang w:val="sr-Latn-ME"/>
        </w:rPr>
      </w:pPr>
      <w:r w:rsidRPr="0093403C">
        <w:rPr>
          <w:bCs/>
          <w:i/>
          <w:sz w:val="22"/>
          <w:szCs w:val="22"/>
          <w:lang w:val="sr-Latn-ME"/>
        </w:rPr>
        <w:lastRenderedPageBreak/>
        <w:t>Bolest slična gripu</w:t>
      </w:r>
    </w:p>
    <w:p w14:paraId="42DE3235" w14:textId="77777777" w:rsidR="002E634B" w:rsidRPr="0093403C" w:rsidRDefault="002E634B" w:rsidP="007C5B43">
      <w:pPr>
        <w:jc w:val="both"/>
        <w:rPr>
          <w:sz w:val="22"/>
          <w:szCs w:val="22"/>
          <w:lang w:val="sr-Latn-ME"/>
        </w:rPr>
      </w:pPr>
      <w:r w:rsidRPr="0093403C">
        <w:rPr>
          <w:sz w:val="22"/>
          <w:szCs w:val="22"/>
          <w:lang w:val="sr-Latn-ME"/>
        </w:rPr>
        <w:t xml:space="preserve">Bolest slična gripu uključuje događaje koji se bilježe kao reakcija u akutnoj fazi ili simptomi koji obuhvataju </w:t>
      </w:r>
      <w:proofErr w:type="spellStart"/>
      <w:r w:rsidRPr="0093403C">
        <w:rPr>
          <w:sz w:val="22"/>
          <w:szCs w:val="22"/>
          <w:lang w:val="sr-Latn-ME"/>
        </w:rPr>
        <w:t>mijalgiju</w:t>
      </w:r>
      <w:proofErr w:type="spellEnd"/>
      <w:r w:rsidRPr="0093403C">
        <w:rPr>
          <w:sz w:val="22"/>
          <w:szCs w:val="22"/>
          <w:lang w:val="sr-Latn-ME"/>
        </w:rPr>
        <w:t xml:space="preserve">, </w:t>
      </w:r>
      <w:proofErr w:type="spellStart"/>
      <w:r w:rsidRPr="0093403C">
        <w:rPr>
          <w:sz w:val="22"/>
          <w:szCs w:val="22"/>
          <w:lang w:val="sr-Latn-ME"/>
        </w:rPr>
        <w:t>artralgiju</w:t>
      </w:r>
      <w:proofErr w:type="spellEnd"/>
      <w:r w:rsidRPr="0093403C">
        <w:rPr>
          <w:sz w:val="22"/>
          <w:szCs w:val="22"/>
          <w:lang w:val="sr-Latn-ME"/>
        </w:rPr>
        <w:t xml:space="preserve">, povišenu temperaturu, drhtavicu, zamor, mučninu, gubitak apetita ili bolove u kostima. </w:t>
      </w:r>
    </w:p>
    <w:p w14:paraId="6138FC96" w14:textId="77777777" w:rsidR="002E634B" w:rsidRPr="0093403C" w:rsidRDefault="002E634B" w:rsidP="007C5B43">
      <w:pPr>
        <w:jc w:val="both"/>
        <w:rPr>
          <w:sz w:val="22"/>
          <w:szCs w:val="22"/>
          <w:lang w:val="sr-Latn-ME"/>
        </w:rPr>
      </w:pPr>
    </w:p>
    <w:p w14:paraId="623EDE75" w14:textId="77777777" w:rsidR="002E634B" w:rsidRPr="0093403C" w:rsidRDefault="002E634B" w:rsidP="007C5B43">
      <w:pPr>
        <w:jc w:val="both"/>
        <w:rPr>
          <w:i/>
          <w:sz w:val="22"/>
          <w:szCs w:val="22"/>
          <w:lang w:val="sr-Latn-ME"/>
        </w:rPr>
      </w:pPr>
      <w:proofErr w:type="spellStart"/>
      <w:r w:rsidRPr="0093403C">
        <w:rPr>
          <w:i/>
          <w:sz w:val="22"/>
          <w:szCs w:val="22"/>
          <w:lang w:val="sr-Latn-ME"/>
        </w:rPr>
        <w:t>Osteonekroza</w:t>
      </w:r>
      <w:proofErr w:type="spellEnd"/>
      <w:r w:rsidRPr="0093403C">
        <w:rPr>
          <w:i/>
          <w:sz w:val="22"/>
          <w:szCs w:val="22"/>
          <w:lang w:val="sr-Latn-ME"/>
        </w:rPr>
        <w:t xml:space="preserve"> vilice</w:t>
      </w:r>
    </w:p>
    <w:p w14:paraId="20E911C9" w14:textId="77777777" w:rsidR="002E634B" w:rsidRPr="0093403C" w:rsidRDefault="002E634B" w:rsidP="007C5B43">
      <w:pPr>
        <w:jc w:val="both"/>
        <w:rPr>
          <w:sz w:val="22"/>
          <w:szCs w:val="22"/>
          <w:lang w:val="sr-Latn-ME"/>
        </w:rPr>
      </w:pPr>
      <w:proofErr w:type="spellStart"/>
      <w:r w:rsidRPr="0093403C">
        <w:rPr>
          <w:sz w:val="22"/>
          <w:szCs w:val="22"/>
          <w:lang w:val="sr-Latn-ME"/>
        </w:rPr>
        <w:t>Osteonekroza</w:t>
      </w:r>
      <w:proofErr w:type="spellEnd"/>
      <w:r w:rsidRPr="0093403C">
        <w:rPr>
          <w:sz w:val="22"/>
          <w:szCs w:val="22"/>
          <w:lang w:val="sr-Latn-ME"/>
        </w:rPr>
        <w:t xml:space="preserve"> vilice prijavljena je kod pacijenata liječenih </w:t>
      </w:r>
      <w:proofErr w:type="spellStart"/>
      <w:r w:rsidRPr="0093403C">
        <w:rPr>
          <w:sz w:val="22"/>
          <w:szCs w:val="22"/>
          <w:lang w:val="sr-Latn-ME"/>
        </w:rPr>
        <w:t>bisfosfonatima</w:t>
      </w:r>
      <w:proofErr w:type="spellEnd"/>
      <w:r w:rsidRPr="0093403C">
        <w:rPr>
          <w:sz w:val="22"/>
          <w:szCs w:val="22"/>
          <w:lang w:val="sr-Latn-ME"/>
        </w:rPr>
        <w:t xml:space="preserve">. Većina prijava se odnosi na pacijente oboljele od raka, ali slučajevi </w:t>
      </w:r>
      <w:proofErr w:type="spellStart"/>
      <w:r w:rsidRPr="0093403C">
        <w:rPr>
          <w:sz w:val="22"/>
          <w:szCs w:val="22"/>
          <w:lang w:val="sr-Latn-ME"/>
        </w:rPr>
        <w:t>osteonekroze</w:t>
      </w:r>
      <w:proofErr w:type="spellEnd"/>
      <w:r w:rsidRPr="0093403C">
        <w:rPr>
          <w:sz w:val="22"/>
          <w:szCs w:val="22"/>
          <w:lang w:val="sr-Latn-ME"/>
        </w:rPr>
        <w:t xml:space="preserve"> prijavljeni su i kod pacijenata liječenih od </w:t>
      </w:r>
      <w:proofErr w:type="spellStart"/>
      <w:r w:rsidRPr="0093403C">
        <w:rPr>
          <w:sz w:val="22"/>
          <w:szCs w:val="22"/>
          <w:lang w:val="sr-Latn-ME"/>
        </w:rPr>
        <w:t>osteoporoze</w:t>
      </w:r>
      <w:proofErr w:type="spellEnd"/>
      <w:r w:rsidRPr="0093403C">
        <w:rPr>
          <w:sz w:val="22"/>
          <w:szCs w:val="22"/>
          <w:lang w:val="sr-Latn-ME"/>
        </w:rPr>
        <w:t xml:space="preserve">. </w:t>
      </w:r>
      <w:proofErr w:type="spellStart"/>
      <w:r w:rsidRPr="0093403C">
        <w:rPr>
          <w:sz w:val="22"/>
          <w:szCs w:val="22"/>
          <w:lang w:val="sr-Latn-ME"/>
        </w:rPr>
        <w:t>Osteonekroza</w:t>
      </w:r>
      <w:proofErr w:type="spellEnd"/>
      <w:r w:rsidRPr="0093403C">
        <w:rPr>
          <w:sz w:val="22"/>
          <w:szCs w:val="22"/>
          <w:lang w:val="sr-Latn-ME"/>
        </w:rPr>
        <w:t xml:space="preserve"> vilice obično se povezuje sa vađenjem zuba i/ili lokalnom infekcijom (uključujući </w:t>
      </w:r>
      <w:proofErr w:type="spellStart"/>
      <w:r w:rsidRPr="0093403C">
        <w:rPr>
          <w:sz w:val="22"/>
          <w:szCs w:val="22"/>
          <w:lang w:val="sr-Latn-ME"/>
        </w:rPr>
        <w:t>osteomijelitis</w:t>
      </w:r>
      <w:proofErr w:type="spellEnd"/>
      <w:r w:rsidRPr="0093403C">
        <w:rPr>
          <w:sz w:val="22"/>
          <w:szCs w:val="22"/>
          <w:lang w:val="sr-Latn-ME"/>
        </w:rPr>
        <w:t xml:space="preserve">). Rak, </w:t>
      </w:r>
      <w:proofErr w:type="spellStart"/>
      <w:r w:rsidRPr="0093403C">
        <w:rPr>
          <w:sz w:val="22"/>
          <w:szCs w:val="22"/>
          <w:lang w:val="sr-Latn-ME"/>
        </w:rPr>
        <w:t>hemioterapija</w:t>
      </w:r>
      <w:proofErr w:type="spellEnd"/>
      <w:r w:rsidRPr="0093403C">
        <w:rPr>
          <w:sz w:val="22"/>
          <w:szCs w:val="22"/>
          <w:lang w:val="sr-Latn-ME"/>
        </w:rPr>
        <w:t xml:space="preserve">, </w:t>
      </w:r>
      <w:proofErr w:type="spellStart"/>
      <w:r w:rsidRPr="0093403C">
        <w:rPr>
          <w:sz w:val="22"/>
          <w:szCs w:val="22"/>
          <w:lang w:val="sr-Latn-ME"/>
        </w:rPr>
        <w:t>radioterapija</w:t>
      </w:r>
      <w:proofErr w:type="spellEnd"/>
      <w:r w:rsidRPr="0093403C">
        <w:rPr>
          <w:sz w:val="22"/>
          <w:szCs w:val="22"/>
          <w:lang w:val="sr-Latn-ME"/>
        </w:rPr>
        <w:t xml:space="preserve">, </w:t>
      </w:r>
      <w:proofErr w:type="spellStart"/>
      <w:r w:rsidRPr="0093403C">
        <w:rPr>
          <w:sz w:val="22"/>
          <w:szCs w:val="22"/>
          <w:lang w:val="sr-Latn-ME"/>
        </w:rPr>
        <w:t>kortikosteroidi</w:t>
      </w:r>
      <w:proofErr w:type="spellEnd"/>
      <w:r w:rsidRPr="0093403C">
        <w:rPr>
          <w:sz w:val="22"/>
          <w:szCs w:val="22"/>
          <w:lang w:val="sr-Latn-ME"/>
        </w:rPr>
        <w:t xml:space="preserve"> i loša higijena zuba takođe se smatraju faktorima rizika (vidjeti dio 4.4).</w:t>
      </w:r>
    </w:p>
    <w:p w14:paraId="285C1959" w14:textId="77777777" w:rsidR="002E634B" w:rsidRPr="0093403C" w:rsidRDefault="002E634B" w:rsidP="007C5B43">
      <w:pPr>
        <w:ind w:right="3492"/>
        <w:jc w:val="both"/>
        <w:rPr>
          <w:bCs/>
          <w:sz w:val="22"/>
          <w:szCs w:val="22"/>
          <w:lang w:val="sr-Latn-ME"/>
        </w:rPr>
      </w:pPr>
    </w:p>
    <w:p w14:paraId="70453030" w14:textId="77777777" w:rsidR="002E634B" w:rsidRPr="0093403C" w:rsidRDefault="002E634B" w:rsidP="007C5B43">
      <w:pPr>
        <w:jc w:val="both"/>
        <w:rPr>
          <w:i/>
          <w:sz w:val="22"/>
          <w:szCs w:val="22"/>
          <w:lang w:val="sr-Latn-ME"/>
        </w:rPr>
      </w:pPr>
      <w:r w:rsidRPr="0093403C">
        <w:rPr>
          <w:i/>
          <w:sz w:val="22"/>
          <w:szCs w:val="22"/>
          <w:lang w:val="sr-Latn-ME"/>
        </w:rPr>
        <w:t>Upala oka</w:t>
      </w:r>
    </w:p>
    <w:p w14:paraId="29569EDF" w14:textId="77777777" w:rsidR="002E634B" w:rsidRPr="0093403C" w:rsidRDefault="002E634B" w:rsidP="007C5B43">
      <w:pPr>
        <w:jc w:val="both"/>
        <w:rPr>
          <w:sz w:val="22"/>
          <w:szCs w:val="22"/>
          <w:lang w:val="sr-Latn-ME"/>
        </w:rPr>
      </w:pPr>
      <w:r w:rsidRPr="0093403C">
        <w:rPr>
          <w:sz w:val="22"/>
          <w:szCs w:val="22"/>
          <w:lang w:val="sr-Latn-ME"/>
        </w:rPr>
        <w:t xml:space="preserve">Događaji povezani sa upalom oka poput </w:t>
      </w:r>
      <w:proofErr w:type="spellStart"/>
      <w:r w:rsidRPr="0093403C">
        <w:rPr>
          <w:sz w:val="22"/>
          <w:szCs w:val="22"/>
          <w:lang w:val="sr-Latn-ME"/>
        </w:rPr>
        <w:t>uveitisa</w:t>
      </w:r>
      <w:proofErr w:type="spellEnd"/>
      <w:r w:rsidRPr="0093403C">
        <w:rPr>
          <w:sz w:val="22"/>
          <w:szCs w:val="22"/>
          <w:lang w:val="sr-Latn-ME"/>
        </w:rPr>
        <w:t xml:space="preserve">, </w:t>
      </w:r>
      <w:proofErr w:type="spellStart"/>
      <w:r w:rsidRPr="0093403C">
        <w:rPr>
          <w:sz w:val="22"/>
          <w:szCs w:val="22"/>
          <w:lang w:val="sr-Latn-ME"/>
        </w:rPr>
        <w:t>episkleritisa</w:t>
      </w:r>
      <w:proofErr w:type="spellEnd"/>
      <w:r w:rsidRPr="0093403C">
        <w:rPr>
          <w:sz w:val="22"/>
          <w:szCs w:val="22"/>
          <w:lang w:val="sr-Latn-ME"/>
        </w:rPr>
        <w:t xml:space="preserve"> i </w:t>
      </w:r>
      <w:proofErr w:type="spellStart"/>
      <w:r w:rsidRPr="0093403C">
        <w:rPr>
          <w:sz w:val="22"/>
          <w:szCs w:val="22"/>
          <w:lang w:val="sr-Latn-ME"/>
        </w:rPr>
        <w:t>skleritisa</w:t>
      </w:r>
      <w:proofErr w:type="spellEnd"/>
      <w:r w:rsidRPr="0093403C">
        <w:rPr>
          <w:sz w:val="22"/>
          <w:szCs w:val="22"/>
          <w:lang w:val="sr-Latn-ME"/>
        </w:rPr>
        <w:t xml:space="preserve"> zabilježeni su uz primjenu </w:t>
      </w:r>
      <w:proofErr w:type="spellStart"/>
      <w:r w:rsidRPr="0093403C">
        <w:rPr>
          <w:sz w:val="22"/>
          <w:szCs w:val="22"/>
          <w:lang w:val="sr-Latn-ME"/>
        </w:rPr>
        <w:t>ibandronske</w:t>
      </w:r>
      <w:proofErr w:type="spellEnd"/>
      <w:r w:rsidRPr="0093403C">
        <w:rPr>
          <w:sz w:val="22"/>
          <w:szCs w:val="22"/>
          <w:lang w:val="sr-Latn-ME"/>
        </w:rPr>
        <w:t xml:space="preserve"> kiseline. U nekim slučajevima, ovi simptomi nijesu prestali sve dok nije prestala primjena </w:t>
      </w:r>
      <w:proofErr w:type="spellStart"/>
      <w:r w:rsidRPr="0093403C">
        <w:rPr>
          <w:sz w:val="22"/>
          <w:szCs w:val="22"/>
          <w:lang w:val="sr-Latn-ME"/>
        </w:rPr>
        <w:t>ibandronske</w:t>
      </w:r>
      <w:proofErr w:type="spellEnd"/>
      <w:r w:rsidRPr="0093403C">
        <w:rPr>
          <w:sz w:val="22"/>
          <w:szCs w:val="22"/>
          <w:lang w:val="sr-Latn-ME"/>
        </w:rPr>
        <w:t xml:space="preserve"> kiseline.</w:t>
      </w:r>
    </w:p>
    <w:p w14:paraId="7B19872E" w14:textId="77777777" w:rsidR="002E634B" w:rsidRPr="0093403C" w:rsidRDefault="002E634B" w:rsidP="007C5B43">
      <w:pPr>
        <w:ind w:right="3492"/>
        <w:jc w:val="both"/>
        <w:rPr>
          <w:bCs/>
          <w:sz w:val="22"/>
          <w:szCs w:val="22"/>
          <w:lang w:val="sr-Latn-ME"/>
        </w:rPr>
      </w:pPr>
    </w:p>
    <w:p w14:paraId="1D63FC6E" w14:textId="77777777" w:rsidR="002E634B" w:rsidRPr="0093403C" w:rsidRDefault="002E634B" w:rsidP="007C5B43">
      <w:pPr>
        <w:jc w:val="both"/>
        <w:rPr>
          <w:i/>
          <w:sz w:val="22"/>
          <w:szCs w:val="22"/>
          <w:lang w:val="sr-Latn-ME"/>
        </w:rPr>
      </w:pPr>
      <w:proofErr w:type="spellStart"/>
      <w:r w:rsidRPr="0093403C">
        <w:rPr>
          <w:i/>
          <w:sz w:val="22"/>
          <w:szCs w:val="22"/>
          <w:lang w:val="sr-Latn-ME"/>
        </w:rPr>
        <w:t>Anafilaktička</w:t>
      </w:r>
      <w:proofErr w:type="spellEnd"/>
      <w:r w:rsidRPr="0093403C">
        <w:rPr>
          <w:i/>
          <w:sz w:val="22"/>
          <w:szCs w:val="22"/>
          <w:lang w:val="sr-Latn-ME"/>
        </w:rPr>
        <w:t xml:space="preserve"> reakcija/šok</w:t>
      </w:r>
    </w:p>
    <w:p w14:paraId="39D7B03B" w14:textId="41E68CC0" w:rsidR="002E634B" w:rsidRPr="0093403C" w:rsidRDefault="002E634B" w:rsidP="007C5B43">
      <w:pPr>
        <w:jc w:val="both"/>
        <w:rPr>
          <w:sz w:val="22"/>
          <w:szCs w:val="22"/>
          <w:lang w:val="sr-Latn-ME"/>
        </w:rPr>
      </w:pPr>
      <w:r w:rsidRPr="0093403C">
        <w:rPr>
          <w:sz w:val="22"/>
          <w:szCs w:val="22"/>
          <w:lang w:val="sr-Latn-ME"/>
        </w:rPr>
        <w:t xml:space="preserve">Slučajevi </w:t>
      </w:r>
      <w:proofErr w:type="spellStart"/>
      <w:r w:rsidRPr="0093403C">
        <w:rPr>
          <w:sz w:val="22"/>
          <w:szCs w:val="22"/>
          <w:lang w:val="sr-Latn-ME"/>
        </w:rPr>
        <w:t>anafilaktičke</w:t>
      </w:r>
      <w:proofErr w:type="spellEnd"/>
      <w:r w:rsidRPr="0093403C">
        <w:rPr>
          <w:sz w:val="22"/>
          <w:szCs w:val="22"/>
          <w:lang w:val="sr-Latn-ME"/>
        </w:rPr>
        <w:t xml:space="preserve"> reakcije/šoka, uključujući događaje sa smrtnim ishodom, prijavljeni su kod pacijenata liječenih </w:t>
      </w:r>
      <w:proofErr w:type="spellStart"/>
      <w:r w:rsidRPr="0093403C">
        <w:rPr>
          <w:sz w:val="22"/>
          <w:szCs w:val="22"/>
          <w:lang w:val="sr-Latn-ME"/>
        </w:rPr>
        <w:t>intravenski</w:t>
      </w:r>
      <w:proofErr w:type="spellEnd"/>
      <w:r w:rsidRPr="0093403C">
        <w:rPr>
          <w:sz w:val="22"/>
          <w:szCs w:val="22"/>
          <w:lang w:val="sr-Latn-ME"/>
        </w:rPr>
        <w:t xml:space="preserve"> primijenjenom </w:t>
      </w:r>
      <w:proofErr w:type="spellStart"/>
      <w:r w:rsidRPr="0093403C">
        <w:rPr>
          <w:sz w:val="22"/>
          <w:szCs w:val="22"/>
          <w:lang w:val="sr-Latn-ME"/>
        </w:rPr>
        <w:t>ibandronskom</w:t>
      </w:r>
      <w:proofErr w:type="spellEnd"/>
      <w:r w:rsidRPr="0093403C">
        <w:rPr>
          <w:sz w:val="22"/>
          <w:szCs w:val="22"/>
          <w:lang w:val="sr-Latn-ME"/>
        </w:rPr>
        <w:t xml:space="preserve"> kiselinom.</w:t>
      </w:r>
    </w:p>
    <w:p w14:paraId="44B27286" w14:textId="77777777" w:rsidR="007C5B43" w:rsidRPr="0093403C" w:rsidRDefault="007C5B43" w:rsidP="007C5B43">
      <w:pPr>
        <w:jc w:val="both"/>
        <w:rPr>
          <w:sz w:val="22"/>
          <w:szCs w:val="22"/>
          <w:lang w:val="sr-Latn-ME"/>
        </w:rPr>
      </w:pPr>
    </w:p>
    <w:p w14:paraId="778A37F6" w14:textId="1E4435FB" w:rsidR="005A23D2" w:rsidRPr="0093403C" w:rsidRDefault="005A23D2" w:rsidP="007C5B43">
      <w:pPr>
        <w:spacing w:after="200" w:line="276" w:lineRule="auto"/>
        <w:jc w:val="both"/>
        <w:rPr>
          <w:rFonts w:eastAsia="Calibri"/>
          <w:sz w:val="22"/>
          <w:szCs w:val="22"/>
          <w:u w:val="single"/>
          <w:lang w:val="sr-Latn-ME"/>
        </w:rPr>
      </w:pPr>
      <w:r w:rsidRPr="0093403C">
        <w:rPr>
          <w:rFonts w:eastAsia="Calibri"/>
          <w:sz w:val="22"/>
          <w:szCs w:val="22"/>
          <w:u w:val="single"/>
          <w:lang w:val="sr-Latn-ME"/>
        </w:rPr>
        <w:t>Prijavljivanje sumnji na neželjena dejstva</w:t>
      </w:r>
    </w:p>
    <w:p w14:paraId="0C91BECC" w14:textId="77777777" w:rsidR="005A23D2" w:rsidRPr="0093403C" w:rsidRDefault="005A23D2" w:rsidP="007C5B43">
      <w:pPr>
        <w:spacing w:after="200"/>
        <w:jc w:val="both"/>
        <w:rPr>
          <w:rFonts w:eastAsia="Calibri"/>
          <w:sz w:val="22"/>
          <w:szCs w:val="22"/>
          <w:lang w:val="sr-Latn-ME"/>
        </w:rPr>
      </w:pPr>
      <w:r w:rsidRPr="0093403C">
        <w:rPr>
          <w:rFonts w:eastAsia="Calibri"/>
          <w:sz w:val="22"/>
          <w:szCs w:val="22"/>
          <w:lang w:val="sr-Latn-ME"/>
        </w:rPr>
        <w:t>Prijavljivanje neželjenih dejstava nakon dobijanja dozvole je od velikog značaja jer obezbjeđuje kont</w:t>
      </w:r>
      <w:r w:rsidR="00EA5765" w:rsidRPr="0093403C">
        <w:rPr>
          <w:rFonts w:eastAsia="Calibri"/>
          <w:sz w:val="22"/>
          <w:szCs w:val="22"/>
          <w:lang w:val="sr-Latn-ME"/>
        </w:rPr>
        <w:t>inuirano praćenje odnosa korist</w:t>
      </w:r>
      <w:r w:rsidRPr="0093403C">
        <w:rPr>
          <w:rFonts w:eastAsia="Calibri"/>
          <w:sz w:val="22"/>
          <w:szCs w:val="22"/>
          <w:lang w:val="sr-Latn-ME"/>
        </w:rPr>
        <w:t>/rizik primjene lijeka. Zdravstveni radnici treba da prijave svaku sumnju na neželjeno</w:t>
      </w:r>
      <w:r w:rsidR="009B062A" w:rsidRPr="0093403C">
        <w:rPr>
          <w:rFonts w:eastAsia="Calibri"/>
          <w:sz w:val="22"/>
          <w:szCs w:val="22"/>
          <w:lang w:val="sr-Latn-ME"/>
        </w:rPr>
        <w:t xml:space="preserve"> </w:t>
      </w:r>
      <w:r w:rsidRPr="0093403C">
        <w:rPr>
          <w:rFonts w:eastAsia="Calibri"/>
          <w:sz w:val="22"/>
          <w:szCs w:val="22"/>
          <w:lang w:val="sr-Latn-ME"/>
        </w:rPr>
        <w:t xml:space="preserve">dejstvo ovog lijeka </w:t>
      </w:r>
      <w:r w:rsidR="004E70AD" w:rsidRPr="0093403C">
        <w:rPr>
          <w:rFonts w:eastAsia="Calibri"/>
          <w:sz w:val="22"/>
          <w:szCs w:val="22"/>
          <w:lang w:val="sr-Latn-ME"/>
        </w:rPr>
        <w:t>Institutu</w:t>
      </w:r>
      <w:r w:rsidRPr="0093403C">
        <w:rPr>
          <w:rFonts w:eastAsia="Calibri"/>
          <w:sz w:val="22"/>
          <w:szCs w:val="22"/>
          <w:lang w:val="sr-Latn-ME"/>
        </w:rPr>
        <w:t xml:space="preserve"> za ljekove i medicinska sredstva</w:t>
      </w:r>
      <w:r w:rsidR="004E70AD" w:rsidRPr="0093403C">
        <w:rPr>
          <w:rFonts w:eastAsia="Calibri"/>
          <w:sz w:val="22"/>
          <w:szCs w:val="22"/>
          <w:lang w:val="sr-Latn-ME"/>
        </w:rPr>
        <w:t xml:space="preserve"> </w:t>
      </w:r>
      <w:r w:rsidRPr="0093403C">
        <w:rPr>
          <w:rFonts w:eastAsia="Calibri"/>
          <w:sz w:val="22"/>
          <w:szCs w:val="22"/>
          <w:lang w:val="sr-Latn-ME"/>
        </w:rPr>
        <w:t>(</w:t>
      </w:r>
      <w:r w:rsidR="004E70AD" w:rsidRPr="0093403C">
        <w:rPr>
          <w:rFonts w:eastAsia="Calibri"/>
          <w:sz w:val="22"/>
          <w:szCs w:val="22"/>
          <w:lang w:val="sr-Latn-ME"/>
        </w:rPr>
        <w:t>CInMED</w:t>
      </w:r>
      <w:r w:rsidRPr="0093403C">
        <w:rPr>
          <w:rFonts w:eastAsia="Calibri"/>
          <w:sz w:val="22"/>
          <w:szCs w:val="22"/>
          <w:lang w:val="sr-Latn-ME"/>
        </w:rPr>
        <w:t>):</w:t>
      </w:r>
    </w:p>
    <w:p w14:paraId="4E515746" w14:textId="77777777" w:rsidR="005A23D2" w:rsidRPr="0093403C" w:rsidRDefault="004E70AD" w:rsidP="007C5B43">
      <w:pPr>
        <w:pStyle w:val="NoSpacing"/>
        <w:jc w:val="both"/>
        <w:rPr>
          <w:rFonts w:eastAsia="Calibri"/>
          <w:sz w:val="22"/>
          <w:szCs w:val="22"/>
          <w:lang w:val="sr-Latn-ME"/>
        </w:rPr>
      </w:pPr>
      <w:r w:rsidRPr="0093403C">
        <w:rPr>
          <w:rFonts w:eastAsia="Calibri"/>
          <w:sz w:val="22"/>
          <w:szCs w:val="22"/>
          <w:lang w:val="sr-Latn-ME"/>
        </w:rPr>
        <w:t xml:space="preserve">Institut </w:t>
      </w:r>
      <w:r w:rsidR="005A23D2" w:rsidRPr="0093403C">
        <w:rPr>
          <w:rFonts w:eastAsia="Calibri"/>
          <w:sz w:val="22"/>
          <w:szCs w:val="22"/>
          <w:lang w:val="sr-Latn-ME"/>
        </w:rPr>
        <w:t xml:space="preserve">za ljekove i medicinska sredstva </w:t>
      </w:r>
    </w:p>
    <w:p w14:paraId="218DF6FE" w14:textId="77777777" w:rsidR="005A23D2" w:rsidRPr="0093403C" w:rsidRDefault="005A23D2" w:rsidP="007C5B43">
      <w:pPr>
        <w:pStyle w:val="NoSpacing"/>
        <w:jc w:val="both"/>
        <w:rPr>
          <w:rFonts w:eastAsia="Calibri"/>
          <w:sz w:val="22"/>
          <w:szCs w:val="22"/>
          <w:lang w:val="sr-Latn-ME"/>
        </w:rPr>
      </w:pPr>
      <w:r w:rsidRPr="0093403C">
        <w:rPr>
          <w:rFonts w:eastAsia="Calibri"/>
          <w:sz w:val="22"/>
          <w:szCs w:val="22"/>
          <w:lang w:val="sr-Latn-ME"/>
        </w:rPr>
        <w:t xml:space="preserve">Odjeljenje za </w:t>
      </w:r>
      <w:proofErr w:type="spellStart"/>
      <w:r w:rsidRPr="0093403C">
        <w:rPr>
          <w:rFonts w:eastAsia="Calibri"/>
          <w:sz w:val="22"/>
          <w:szCs w:val="22"/>
          <w:lang w:val="sr-Latn-ME"/>
        </w:rPr>
        <w:t>farmakovigilancu</w:t>
      </w:r>
      <w:proofErr w:type="spellEnd"/>
    </w:p>
    <w:p w14:paraId="5E492A97" w14:textId="77777777" w:rsidR="00EA5765" w:rsidRPr="0093403C" w:rsidRDefault="005A23D2" w:rsidP="007C5B43">
      <w:pPr>
        <w:pStyle w:val="NoSpacing"/>
        <w:jc w:val="both"/>
        <w:rPr>
          <w:rFonts w:eastAsia="Calibri"/>
          <w:sz w:val="22"/>
          <w:szCs w:val="22"/>
          <w:lang w:val="sr-Latn-ME"/>
        </w:rPr>
      </w:pPr>
      <w:r w:rsidRPr="0093403C">
        <w:rPr>
          <w:rFonts w:eastAsia="Calibri"/>
          <w:sz w:val="22"/>
          <w:szCs w:val="22"/>
          <w:lang w:val="sr-Latn-ME"/>
        </w:rPr>
        <w:t>Bulevar Ivana Crnojevića 64a, 81000 Podgorica</w:t>
      </w:r>
    </w:p>
    <w:p w14:paraId="37F3C52A" w14:textId="77777777" w:rsidR="00EA5765" w:rsidRPr="0093403C" w:rsidRDefault="00EA5765" w:rsidP="007C5B43">
      <w:pPr>
        <w:pStyle w:val="NoSpacing"/>
        <w:jc w:val="both"/>
        <w:rPr>
          <w:rFonts w:eastAsia="Calibri"/>
          <w:sz w:val="22"/>
          <w:szCs w:val="22"/>
          <w:lang w:val="sr-Latn-ME"/>
        </w:rPr>
      </w:pPr>
    </w:p>
    <w:p w14:paraId="1DDF9BB9" w14:textId="77777777" w:rsidR="005A23D2" w:rsidRPr="0093403C" w:rsidRDefault="005A23D2" w:rsidP="007C5B43">
      <w:pPr>
        <w:pStyle w:val="NoSpacing"/>
        <w:jc w:val="both"/>
        <w:rPr>
          <w:rFonts w:eastAsia="Calibri"/>
          <w:sz w:val="22"/>
          <w:szCs w:val="22"/>
          <w:lang w:val="sr-Latn-ME"/>
        </w:rPr>
      </w:pPr>
      <w:r w:rsidRPr="0093403C">
        <w:rPr>
          <w:rFonts w:eastAsia="Calibri"/>
          <w:sz w:val="22"/>
          <w:szCs w:val="22"/>
          <w:lang w:val="sr-Latn-ME"/>
        </w:rPr>
        <w:t>tel: +382 (0) 20 310 280</w:t>
      </w:r>
    </w:p>
    <w:p w14:paraId="2665DC47" w14:textId="77777777" w:rsidR="00EA5765" w:rsidRPr="0093403C" w:rsidRDefault="005A23D2" w:rsidP="007C5B43">
      <w:pPr>
        <w:pStyle w:val="NoSpacing"/>
        <w:tabs>
          <w:tab w:val="left" w:pos="6720"/>
        </w:tabs>
        <w:jc w:val="both"/>
        <w:rPr>
          <w:rFonts w:eastAsia="Calibri"/>
          <w:sz w:val="22"/>
          <w:szCs w:val="22"/>
          <w:lang w:val="sr-Latn-ME"/>
        </w:rPr>
      </w:pPr>
      <w:proofErr w:type="spellStart"/>
      <w:r w:rsidRPr="0093403C">
        <w:rPr>
          <w:rFonts w:eastAsia="Calibri"/>
          <w:sz w:val="22"/>
          <w:szCs w:val="22"/>
          <w:lang w:val="sr-Latn-ME"/>
        </w:rPr>
        <w:t>fax</w:t>
      </w:r>
      <w:proofErr w:type="spellEnd"/>
      <w:r w:rsidRPr="0093403C">
        <w:rPr>
          <w:rFonts w:eastAsia="Calibri"/>
          <w:sz w:val="22"/>
          <w:szCs w:val="22"/>
          <w:lang w:val="sr-Latn-ME"/>
        </w:rPr>
        <w:t>:</w:t>
      </w:r>
      <w:r w:rsidR="00EA5765" w:rsidRPr="0093403C">
        <w:rPr>
          <w:rFonts w:eastAsia="Calibri"/>
          <w:sz w:val="22"/>
          <w:szCs w:val="22"/>
          <w:lang w:val="sr-Latn-ME"/>
        </w:rPr>
        <w:t xml:space="preserve"> </w:t>
      </w:r>
      <w:r w:rsidRPr="0093403C">
        <w:rPr>
          <w:rFonts w:eastAsia="Calibri"/>
          <w:sz w:val="22"/>
          <w:szCs w:val="22"/>
          <w:lang w:val="sr-Latn-ME"/>
        </w:rPr>
        <w:t>+382 (0) 20 310 581</w:t>
      </w:r>
      <w:r w:rsidR="00FF3EDF" w:rsidRPr="0093403C">
        <w:rPr>
          <w:rFonts w:eastAsia="Calibri"/>
          <w:sz w:val="22"/>
          <w:szCs w:val="22"/>
          <w:lang w:val="sr-Latn-ME"/>
        </w:rPr>
        <w:tab/>
      </w:r>
    </w:p>
    <w:p w14:paraId="2CC061FE" w14:textId="77777777" w:rsidR="005A23D2" w:rsidRPr="0093403C" w:rsidRDefault="00D12050" w:rsidP="007C5B43">
      <w:pPr>
        <w:pStyle w:val="NoSpacing"/>
        <w:jc w:val="both"/>
        <w:rPr>
          <w:rFonts w:eastAsia="Calibri"/>
          <w:sz w:val="22"/>
          <w:szCs w:val="22"/>
          <w:lang w:val="sr-Latn-ME"/>
        </w:rPr>
      </w:pPr>
      <w:hyperlink r:id="rId8" w:history="1">
        <w:r w:rsidR="004E70AD" w:rsidRPr="0093403C">
          <w:rPr>
            <w:rStyle w:val="Hyperlink"/>
            <w:rFonts w:eastAsia="Calibri"/>
            <w:sz w:val="22"/>
            <w:szCs w:val="22"/>
            <w:lang w:val="sr-Latn-ME"/>
          </w:rPr>
          <w:t>www.cinmed.me</w:t>
        </w:r>
      </w:hyperlink>
    </w:p>
    <w:p w14:paraId="6B7C0AB6" w14:textId="77777777" w:rsidR="00EA5765" w:rsidRPr="0093403C" w:rsidRDefault="00D12050" w:rsidP="007C5B43">
      <w:pPr>
        <w:pStyle w:val="NoSpacing"/>
        <w:jc w:val="both"/>
        <w:rPr>
          <w:rFonts w:eastAsia="Calibri"/>
          <w:color w:val="0000FF"/>
          <w:sz w:val="22"/>
          <w:szCs w:val="22"/>
          <w:u w:val="single"/>
          <w:lang w:val="sr-Latn-ME"/>
        </w:rPr>
      </w:pPr>
      <w:hyperlink r:id="rId9" w:history="1">
        <w:r w:rsidR="004E70AD" w:rsidRPr="0093403C">
          <w:rPr>
            <w:rStyle w:val="Hyperlink"/>
            <w:rFonts w:eastAsia="Calibri"/>
            <w:sz w:val="22"/>
            <w:szCs w:val="22"/>
            <w:lang w:val="sr-Latn-ME"/>
          </w:rPr>
          <w:t>nezeljenadejstva@cinmed.me</w:t>
        </w:r>
      </w:hyperlink>
    </w:p>
    <w:p w14:paraId="10B3E63A" w14:textId="77777777" w:rsidR="005A23D2" w:rsidRPr="0093403C" w:rsidRDefault="005A23D2" w:rsidP="007C5B43">
      <w:pPr>
        <w:pStyle w:val="NoSpacing"/>
        <w:jc w:val="both"/>
        <w:rPr>
          <w:rFonts w:eastAsia="Calibri"/>
          <w:sz w:val="22"/>
          <w:szCs w:val="22"/>
          <w:lang w:val="sr-Latn-ME"/>
        </w:rPr>
      </w:pPr>
      <w:r w:rsidRPr="0093403C">
        <w:rPr>
          <w:rFonts w:eastAsia="Calibri"/>
          <w:sz w:val="22"/>
          <w:szCs w:val="22"/>
          <w:lang w:val="sr-Latn-ME"/>
        </w:rPr>
        <w:t>putem IS zdravstvene zaštite</w:t>
      </w:r>
    </w:p>
    <w:p w14:paraId="6093E728" w14:textId="77777777" w:rsidR="007E31E9" w:rsidRPr="0093403C" w:rsidRDefault="007E31E9" w:rsidP="007C5B43">
      <w:pPr>
        <w:pStyle w:val="NoSpacing"/>
        <w:jc w:val="both"/>
        <w:rPr>
          <w:rFonts w:eastAsia="Calibri"/>
          <w:sz w:val="22"/>
          <w:szCs w:val="22"/>
          <w:lang w:val="sr-Latn-ME"/>
        </w:rPr>
      </w:pPr>
      <w:proofErr w:type="spellStart"/>
      <w:r w:rsidRPr="0093403C">
        <w:rPr>
          <w:rFonts w:eastAsia="Calibri"/>
          <w:sz w:val="22"/>
          <w:szCs w:val="22"/>
          <w:lang w:val="sr-Latn-ME"/>
        </w:rPr>
        <w:t>QR</w:t>
      </w:r>
      <w:proofErr w:type="spellEnd"/>
      <w:r w:rsidRPr="0093403C">
        <w:rPr>
          <w:rFonts w:eastAsia="Calibri"/>
          <w:sz w:val="22"/>
          <w:szCs w:val="22"/>
          <w:lang w:val="sr-Latn-ME"/>
        </w:rPr>
        <w:t xml:space="preserve"> kod za </w:t>
      </w:r>
      <w:proofErr w:type="spellStart"/>
      <w:r w:rsidRPr="0093403C">
        <w:rPr>
          <w:rFonts w:eastAsia="Calibri"/>
          <w:sz w:val="22"/>
          <w:szCs w:val="22"/>
          <w:lang w:val="sr-Latn-ME"/>
        </w:rPr>
        <w:t>online</w:t>
      </w:r>
      <w:proofErr w:type="spellEnd"/>
      <w:r w:rsidRPr="0093403C">
        <w:rPr>
          <w:rFonts w:eastAsia="Calibri"/>
          <w:sz w:val="22"/>
          <w:szCs w:val="22"/>
          <w:lang w:val="sr-Latn-ME"/>
        </w:rPr>
        <w:t xml:space="preserve"> prijavu</w:t>
      </w:r>
      <w:r w:rsidR="00D74CD2" w:rsidRPr="0093403C">
        <w:rPr>
          <w:rFonts w:eastAsia="Calibri"/>
          <w:sz w:val="22"/>
          <w:szCs w:val="22"/>
          <w:lang w:val="sr-Latn-ME"/>
        </w:rPr>
        <w:t xml:space="preserve"> sumnje na neželjeno dejstvo lijeka</w:t>
      </w:r>
      <w:r w:rsidRPr="0093403C">
        <w:rPr>
          <w:rFonts w:eastAsia="Calibri"/>
          <w:sz w:val="22"/>
          <w:szCs w:val="22"/>
          <w:lang w:val="sr-Latn-ME"/>
        </w:rPr>
        <w:t>:</w:t>
      </w:r>
    </w:p>
    <w:p w14:paraId="2517CA31" w14:textId="77777777" w:rsidR="007E31E9" w:rsidRPr="0093403C" w:rsidRDefault="007E31E9" w:rsidP="007C5B43">
      <w:pPr>
        <w:pStyle w:val="NoSpacing"/>
        <w:jc w:val="both"/>
        <w:rPr>
          <w:rFonts w:eastAsia="Calibri"/>
          <w:sz w:val="22"/>
          <w:szCs w:val="22"/>
          <w:lang w:val="sr-Latn-ME"/>
        </w:rPr>
      </w:pPr>
    </w:p>
    <w:p w14:paraId="1CB4796B" w14:textId="77777777" w:rsidR="004F17E2" w:rsidRPr="0093403C" w:rsidRDefault="007E31E9" w:rsidP="007C5B43">
      <w:pPr>
        <w:pStyle w:val="NoSpacing"/>
        <w:jc w:val="both"/>
        <w:rPr>
          <w:rFonts w:eastAsia="Calibri"/>
          <w:sz w:val="22"/>
          <w:szCs w:val="22"/>
          <w:lang w:val="sr-Latn-ME"/>
        </w:rPr>
      </w:pPr>
      <w:r w:rsidRPr="0093403C">
        <w:rPr>
          <w:noProof/>
          <w:sz w:val="22"/>
          <w:szCs w:val="22"/>
          <w:lang w:val="sr-Latn-ME" w:eastAsia="sr-Latn-ME"/>
        </w:rPr>
        <w:drawing>
          <wp:inline distT="0" distB="0" distL="0" distR="0" wp14:anchorId="6E0773F8" wp14:editId="2EF8D38D">
            <wp:extent cx="971550" cy="971550"/>
            <wp:effectExtent l="0" t="0" r="0" b="0"/>
            <wp:docPr id="2" name="Picture 2" descr="https://cinmed.me/wp-content/uploads/2022/11/Online-prijava-NDL-QR-code-300x300.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inmed.me/wp-content/uploads/2022/11/Online-prijava-NDL-QR-code-300x300.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14:paraId="52A2B983" w14:textId="77777777" w:rsidR="00836B35" w:rsidRPr="0093403C" w:rsidRDefault="00836B35" w:rsidP="007C5B43">
      <w:pPr>
        <w:tabs>
          <w:tab w:val="left" w:pos="540"/>
          <w:tab w:val="left" w:pos="569"/>
        </w:tabs>
        <w:jc w:val="both"/>
        <w:rPr>
          <w:b/>
          <w:bCs/>
          <w:sz w:val="22"/>
          <w:szCs w:val="22"/>
          <w:lang w:val="sr-Latn-ME"/>
        </w:rPr>
      </w:pPr>
    </w:p>
    <w:p w14:paraId="47B3C6E8" w14:textId="77777777" w:rsidR="00CD6F02" w:rsidRPr="0093403C" w:rsidRDefault="0072020E" w:rsidP="007C5B43">
      <w:pPr>
        <w:tabs>
          <w:tab w:val="left" w:pos="540"/>
          <w:tab w:val="left" w:pos="569"/>
        </w:tabs>
        <w:jc w:val="both"/>
        <w:rPr>
          <w:b/>
          <w:bCs/>
          <w:sz w:val="22"/>
          <w:szCs w:val="22"/>
          <w:lang w:val="sr-Latn-ME"/>
        </w:rPr>
      </w:pPr>
      <w:r w:rsidRPr="0093403C">
        <w:rPr>
          <w:b/>
          <w:bCs/>
          <w:sz w:val="22"/>
          <w:szCs w:val="22"/>
          <w:lang w:val="sr-Latn-ME"/>
        </w:rPr>
        <w:t xml:space="preserve">4.9. </w:t>
      </w:r>
      <w:r w:rsidR="00480FB1" w:rsidRPr="0093403C">
        <w:rPr>
          <w:b/>
          <w:bCs/>
          <w:sz w:val="22"/>
          <w:szCs w:val="22"/>
          <w:lang w:val="sr-Latn-ME"/>
        </w:rPr>
        <w:tab/>
      </w:r>
      <w:proofErr w:type="spellStart"/>
      <w:r w:rsidRPr="0093403C">
        <w:rPr>
          <w:b/>
          <w:bCs/>
          <w:sz w:val="22"/>
          <w:szCs w:val="22"/>
          <w:lang w:val="sr-Latn-ME"/>
        </w:rPr>
        <w:t>Predoziranje</w:t>
      </w:r>
      <w:proofErr w:type="spellEnd"/>
      <w:r w:rsidR="002846DB" w:rsidRPr="0093403C">
        <w:rPr>
          <w:b/>
          <w:bCs/>
          <w:sz w:val="22"/>
          <w:szCs w:val="22"/>
          <w:lang w:val="sr-Latn-ME"/>
        </w:rPr>
        <w:t xml:space="preserve"> </w:t>
      </w:r>
    </w:p>
    <w:p w14:paraId="56E296D5" w14:textId="77777777" w:rsidR="00CD6F02" w:rsidRPr="0093403C" w:rsidRDefault="00CD6F02" w:rsidP="007C5B43">
      <w:pPr>
        <w:tabs>
          <w:tab w:val="left" w:pos="540"/>
          <w:tab w:val="left" w:pos="569"/>
        </w:tabs>
        <w:jc w:val="both"/>
        <w:rPr>
          <w:b/>
          <w:bCs/>
          <w:sz w:val="22"/>
          <w:szCs w:val="22"/>
          <w:lang w:val="sr-Latn-ME"/>
        </w:rPr>
      </w:pPr>
    </w:p>
    <w:p w14:paraId="1D19EEA2" w14:textId="77777777" w:rsidR="002E634B" w:rsidRPr="0093403C" w:rsidRDefault="002E634B" w:rsidP="007C5B43">
      <w:pPr>
        <w:pStyle w:val="Header"/>
        <w:tabs>
          <w:tab w:val="left" w:pos="284"/>
        </w:tabs>
        <w:spacing w:before="80" w:after="80"/>
        <w:jc w:val="both"/>
        <w:rPr>
          <w:bCs/>
          <w:sz w:val="22"/>
          <w:szCs w:val="22"/>
          <w:lang w:val="sr-Latn-ME"/>
        </w:rPr>
      </w:pPr>
      <w:r w:rsidRPr="0093403C">
        <w:rPr>
          <w:bCs/>
          <w:sz w:val="22"/>
          <w:szCs w:val="22"/>
          <w:lang w:val="sr-Latn-ME"/>
        </w:rPr>
        <w:t xml:space="preserve">Nemamo dostupnih specifičnih informacija koje bi se odnosile na terapiju </w:t>
      </w:r>
      <w:proofErr w:type="spellStart"/>
      <w:r w:rsidRPr="0093403C">
        <w:rPr>
          <w:bCs/>
          <w:sz w:val="22"/>
          <w:szCs w:val="22"/>
          <w:lang w:val="sr-Latn-ME"/>
        </w:rPr>
        <w:t>predoziranja</w:t>
      </w:r>
      <w:proofErr w:type="spellEnd"/>
      <w:r w:rsidRPr="0093403C">
        <w:rPr>
          <w:bCs/>
          <w:sz w:val="22"/>
          <w:szCs w:val="22"/>
          <w:lang w:val="sr-Latn-ME"/>
        </w:rPr>
        <w:t xml:space="preserve"> lijekom </w:t>
      </w:r>
      <w:proofErr w:type="spellStart"/>
      <w:r w:rsidRPr="0093403C">
        <w:rPr>
          <w:bCs/>
          <w:sz w:val="22"/>
          <w:szCs w:val="22"/>
          <w:lang w:val="sr-Latn-ME"/>
        </w:rPr>
        <w:t>Bonviva</w:t>
      </w:r>
      <w:proofErr w:type="spellEnd"/>
      <w:r w:rsidRPr="0093403C">
        <w:rPr>
          <w:bCs/>
          <w:sz w:val="22"/>
          <w:szCs w:val="22"/>
          <w:lang w:val="sr-Latn-ME"/>
        </w:rPr>
        <w:t xml:space="preserve">. </w:t>
      </w:r>
    </w:p>
    <w:p w14:paraId="06E47739" w14:textId="77777777" w:rsidR="002E634B" w:rsidRPr="0093403C" w:rsidRDefault="002E634B" w:rsidP="007C5B43">
      <w:pPr>
        <w:pStyle w:val="Header"/>
        <w:tabs>
          <w:tab w:val="left" w:pos="284"/>
        </w:tabs>
        <w:spacing w:before="80" w:after="80"/>
        <w:jc w:val="both"/>
        <w:rPr>
          <w:bCs/>
          <w:sz w:val="22"/>
          <w:szCs w:val="22"/>
          <w:lang w:val="sr-Latn-ME"/>
        </w:rPr>
      </w:pPr>
      <w:r w:rsidRPr="0093403C">
        <w:rPr>
          <w:bCs/>
          <w:sz w:val="22"/>
          <w:szCs w:val="22"/>
          <w:lang w:val="sr-Latn-ME"/>
        </w:rPr>
        <w:t xml:space="preserve">Međutim, na osnovu saznanja za ovu klasu jedinjenja, </w:t>
      </w:r>
      <w:proofErr w:type="spellStart"/>
      <w:r w:rsidRPr="0093403C">
        <w:rPr>
          <w:bCs/>
          <w:sz w:val="22"/>
          <w:szCs w:val="22"/>
          <w:lang w:val="sr-Latn-ME"/>
        </w:rPr>
        <w:t>intravensko</w:t>
      </w:r>
      <w:proofErr w:type="spellEnd"/>
      <w:r w:rsidRPr="0093403C">
        <w:rPr>
          <w:bCs/>
          <w:sz w:val="22"/>
          <w:szCs w:val="22"/>
          <w:lang w:val="sr-Latn-ME"/>
        </w:rPr>
        <w:t xml:space="preserve"> </w:t>
      </w:r>
      <w:proofErr w:type="spellStart"/>
      <w:r w:rsidRPr="0093403C">
        <w:rPr>
          <w:bCs/>
          <w:sz w:val="22"/>
          <w:szCs w:val="22"/>
          <w:lang w:val="sr-Latn-ME"/>
        </w:rPr>
        <w:t>predoziranje</w:t>
      </w:r>
      <w:proofErr w:type="spellEnd"/>
      <w:r w:rsidRPr="0093403C">
        <w:rPr>
          <w:bCs/>
          <w:sz w:val="22"/>
          <w:szCs w:val="22"/>
          <w:lang w:val="sr-Latn-ME"/>
        </w:rPr>
        <w:t xml:space="preserve"> može da dovede do </w:t>
      </w:r>
      <w:proofErr w:type="spellStart"/>
      <w:r w:rsidRPr="0093403C">
        <w:rPr>
          <w:bCs/>
          <w:sz w:val="22"/>
          <w:szCs w:val="22"/>
          <w:lang w:val="sr-Latn-ME"/>
        </w:rPr>
        <w:t>hipokalcemije</w:t>
      </w:r>
      <w:proofErr w:type="spellEnd"/>
      <w:r w:rsidRPr="0093403C">
        <w:rPr>
          <w:bCs/>
          <w:sz w:val="22"/>
          <w:szCs w:val="22"/>
          <w:lang w:val="sr-Latn-ME"/>
        </w:rPr>
        <w:t xml:space="preserve">, </w:t>
      </w:r>
      <w:proofErr w:type="spellStart"/>
      <w:r w:rsidRPr="0093403C">
        <w:rPr>
          <w:bCs/>
          <w:sz w:val="22"/>
          <w:szCs w:val="22"/>
          <w:lang w:val="sr-Latn-ME"/>
        </w:rPr>
        <w:t>hipofosfatemije</w:t>
      </w:r>
      <w:proofErr w:type="spellEnd"/>
      <w:r w:rsidRPr="0093403C">
        <w:rPr>
          <w:bCs/>
          <w:sz w:val="22"/>
          <w:szCs w:val="22"/>
          <w:lang w:val="sr-Latn-ME"/>
        </w:rPr>
        <w:t xml:space="preserve"> i </w:t>
      </w:r>
      <w:proofErr w:type="spellStart"/>
      <w:r w:rsidRPr="0093403C">
        <w:rPr>
          <w:bCs/>
          <w:sz w:val="22"/>
          <w:szCs w:val="22"/>
          <w:lang w:val="sr-Latn-ME"/>
        </w:rPr>
        <w:t>hipomagnezemije</w:t>
      </w:r>
      <w:proofErr w:type="spellEnd"/>
      <w:r w:rsidRPr="0093403C">
        <w:rPr>
          <w:bCs/>
          <w:sz w:val="22"/>
          <w:szCs w:val="22"/>
          <w:lang w:val="sr-Latn-ME"/>
        </w:rPr>
        <w:t xml:space="preserve">. Klinički relevantna smanjenja nivoa kalcijuma, fosfora i </w:t>
      </w:r>
      <w:proofErr w:type="spellStart"/>
      <w:r w:rsidRPr="0093403C">
        <w:rPr>
          <w:bCs/>
          <w:sz w:val="22"/>
          <w:szCs w:val="22"/>
          <w:lang w:val="sr-Latn-ME"/>
        </w:rPr>
        <w:t>magenzijuma</w:t>
      </w:r>
      <w:proofErr w:type="spellEnd"/>
      <w:r w:rsidRPr="0093403C">
        <w:rPr>
          <w:bCs/>
          <w:sz w:val="22"/>
          <w:szCs w:val="22"/>
          <w:lang w:val="sr-Latn-ME"/>
        </w:rPr>
        <w:t xml:space="preserve"> u serumu treba korigovati </w:t>
      </w:r>
      <w:proofErr w:type="spellStart"/>
      <w:r w:rsidRPr="0093403C">
        <w:rPr>
          <w:bCs/>
          <w:sz w:val="22"/>
          <w:szCs w:val="22"/>
          <w:lang w:val="sr-Latn-ME"/>
        </w:rPr>
        <w:t>intravenskim</w:t>
      </w:r>
      <w:proofErr w:type="spellEnd"/>
      <w:r w:rsidRPr="0093403C">
        <w:rPr>
          <w:bCs/>
          <w:sz w:val="22"/>
          <w:szCs w:val="22"/>
          <w:lang w:val="sr-Latn-ME"/>
        </w:rPr>
        <w:t xml:space="preserve"> davanjem kalcijum </w:t>
      </w:r>
      <w:proofErr w:type="spellStart"/>
      <w:r w:rsidRPr="0093403C">
        <w:rPr>
          <w:bCs/>
          <w:sz w:val="22"/>
          <w:szCs w:val="22"/>
          <w:lang w:val="sr-Latn-ME"/>
        </w:rPr>
        <w:t>glukonata</w:t>
      </w:r>
      <w:proofErr w:type="spellEnd"/>
      <w:r w:rsidRPr="0093403C">
        <w:rPr>
          <w:bCs/>
          <w:sz w:val="22"/>
          <w:szCs w:val="22"/>
          <w:lang w:val="sr-Latn-ME"/>
        </w:rPr>
        <w:t>, kalijuma ili natrijum fosfata, odnosno magnezijum sulfata.</w:t>
      </w:r>
    </w:p>
    <w:p w14:paraId="4A5A38C2" w14:textId="75282B85" w:rsidR="002E634B" w:rsidRPr="0093403C" w:rsidRDefault="002E634B" w:rsidP="007C5B43">
      <w:pPr>
        <w:tabs>
          <w:tab w:val="left" w:pos="540"/>
          <w:tab w:val="left" w:pos="569"/>
        </w:tabs>
        <w:jc w:val="both"/>
        <w:rPr>
          <w:b/>
          <w:bCs/>
          <w:sz w:val="22"/>
          <w:szCs w:val="22"/>
          <w:lang w:val="sr-Latn-ME"/>
        </w:rPr>
      </w:pPr>
    </w:p>
    <w:p w14:paraId="211A8128" w14:textId="73399787" w:rsidR="007C5B43" w:rsidRPr="0093403C" w:rsidRDefault="007C5B43" w:rsidP="007C5B43">
      <w:pPr>
        <w:tabs>
          <w:tab w:val="left" w:pos="540"/>
          <w:tab w:val="left" w:pos="569"/>
        </w:tabs>
        <w:jc w:val="both"/>
        <w:rPr>
          <w:b/>
          <w:bCs/>
          <w:sz w:val="22"/>
          <w:szCs w:val="22"/>
          <w:lang w:val="sr-Latn-ME"/>
        </w:rPr>
      </w:pPr>
    </w:p>
    <w:p w14:paraId="27363252" w14:textId="7286953B" w:rsidR="007C5B43" w:rsidRPr="0093403C" w:rsidRDefault="007C5B43" w:rsidP="007C5B43">
      <w:pPr>
        <w:tabs>
          <w:tab w:val="left" w:pos="540"/>
          <w:tab w:val="left" w:pos="569"/>
        </w:tabs>
        <w:jc w:val="both"/>
        <w:rPr>
          <w:b/>
          <w:bCs/>
          <w:sz w:val="22"/>
          <w:szCs w:val="22"/>
          <w:lang w:val="sr-Latn-ME"/>
        </w:rPr>
      </w:pPr>
    </w:p>
    <w:p w14:paraId="0E9D9A95" w14:textId="05EF59F1" w:rsidR="0072020E" w:rsidRPr="0093403C" w:rsidRDefault="0072020E" w:rsidP="007C5B43">
      <w:pPr>
        <w:tabs>
          <w:tab w:val="left" w:pos="540"/>
          <w:tab w:val="left" w:pos="569"/>
        </w:tabs>
        <w:jc w:val="both"/>
        <w:rPr>
          <w:b/>
          <w:bCs/>
          <w:sz w:val="22"/>
          <w:szCs w:val="22"/>
          <w:lang w:val="sr-Latn-ME"/>
        </w:rPr>
      </w:pPr>
      <w:r w:rsidRPr="0093403C">
        <w:rPr>
          <w:b/>
          <w:bCs/>
          <w:sz w:val="22"/>
          <w:szCs w:val="22"/>
          <w:lang w:val="sr-Latn-ME"/>
        </w:rPr>
        <w:lastRenderedPageBreak/>
        <w:t xml:space="preserve">5. </w:t>
      </w:r>
      <w:r w:rsidR="00480FB1" w:rsidRPr="0093403C">
        <w:rPr>
          <w:b/>
          <w:bCs/>
          <w:sz w:val="22"/>
          <w:szCs w:val="22"/>
          <w:lang w:val="sr-Latn-ME"/>
        </w:rPr>
        <w:tab/>
      </w:r>
      <w:r w:rsidRPr="0093403C">
        <w:rPr>
          <w:b/>
          <w:bCs/>
          <w:sz w:val="22"/>
          <w:szCs w:val="22"/>
          <w:lang w:val="sr-Latn-ME"/>
        </w:rPr>
        <w:t>FARMAKOLOŠK</w:t>
      </w:r>
      <w:r w:rsidR="000D425A" w:rsidRPr="0093403C">
        <w:rPr>
          <w:b/>
          <w:bCs/>
          <w:sz w:val="22"/>
          <w:szCs w:val="22"/>
          <w:lang w:val="sr-Latn-ME"/>
        </w:rPr>
        <w:t>I</w:t>
      </w:r>
      <w:r w:rsidRPr="0093403C">
        <w:rPr>
          <w:b/>
          <w:bCs/>
          <w:sz w:val="22"/>
          <w:szCs w:val="22"/>
          <w:lang w:val="sr-Latn-ME"/>
        </w:rPr>
        <w:t xml:space="preserve"> PODACI</w:t>
      </w:r>
    </w:p>
    <w:p w14:paraId="4F3FFD33" w14:textId="77777777" w:rsidR="0072020E" w:rsidRPr="0093403C" w:rsidRDefault="0072020E" w:rsidP="007C5B43">
      <w:pPr>
        <w:tabs>
          <w:tab w:val="left" w:pos="540"/>
          <w:tab w:val="left" w:pos="569"/>
        </w:tabs>
        <w:jc w:val="both"/>
        <w:rPr>
          <w:b/>
          <w:bCs/>
          <w:sz w:val="22"/>
          <w:szCs w:val="22"/>
          <w:lang w:val="sr-Latn-ME"/>
        </w:rPr>
      </w:pPr>
    </w:p>
    <w:p w14:paraId="64E17AC5" w14:textId="77777777" w:rsidR="0072020E" w:rsidRPr="0093403C" w:rsidRDefault="0072020E" w:rsidP="007C5B43">
      <w:pPr>
        <w:tabs>
          <w:tab w:val="left" w:pos="540"/>
          <w:tab w:val="left" w:pos="569"/>
        </w:tabs>
        <w:jc w:val="both"/>
        <w:rPr>
          <w:b/>
          <w:bCs/>
          <w:sz w:val="22"/>
          <w:szCs w:val="22"/>
          <w:lang w:val="sr-Latn-ME"/>
        </w:rPr>
      </w:pPr>
      <w:r w:rsidRPr="0093403C">
        <w:rPr>
          <w:b/>
          <w:bCs/>
          <w:sz w:val="22"/>
          <w:szCs w:val="22"/>
          <w:lang w:val="sr-Latn-ME"/>
        </w:rPr>
        <w:t xml:space="preserve">5.1. </w:t>
      </w:r>
      <w:r w:rsidR="00480FB1" w:rsidRPr="0093403C">
        <w:rPr>
          <w:b/>
          <w:bCs/>
          <w:sz w:val="22"/>
          <w:szCs w:val="22"/>
          <w:lang w:val="sr-Latn-ME"/>
        </w:rPr>
        <w:tab/>
      </w:r>
      <w:proofErr w:type="spellStart"/>
      <w:r w:rsidRPr="0093403C">
        <w:rPr>
          <w:b/>
          <w:bCs/>
          <w:sz w:val="22"/>
          <w:szCs w:val="22"/>
          <w:lang w:val="sr-Latn-ME"/>
        </w:rPr>
        <w:t>Farmakodinamski</w:t>
      </w:r>
      <w:proofErr w:type="spellEnd"/>
      <w:r w:rsidRPr="0093403C">
        <w:rPr>
          <w:b/>
          <w:bCs/>
          <w:sz w:val="22"/>
          <w:szCs w:val="22"/>
          <w:lang w:val="sr-Latn-ME"/>
        </w:rPr>
        <w:t xml:space="preserve"> podaci</w:t>
      </w:r>
      <w:r w:rsidR="003A7059" w:rsidRPr="0093403C">
        <w:rPr>
          <w:b/>
          <w:bCs/>
          <w:sz w:val="22"/>
          <w:szCs w:val="22"/>
          <w:lang w:val="sr-Latn-ME"/>
        </w:rPr>
        <w:t xml:space="preserve"> </w:t>
      </w:r>
    </w:p>
    <w:p w14:paraId="392FD153" w14:textId="77777777" w:rsidR="00F45F77" w:rsidRPr="0093403C" w:rsidRDefault="00F45F77" w:rsidP="007C5B43">
      <w:pPr>
        <w:tabs>
          <w:tab w:val="left" w:pos="540"/>
          <w:tab w:val="left" w:pos="569"/>
        </w:tabs>
        <w:jc w:val="both"/>
        <w:rPr>
          <w:b/>
          <w:bCs/>
          <w:sz w:val="22"/>
          <w:szCs w:val="22"/>
          <w:lang w:val="sr-Latn-ME"/>
        </w:rPr>
      </w:pPr>
    </w:p>
    <w:p w14:paraId="7A7E3D5B" w14:textId="1BF0C46F" w:rsidR="0072020E" w:rsidRPr="0093403C" w:rsidRDefault="0072020E" w:rsidP="007C5B43">
      <w:pPr>
        <w:tabs>
          <w:tab w:val="left" w:pos="540"/>
          <w:tab w:val="left" w:pos="569"/>
        </w:tabs>
        <w:jc w:val="both"/>
        <w:rPr>
          <w:bCs/>
          <w:sz w:val="22"/>
          <w:szCs w:val="22"/>
          <w:lang w:val="sr-Latn-ME"/>
        </w:rPr>
      </w:pPr>
      <w:proofErr w:type="spellStart"/>
      <w:r w:rsidRPr="0093403C">
        <w:rPr>
          <w:bCs/>
          <w:sz w:val="22"/>
          <w:szCs w:val="22"/>
          <w:lang w:val="sr-Latn-ME"/>
        </w:rPr>
        <w:t>Farmakoterapijska</w:t>
      </w:r>
      <w:proofErr w:type="spellEnd"/>
      <w:r w:rsidRPr="0093403C">
        <w:rPr>
          <w:bCs/>
          <w:sz w:val="22"/>
          <w:szCs w:val="22"/>
          <w:lang w:val="sr-Latn-ME"/>
        </w:rPr>
        <w:t xml:space="preserve"> grupa:</w:t>
      </w:r>
      <w:r w:rsidR="002E634B" w:rsidRPr="0093403C">
        <w:rPr>
          <w:bCs/>
          <w:sz w:val="22"/>
          <w:szCs w:val="22"/>
          <w:lang w:val="sr-Latn-ME"/>
        </w:rPr>
        <w:t xml:space="preserve"> Ljekovi u terapiji oboljenja kostiju; </w:t>
      </w:r>
      <w:proofErr w:type="spellStart"/>
      <w:r w:rsidR="002E634B" w:rsidRPr="0093403C">
        <w:rPr>
          <w:bCs/>
          <w:sz w:val="22"/>
          <w:szCs w:val="22"/>
          <w:lang w:val="sr-Latn-ME"/>
        </w:rPr>
        <w:t>bisfosfonati</w:t>
      </w:r>
      <w:proofErr w:type="spellEnd"/>
    </w:p>
    <w:p w14:paraId="5804D4F4" w14:textId="77777777" w:rsidR="0072020E" w:rsidRPr="0093403C" w:rsidRDefault="0072020E" w:rsidP="007C5B43">
      <w:pPr>
        <w:tabs>
          <w:tab w:val="left" w:pos="540"/>
          <w:tab w:val="left" w:pos="569"/>
        </w:tabs>
        <w:jc w:val="both"/>
        <w:rPr>
          <w:bCs/>
          <w:sz w:val="22"/>
          <w:szCs w:val="22"/>
          <w:lang w:val="sr-Latn-ME"/>
        </w:rPr>
      </w:pPr>
    </w:p>
    <w:p w14:paraId="4C6A6916" w14:textId="321D0967" w:rsidR="0072020E" w:rsidRPr="0093403C" w:rsidRDefault="0072020E" w:rsidP="007C5B43">
      <w:pPr>
        <w:tabs>
          <w:tab w:val="left" w:pos="540"/>
          <w:tab w:val="left" w:pos="569"/>
        </w:tabs>
        <w:jc w:val="both"/>
        <w:rPr>
          <w:bCs/>
          <w:sz w:val="22"/>
          <w:szCs w:val="22"/>
          <w:lang w:val="sr-Latn-ME"/>
        </w:rPr>
      </w:pPr>
      <w:r w:rsidRPr="0093403C">
        <w:rPr>
          <w:bCs/>
          <w:sz w:val="22"/>
          <w:szCs w:val="22"/>
          <w:lang w:val="sr-Latn-ME"/>
        </w:rPr>
        <w:t>ATC kod:</w:t>
      </w:r>
      <w:r w:rsidR="002E634B" w:rsidRPr="0093403C">
        <w:rPr>
          <w:bCs/>
          <w:sz w:val="22"/>
          <w:szCs w:val="22"/>
          <w:lang w:val="sr-Latn-ME"/>
        </w:rPr>
        <w:t xml:space="preserve"> </w:t>
      </w:r>
      <w:r w:rsidR="002E634B" w:rsidRPr="0093403C">
        <w:rPr>
          <w:sz w:val="22"/>
          <w:szCs w:val="22"/>
          <w:lang w:val="sr-Latn-ME"/>
        </w:rPr>
        <w:t>M05BA06</w:t>
      </w:r>
    </w:p>
    <w:p w14:paraId="294E3FAB" w14:textId="77777777" w:rsidR="002E37A5" w:rsidRPr="0093403C" w:rsidRDefault="002E37A5" w:rsidP="007C5B43">
      <w:pPr>
        <w:tabs>
          <w:tab w:val="left" w:pos="540"/>
          <w:tab w:val="left" w:pos="569"/>
        </w:tabs>
        <w:jc w:val="both"/>
        <w:rPr>
          <w:b/>
          <w:bCs/>
          <w:sz w:val="22"/>
          <w:szCs w:val="22"/>
          <w:lang w:val="sr-Latn-ME"/>
        </w:rPr>
      </w:pPr>
    </w:p>
    <w:p w14:paraId="7DD34E10" w14:textId="77777777" w:rsidR="002E634B" w:rsidRPr="0093403C" w:rsidRDefault="002E634B" w:rsidP="007C5B43">
      <w:pPr>
        <w:jc w:val="both"/>
        <w:rPr>
          <w:b/>
          <w:i/>
          <w:sz w:val="22"/>
          <w:szCs w:val="22"/>
          <w:lang w:val="sr-Latn-ME"/>
        </w:rPr>
      </w:pPr>
      <w:r w:rsidRPr="0093403C">
        <w:rPr>
          <w:b/>
          <w:i/>
          <w:sz w:val="22"/>
          <w:szCs w:val="22"/>
          <w:lang w:val="sr-Latn-ME"/>
        </w:rPr>
        <w:t>Mehanizam dejstva</w:t>
      </w:r>
    </w:p>
    <w:p w14:paraId="2E66C5FB" w14:textId="77777777" w:rsidR="002E634B" w:rsidRPr="0093403C" w:rsidRDefault="002E634B" w:rsidP="007C5B43">
      <w:pPr>
        <w:jc w:val="both"/>
        <w:rPr>
          <w:sz w:val="22"/>
          <w:szCs w:val="22"/>
          <w:lang w:val="sr-Latn-ME"/>
        </w:rPr>
      </w:pPr>
      <w:proofErr w:type="spellStart"/>
      <w:r w:rsidRPr="0093403C">
        <w:rPr>
          <w:sz w:val="22"/>
          <w:szCs w:val="22"/>
          <w:lang w:val="sr-Latn-ME"/>
        </w:rPr>
        <w:t>Ibandronska</w:t>
      </w:r>
      <w:proofErr w:type="spellEnd"/>
      <w:r w:rsidRPr="0093403C">
        <w:rPr>
          <w:sz w:val="22"/>
          <w:szCs w:val="22"/>
          <w:lang w:val="sr-Latn-ME"/>
        </w:rPr>
        <w:t xml:space="preserve"> kiselina je veoma snažan </w:t>
      </w:r>
      <w:proofErr w:type="spellStart"/>
      <w:r w:rsidRPr="0093403C">
        <w:rPr>
          <w:sz w:val="22"/>
          <w:szCs w:val="22"/>
          <w:lang w:val="sr-Latn-ME"/>
        </w:rPr>
        <w:t>biofosfonat</w:t>
      </w:r>
      <w:proofErr w:type="spellEnd"/>
      <w:r w:rsidRPr="0093403C">
        <w:rPr>
          <w:sz w:val="22"/>
          <w:szCs w:val="22"/>
          <w:lang w:val="sr-Latn-ME"/>
        </w:rPr>
        <w:t xml:space="preserve"> koji pripada grupi </w:t>
      </w:r>
      <w:proofErr w:type="spellStart"/>
      <w:r w:rsidRPr="0093403C">
        <w:rPr>
          <w:sz w:val="22"/>
          <w:szCs w:val="22"/>
          <w:lang w:val="sr-Latn-ME"/>
        </w:rPr>
        <w:t>biofosfonata</w:t>
      </w:r>
      <w:proofErr w:type="spellEnd"/>
      <w:r w:rsidRPr="0093403C">
        <w:rPr>
          <w:sz w:val="22"/>
          <w:szCs w:val="22"/>
          <w:lang w:val="sr-Latn-ME"/>
        </w:rPr>
        <w:t xml:space="preserve"> koja sadrže azot, i koji djeluju selektivno na koštano tkivo i specifično inhibiraju aktivnost </w:t>
      </w:r>
      <w:proofErr w:type="spellStart"/>
      <w:r w:rsidRPr="0093403C">
        <w:rPr>
          <w:sz w:val="22"/>
          <w:szCs w:val="22"/>
          <w:lang w:val="sr-Latn-ME"/>
        </w:rPr>
        <w:t>osteoklasta</w:t>
      </w:r>
      <w:proofErr w:type="spellEnd"/>
      <w:r w:rsidRPr="0093403C">
        <w:rPr>
          <w:sz w:val="22"/>
          <w:szCs w:val="22"/>
          <w:lang w:val="sr-Latn-ME"/>
        </w:rPr>
        <w:t xml:space="preserve">, a da pri tome ne utiču direktno na formiranje kosti. Ne utiče na regrutovanje </w:t>
      </w:r>
      <w:proofErr w:type="spellStart"/>
      <w:r w:rsidRPr="0093403C">
        <w:rPr>
          <w:sz w:val="22"/>
          <w:szCs w:val="22"/>
          <w:lang w:val="sr-Latn-ME"/>
        </w:rPr>
        <w:t>osteoklasta</w:t>
      </w:r>
      <w:proofErr w:type="spellEnd"/>
      <w:r w:rsidRPr="0093403C">
        <w:rPr>
          <w:sz w:val="22"/>
          <w:szCs w:val="22"/>
          <w:lang w:val="sr-Latn-ME"/>
        </w:rPr>
        <w:t xml:space="preserve">. </w:t>
      </w:r>
      <w:proofErr w:type="spellStart"/>
      <w:r w:rsidRPr="0093403C">
        <w:rPr>
          <w:sz w:val="22"/>
          <w:szCs w:val="22"/>
          <w:lang w:val="sr-Latn-ME"/>
        </w:rPr>
        <w:t>Ibandronska</w:t>
      </w:r>
      <w:proofErr w:type="spellEnd"/>
      <w:r w:rsidRPr="0093403C">
        <w:rPr>
          <w:sz w:val="22"/>
          <w:szCs w:val="22"/>
          <w:lang w:val="sr-Latn-ME"/>
        </w:rPr>
        <w:t xml:space="preserve"> kiselina dovodi do progresivnog neto porasta koštane mase i smanjene </w:t>
      </w:r>
      <w:proofErr w:type="spellStart"/>
      <w:r w:rsidRPr="0093403C">
        <w:rPr>
          <w:sz w:val="22"/>
          <w:szCs w:val="22"/>
          <w:lang w:val="sr-Latn-ME"/>
        </w:rPr>
        <w:t>incidencije</w:t>
      </w:r>
      <w:proofErr w:type="spellEnd"/>
      <w:r w:rsidRPr="0093403C">
        <w:rPr>
          <w:sz w:val="22"/>
          <w:szCs w:val="22"/>
          <w:lang w:val="sr-Latn-ME"/>
        </w:rPr>
        <w:t xml:space="preserve"> </w:t>
      </w:r>
      <w:proofErr w:type="spellStart"/>
      <w:r w:rsidRPr="0093403C">
        <w:rPr>
          <w:sz w:val="22"/>
          <w:szCs w:val="22"/>
          <w:lang w:val="sr-Latn-ME"/>
        </w:rPr>
        <w:t>preloma</w:t>
      </w:r>
      <w:proofErr w:type="spellEnd"/>
      <w:r w:rsidRPr="0093403C">
        <w:rPr>
          <w:sz w:val="22"/>
          <w:szCs w:val="22"/>
          <w:lang w:val="sr-Latn-ME"/>
        </w:rPr>
        <w:t xml:space="preserve"> kroz redukciju povišenog koštanog obrta ka </w:t>
      </w:r>
      <w:proofErr w:type="spellStart"/>
      <w:r w:rsidRPr="0093403C">
        <w:rPr>
          <w:sz w:val="22"/>
          <w:szCs w:val="22"/>
          <w:lang w:val="sr-Latn-ME"/>
        </w:rPr>
        <w:t>premenopauzalnim</w:t>
      </w:r>
      <w:proofErr w:type="spellEnd"/>
      <w:r w:rsidRPr="0093403C">
        <w:rPr>
          <w:sz w:val="22"/>
          <w:szCs w:val="22"/>
          <w:lang w:val="sr-Latn-ME"/>
        </w:rPr>
        <w:t xml:space="preserve"> nivoima kod </w:t>
      </w:r>
      <w:proofErr w:type="spellStart"/>
      <w:r w:rsidRPr="0093403C">
        <w:rPr>
          <w:sz w:val="22"/>
          <w:szCs w:val="22"/>
          <w:lang w:val="sr-Latn-ME"/>
        </w:rPr>
        <w:t>postmenopauzalnih</w:t>
      </w:r>
      <w:proofErr w:type="spellEnd"/>
      <w:r w:rsidRPr="0093403C">
        <w:rPr>
          <w:sz w:val="22"/>
          <w:szCs w:val="22"/>
          <w:lang w:val="sr-Latn-ME"/>
        </w:rPr>
        <w:t xml:space="preserve"> žena. </w:t>
      </w:r>
    </w:p>
    <w:p w14:paraId="4744167A" w14:textId="77777777" w:rsidR="002E634B" w:rsidRPr="0093403C" w:rsidRDefault="002E634B" w:rsidP="007C5B43">
      <w:pPr>
        <w:tabs>
          <w:tab w:val="left" w:pos="540"/>
          <w:tab w:val="left" w:pos="569"/>
        </w:tabs>
        <w:jc w:val="both"/>
        <w:rPr>
          <w:b/>
          <w:bCs/>
          <w:sz w:val="22"/>
          <w:szCs w:val="22"/>
          <w:lang w:val="sr-Latn-ME"/>
        </w:rPr>
      </w:pPr>
    </w:p>
    <w:p w14:paraId="0DC3E13F" w14:textId="77777777" w:rsidR="002E634B" w:rsidRPr="0093403C" w:rsidRDefault="002E634B" w:rsidP="007C5B43">
      <w:pPr>
        <w:jc w:val="both"/>
        <w:rPr>
          <w:b/>
          <w:i/>
          <w:sz w:val="22"/>
          <w:szCs w:val="22"/>
          <w:lang w:val="sr-Latn-ME"/>
        </w:rPr>
      </w:pPr>
      <w:proofErr w:type="spellStart"/>
      <w:r w:rsidRPr="0093403C">
        <w:rPr>
          <w:b/>
          <w:i/>
          <w:sz w:val="22"/>
          <w:szCs w:val="22"/>
          <w:lang w:val="sr-Latn-ME"/>
        </w:rPr>
        <w:t>Farmakodinamička</w:t>
      </w:r>
      <w:proofErr w:type="spellEnd"/>
      <w:r w:rsidRPr="0093403C">
        <w:rPr>
          <w:b/>
          <w:i/>
          <w:sz w:val="22"/>
          <w:szCs w:val="22"/>
          <w:lang w:val="sr-Latn-ME"/>
        </w:rPr>
        <w:t xml:space="preserve"> dejstva</w:t>
      </w:r>
    </w:p>
    <w:p w14:paraId="2EA4E124" w14:textId="77777777" w:rsidR="002E634B" w:rsidRPr="0093403C" w:rsidRDefault="002E634B" w:rsidP="007C5B43">
      <w:pPr>
        <w:jc w:val="both"/>
        <w:rPr>
          <w:sz w:val="22"/>
          <w:szCs w:val="22"/>
          <w:lang w:val="sr-Latn-ME"/>
        </w:rPr>
      </w:pPr>
      <w:proofErr w:type="spellStart"/>
      <w:r w:rsidRPr="0093403C">
        <w:rPr>
          <w:sz w:val="22"/>
          <w:szCs w:val="22"/>
          <w:lang w:val="sr-Latn-ME"/>
        </w:rPr>
        <w:t>Farmakodinamsko</w:t>
      </w:r>
      <w:proofErr w:type="spellEnd"/>
      <w:r w:rsidRPr="0093403C">
        <w:rPr>
          <w:sz w:val="22"/>
          <w:szCs w:val="22"/>
          <w:lang w:val="sr-Latn-ME"/>
        </w:rPr>
        <w:t xml:space="preserve"> dejstvo </w:t>
      </w:r>
      <w:proofErr w:type="spellStart"/>
      <w:r w:rsidRPr="0093403C">
        <w:rPr>
          <w:sz w:val="22"/>
          <w:szCs w:val="22"/>
          <w:lang w:val="sr-Latn-ME"/>
        </w:rPr>
        <w:t>ibandronske</w:t>
      </w:r>
      <w:proofErr w:type="spellEnd"/>
      <w:r w:rsidRPr="0093403C">
        <w:rPr>
          <w:sz w:val="22"/>
          <w:szCs w:val="22"/>
          <w:lang w:val="sr-Latn-ME"/>
        </w:rPr>
        <w:t xml:space="preserve"> kiseline jeste inhibicija resorpcije kosti. </w:t>
      </w:r>
      <w:r w:rsidRPr="0093403C">
        <w:rPr>
          <w:i/>
          <w:sz w:val="22"/>
          <w:szCs w:val="22"/>
          <w:lang w:val="sr-Latn-ME"/>
        </w:rPr>
        <w:t xml:space="preserve">In </w:t>
      </w:r>
      <w:proofErr w:type="spellStart"/>
      <w:r w:rsidRPr="0093403C">
        <w:rPr>
          <w:i/>
          <w:sz w:val="22"/>
          <w:szCs w:val="22"/>
          <w:lang w:val="sr-Latn-ME"/>
        </w:rPr>
        <w:t>vivo</w:t>
      </w:r>
      <w:proofErr w:type="spellEnd"/>
      <w:r w:rsidRPr="0093403C">
        <w:rPr>
          <w:sz w:val="22"/>
          <w:szCs w:val="22"/>
          <w:lang w:val="sr-Latn-ME"/>
        </w:rPr>
        <w:t xml:space="preserve">, </w:t>
      </w:r>
      <w:proofErr w:type="spellStart"/>
      <w:r w:rsidRPr="0093403C">
        <w:rPr>
          <w:sz w:val="22"/>
          <w:szCs w:val="22"/>
          <w:lang w:val="sr-Latn-ME"/>
        </w:rPr>
        <w:t>ibandronska</w:t>
      </w:r>
      <w:proofErr w:type="spellEnd"/>
      <w:r w:rsidRPr="0093403C">
        <w:rPr>
          <w:sz w:val="22"/>
          <w:szCs w:val="22"/>
          <w:lang w:val="sr-Latn-ME"/>
        </w:rPr>
        <w:t xml:space="preserve"> kiselina sprječava eksperimentalno izazvanu destrukciju kosti koja se izaziva prekidom </w:t>
      </w:r>
      <w:proofErr w:type="spellStart"/>
      <w:r w:rsidRPr="0093403C">
        <w:rPr>
          <w:sz w:val="22"/>
          <w:szCs w:val="22"/>
          <w:lang w:val="sr-Latn-ME"/>
        </w:rPr>
        <w:t>gonadalne</w:t>
      </w:r>
      <w:proofErr w:type="spellEnd"/>
      <w:r w:rsidRPr="0093403C">
        <w:rPr>
          <w:sz w:val="22"/>
          <w:szCs w:val="22"/>
          <w:lang w:val="sr-Latn-ME"/>
        </w:rPr>
        <w:t xml:space="preserve"> funkcije, </w:t>
      </w:r>
      <w:proofErr w:type="spellStart"/>
      <w:r w:rsidRPr="0093403C">
        <w:rPr>
          <w:sz w:val="22"/>
          <w:szCs w:val="22"/>
          <w:lang w:val="sr-Latn-ME"/>
        </w:rPr>
        <w:t>retinoidima</w:t>
      </w:r>
      <w:proofErr w:type="spellEnd"/>
      <w:r w:rsidRPr="0093403C">
        <w:rPr>
          <w:sz w:val="22"/>
          <w:szCs w:val="22"/>
          <w:lang w:val="sr-Latn-ME"/>
        </w:rPr>
        <w:t xml:space="preserve">, tumorima ili ekstraktima tumora. Kod mladih pacova, koji brzo rastu, endogena resorpcija kosti je takođe inhibirana, što dovodi do povećane normalne koštane mase u poređenju sa </w:t>
      </w:r>
      <w:proofErr w:type="spellStart"/>
      <w:r w:rsidRPr="0093403C">
        <w:rPr>
          <w:sz w:val="22"/>
          <w:szCs w:val="22"/>
          <w:lang w:val="sr-Latn-ME"/>
        </w:rPr>
        <w:t>netretiranim</w:t>
      </w:r>
      <w:proofErr w:type="spellEnd"/>
      <w:r w:rsidRPr="0093403C">
        <w:rPr>
          <w:sz w:val="22"/>
          <w:szCs w:val="22"/>
          <w:lang w:val="sr-Latn-ME"/>
        </w:rPr>
        <w:t xml:space="preserve"> životinjama. </w:t>
      </w:r>
    </w:p>
    <w:p w14:paraId="065DDED9" w14:textId="77777777" w:rsidR="002E634B" w:rsidRPr="0093403C" w:rsidRDefault="002E634B" w:rsidP="007C5B43">
      <w:pPr>
        <w:jc w:val="both"/>
        <w:rPr>
          <w:sz w:val="22"/>
          <w:szCs w:val="22"/>
          <w:lang w:val="sr-Latn-ME"/>
        </w:rPr>
      </w:pPr>
    </w:p>
    <w:p w14:paraId="5A3AEA38" w14:textId="77777777" w:rsidR="002E634B" w:rsidRPr="0093403C" w:rsidRDefault="002E634B" w:rsidP="007C5B43">
      <w:pPr>
        <w:jc w:val="both"/>
        <w:rPr>
          <w:sz w:val="22"/>
          <w:szCs w:val="22"/>
          <w:lang w:val="sr-Latn-ME"/>
        </w:rPr>
      </w:pPr>
      <w:r w:rsidRPr="0093403C">
        <w:rPr>
          <w:sz w:val="22"/>
          <w:szCs w:val="22"/>
          <w:lang w:val="sr-Latn-ME"/>
        </w:rPr>
        <w:t xml:space="preserve">Životinjski modeli potvrđuju da je </w:t>
      </w:r>
      <w:proofErr w:type="spellStart"/>
      <w:r w:rsidRPr="0093403C">
        <w:rPr>
          <w:sz w:val="22"/>
          <w:szCs w:val="22"/>
          <w:lang w:val="sr-Latn-ME"/>
        </w:rPr>
        <w:t>ibandronska</w:t>
      </w:r>
      <w:proofErr w:type="spellEnd"/>
      <w:r w:rsidRPr="0093403C">
        <w:rPr>
          <w:sz w:val="22"/>
          <w:szCs w:val="22"/>
          <w:lang w:val="sr-Latn-ME"/>
        </w:rPr>
        <w:t xml:space="preserve"> kiselina veoma snažan </w:t>
      </w:r>
      <w:proofErr w:type="spellStart"/>
      <w:r w:rsidRPr="0093403C">
        <w:rPr>
          <w:sz w:val="22"/>
          <w:szCs w:val="22"/>
          <w:lang w:val="sr-Latn-ME"/>
        </w:rPr>
        <w:t>inhibitor</w:t>
      </w:r>
      <w:proofErr w:type="spellEnd"/>
      <w:r w:rsidRPr="0093403C">
        <w:rPr>
          <w:sz w:val="22"/>
          <w:szCs w:val="22"/>
          <w:lang w:val="sr-Latn-ME"/>
        </w:rPr>
        <w:t xml:space="preserve"> </w:t>
      </w:r>
      <w:proofErr w:type="spellStart"/>
      <w:r w:rsidRPr="0093403C">
        <w:rPr>
          <w:sz w:val="22"/>
          <w:szCs w:val="22"/>
          <w:lang w:val="sr-Latn-ME"/>
        </w:rPr>
        <w:t>osteoklasne</w:t>
      </w:r>
      <w:proofErr w:type="spellEnd"/>
      <w:r w:rsidRPr="0093403C">
        <w:rPr>
          <w:sz w:val="22"/>
          <w:szCs w:val="22"/>
          <w:lang w:val="sr-Latn-ME"/>
        </w:rPr>
        <w:t xml:space="preserve"> aktivnosti. Kod pacova koji rastu, nema dokaza o oslabljenoj </w:t>
      </w:r>
      <w:proofErr w:type="spellStart"/>
      <w:r w:rsidRPr="0093403C">
        <w:rPr>
          <w:sz w:val="22"/>
          <w:szCs w:val="22"/>
          <w:lang w:val="sr-Latn-ME"/>
        </w:rPr>
        <w:t>mineralizaciji</w:t>
      </w:r>
      <w:proofErr w:type="spellEnd"/>
      <w:r w:rsidRPr="0093403C">
        <w:rPr>
          <w:sz w:val="22"/>
          <w:szCs w:val="22"/>
          <w:lang w:val="sr-Latn-ME"/>
        </w:rPr>
        <w:t xml:space="preserve"> čak ni pri dozama većim od 5.000 puta od doze koja je potrebna za terapiju </w:t>
      </w:r>
      <w:proofErr w:type="spellStart"/>
      <w:r w:rsidRPr="0093403C">
        <w:rPr>
          <w:sz w:val="22"/>
          <w:szCs w:val="22"/>
          <w:lang w:val="sr-Latn-ME"/>
        </w:rPr>
        <w:t>osteoporoze</w:t>
      </w:r>
      <w:proofErr w:type="spellEnd"/>
      <w:r w:rsidRPr="0093403C">
        <w:rPr>
          <w:sz w:val="22"/>
          <w:szCs w:val="22"/>
          <w:lang w:val="sr-Latn-ME"/>
        </w:rPr>
        <w:t xml:space="preserve">. </w:t>
      </w:r>
    </w:p>
    <w:p w14:paraId="213859CF" w14:textId="77777777" w:rsidR="002E634B" w:rsidRPr="0093403C" w:rsidRDefault="002E634B" w:rsidP="007C5B43">
      <w:pPr>
        <w:jc w:val="both"/>
        <w:rPr>
          <w:sz w:val="22"/>
          <w:szCs w:val="22"/>
          <w:lang w:val="sr-Latn-ME"/>
        </w:rPr>
      </w:pPr>
    </w:p>
    <w:p w14:paraId="09DA3085" w14:textId="77777777" w:rsidR="002E634B" w:rsidRPr="0093403C" w:rsidRDefault="002E634B" w:rsidP="007C5B43">
      <w:pPr>
        <w:jc w:val="both"/>
        <w:rPr>
          <w:sz w:val="22"/>
          <w:szCs w:val="22"/>
          <w:lang w:val="sr-Latn-ME"/>
        </w:rPr>
      </w:pPr>
      <w:r w:rsidRPr="0093403C">
        <w:rPr>
          <w:sz w:val="22"/>
          <w:szCs w:val="22"/>
          <w:lang w:val="sr-Latn-ME"/>
        </w:rPr>
        <w:t xml:space="preserve">I svakodnevno i periodično (odnosno sa produženim intervalima između dvije doze) dugoročno davanje pacovima, psima i majmunima bilo je povezano sa formacijom nove kosti normalnog kvaliteta i održanom ili povećanom mehaničkom snagom čak i pri dozama u toksičnom rasponu. Kod </w:t>
      </w:r>
      <w:proofErr w:type="spellStart"/>
      <w:r w:rsidRPr="0093403C">
        <w:rPr>
          <w:sz w:val="22"/>
          <w:szCs w:val="22"/>
          <w:lang w:val="sr-Latn-ME"/>
        </w:rPr>
        <w:t>ljudi</w:t>
      </w:r>
      <w:proofErr w:type="spellEnd"/>
      <w:r w:rsidRPr="0093403C">
        <w:rPr>
          <w:sz w:val="22"/>
          <w:szCs w:val="22"/>
          <w:lang w:val="sr-Latn-ME"/>
        </w:rPr>
        <w:t xml:space="preserve">, efikasnost i svakodnevnog i periodičnog davanja sa intervalima bez davanja doze </w:t>
      </w:r>
      <w:proofErr w:type="spellStart"/>
      <w:r w:rsidRPr="0093403C">
        <w:rPr>
          <w:sz w:val="22"/>
          <w:szCs w:val="22"/>
          <w:lang w:val="sr-Latn-ME"/>
        </w:rPr>
        <w:t>ibandronske</w:t>
      </w:r>
      <w:proofErr w:type="spellEnd"/>
      <w:r w:rsidRPr="0093403C">
        <w:rPr>
          <w:sz w:val="22"/>
          <w:szCs w:val="22"/>
          <w:lang w:val="sr-Latn-ME"/>
        </w:rPr>
        <w:t xml:space="preserve"> kiseline  9-10 nedjelja potvrđena je u kliničkoj studiji (MF 4411) u kojoj je </w:t>
      </w:r>
      <w:proofErr w:type="spellStart"/>
      <w:r w:rsidRPr="0093403C">
        <w:rPr>
          <w:sz w:val="22"/>
          <w:szCs w:val="22"/>
          <w:lang w:val="sr-Latn-ME"/>
        </w:rPr>
        <w:t>Bonviva</w:t>
      </w:r>
      <w:proofErr w:type="spellEnd"/>
      <w:r w:rsidRPr="0093403C">
        <w:rPr>
          <w:sz w:val="22"/>
          <w:szCs w:val="22"/>
          <w:lang w:val="sr-Latn-ME"/>
        </w:rPr>
        <w:t xml:space="preserve"> pokazala efikasnost protiv </w:t>
      </w:r>
      <w:proofErr w:type="spellStart"/>
      <w:r w:rsidRPr="0093403C">
        <w:rPr>
          <w:sz w:val="22"/>
          <w:szCs w:val="22"/>
          <w:lang w:val="sr-Latn-ME"/>
        </w:rPr>
        <w:t>preloma</w:t>
      </w:r>
      <w:proofErr w:type="spellEnd"/>
      <w:r w:rsidRPr="0093403C">
        <w:rPr>
          <w:sz w:val="22"/>
          <w:szCs w:val="22"/>
          <w:lang w:val="sr-Latn-ME"/>
        </w:rPr>
        <w:t xml:space="preserve">. </w:t>
      </w:r>
    </w:p>
    <w:p w14:paraId="12841B63" w14:textId="77777777" w:rsidR="002E634B" w:rsidRPr="0093403C" w:rsidRDefault="002E634B" w:rsidP="007C5B43">
      <w:pPr>
        <w:jc w:val="both"/>
        <w:rPr>
          <w:sz w:val="22"/>
          <w:szCs w:val="22"/>
          <w:lang w:val="sr-Latn-ME"/>
        </w:rPr>
      </w:pPr>
    </w:p>
    <w:p w14:paraId="711B59DD" w14:textId="77777777" w:rsidR="002E634B" w:rsidRPr="0093403C" w:rsidRDefault="002E634B" w:rsidP="007C5B43">
      <w:pPr>
        <w:jc w:val="both"/>
        <w:rPr>
          <w:sz w:val="22"/>
          <w:szCs w:val="22"/>
          <w:lang w:val="sr-Latn-ME"/>
        </w:rPr>
      </w:pPr>
      <w:r w:rsidRPr="0093403C">
        <w:rPr>
          <w:sz w:val="22"/>
          <w:szCs w:val="22"/>
          <w:lang w:val="sr-Latn-ME"/>
        </w:rPr>
        <w:t xml:space="preserve">U životinjskim modelima, </w:t>
      </w:r>
      <w:proofErr w:type="spellStart"/>
      <w:r w:rsidRPr="0093403C">
        <w:rPr>
          <w:sz w:val="22"/>
          <w:szCs w:val="22"/>
          <w:lang w:val="sr-Latn-ME"/>
        </w:rPr>
        <w:t>ibandronska</w:t>
      </w:r>
      <w:proofErr w:type="spellEnd"/>
      <w:r w:rsidRPr="0093403C">
        <w:rPr>
          <w:sz w:val="22"/>
          <w:szCs w:val="22"/>
          <w:lang w:val="sr-Latn-ME"/>
        </w:rPr>
        <w:t xml:space="preserve"> kiselina je dovodila do biohemijskih promjena koji ukazuju na </w:t>
      </w:r>
      <w:proofErr w:type="spellStart"/>
      <w:r w:rsidRPr="0093403C">
        <w:rPr>
          <w:sz w:val="22"/>
          <w:szCs w:val="22"/>
          <w:lang w:val="sr-Latn-ME"/>
        </w:rPr>
        <w:t>dozno</w:t>
      </w:r>
      <w:proofErr w:type="spellEnd"/>
      <w:r w:rsidRPr="0093403C">
        <w:rPr>
          <w:sz w:val="22"/>
          <w:szCs w:val="22"/>
          <w:lang w:val="sr-Latn-ME"/>
        </w:rPr>
        <w:t xml:space="preserve">-zavisnu inhibiciju resorpcije kosti, uključujući </w:t>
      </w:r>
      <w:proofErr w:type="spellStart"/>
      <w:r w:rsidRPr="0093403C">
        <w:rPr>
          <w:sz w:val="22"/>
          <w:szCs w:val="22"/>
          <w:lang w:val="sr-Latn-ME"/>
        </w:rPr>
        <w:t>supresiju</w:t>
      </w:r>
      <w:proofErr w:type="spellEnd"/>
      <w:r w:rsidRPr="0093403C">
        <w:rPr>
          <w:sz w:val="22"/>
          <w:szCs w:val="22"/>
          <w:lang w:val="sr-Latn-ME"/>
        </w:rPr>
        <w:t xml:space="preserve"> </w:t>
      </w:r>
      <w:proofErr w:type="spellStart"/>
      <w:r w:rsidRPr="0093403C">
        <w:rPr>
          <w:sz w:val="22"/>
          <w:szCs w:val="22"/>
          <w:lang w:val="sr-Latn-ME"/>
        </w:rPr>
        <w:t>urinarnih</w:t>
      </w:r>
      <w:proofErr w:type="spellEnd"/>
      <w:r w:rsidRPr="0093403C">
        <w:rPr>
          <w:sz w:val="22"/>
          <w:szCs w:val="22"/>
          <w:lang w:val="sr-Latn-ME"/>
        </w:rPr>
        <w:t xml:space="preserve"> biohemijskih markera degradacije koštanog </w:t>
      </w:r>
      <w:proofErr w:type="spellStart"/>
      <w:r w:rsidRPr="0093403C">
        <w:rPr>
          <w:sz w:val="22"/>
          <w:szCs w:val="22"/>
          <w:lang w:val="sr-Latn-ME"/>
        </w:rPr>
        <w:t>kolagena</w:t>
      </w:r>
      <w:proofErr w:type="spellEnd"/>
      <w:r w:rsidRPr="0093403C">
        <w:rPr>
          <w:sz w:val="22"/>
          <w:szCs w:val="22"/>
          <w:lang w:val="sr-Latn-ME"/>
        </w:rPr>
        <w:t xml:space="preserve"> (kao što su </w:t>
      </w:r>
      <w:proofErr w:type="spellStart"/>
      <w:r w:rsidRPr="0093403C">
        <w:rPr>
          <w:sz w:val="22"/>
          <w:szCs w:val="22"/>
          <w:lang w:val="sr-Latn-ME"/>
        </w:rPr>
        <w:t>deoksipiridinolin</w:t>
      </w:r>
      <w:proofErr w:type="spellEnd"/>
      <w:r w:rsidRPr="0093403C">
        <w:rPr>
          <w:sz w:val="22"/>
          <w:szCs w:val="22"/>
          <w:lang w:val="sr-Latn-ME"/>
        </w:rPr>
        <w:t>, i unakrsno povezani N-</w:t>
      </w:r>
      <w:proofErr w:type="spellStart"/>
      <w:r w:rsidRPr="0093403C">
        <w:rPr>
          <w:sz w:val="22"/>
          <w:szCs w:val="22"/>
          <w:lang w:val="sr-Latn-ME"/>
        </w:rPr>
        <w:t>telopeptidi</w:t>
      </w:r>
      <w:proofErr w:type="spellEnd"/>
      <w:r w:rsidRPr="0093403C">
        <w:rPr>
          <w:sz w:val="22"/>
          <w:szCs w:val="22"/>
          <w:lang w:val="sr-Latn-ME"/>
        </w:rPr>
        <w:t xml:space="preserve"> </w:t>
      </w:r>
      <w:proofErr w:type="spellStart"/>
      <w:r w:rsidRPr="0093403C">
        <w:rPr>
          <w:sz w:val="22"/>
          <w:szCs w:val="22"/>
          <w:lang w:val="sr-Latn-ME"/>
        </w:rPr>
        <w:t>kolagena</w:t>
      </w:r>
      <w:proofErr w:type="spellEnd"/>
      <w:r w:rsidRPr="0093403C">
        <w:rPr>
          <w:sz w:val="22"/>
          <w:szCs w:val="22"/>
          <w:lang w:val="sr-Latn-ME"/>
        </w:rPr>
        <w:t xml:space="preserve"> tipa I (NTX)). </w:t>
      </w:r>
    </w:p>
    <w:p w14:paraId="41535644" w14:textId="77777777" w:rsidR="002E634B" w:rsidRPr="0093403C" w:rsidRDefault="002E634B" w:rsidP="007C5B43">
      <w:pPr>
        <w:jc w:val="both"/>
        <w:rPr>
          <w:sz w:val="22"/>
          <w:szCs w:val="22"/>
          <w:lang w:val="sr-Latn-ME"/>
        </w:rPr>
      </w:pPr>
    </w:p>
    <w:p w14:paraId="35214698" w14:textId="77777777" w:rsidR="002E634B" w:rsidRPr="0093403C" w:rsidRDefault="002E634B" w:rsidP="007C5B43">
      <w:pPr>
        <w:jc w:val="both"/>
        <w:rPr>
          <w:sz w:val="22"/>
          <w:szCs w:val="22"/>
          <w:lang w:val="sr-Latn-ME"/>
        </w:rPr>
      </w:pPr>
      <w:r w:rsidRPr="0093403C">
        <w:rPr>
          <w:sz w:val="22"/>
          <w:szCs w:val="22"/>
          <w:lang w:val="sr-Latn-ME"/>
        </w:rPr>
        <w:t xml:space="preserve">I svakodnevno, </w:t>
      </w:r>
      <w:proofErr w:type="spellStart"/>
      <w:r w:rsidRPr="0093403C">
        <w:rPr>
          <w:sz w:val="22"/>
          <w:szCs w:val="22"/>
          <w:lang w:val="sr-Latn-ME"/>
        </w:rPr>
        <w:t>intermitentno</w:t>
      </w:r>
      <w:proofErr w:type="spellEnd"/>
      <w:r w:rsidRPr="0093403C">
        <w:rPr>
          <w:sz w:val="22"/>
          <w:szCs w:val="22"/>
          <w:lang w:val="sr-Latn-ME"/>
        </w:rPr>
        <w:t xml:space="preserve"> (sa intervalima bez terapije 9-10 nedjelja po tromjesečju) oralno doziranje kao i </w:t>
      </w:r>
      <w:proofErr w:type="spellStart"/>
      <w:r w:rsidRPr="0093403C">
        <w:rPr>
          <w:sz w:val="22"/>
          <w:szCs w:val="22"/>
          <w:lang w:val="sr-Latn-ME"/>
        </w:rPr>
        <w:t>intravenske</w:t>
      </w:r>
      <w:proofErr w:type="spellEnd"/>
      <w:r w:rsidRPr="0093403C">
        <w:rPr>
          <w:sz w:val="22"/>
          <w:szCs w:val="22"/>
          <w:lang w:val="sr-Latn-ME"/>
        </w:rPr>
        <w:t xml:space="preserve"> doze lijeka </w:t>
      </w:r>
      <w:proofErr w:type="spellStart"/>
      <w:r w:rsidRPr="0093403C">
        <w:rPr>
          <w:sz w:val="22"/>
          <w:szCs w:val="22"/>
          <w:lang w:val="sr-Latn-ME"/>
        </w:rPr>
        <w:t>Bonviva</w:t>
      </w:r>
      <w:proofErr w:type="spellEnd"/>
      <w:r w:rsidRPr="0093403C">
        <w:rPr>
          <w:sz w:val="22"/>
          <w:szCs w:val="22"/>
          <w:lang w:val="sr-Latn-ME"/>
        </w:rPr>
        <w:t xml:space="preserve"> kod </w:t>
      </w:r>
      <w:proofErr w:type="spellStart"/>
      <w:r w:rsidRPr="0093403C">
        <w:rPr>
          <w:sz w:val="22"/>
          <w:szCs w:val="22"/>
          <w:lang w:val="sr-Latn-ME"/>
        </w:rPr>
        <w:t>postmenopauzalnih</w:t>
      </w:r>
      <w:proofErr w:type="spellEnd"/>
      <w:r w:rsidRPr="0093403C">
        <w:rPr>
          <w:sz w:val="22"/>
          <w:szCs w:val="22"/>
          <w:lang w:val="sr-Latn-ME"/>
        </w:rPr>
        <w:t xml:space="preserve"> žena dovodilo je do biohemijskih promjena koje su ukazivale na </w:t>
      </w:r>
      <w:proofErr w:type="spellStart"/>
      <w:r w:rsidRPr="0093403C">
        <w:rPr>
          <w:sz w:val="22"/>
          <w:szCs w:val="22"/>
          <w:lang w:val="sr-Latn-ME"/>
        </w:rPr>
        <w:t>dozno</w:t>
      </w:r>
      <w:proofErr w:type="spellEnd"/>
      <w:r w:rsidRPr="0093403C">
        <w:rPr>
          <w:sz w:val="22"/>
          <w:szCs w:val="22"/>
          <w:lang w:val="sr-Latn-ME"/>
        </w:rPr>
        <w:t xml:space="preserve">-zavisnu inhibiciju resorpcije kostiju. </w:t>
      </w:r>
    </w:p>
    <w:p w14:paraId="589E1187" w14:textId="77777777" w:rsidR="002E634B" w:rsidRPr="0093403C" w:rsidRDefault="002E634B" w:rsidP="007C5B43">
      <w:pPr>
        <w:jc w:val="both"/>
        <w:rPr>
          <w:sz w:val="22"/>
          <w:szCs w:val="22"/>
          <w:lang w:val="sr-Latn-ME"/>
        </w:rPr>
      </w:pPr>
    </w:p>
    <w:p w14:paraId="43135FDA" w14:textId="77777777" w:rsidR="002E634B" w:rsidRPr="0093403C" w:rsidRDefault="002E634B" w:rsidP="007C5B43">
      <w:pPr>
        <w:jc w:val="both"/>
        <w:rPr>
          <w:sz w:val="22"/>
          <w:szCs w:val="22"/>
          <w:lang w:val="sr-Latn-ME"/>
        </w:rPr>
      </w:pPr>
      <w:proofErr w:type="spellStart"/>
      <w:r w:rsidRPr="0093403C">
        <w:rPr>
          <w:sz w:val="22"/>
          <w:szCs w:val="22"/>
          <w:lang w:val="sr-Latn-ME"/>
        </w:rPr>
        <w:t>Intravenske</w:t>
      </w:r>
      <w:proofErr w:type="spellEnd"/>
      <w:r w:rsidRPr="0093403C">
        <w:rPr>
          <w:sz w:val="22"/>
          <w:szCs w:val="22"/>
          <w:lang w:val="sr-Latn-ME"/>
        </w:rPr>
        <w:t xml:space="preserve"> injekcije lijeka </w:t>
      </w:r>
      <w:proofErr w:type="spellStart"/>
      <w:r w:rsidRPr="0093403C">
        <w:rPr>
          <w:sz w:val="22"/>
          <w:szCs w:val="22"/>
          <w:lang w:val="sr-Latn-ME"/>
        </w:rPr>
        <w:t>Bonviva</w:t>
      </w:r>
      <w:proofErr w:type="spellEnd"/>
      <w:r w:rsidRPr="0093403C">
        <w:rPr>
          <w:sz w:val="22"/>
          <w:szCs w:val="22"/>
          <w:lang w:val="sr-Latn-ME"/>
        </w:rPr>
        <w:t xml:space="preserve"> smanjivale su serumske nivoe C-</w:t>
      </w:r>
      <w:proofErr w:type="spellStart"/>
      <w:r w:rsidRPr="0093403C">
        <w:rPr>
          <w:sz w:val="22"/>
          <w:szCs w:val="22"/>
          <w:lang w:val="sr-Latn-ME"/>
        </w:rPr>
        <w:t>telopeptida</w:t>
      </w:r>
      <w:proofErr w:type="spellEnd"/>
      <w:r w:rsidRPr="0093403C">
        <w:rPr>
          <w:sz w:val="22"/>
          <w:szCs w:val="22"/>
          <w:lang w:val="sr-Latn-ME"/>
        </w:rPr>
        <w:t xml:space="preserve"> alfa lanca </w:t>
      </w:r>
      <w:proofErr w:type="spellStart"/>
      <w:r w:rsidRPr="0093403C">
        <w:rPr>
          <w:sz w:val="22"/>
          <w:szCs w:val="22"/>
          <w:lang w:val="sr-Latn-ME"/>
        </w:rPr>
        <w:t>kolagena</w:t>
      </w:r>
      <w:proofErr w:type="spellEnd"/>
      <w:r w:rsidRPr="0093403C">
        <w:rPr>
          <w:sz w:val="22"/>
          <w:szCs w:val="22"/>
          <w:lang w:val="sr-Latn-ME"/>
        </w:rPr>
        <w:t xml:space="preserve"> tipa 1 (CTX) u roku 3-7 dana po započinjanju terapije i smanjivale nivoe </w:t>
      </w:r>
      <w:proofErr w:type="spellStart"/>
      <w:r w:rsidRPr="0093403C">
        <w:rPr>
          <w:sz w:val="22"/>
          <w:szCs w:val="22"/>
          <w:lang w:val="sr-Latn-ME"/>
        </w:rPr>
        <w:t>osteokalcina</w:t>
      </w:r>
      <w:proofErr w:type="spellEnd"/>
      <w:r w:rsidRPr="0093403C">
        <w:rPr>
          <w:sz w:val="22"/>
          <w:szCs w:val="22"/>
          <w:lang w:val="sr-Latn-ME"/>
        </w:rPr>
        <w:t xml:space="preserve"> u roku od 3 mjeseca</w:t>
      </w:r>
    </w:p>
    <w:p w14:paraId="5951190B" w14:textId="77777777" w:rsidR="002E634B" w:rsidRPr="0093403C" w:rsidRDefault="002E634B" w:rsidP="007C5B43">
      <w:pPr>
        <w:jc w:val="both"/>
        <w:rPr>
          <w:sz w:val="22"/>
          <w:szCs w:val="22"/>
          <w:lang w:val="sr-Latn-ME"/>
        </w:rPr>
      </w:pPr>
    </w:p>
    <w:p w14:paraId="173A9596" w14:textId="77777777" w:rsidR="002E634B" w:rsidRPr="0093403C" w:rsidRDefault="002E634B" w:rsidP="007C5B43">
      <w:pPr>
        <w:jc w:val="both"/>
        <w:rPr>
          <w:sz w:val="22"/>
          <w:szCs w:val="22"/>
          <w:lang w:val="sr-Latn-ME"/>
        </w:rPr>
      </w:pPr>
      <w:r w:rsidRPr="0093403C">
        <w:rPr>
          <w:sz w:val="22"/>
          <w:szCs w:val="22"/>
          <w:lang w:val="sr-Latn-ME"/>
        </w:rPr>
        <w:t xml:space="preserve">Po obustavljanju terapije, dolazi do </w:t>
      </w:r>
      <w:proofErr w:type="spellStart"/>
      <w:r w:rsidRPr="0093403C">
        <w:rPr>
          <w:sz w:val="22"/>
          <w:szCs w:val="22"/>
          <w:lang w:val="sr-Latn-ME"/>
        </w:rPr>
        <w:t>reverzije</w:t>
      </w:r>
      <w:proofErr w:type="spellEnd"/>
      <w:r w:rsidRPr="0093403C">
        <w:rPr>
          <w:sz w:val="22"/>
          <w:szCs w:val="22"/>
          <w:lang w:val="sr-Latn-ME"/>
        </w:rPr>
        <w:t xml:space="preserve"> patoloških </w:t>
      </w:r>
      <w:proofErr w:type="spellStart"/>
      <w:r w:rsidRPr="0093403C">
        <w:rPr>
          <w:sz w:val="22"/>
          <w:szCs w:val="22"/>
          <w:lang w:val="sr-Latn-ME"/>
        </w:rPr>
        <w:t>preterapijskih</w:t>
      </w:r>
      <w:proofErr w:type="spellEnd"/>
      <w:r w:rsidRPr="0093403C">
        <w:rPr>
          <w:sz w:val="22"/>
          <w:szCs w:val="22"/>
          <w:lang w:val="sr-Latn-ME"/>
        </w:rPr>
        <w:t xml:space="preserve"> stopa povišene resorpcije kosti povezane sa </w:t>
      </w:r>
      <w:proofErr w:type="spellStart"/>
      <w:r w:rsidRPr="0093403C">
        <w:rPr>
          <w:sz w:val="22"/>
          <w:szCs w:val="22"/>
          <w:lang w:val="sr-Latn-ME"/>
        </w:rPr>
        <w:t>postmenopauzalnom</w:t>
      </w:r>
      <w:proofErr w:type="spellEnd"/>
      <w:r w:rsidRPr="0093403C">
        <w:rPr>
          <w:sz w:val="22"/>
          <w:szCs w:val="22"/>
          <w:lang w:val="sr-Latn-ME"/>
        </w:rPr>
        <w:t xml:space="preserve"> </w:t>
      </w:r>
      <w:proofErr w:type="spellStart"/>
      <w:r w:rsidRPr="0093403C">
        <w:rPr>
          <w:sz w:val="22"/>
          <w:szCs w:val="22"/>
          <w:lang w:val="sr-Latn-ME"/>
        </w:rPr>
        <w:t>osteoporozom</w:t>
      </w:r>
      <w:proofErr w:type="spellEnd"/>
      <w:r w:rsidRPr="0093403C">
        <w:rPr>
          <w:sz w:val="22"/>
          <w:szCs w:val="22"/>
          <w:lang w:val="sr-Latn-ME"/>
        </w:rPr>
        <w:t xml:space="preserve">. </w:t>
      </w:r>
    </w:p>
    <w:p w14:paraId="3D89661F" w14:textId="77777777" w:rsidR="002E634B" w:rsidRPr="0093403C" w:rsidRDefault="002E634B" w:rsidP="007C5B43">
      <w:pPr>
        <w:jc w:val="both"/>
        <w:rPr>
          <w:sz w:val="22"/>
          <w:szCs w:val="22"/>
          <w:lang w:val="sr-Latn-ME"/>
        </w:rPr>
      </w:pPr>
    </w:p>
    <w:p w14:paraId="5B1F89CD" w14:textId="77777777" w:rsidR="002E634B" w:rsidRPr="0093403C" w:rsidRDefault="002E634B" w:rsidP="007C5B43">
      <w:pPr>
        <w:jc w:val="both"/>
        <w:rPr>
          <w:sz w:val="22"/>
          <w:szCs w:val="22"/>
          <w:lang w:val="sr-Latn-ME"/>
        </w:rPr>
      </w:pPr>
      <w:r w:rsidRPr="0093403C">
        <w:rPr>
          <w:sz w:val="22"/>
          <w:szCs w:val="22"/>
          <w:lang w:val="sr-Latn-ME"/>
        </w:rPr>
        <w:t xml:space="preserve">Histološka analiza biopsije kostiju poslije dvije i poslije tri godine terapije </w:t>
      </w:r>
      <w:proofErr w:type="spellStart"/>
      <w:r w:rsidRPr="0093403C">
        <w:rPr>
          <w:sz w:val="22"/>
          <w:szCs w:val="22"/>
          <w:lang w:val="sr-Latn-ME"/>
        </w:rPr>
        <w:t>postmenopauzalnih</w:t>
      </w:r>
      <w:proofErr w:type="spellEnd"/>
      <w:r w:rsidRPr="0093403C">
        <w:rPr>
          <w:sz w:val="22"/>
          <w:szCs w:val="22"/>
          <w:lang w:val="sr-Latn-ME"/>
        </w:rPr>
        <w:t xml:space="preserve"> žena oralnim dozama lijeka </w:t>
      </w:r>
      <w:proofErr w:type="spellStart"/>
      <w:r w:rsidRPr="0093403C">
        <w:rPr>
          <w:sz w:val="22"/>
          <w:szCs w:val="22"/>
          <w:lang w:val="sr-Latn-ME"/>
        </w:rPr>
        <w:t>Bonviva</w:t>
      </w:r>
      <w:proofErr w:type="spellEnd"/>
      <w:r w:rsidRPr="0093403C">
        <w:rPr>
          <w:sz w:val="22"/>
          <w:szCs w:val="22"/>
          <w:lang w:val="sr-Latn-ME"/>
        </w:rPr>
        <w:t xml:space="preserve"> 2,5 mg jednom dnevno i </w:t>
      </w:r>
      <w:proofErr w:type="spellStart"/>
      <w:r w:rsidRPr="0093403C">
        <w:rPr>
          <w:sz w:val="22"/>
          <w:szCs w:val="22"/>
          <w:lang w:val="sr-Latn-ME"/>
        </w:rPr>
        <w:t>intermitentnim</w:t>
      </w:r>
      <w:proofErr w:type="spellEnd"/>
      <w:r w:rsidRPr="0093403C">
        <w:rPr>
          <w:sz w:val="22"/>
          <w:szCs w:val="22"/>
          <w:lang w:val="sr-Latn-ME"/>
        </w:rPr>
        <w:t xml:space="preserve"> </w:t>
      </w:r>
      <w:proofErr w:type="spellStart"/>
      <w:r w:rsidRPr="0093403C">
        <w:rPr>
          <w:sz w:val="22"/>
          <w:szCs w:val="22"/>
          <w:lang w:val="sr-Latn-ME"/>
        </w:rPr>
        <w:t>intravenskim</w:t>
      </w:r>
      <w:proofErr w:type="spellEnd"/>
      <w:r w:rsidRPr="0093403C">
        <w:rPr>
          <w:sz w:val="22"/>
          <w:szCs w:val="22"/>
          <w:lang w:val="sr-Latn-ME"/>
        </w:rPr>
        <w:t xml:space="preserve"> dozama do 1 mg na svakih 3 mjeseca pokazale su kosti normalnog kvaliteta bez indikacija o poremećaju </w:t>
      </w:r>
      <w:proofErr w:type="spellStart"/>
      <w:r w:rsidRPr="0093403C">
        <w:rPr>
          <w:sz w:val="22"/>
          <w:szCs w:val="22"/>
          <w:lang w:val="sr-Latn-ME"/>
        </w:rPr>
        <w:t>mineralizacije</w:t>
      </w:r>
      <w:proofErr w:type="spellEnd"/>
      <w:r w:rsidRPr="0093403C">
        <w:rPr>
          <w:sz w:val="22"/>
          <w:szCs w:val="22"/>
          <w:lang w:val="sr-Latn-ME"/>
        </w:rPr>
        <w:t xml:space="preserve">. Poslije dvije godine terapije injekcijama </w:t>
      </w:r>
      <w:proofErr w:type="spellStart"/>
      <w:r w:rsidRPr="0093403C">
        <w:rPr>
          <w:sz w:val="22"/>
          <w:szCs w:val="22"/>
          <w:lang w:val="sr-Latn-ME"/>
        </w:rPr>
        <w:t>Bonviva</w:t>
      </w:r>
      <w:proofErr w:type="spellEnd"/>
      <w:r w:rsidRPr="0093403C">
        <w:rPr>
          <w:sz w:val="22"/>
          <w:szCs w:val="22"/>
          <w:lang w:val="sr-Latn-ME"/>
        </w:rPr>
        <w:t xml:space="preserve"> 3 mg zabilježen je očekivani pad koštanog obrta, kost normalnog kvaliteta i odsustvo poremećaja </w:t>
      </w:r>
      <w:proofErr w:type="spellStart"/>
      <w:r w:rsidRPr="0093403C">
        <w:rPr>
          <w:sz w:val="22"/>
          <w:szCs w:val="22"/>
          <w:lang w:val="sr-Latn-ME"/>
        </w:rPr>
        <w:t>mineralizacije</w:t>
      </w:r>
      <w:proofErr w:type="spellEnd"/>
      <w:r w:rsidRPr="0093403C">
        <w:rPr>
          <w:sz w:val="22"/>
          <w:szCs w:val="22"/>
          <w:lang w:val="sr-Latn-ME"/>
        </w:rPr>
        <w:t xml:space="preserve">. </w:t>
      </w:r>
    </w:p>
    <w:p w14:paraId="63F675CE" w14:textId="77777777" w:rsidR="002E634B" w:rsidRPr="0093403C" w:rsidRDefault="002E634B" w:rsidP="007C5B43">
      <w:pPr>
        <w:jc w:val="both"/>
        <w:rPr>
          <w:sz w:val="22"/>
          <w:szCs w:val="22"/>
          <w:lang w:val="sr-Latn-ME"/>
        </w:rPr>
      </w:pPr>
    </w:p>
    <w:p w14:paraId="12BCC829" w14:textId="77777777" w:rsidR="007C5B43" w:rsidRPr="0093403C" w:rsidRDefault="007C5B43" w:rsidP="007C5B43">
      <w:pPr>
        <w:jc w:val="both"/>
        <w:rPr>
          <w:b/>
          <w:i/>
          <w:sz w:val="22"/>
          <w:szCs w:val="22"/>
          <w:lang w:val="sr-Latn-ME"/>
        </w:rPr>
      </w:pPr>
    </w:p>
    <w:p w14:paraId="49B30B39" w14:textId="77777777" w:rsidR="007C5B43" w:rsidRPr="0093403C" w:rsidRDefault="007C5B43" w:rsidP="007C5B43">
      <w:pPr>
        <w:jc w:val="both"/>
        <w:rPr>
          <w:b/>
          <w:i/>
          <w:sz w:val="22"/>
          <w:szCs w:val="22"/>
          <w:lang w:val="sr-Latn-ME"/>
        </w:rPr>
      </w:pPr>
    </w:p>
    <w:p w14:paraId="0112551A" w14:textId="5E56F99E" w:rsidR="002E634B" w:rsidRPr="0093403C" w:rsidRDefault="002E634B" w:rsidP="007C5B43">
      <w:pPr>
        <w:jc w:val="both"/>
        <w:rPr>
          <w:b/>
          <w:i/>
          <w:sz w:val="22"/>
          <w:szCs w:val="22"/>
          <w:lang w:val="sr-Latn-ME"/>
        </w:rPr>
      </w:pPr>
      <w:r w:rsidRPr="0093403C">
        <w:rPr>
          <w:b/>
          <w:i/>
          <w:sz w:val="22"/>
          <w:szCs w:val="22"/>
          <w:lang w:val="sr-Latn-ME"/>
        </w:rPr>
        <w:lastRenderedPageBreak/>
        <w:t>Klinička efikasnost</w:t>
      </w:r>
    </w:p>
    <w:p w14:paraId="37578430" w14:textId="77777777" w:rsidR="002E634B" w:rsidRPr="0093403C" w:rsidRDefault="002E634B" w:rsidP="007C5B43">
      <w:pPr>
        <w:jc w:val="both"/>
        <w:rPr>
          <w:b/>
          <w:sz w:val="22"/>
          <w:szCs w:val="22"/>
          <w:u w:val="single"/>
          <w:lang w:val="sr-Latn-ME"/>
        </w:rPr>
      </w:pPr>
      <w:r w:rsidRPr="0093403C">
        <w:rPr>
          <w:snapToGrid w:val="0"/>
          <w:sz w:val="22"/>
          <w:szCs w:val="22"/>
          <w:lang w:val="sr-Latn-ME"/>
        </w:rPr>
        <w:t xml:space="preserve">Za prepoznavanje žena koje su izložene povećanom riziku od </w:t>
      </w:r>
      <w:proofErr w:type="spellStart"/>
      <w:r w:rsidRPr="0093403C">
        <w:rPr>
          <w:snapToGrid w:val="0"/>
          <w:sz w:val="22"/>
          <w:szCs w:val="22"/>
          <w:lang w:val="sr-Latn-ME"/>
        </w:rPr>
        <w:t>osteoporotičnih</w:t>
      </w:r>
      <w:proofErr w:type="spellEnd"/>
      <w:r w:rsidRPr="0093403C">
        <w:rPr>
          <w:snapToGrid w:val="0"/>
          <w:sz w:val="22"/>
          <w:szCs w:val="22"/>
          <w:lang w:val="sr-Latn-ME"/>
        </w:rPr>
        <w:t xml:space="preserve"> </w:t>
      </w:r>
      <w:proofErr w:type="spellStart"/>
      <w:r w:rsidRPr="0093403C">
        <w:rPr>
          <w:snapToGrid w:val="0"/>
          <w:sz w:val="22"/>
          <w:szCs w:val="22"/>
          <w:lang w:val="sr-Latn-ME"/>
        </w:rPr>
        <w:t>preloma</w:t>
      </w:r>
      <w:proofErr w:type="spellEnd"/>
      <w:r w:rsidRPr="0093403C">
        <w:rPr>
          <w:snapToGrid w:val="0"/>
          <w:sz w:val="22"/>
          <w:szCs w:val="22"/>
          <w:lang w:val="sr-Latn-ME"/>
        </w:rPr>
        <w:t xml:space="preserve"> treba uzimati u obzir i nezavisne faktore rizika kao što su  niska mineralna gustina kosti (MGK), godine starosti, postojanje ranijih </w:t>
      </w:r>
      <w:proofErr w:type="spellStart"/>
      <w:r w:rsidRPr="0093403C">
        <w:rPr>
          <w:snapToGrid w:val="0"/>
          <w:sz w:val="22"/>
          <w:szCs w:val="22"/>
          <w:lang w:val="sr-Latn-ME"/>
        </w:rPr>
        <w:t>preloma</w:t>
      </w:r>
      <w:proofErr w:type="spellEnd"/>
      <w:r w:rsidRPr="0093403C">
        <w:rPr>
          <w:snapToGrid w:val="0"/>
          <w:sz w:val="22"/>
          <w:szCs w:val="22"/>
          <w:lang w:val="sr-Latn-ME"/>
        </w:rPr>
        <w:t xml:space="preserve">, porodična istorija </w:t>
      </w:r>
      <w:proofErr w:type="spellStart"/>
      <w:r w:rsidRPr="0093403C">
        <w:rPr>
          <w:snapToGrid w:val="0"/>
          <w:sz w:val="22"/>
          <w:szCs w:val="22"/>
          <w:lang w:val="sr-Latn-ME"/>
        </w:rPr>
        <w:t>preloma</w:t>
      </w:r>
      <w:proofErr w:type="spellEnd"/>
      <w:r w:rsidRPr="0093403C">
        <w:rPr>
          <w:snapToGrid w:val="0"/>
          <w:sz w:val="22"/>
          <w:szCs w:val="22"/>
          <w:lang w:val="sr-Latn-ME"/>
        </w:rPr>
        <w:t xml:space="preserve">, visoki obrt koštane mase i nizak indeks tjelesne mase.  </w:t>
      </w:r>
    </w:p>
    <w:p w14:paraId="046C4899" w14:textId="77777777" w:rsidR="002E634B" w:rsidRPr="0093403C" w:rsidRDefault="002E634B" w:rsidP="007C5B43">
      <w:pPr>
        <w:tabs>
          <w:tab w:val="left" w:pos="540"/>
          <w:tab w:val="left" w:pos="569"/>
        </w:tabs>
        <w:jc w:val="both"/>
        <w:rPr>
          <w:b/>
          <w:bCs/>
          <w:sz w:val="22"/>
          <w:szCs w:val="22"/>
          <w:lang w:val="sr-Latn-ME"/>
        </w:rPr>
      </w:pPr>
    </w:p>
    <w:p w14:paraId="647B7781" w14:textId="77777777" w:rsidR="002E634B" w:rsidRPr="0093403C" w:rsidRDefault="002E634B" w:rsidP="007C5B43">
      <w:pPr>
        <w:jc w:val="both"/>
        <w:rPr>
          <w:b/>
          <w:sz w:val="22"/>
          <w:szCs w:val="22"/>
          <w:u w:val="single"/>
          <w:lang w:val="sr-Latn-ME"/>
        </w:rPr>
      </w:pPr>
      <w:proofErr w:type="spellStart"/>
      <w:r w:rsidRPr="0093403C">
        <w:rPr>
          <w:b/>
          <w:sz w:val="22"/>
          <w:szCs w:val="22"/>
          <w:u w:val="single"/>
          <w:lang w:val="sr-Latn-ME"/>
        </w:rPr>
        <w:t>Bonviva</w:t>
      </w:r>
      <w:proofErr w:type="spellEnd"/>
      <w:r w:rsidRPr="0093403C">
        <w:rPr>
          <w:b/>
          <w:sz w:val="22"/>
          <w:szCs w:val="22"/>
          <w:u w:val="single"/>
          <w:lang w:val="sr-Latn-ME"/>
        </w:rPr>
        <w:t xml:space="preserve"> injekcije od 3 mg jednom u tri mjeseca</w:t>
      </w:r>
    </w:p>
    <w:p w14:paraId="6FA484F9" w14:textId="77777777" w:rsidR="002E634B" w:rsidRPr="0093403C" w:rsidRDefault="002E634B" w:rsidP="007C5B43">
      <w:pPr>
        <w:jc w:val="both"/>
        <w:rPr>
          <w:sz w:val="22"/>
          <w:szCs w:val="22"/>
          <w:lang w:val="sr-Latn-ME"/>
        </w:rPr>
      </w:pPr>
    </w:p>
    <w:p w14:paraId="158E40FE" w14:textId="77777777" w:rsidR="002E634B" w:rsidRPr="0093403C" w:rsidRDefault="002E634B" w:rsidP="007C5B43">
      <w:pPr>
        <w:jc w:val="both"/>
        <w:rPr>
          <w:sz w:val="22"/>
          <w:szCs w:val="22"/>
          <w:u w:val="single"/>
          <w:lang w:val="sr-Latn-ME"/>
        </w:rPr>
      </w:pPr>
      <w:r w:rsidRPr="0093403C">
        <w:rPr>
          <w:sz w:val="22"/>
          <w:szCs w:val="22"/>
          <w:u w:val="single"/>
          <w:lang w:val="sr-Latn-ME"/>
        </w:rPr>
        <w:t xml:space="preserve">Mineralna gustina kosti (MGK) </w:t>
      </w:r>
    </w:p>
    <w:p w14:paraId="0D5FFF8E" w14:textId="77777777" w:rsidR="002E634B" w:rsidRPr="0093403C" w:rsidRDefault="002E634B" w:rsidP="007C5B43">
      <w:pPr>
        <w:jc w:val="both"/>
        <w:rPr>
          <w:sz w:val="22"/>
          <w:szCs w:val="22"/>
          <w:u w:val="single"/>
          <w:lang w:val="sr-Latn-ME"/>
        </w:rPr>
      </w:pPr>
    </w:p>
    <w:p w14:paraId="36DBB5AA" w14:textId="77777777" w:rsidR="002E634B" w:rsidRPr="0093403C" w:rsidRDefault="002E634B" w:rsidP="007C5B43">
      <w:pPr>
        <w:jc w:val="both"/>
        <w:rPr>
          <w:sz w:val="22"/>
          <w:szCs w:val="22"/>
          <w:lang w:val="sr-Latn-ME"/>
        </w:rPr>
      </w:pPr>
      <w:r w:rsidRPr="0093403C">
        <w:rPr>
          <w:sz w:val="22"/>
          <w:szCs w:val="22"/>
          <w:lang w:val="sr-Latn-ME"/>
        </w:rPr>
        <w:t xml:space="preserve">Pokazano je da je </w:t>
      </w:r>
      <w:proofErr w:type="spellStart"/>
      <w:r w:rsidRPr="0093403C">
        <w:rPr>
          <w:sz w:val="22"/>
          <w:szCs w:val="22"/>
          <w:lang w:val="sr-Latn-ME"/>
        </w:rPr>
        <w:t>Bonviva</w:t>
      </w:r>
      <w:proofErr w:type="spellEnd"/>
      <w:r w:rsidRPr="0093403C">
        <w:rPr>
          <w:sz w:val="22"/>
          <w:szCs w:val="22"/>
          <w:lang w:val="sr-Latn-ME"/>
        </w:rPr>
        <w:t xml:space="preserve"> injekcije od 3 mg jednom u tri mjeseca efikasna bar koliko i </w:t>
      </w:r>
      <w:proofErr w:type="spellStart"/>
      <w:r w:rsidRPr="0093403C">
        <w:rPr>
          <w:sz w:val="22"/>
          <w:szCs w:val="22"/>
          <w:lang w:val="sr-Latn-ME"/>
        </w:rPr>
        <w:t>Bonviva</w:t>
      </w:r>
      <w:proofErr w:type="spellEnd"/>
      <w:r w:rsidRPr="0093403C">
        <w:rPr>
          <w:sz w:val="22"/>
          <w:szCs w:val="22"/>
          <w:lang w:val="sr-Latn-ME"/>
        </w:rPr>
        <w:t xml:space="preserve"> 2,5 mg jednom dnevno kada je mjerena MGK poslije dvije godine, u dvostruko slijepoj, </w:t>
      </w:r>
      <w:proofErr w:type="spellStart"/>
      <w:r w:rsidRPr="0093403C">
        <w:rPr>
          <w:sz w:val="22"/>
          <w:szCs w:val="22"/>
          <w:lang w:val="sr-Latn-ME"/>
        </w:rPr>
        <w:t>multicentričnoj</w:t>
      </w:r>
      <w:proofErr w:type="spellEnd"/>
      <w:r w:rsidRPr="0093403C">
        <w:rPr>
          <w:sz w:val="22"/>
          <w:szCs w:val="22"/>
          <w:lang w:val="sr-Latn-ME"/>
        </w:rPr>
        <w:t xml:space="preserve"> studiji (</w:t>
      </w:r>
      <w:proofErr w:type="spellStart"/>
      <w:r w:rsidRPr="0093403C">
        <w:rPr>
          <w:sz w:val="22"/>
          <w:szCs w:val="22"/>
          <w:lang w:val="sr-Latn-ME"/>
        </w:rPr>
        <w:t>BM</w:t>
      </w:r>
      <w:proofErr w:type="spellEnd"/>
      <w:r w:rsidRPr="0093403C">
        <w:rPr>
          <w:sz w:val="22"/>
          <w:szCs w:val="22"/>
          <w:lang w:val="sr-Latn-ME"/>
        </w:rPr>
        <w:t xml:space="preserve"> 16550) </w:t>
      </w:r>
      <w:proofErr w:type="spellStart"/>
      <w:r w:rsidRPr="0093403C">
        <w:rPr>
          <w:sz w:val="22"/>
          <w:szCs w:val="22"/>
          <w:lang w:val="sr-Latn-ME"/>
        </w:rPr>
        <w:t>postmenopauzalnih</w:t>
      </w:r>
      <w:proofErr w:type="spellEnd"/>
      <w:r w:rsidRPr="0093403C">
        <w:rPr>
          <w:sz w:val="22"/>
          <w:szCs w:val="22"/>
          <w:lang w:val="sr-Latn-ME"/>
        </w:rPr>
        <w:t xml:space="preserve"> žena (1386 žena između 55 i 80 godina starosti) sa </w:t>
      </w:r>
      <w:proofErr w:type="spellStart"/>
      <w:r w:rsidRPr="0093403C">
        <w:rPr>
          <w:sz w:val="22"/>
          <w:szCs w:val="22"/>
          <w:lang w:val="sr-Latn-ME"/>
        </w:rPr>
        <w:t>osteoporozom</w:t>
      </w:r>
      <w:proofErr w:type="spellEnd"/>
      <w:r w:rsidRPr="0093403C">
        <w:rPr>
          <w:sz w:val="22"/>
          <w:szCs w:val="22"/>
          <w:lang w:val="sr-Latn-ME"/>
        </w:rPr>
        <w:t xml:space="preserve"> (T skor </w:t>
      </w:r>
      <w:proofErr w:type="spellStart"/>
      <w:r w:rsidRPr="0093403C">
        <w:rPr>
          <w:sz w:val="22"/>
          <w:szCs w:val="22"/>
          <w:lang w:val="sr-Latn-ME"/>
        </w:rPr>
        <w:t>MGK</w:t>
      </w:r>
      <w:proofErr w:type="spellEnd"/>
      <w:r w:rsidRPr="0093403C">
        <w:rPr>
          <w:sz w:val="22"/>
          <w:szCs w:val="22"/>
          <w:lang w:val="sr-Latn-ME"/>
        </w:rPr>
        <w:t xml:space="preserve"> lumbalne kičme  ispod -2,5 SD prije početka terapije – </w:t>
      </w:r>
      <w:proofErr w:type="spellStart"/>
      <w:r w:rsidRPr="0093403C">
        <w:rPr>
          <w:sz w:val="22"/>
          <w:szCs w:val="22"/>
          <w:lang w:val="sr-Latn-ME"/>
        </w:rPr>
        <w:t>bazalna</w:t>
      </w:r>
      <w:proofErr w:type="spellEnd"/>
      <w:r w:rsidRPr="0093403C">
        <w:rPr>
          <w:sz w:val="22"/>
          <w:szCs w:val="22"/>
          <w:lang w:val="sr-Latn-ME"/>
        </w:rPr>
        <w:t xml:space="preserve"> vrijednost). Ovo je pokazano i u primarnoj analizi poslije godine dana i u analizi za potvrđivanje ovih rezultata koja je urađena po okončanju studije, tj. poslije dvije godine (Tabela 2).</w:t>
      </w:r>
    </w:p>
    <w:p w14:paraId="25D514C0" w14:textId="77777777" w:rsidR="002E634B" w:rsidRPr="0093403C" w:rsidRDefault="002E634B" w:rsidP="007C5B43">
      <w:pPr>
        <w:jc w:val="both"/>
        <w:rPr>
          <w:sz w:val="22"/>
          <w:szCs w:val="22"/>
          <w:lang w:val="sr-Latn-ME"/>
        </w:rPr>
      </w:pPr>
    </w:p>
    <w:p w14:paraId="7A89C2FE" w14:textId="77777777" w:rsidR="002E634B" w:rsidRPr="0093403C" w:rsidRDefault="002E634B" w:rsidP="007C5B43">
      <w:pPr>
        <w:jc w:val="both"/>
        <w:rPr>
          <w:sz w:val="22"/>
          <w:szCs w:val="22"/>
          <w:lang w:val="sr-Latn-ME"/>
        </w:rPr>
      </w:pPr>
      <w:r w:rsidRPr="0093403C">
        <w:rPr>
          <w:sz w:val="22"/>
          <w:szCs w:val="22"/>
          <w:lang w:val="sr-Latn-ME"/>
        </w:rPr>
        <w:t xml:space="preserve">Primarna analiza podataka iz studije BM16550 poslije godinu dana i </w:t>
      </w:r>
      <w:proofErr w:type="spellStart"/>
      <w:r w:rsidRPr="0093403C">
        <w:rPr>
          <w:sz w:val="22"/>
          <w:szCs w:val="22"/>
          <w:lang w:val="sr-Latn-ME"/>
        </w:rPr>
        <w:t>konfirmatorna</w:t>
      </w:r>
      <w:proofErr w:type="spellEnd"/>
      <w:r w:rsidRPr="0093403C">
        <w:rPr>
          <w:sz w:val="22"/>
          <w:szCs w:val="22"/>
          <w:lang w:val="sr-Latn-ME"/>
        </w:rPr>
        <w:t xml:space="preserve"> analiza poslije dvije godine pokazale su da terapija injekcijama od 3 mg jednom u tri mjeseca nije slabija od  oralnog </w:t>
      </w:r>
      <w:proofErr w:type="spellStart"/>
      <w:r w:rsidRPr="0093403C">
        <w:rPr>
          <w:sz w:val="22"/>
          <w:szCs w:val="22"/>
          <w:lang w:val="sr-Latn-ME"/>
        </w:rPr>
        <w:t>doznog</w:t>
      </w:r>
      <w:proofErr w:type="spellEnd"/>
      <w:r w:rsidRPr="0093403C">
        <w:rPr>
          <w:sz w:val="22"/>
          <w:szCs w:val="22"/>
          <w:lang w:val="sr-Latn-ME"/>
        </w:rPr>
        <w:t xml:space="preserve"> režima 2,5 mg jednom dnevno u smislu srednjeg povećanja MGK u lumbalnoj kičmi, cijelom kuku, vratu </w:t>
      </w:r>
      <w:proofErr w:type="spellStart"/>
      <w:r w:rsidRPr="0093403C">
        <w:rPr>
          <w:sz w:val="22"/>
          <w:szCs w:val="22"/>
          <w:lang w:val="sr-Latn-ME"/>
        </w:rPr>
        <w:t>femura</w:t>
      </w:r>
      <w:proofErr w:type="spellEnd"/>
      <w:r w:rsidRPr="0093403C">
        <w:rPr>
          <w:sz w:val="22"/>
          <w:szCs w:val="22"/>
          <w:lang w:val="sr-Latn-ME"/>
        </w:rPr>
        <w:t xml:space="preserve"> i </w:t>
      </w:r>
      <w:proofErr w:type="spellStart"/>
      <w:r w:rsidRPr="0093403C">
        <w:rPr>
          <w:sz w:val="22"/>
          <w:szCs w:val="22"/>
          <w:lang w:val="sr-Latn-ME"/>
        </w:rPr>
        <w:t>trohanteru</w:t>
      </w:r>
      <w:proofErr w:type="spellEnd"/>
      <w:r w:rsidRPr="0093403C">
        <w:rPr>
          <w:sz w:val="22"/>
          <w:szCs w:val="22"/>
          <w:lang w:val="sr-Latn-ME"/>
        </w:rPr>
        <w:t xml:space="preserve"> (Tabela 2). </w:t>
      </w:r>
    </w:p>
    <w:p w14:paraId="120A81CA" w14:textId="77777777" w:rsidR="002E634B" w:rsidRPr="0093403C" w:rsidRDefault="002E634B" w:rsidP="007C5B43">
      <w:pPr>
        <w:jc w:val="both"/>
        <w:rPr>
          <w:sz w:val="22"/>
          <w:szCs w:val="22"/>
          <w:lang w:val="sr-Latn-ME"/>
        </w:rPr>
      </w:pPr>
    </w:p>
    <w:p w14:paraId="3821CB12" w14:textId="2A321D30" w:rsidR="002E634B" w:rsidRDefault="002E634B" w:rsidP="007C5B43">
      <w:pPr>
        <w:jc w:val="both"/>
        <w:rPr>
          <w:b/>
          <w:sz w:val="22"/>
          <w:szCs w:val="22"/>
          <w:lang w:val="sr-Latn-ME"/>
        </w:rPr>
      </w:pPr>
      <w:r w:rsidRPr="0093403C">
        <w:rPr>
          <w:b/>
          <w:sz w:val="22"/>
          <w:szCs w:val="22"/>
          <w:lang w:val="sr-Latn-ME"/>
        </w:rPr>
        <w:t xml:space="preserve">Tabela 2: Srednja relativna promjena od </w:t>
      </w:r>
      <w:proofErr w:type="spellStart"/>
      <w:r w:rsidRPr="0093403C">
        <w:rPr>
          <w:b/>
          <w:sz w:val="22"/>
          <w:szCs w:val="22"/>
          <w:lang w:val="sr-Latn-ME"/>
        </w:rPr>
        <w:t>bazalne</w:t>
      </w:r>
      <w:proofErr w:type="spellEnd"/>
      <w:r w:rsidRPr="0093403C">
        <w:rPr>
          <w:b/>
          <w:sz w:val="22"/>
          <w:szCs w:val="22"/>
          <w:lang w:val="sr-Latn-ME"/>
        </w:rPr>
        <w:t xml:space="preserve"> vrijednosti </w:t>
      </w:r>
      <w:proofErr w:type="spellStart"/>
      <w:r w:rsidRPr="0093403C">
        <w:rPr>
          <w:b/>
          <w:sz w:val="22"/>
          <w:szCs w:val="22"/>
          <w:lang w:val="sr-Latn-ME"/>
        </w:rPr>
        <w:t>MGK</w:t>
      </w:r>
      <w:proofErr w:type="spellEnd"/>
      <w:r w:rsidRPr="0093403C">
        <w:rPr>
          <w:b/>
          <w:sz w:val="22"/>
          <w:szCs w:val="22"/>
          <w:lang w:val="sr-Latn-ME"/>
        </w:rPr>
        <w:t xml:space="preserve"> lumbalne kičme, cijelog kuka, vrata </w:t>
      </w:r>
      <w:proofErr w:type="spellStart"/>
      <w:r w:rsidRPr="0093403C">
        <w:rPr>
          <w:b/>
          <w:sz w:val="22"/>
          <w:szCs w:val="22"/>
          <w:lang w:val="sr-Latn-ME"/>
        </w:rPr>
        <w:t>femura</w:t>
      </w:r>
      <w:proofErr w:type="spellEnd"/>
      <w:r w:rsidRPr="0093403C">
        <w:rPr>
          <w:b/>
          <w:sz w:val="22"/>
          <w:szCs w:val="22"/>
          <w:lang w:val="sr-Latn-ME"/>
        </w:rPr>
        <w:t xml:space="preserve"> i </w:t>
      </w:r>
      <w:proofErr w:type="spellStart"/>
      <w:r w:rsidRPr="0093403C">
        <w:rPr>
          <w:b/>
          <w:sz w:val="22"/>
          <w:szCs w:val="22"/>
          <w:lang w:val="sr-Latn-ME"/>
        </w:rPr>
        <w:t>trohantera</w:t>
      </w:r>
      <w:proofErr w:type="spellEnd"/>
      <w:r w:rsidRPr="0093403C">
        <w:rPr>
          <w:b/>
          <w:sz w:val="22"/>
          <w:szCs w:val="22"/>
          <w:lang w:val="sr-Latn-ME"/>
        </w:rPr>
        <w:t xml:space="preserve"> poslije godinu dana (primarna analiza) i poslije dvije godine terapije (populacija po protokolu)  u studiji BM16550 </w:t>
      </w:r>
    </w:p>
    <w:p w14:paraId="5F9676C1" w14:textId="77777777" w:rsidR="00EE6A5F" w:rsidRPr="0093403C" w:rsidRDefault="00EE6A5F" w:rsidP="007C5B43">
      <w:pPr>
        <w:jc w:val="both"/>
        <w:rPr>
          <w:b/>
          <w:sz w:val="22"/>
          <w:szCs w:val="22"/>
          <w:lang w:val="sr-Latn-M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48"/>
        <w:gridCol w:w="1602"/>
        <w:gridCol w:w="1757"/>
        <w:gridCol w:w="1447"/>
        <w:gridCol w:w="1955"/>
      </w:tblGrid>
      <w:tr w:rsidR="002E634B" w:rsidRPr="0093403C" w14:paraId="3E3D58A0" w14:textId="77777777" w:rsidTr="00BD1DEA">
        <w:tc>
          <w:tcPr>
            <w:tcW w:w="2448" w:type="dxa"/>
            <w:shd w:val="clear" w:color="auto" w:fill="auto"/>
          </w:tcPr>
          <w:p w14:paraId="6044C5F5" w14:textId="77777777" w:rsidR="002E634B" w:rsidRPr="0093403C" w:rsidRDefault="002E634B" w:rsidP="007C5B43">
            <w:pPr>
              <w:jc w:val="both"/>
              <w:rPr>
                <w:sz w:val="22"/>
                <w:szCs w:val="22"/>
                <w:lang w:val="sr-Latn-ME"/>
              </w:rPr>
            </w:pPr>
          </w:p>
        </w:tc>
        <w:tc>
          <w:tcPr>
            <w:tcW w:w="3359" w:type="dxa"/>
            <w:gridSpan w:val="2"/>
            <w:shd w:val="clear" w:color="auto" w:fill="auto"/>
          </w:tcPr>
          <w:p w14:paraId="496B23CA" w14:textId="77777777" w:rsidR="002E634B" w:rsidRPr="0093403C" w:rsidRDefault="002E634B" w:rsidP="007C5B43">
            <w:pPr>
              <w:jc w:val="both"/>
              <w:rPr>
                <w:sz w:val="22"/>
                <w:szCs w:val="22"/>
                <w:lang w:val="sr-Latn-ME"/>
              </w:rPr>
            </w:pPr>
            <w:r w:rsidRPr="0093403C">
              <w:rPr>
                <w:sz w:val="22"/>
                <w:szCs w:val="22"/>
                <w:lang w:val="sr-Latn-ME"/>
              </w:rPr>
              <w:t>Studija BM 16550 – podaci poslije godinu dana</w:t>
            </w:r>
          </w:p>
        </w:tc>
        <w:tc>
          <w:tcPr>
            <w:tcW w:w="3402" w:type="dxa"/>
            <w:gridSpan w:val="2"/>
            <w:shd w:val="clear" w:color="auto" w:fill="auto"/>
          </w:tcPr>
          <w:p w14:paraId="2E48E9C8" w14:textId="77777777" w:rsidR="002E634B" w:rsidRPr="0093403C" w:rsidRDefault="002E634B" w:rsidP="007C5B43">
            <w:pPr>
              <w:jc w:val="both"/>
              <w:rPr>
                <w:sz w:val="22"/>
                <w:szCs w:val="22"/>
                <w:lang w:val="sr-Latn-ME"/>
              </w:rPr>
            </w:pPr>
            <w:r w:rsidRPr="0093403C">
              <w:rPr>
                <w:sz w:val="22"/>
                <w:szCs w:val="22"/>
                <w:lang w:val="sr-Latn-ME"/>
              </w:rPr>
              <w:t>Studija BM 16550 – podaci poslije dvije godine</w:t>
            </w:r>
          </w:p>
        </w:tc>
      </w:tr>
      <w:tr w:rsidR="002E634B" w:rsidRPr="0093403C" w14:paraId="6480A402" w14:textId="77777777" w:rsidTr="00BD1DEA">
        <w:tc>
          <w:tcPr>
            <w:tcW w:w="2448" w:type="dxa"/>
            <w:shd w:val="clear" w:color="auto" w:fill="auto"/>
          </w:tcPr>
          <w:p w14:paraId="527DCA17" w14:textId="77777777" w:rsidR="002E634B" w:rsidRPr="0093403C" w:rsidRDefault="002E634B" w:rsidP="007C5B43">
            <w:pPr>
              <w:jc w:val="both"/>
              <w:rPr>
                <w:sz w:val="22"/>
                <w:szCs w:val="22"/>
                <w:lang w:val="sr-Latn-ME"/>
              </w:rPr>
            </w:pPr>
            <w:r w:rsidRPr="0093403C">
              <w:rPr>
                <w:sz w:val="22"/>
                <w:szCs w:val="22"/>
                <w:lang w:val="sr-Latn-ME"/>
              </w:rPr>
              <w:t xml:space="preserve">Srednja relativna promjena od </w:t>
            </w:r>
            <w:proofErr w:type="spellStart"/>
            <w:r w:rsidRPr="0093403C">
              <w:rPr>
                <w:sz w:val="22"/>
                <w:szCs w:val="22"/>
                <w:lang w:val="sr-Latn-ME"/>
              </w:rPr>
              <w:t>bazalne</w:t>
            </w:r>
            <w:proofErr w:type="spellEnd"/>
            <w:r w:rsidRPr="0093403C">
              <w:rPr>
                <w:sz w:val="22"/>
                <w:szCs w:val="22"/>
                <w:lang w:val="sr-Latn-ME"/>
              </w:rPr>
              <w:t xml:space="preserve"> vrijednosti % (95% CI)</w:t>
            </w:r>
          </w:p>
        </w:tc>
        <w:tc>
          <w:tcPr>
            <w:tcW w:w="1602" w:type="dxa"/>
            <w:shd w:val="clear" w:color="auto" w:fill="auto"/>
          </w:tcPr>
          <w:p w14:paraId="3EBEB7A3" w14:textId="77777777" w:rsidR="002E634B" w:rsidRPr="0093403C" w:rsidRDefault="002E634B" w:rsidP="007C5B43">
            <w:pPr>
              <w:jc w:val="both"/>
              <w:rPr>
                <w:sz w:val="22"/>
                <w:szCs w:val="22"/>
                <w:lang w:val="sr-Latn-ME"/>
              </w:rPr>
            </w:pPr>
            <w:proofErr w:type="spellStart"/>
            <w:r w:rsidRPr="0093403C">
              <w:rPr>
                <w:sz w:val="22"/>
                <w:szCs w:val="22"/>
                <w:lang w:val="sr-Latn-ME"/>
              </w:rPr>
              <w:t>Bonviva</w:t>
            </w:r>
            <w:proofErr w:type="spellEnd"/>
            <w:r w:rsidRPr="0093403C">
              <w:rPr>
                <w:sz w:val="22"/>
                <w:szCs w:val="22"/>
                <w:lang w:val="sr-Latn-ME"/>
              </w:rPr>
              <w:t xml:space="preserve"> 2,5 mg jednom dnevno (N=377)</w:t>
            </w:r>
          </w:p>
        </w:tc>
        <w:tc>
          <w:tcPr>
            <w:tcW w:w="1757" w:type="dxa"/>
            <w:shd w:val="clear" w:color="auto" w:fill="auto"/>
          </w:tcPr>
          <w:p w14:paraId="3597B58B" w14:textId="77777777" w:rsidR="002E634B" w:rsidRPr="0093403C" w:rsidRDefault="002E634B" w:rsidP="007C5B43">
            <w:pPr>
              <w:jc w:val="both"/>
              <w:rPr>
                <w:sz w:val="22"/>
                <w:szCs w:val="22"/>
                <w:lang w:val="sr-Latn-ME"/>
              </w:rPr>
            </w:pPr>
            <w:proofErr w:type="spellStart"/>
            <w:r w:rsidRPr="0093403C">
              <w:rPr>
                <w:sz w:val="22"/>
                <w:szCs w:val="22"/>
                <w:lang w:val="sr-Latn-ME"/>
              </w:rPr>
              <w:t>Bonviva</w:t>
            </w:r>
            <w:proofErr w:type="spellEnd"/>
            <w:r w:rsidRPr="0093403C">
              <w:rPr>
                <w:sz w:val="22"/>
                <w:szCs w:val="22"/>
                <w:lang w:val="sr-Latn-ME"/>
              </w:rPr>
              <w:t xml:space="preserve"> injekcije 3,0 mg jednom u tri mjeseca (N=365)</w:t>
            </w:r>
          </w:p>
        </w:tc>
        <w:tc>
          <w:tcPr>
            <w:tcW w:w="1447" w:type="dxa"/>
            <w:shd w:val="clear" w:color="auto" w:fill="auto"/>
          </w:tcPr>
          <w:p w14:paraId="181C5A5C" w14:textId="77777777" w:rsidR="002E634B" w:rsidRPr="0093403C" w:rsidRDefault="002E634B" w:rsidP="007C5B43">
            <w:pPr>
              <w:jc w:val="both"/>
              <w:rPr>
                <w:sz w:val="22"/>
                <w:szCs w:val="22"/>
                <w:lang w:val="sr-Latn-ME"/>
              </w:rPr>
            </w:pPr>
            <w:proofErr w:type="spellStart"/>
            <w:r w:rsidRPr="0093403C">
              <w:rPr>
                <w:sz w:val="22"/>
                <w:szCs w:val="22"/>
                <w:lang w:val="sr-Latn-ME"/>
              </w:rPr>
              <w:t>Bonviva</w:t>
            </w:r>
            <w:proofErr w:type="spellEnd"/>
            <w:r w:rsidRPr="0093403C">
              <w:rPr>
                <w:sz w:val="22"/>
                <w:szCs w:val="22"/>
                <w:lang w:val="sr-Latn-ME"/>
              </w:rPr>
              <w:t xml:space="preserve"> 2,5 mg jednom dnevno (N=334)</w:t>
            </w:r>
          </w:p>
        </w:tc>
        <w:tc>
          <w:tcPr>
            <w:tcW w:w="1955" w:type="dxa"/>
            <w:shd w:val="clear" w:color="auto" w:fill="auto"/>
          </w:tcPr>
          <w:p w14:paraId="12C32C21" w14:textId="77777777" w:rsidR="002E634B" w:rsidRPr="0093403C" w:rsidRDefault="002E634B" w:rsidP="007C5B43">
            <w:pPr>
              <w:jc w:val="both"/>
              <w:rPr>
                <w:sz w:val="22"/>
                <w:szCs w:val="22"/>
                <w:lang w:val="sr-Latn-ME"/>
              </w:rPr>
            </w:pPr>
            <w:proofErr w:type="spellStart"/>
            <w:r w:rsidRPr="0093403C">
              <w:rPr>
                <w:sz w:val="22"/>
                <w:szCs w:val="22"/>
                <w:lang w:val="sr-Latn-ME"/>
              </w:rPr>
              <w:t>Bonviva</w:t>
            </w:r>
            <w:proofErr w:type="spellEnd"/>
            <w:r w:rsidRPr="0093403C">
              <w:rPr>
                <w:sz w:val="22"/>
                <w:szCs w:val="22"/>
                <w:lang w:val="sr-Latn-ME"/>
              </w:rPr>
              <w:t xml:space="preserve"> injekcije 3,0 mg jednom u tri mjeseca (N=334)</w:t>
            </w:r>
          </w:p>
        </w:tc>
      </w:tr>
      <w:tr w:rsidR="002E634B" w:rsidRPr="0093403C" w14:paraId="0F28021F" w14:textId="77777777" w:rsidTr="00BD1DEA">
        <w:tc>
          <w:tcPr>
            <w:tcW w:w="2448" w:type="dxa"/>
            <w:shd w:val="clear" w:color="auto" w:fill="auto"/>
          </w:tcPr>
          <w:p w14:paraId="3620DF82" w14:textId="77777777" w:rsidR="002E634B" w:rsidRPr="0093403C" w:rsidRDefault="002E634B" w:rsidP="007C5B43">
            <w:pPr>
              <w:jc w:val="both"/>
              <w:rPr>
                <w:sz w:val="22"/>
                <w:szCs w:val="22"/>
                <w:lang w:val="sr-Latn-ME"/>
              </w:rPr>
            </w:pPr>
            <w:r w:rsidRPr="0093403C">
              <w:rPr>
                <w:sz w:val="22"/>
                <w:szCs w:val="22"/>
                <w:lang w:val="sr-Latn-ME"/>
              </w:rPr>
              <w:t>Lumbalna kičma L2-L4 MGK</w:t>
            </w:r>
          </w:p>
        </w:tc>
        <w:tc>
          <w:tcPr>
            <w:tcW w:w="1602" w:type="dxa"/>
            <w:shd w:val="clear" w:color="auto" w:fill="auto"/>
          </w:tcPr>
          <w:p w14:paraId="262B3E98" w14:textId="77777777" w:rsidR="002E634B" w:rsidRPr="0093403C" w:rsidRDefault="002E634B" w:rsidP="007C5B43">
            <w:pPr>
              <w:jc w:val="both"/>
              <w:rPr>
                <w:sz w:val="22"/>
                <w:szCs w:val="22"/>
                <w:lang w:val="sr-Latn-ME"/>
              </w:rPr>
            </w:pPr>
            <w:r w:rsidRPr="0093403C">
              <w:rPr>
                <w:sz w:val="22"/>
                <w:szCs w:val="22"/>
                <w:lang w:val="sr-Latn-ME"/>
              </w:rPr>
              <w:t>3,8 (3,4; 4,2)</w:t>
            </w:r>
          </w:p>
        </w:tc>
        <w:tc>
          <w:tcPr>
            <w:tcW w:w="1757" w:type="dxa"/>
            <w:shd w:val="clear" w:color="auto" w:fill="auto"/>
          </w:tcPr>
          <w:p w14:paraId="640D01D1" w14:textId="77777777" w:rsidR="002E634B" w:rsidRPr="0093403C" w:rsidRDefault="002E634B" w:rsidP="007C5B43">
            <w:pPr>
              <w:jc w:val="both"/>
              <w:rPr>
                <w:sz w:val="22"/>
                <w:szCs w:val="22"/>
                <w:lang w:val="sr-Latn-ME"/>
              </w:rPr>
            </w:pPr>
            <w:r w:rsidRPr="0093403C">
              <w:rPr>
                <w:sz w:val="22"/>
                <w:szCs w:val="22"/>
                <w:lang w:val="sr-Latn-ME"/>
              </w:rPr>
              <w:t>4,8 (4,4; 5,2)</w:t>
            </w:r>
          </w:p>
        </w:tc>
        <w:tc>
          <w:tcPr>
            <w:tcW w:w="1447" w:type="dxa"/>
            <w:shd w:val="clear" w:color="auto" w:fill="auto"/>
          </w:tcPr>
          <w:p w14:paraId="620B9C65" w14:textId="77777777" w:rsidR="002E634B" w:rsidRPr="0093403C" w:rsidRDefault="002E634B" w:rsidP="007C5B43">
            <w:pPr>
              <w:jc w:val="both"/>
              <w:rPr>
                <w:sz w:val="22"/>
                <w:szCs w:val="22"/>
                <w:lang w:val="sr-Latn-ME"/>
              </w:rPr>
            </w:pPr>
            <w:r w:rsidRPr="0093403C">
              <w:rPr>
                <w:sz w:val="22"/>
                <w:szCs w:val="22"/>
                <w:lang w:val="sr-Latn-ME"/>
              </w:rPr>
              <w:t>4,8 (4,3; 5,4)</w:t>
            </w:r>
          </w:p>
        </w:tc>
        <w:tc>
          <w:tcPr>
            <w:tcW w:w="1955" w:type="dxa"/>
            <w:shd w:val="clear" w:color="auto" w:fill="auto"/>
          </w:tcPr>
          <w:p w14:paraId="727BB6FD" w14:textId="77777777" w:rsidR="002E634B" w:rsidRPr="0093403C" w:rsidRDefault="002E634B" w:rsidP="007C5B43">
            <w:pPr>
              <w:jc w:val="both"/>
              <w:rPr>
                <w:sz w:val="22"/>
                <w:szCs w:val="22"/>
                <w:lang w:val="sr-Latn-ME"/>
              </w:rPr>
            </w:pPr>
            <w:r w:rsidRPr="0093403C">
              <w:rPr>
                <w:sz w:val="22"/>
                <w:szCs w:val="22"/>
                <w:lang w:val="sr-Latn-ME"/>
              </w:rPr>
              <w:t>6,3 (5,7; 6,8)</w:t>
            </w:r>
          </w:p>
        </w:tc>
      </w:tr>
      <w:tr w:rsidR="002E634B" w:rsidRPr="0093403C" w14:paraId="40950385" w14:textId="77777777" w:rsidTr="00BD1DEA">
        <w:tc>
          <w:tcPr>
            <w:tcW w:w="2448" w:type="dxa"/>
            <w:shd w:val="clear" w:color="auto" w:fill="auto"/>
          </w:tcPr>
          <w:p w14:paraId="0CE61CA2" w14:textId="77777777" w:rsidR="002E634B" w:rsidRPr="0093403C" w:rsidRDefault="002E634B" w:rsidP="007C5B43">
            <w:pPr>
              <w:jc w:val="both"/>
              <w:rPr>
                <w:sz w:val="22"/>
                <w:szCs w:val="22"/>
                <w:lang w:val="sr-Latn-ME"/>
              </w:rPr>
            </w:pPr>
            <w:proofErr w:type="spellStart"/>
            <w:r w:rsidRPr="0093403C">
              <w:rPr>
                <w:sz w:val="22"/>
                <w:szCs w:val="22"/>
                <w:lang w:val="sr-Latn-ME"/>
              </w:rPr>
              <w:t>Cio</w:t>
            </w:r>
            <w:proofErr w:type="spellEnd"/>
            <w:r w:rsidRPr="0093403C">
              <w:rPr>
                <w:sz w:val="22"/>
                <w:szCs w:val="22"/>
                <w:lang w:val="sr-Latn-ME"/>
              </w:rPr>
              <w:t xml:space="preserve"> kuk </w:t>
            </w:r>
            <w:proofErr w:type="spellStart"/>
            <w:r w:rsidRPr="0093403C">
              <w:rPr>
                <w:sz w:val="22"/>
                <w:szCs w:val="22"/>
                <w:lang w:val="sr-Latn-ME"/>
              </w:rPr>
              <w:t>MGK</w:t>
            </w:r>
            <w:proofErr w:type="spellEnd"/>
          </w:p>
        </w:tc>
        <w:tc>
          <w:tcPr>
            <w:tcW w:w="1602" w:type="dxa"/>
            <w:shd w:val="clear" w:color="auto" w:fill="auto"/>
          </w:tcPr>
          <w:p w14:paraId="72E51D42" w14:textId="77777777" w:rsidR="002E634B" w:rsidRPr="0093403C" w:rsidRDefault="002E634B" w:rsidP="007C5B43">
            <w:pPr>
              <w:jc w:val="both"/>
              <w:rPr>
                <w:sz w:val="22"/>
                <w:szCs w:val="22"/>
                <w:lang w:val="sr-Latn-ME"/>
              </w:rPr>
            </w:pPr>
            <w:r w:rsidRPr="0093403C">
              <w:rPr>
                <w:sz w:val="22"/>
                <w:szCs w:val="22"/>
                <w:lang w:val="sr-Latn-ME"/>
              </w:rPr>
              <w:t>1,8 (1,5; 2,1)</w:t>
            </w:r>
          </w:p>
        </w:tc>
        <w:tc>
          <w:tcPr>
            <w:tcW w:w="1757" w:type="dxa"/>
            <w:shd w:val="clear" w:color="auto" w:fill="auto"/>
          </w:tcPr>
          <w:p w14:paraId="5AA065D6" w14:textId="77777777" w:rsidR="002E634B" w:rsidRPr="0093403C" w:rsidRDefault="002E634B" w:rsidP="007C5B43">
            <w:pPr>
              <w:jc w:val="both"/>
              <w:rPr>
                <w:sz w:val="22"/>
                <w:szCs w:val="22"/>
                <w:lang w:val="sr-Latn-ME"/>
              </w:rPr>
            </w:pPr>
            <w:r w:rsidRPr="0093403C">
              <w:rPr>
                <w:sz w:val="22"/>
                <w:szCs w:val="22"/>
                <w:lang w:val="sr-Latn-ME"/>
              </w:rPr>
              <w:t>2,4 (2,0; 2,7)</w:t>
            </w:r>
          </w:p>
        </w:tc>
        <w:tc>
          <w:tcPr>
            <w:tcW w:w="1447" w:type="dxa"/>
            <w:shd w:val="clear" w:color="auto" w:fill="auto"/>
          </w:tcPr>
          <w:p w14:paraId="566F9C21" w14:textId="77777777" w:rsidR="002E634B" w:rsidRPr="0093403C" w:rsidRDefault="002E634B" w:rsidP="007C5B43">
            <w:pPr>
              <w:jc w:val="both"/>
              <w:rPr>
                <w:sz w:val="22"/>
                <w:szCs w:val="22"/>
                <w:lang w:val="sr-Latn-ME"/>
              </w:rPr>
            </w:pPr>
            <w:r w:rsidRPr="0093403C">
              <w:rPr>
                <w:sz w:val="22"/>
                <w:szCs w:val="22"/>
                <w:lang w:val="sr-Latn-ME"/>
              </w:rPr>
              <w:t>2,2 (1,8; 2,6)</w:t>
            </w:r>
          </w:p>
        </w:tc>
        <w:tc>
          <w:tcPr>
            <w:tcW w:w="1955" w:type="dxa"/>
            <w:shd w:val="clear" w:color="auto" w:fill="auto"/>
          </w:tcPr>
          <w:p w14:paraId="12C59294" w14:textId="77777777" w:rsidR="002E634B" w:rsidRPr="0093403C" w:rsidRDefault="002E634B" w:rsidP="007C5B43">
            <w:pPr>
              <w:jc w:val="both"/>
              <w:rPr>
                <w:sz w:val="22"/>
                <w:szCs w:val="22"/>
                <w:lang w:val="sr-Latn-ME"/>
              </w:rPr>
            </w:pPr>
            <w:r w:rsidRPr="0093403C">
              <w:rPr>
                <w:sz w:val="22"/>
                <w:szCs w:val="22"/>
                <w:lang w:val="sr-Latn-ME"/>
              </w:rPr>
              <w:t>3,1 (2,6; 3,6)</w:t>
            </w:r>
          </w:p>
        </w:tc>
      </w:tr>
      <w:tr w:rsidR="002E634B" w:rsidRPr="0093403C" w14:paraId="5EF9937E" w14:textId="77777777" w:rsidTr="00BD1DEA">
        <w:tc>
          <w:tcPr>
            <w:tcW w:w="2448" w:type="dxa"/>
            <w:shd w:val="clear" w:color="auto" w:fill="auto"/>
          </w:tcPr>
          <w:p w14:paraId="2FB4D14C" w14:textId="77777777" w:rsidR="002E634B" w:rsidRPr="0093403C" w:rsidRDefault="002E634B" w:rsidP="007C5B43">
            <w:pPr>
              <w:jc w:val="both"/>
              <w:rPr>
                <w:sz w:val="22"/>
                <w:szCs w:val="22"/>
                <w:lang w:val="sr-Latn-ME"/>
              </w:rPr>
            </w:pPr>
            <w:r w:rsidRPr="0093403C">
              <w:rPr>
                <w:sz w:val="22"/>
                <w:szCs w:val="22"/>
                <w:lang w:val="sr-Latn-ME"/>
              </w:rPr>
              <w:t xml:space="preserve">Vrat </w:t>
            </w:r>
            <w:proofErr w:type="spellStart"/>
            <w:r w:rsidRPr="0093403C">
              <w:rPr>
                <w:sz w:val="22"/>
                <w:szCs w:val="22"/>
                <w:lang w:val="sr-Latn-ME"/>
              </w:rPr>
              <w:t>femura</w:t>
            </w:r>
            <w:proofErr w:type="spellEnd"/>
            <w:r w:rsidRPr="0093403C">
              <w:rPr>
                <w:sz w:val="22"/>
                <w:szCs w:val="22"/>
                <w:lang w:val="sr-Latn-ME"/>
              </w:rPr>
              <w:t xml:space="preserve"> </w:t>
            </w:r>
            <w:proofErr w:type="spellStart"/>
            <w:r w:rsidRPr="0093403C">
              <w:rPr>
                <w:sz w:val="22"/>
                <w:szCs w:val="22"/>
                <w:lang w:val="sr-Latn-ME"/>
              </w:rPr>
              <w:t>MGK</w:t>
            </w:r>
            <w:proofErr w:type="spellEnd"/>
          </w:p>
        </w:tc>
        <w:tc>
          <w:tcPr>
            <w:tcW w:w="1602" w:type="dxa"/>
            <w:shd w:val="clear" w:color="auto" w:fill="auto"/>
          </w:tcPr>
          <w:p w14:paraId="46CE0B21" w14:textId="77777777" w:rsidR="002E634B" w:rsidRPr="0093403C" w:rsidRDefault="002E634B" w:rsidP="007C5B43">
            <w:pPr>
              <w:jc w:val="both"/>
              <w:rPr>
                <w:sz w:val="22"/>
                <w:szCs w:val="22"/>
                <w:lang w:val="sr-Latn-ME"/>
              </w:rPr>
            </w:pPr>
            <w:r w:rsidRPr="0093403C">
              <w:rPr>
                <w:sz w:val="22"/>
                <w:szCs w:val="22"/>
                <w:lang w:val="sr-Latn-ME"/>
              </w:rPr>
              <w:t>1,6 (1,2; 2,0)</w:t>
            </w:r>
          </w:p>
        </w:tc>
        <w:tc>
          <w:tcPr>
            <w:tcW w:w="1757" w:type="dxa"/>
            <w:shd w:val="clear" w:color="auto" w:fill="auto"/>
          </w:tcPr>
          <w:p w14:paraId="698DC581" w14:textId="77777777" w:rsidR="002E634B" w:rsidRPr="0093403C" w:rsidRDefault="002E634B" w:rsidP="007C5B43">
            <w:pPr>
              <w:jc w:val="both"/>
              <w:rPr>
                <w:sz w:val="22"/>
                <w:szCs w:val="22"/>
                <w:lang w:val="sr-Latn-ME"/>
              </w:rPr>
            </w:pPr>
            <w:r w:rsidRPr="0093403C">
              <w:rPr>
                <w:sz w:val="22"/>
                <w:szCs w:val="22"/>
                <w:lang w:val="sr-Latn-ME"/>
              </w:rPr>
              <w:t>2,3 (1,9; 2,7)</w:t>
            </w:r>
          </w:p>
        </w:tc>
        <w:tc>
          <w:tcPr>
            <w:tcW w:w="1447" w:type="dxa"/>
            <w:shd w:val="clear" w:color="auto" w:fill="auto"/>
          </w:tcPr>
          <w:p w14:paraId="7EDEE1DE" w14:textId="77777777" w:rsidR="002E634B" w:rsidRPr="0093403C" w:rsidRDefault="002E634B" w:rsidP="007C5B43">
            <w:pPr>
              <w:jc w:val="both"/>
              <w:rPr>
                <w:sz w:val="22"/>
                <w:szCs w:val="22"/>
                <w:lang w:val="sr-Latn-ME"/>
              </w:rPr>
            </w:pPr>
            <w:r w:rsidRPr="0093403C">
              <w:rPr>
                <w:sz w:val="22"/>
                <w:szCs w:val="22"/>
                <w:lang w:val="sr-Latn-ME"/>
              </w:rPr>
              <w:t>2,2 (1,8; 2,7)</w:t>
            </w:r>
          </w:p>
        </w:tc>
        <w:tc>
          <w:tcPr>
            <w:tcW w:w="1955" w:type="dxa"/>
            <w:shd w:val="clear" w:color="auto" w:fill="auto"/>
          </w:tcPr>
          <w:p w14:paraId="478BF317" w14:textId="77777777" w:rsidR="002E634B" w:rsidRPr="0093403C" w:rsidRDefault="002E634B" w:rsidP="007C5B43">
            <w:pPr>
              <w:jc w:val="both"/>
              <w:rPr>
                <w:sz w:val="22"/>
                <w:szCs w:val="22"/>
                <w:lang w:val="sr-Latn-ME"/>
              </w:rPr>
            </w:pPr>
            <w:r w:rsidRPr="0093403C">
              <w:rPr>
                <w:sz w:val="22"/>
                <w:szCs w:val="22"/>
                <w:lang w:val="sr-Latn-ME"/>
              </w:rPr>
              <w:t>2,8 (2,3; 3,3)</w:t>
            </w:r>
          </w:p>
        </w:tc>
      </w:tr>
      <w:tr w:rsidR="002E634B" w:rsidRPr="0093403C" w14:paraId="771808BE" w14:textId="77777777" w:rsidTr="00BD1DEA">
        <w:tc>
          <w:tcPr>
            <w:tcW w:w="2448" w:type="dxa"/>
            <w:shd w:val="clear" w:color="auto" w:fill="auto"/>
          </w:tcPr>
          <w:p w14:paraId="279C3652" w14:textId="77777777" w:rsidR="002E634B" w:rsidRPr="0093403C" w:rsidRDefault="002E634B" w:rsidP="007C5B43">
            <w:pPr>
              <w:jc w:val="both"/>
              <w:rPr>
                <w:sz w:val="22"/>
                <w:szCs w:val="22"/>
                <w:lang w:val="sr-Latn-ME"/>
              </w:rPr>
            </w:pPr>
            <w:proofErr w:type="spellStart"/>
            <w:r w:rsidRPr="0093403C">
              <w:rPr>
                <w:sz w:val="22"/>
                <w:szCs w:val="22"/>
                <w:lang w:val="sr-Latn-ME"/>
              </w:rPr>
              <w:t>Trohanter</w:t>
            </w:r>
            <w:proofErr w:type="spellEnd"/>
            <w:r w:rsidRPr="0093403C">
              <w:rPr>
                <w:sz w:val="22"/>
                <w:szCs w:val="22"/>
                <w:lang w:val="sr-Latn-ME"/>
              </w:rPr>
              <w:t xml:space="preserve"> </w:t>
            </w:r>
            <w:proofErr w:type="spellStart"/>
            <w:r w:rsidRPr="0093403C">
              <w:rPr>
                <w:sz w:val="22"/>
                <w:szCs w:val="22"/>
                <w:lang w:val="sr-Latn-ME"/>
              </w:rPr>
              <w:t>MGK</w:t>
            </w:r>
            <w:proofErr w:type="spellEnd"/>
          </w:p>
        </w:tc>
        <w:tc>
          <w:tcPr>
            <w:tcW w:w="1602" w:type="dxa"/>
            <w:shd w:val="clear" w:color="auto" w:fill="auto"/>
          </w:tcPr>
          <w:p w14:paraId="2EDCB0B2" w14:textId="77777777" w:rsidR="002E634B" w:rsidRPr="0093403C" w:rsidRDefault="002E634B" w:rsidP="007C5B43">
            <w:pPr>
              <w:jc w:val="both"/>
              <w:rPr>
                <w:sz w:val="22"/>
                <w:szCs w:val="22"/>
                <w:lang w:val="sr-Latn-ME"/>
              </w:rPr>
            </w:pPr>
            <w:r w:rsidRPr="0093403C">
              <w:rPr>
                <w:sz w:val="22"/>
                <w:szCs w:val="22"/>
                <w:lang w:val="sr-Latn-ME"/>
              </w:rPr>
              <w:t>3,0 (2,6; 3,4)</w:t>
            </w:r>
          </w:p>
        </w:tc>
        <w:tc>
          <w:tcPr>
            <w:tcW w:w="1757" w:type="dxa"/>
            <w:shd w:val="clear" w:color="auto" w:fill="auto"/>
          </w:tcPr>
          <w:p w14:paraId="63736C63" w14:textId="77777777" w:rsidR="002E634B" w:rsidRPr="0093403C" w:rsidRDefault="002E634B" w:rsidP="007C5B43">
            <w:pPr>
              <w:jc w:val="both"/>
              <w:rPr>
                <w:sz w:val="22"/>
                <w:szCs w:val="22"/>
                <w:lang w:val="sr-Latn-ME"/>
              </w:rPr>
            </w:pPr>
            <w:r w:rsidRPr="0093403C">
              <w:rPr>
                <w:sz w:val="22"/>
                <w:szCs w:val="22"/>
                <w:lang w:val="sr-Latn-ME"/>
              </w:rPr>
              <w:t>3,8 (3,2; 4,4)</w:t>
            </w:r>
          </w:p>
        </w:tc>
        <w:tc>
          <w:tcPr>
            <w:tcW w:w="1447" w:type="dxa"/>
            <w:shd w:val="clear" w:color="auto" w:fill="auto"/>
          </w:tcPr>
          <w:p w14:paraId="5E11F5FE" w14:textId="77777777" w:rsidR="002E634B" w:rsidRPr="0093403C" w:rsidRDefault="002E634B" w:rsidP="007C5B43">
            <w:pPr>
              <w:jc w:val="both"/>
              <w:rPr>
                <w:sz w:val="22"/>
                <w:szCs w:val="22"/>
                <w:lang w:val="sr-Latn-ME"/>
              </w:rPr>
            </w:pPr>
            <w:r w:rsidRPr="0093403C">
              <w:rPr>
                <w:sz w:val="22"/>
                <w:szCs w:val="22"/>
                <w:lang w:val="sr-Latn-ME"/>
              </w:rPr>
              <w:t>3,5 (3,0; 4,0)</w:t>
            </w:r>
          </w:p>
        </w:tc>
        <w:tc>
          <w:tcPr>
            <w:tcW w:w="1955" w:type="dxa"/>
            <w:shd w:val="clear" w:color="auto" w:fill="auto"/>
          </w:tcPr>
          <w:p w14:paraId="7216FDEB" w14:textId="77777777" w:rsidR="002E634B" w:rsidRPr="0093403C" w:rsidRDefault="002E634B" w:rsidP="007C5B43">
            <w:pPr>
              <w:jc w:val="both"/>
              <w:rPr>
                <w:sz w:val="22"/>
                <w:szCs w:val="22"/>
                <w:lang w:val="sr-Latn-ME"/>
              </w:rPr>
            </w:pPr>
            <w:r w:rsidRPr="0093403C">
              <w:rPr>
                <w:sz w:val="22"/>
                <w:szCs w:val="22"/>
                <w:lang w:val="sr-Latn-ME"/>
              </w:rPr>
              <w:t>4,9 (4,1; 5,7)</w:t>
            </w:r>
          </w:p>
        </w:tc>
      </w:tr>
    </w:tbl>
    <w:p w14:paraId="6DE0CF3E" w14:textId="77777777" w:rsidR="002E634B" w:rsidRPr="0093403C" w:rsidRDefault="002E634B" w:rsidP="007C5B43">
      <w:pPr>
        <w:tabs>
          <w:tab w:val="left" w:pos="540"/>
          <w:tab w:val="left" w:pos="569"/>
        </w:tabs>
        <w:jc w:val="both"/>
        <w:rPr>
          <w:b/>
          <w:bCs/>
          <w:sz w:val="22"/>
          <w:szCs w:val="22"/>
          <w:lang w:val="sr-Latn-ME"/>
        </w:rPr>
      </w:pPr>
    </w:p>
    <w:p w14:paraId="61655429" w14:textId="77777777" w:rsidR="002E634B" w:rsidRPr="0093403C" w:rsidRDefault="002E634B" w:rsidP="007C5B43">
      <w:pPr>
        <w:jc w:val="both"/>
        <w:rPr>
          <w:sz w:val="22"/>
          <w:szCs w:val="22"/>
          <w:lang w:val="sr-Latn-ME"/>
        </w:rPr>
      </w:pPr>
      <w:r w:rsidRPr="0093403C">
        <w:rPr>
          <w:sz w:val="22"/>
          <w:szCs w:val="22"/>
          <w:lang w:val="sr-Latn-ME"/>
        </w:rPr>
        <w:t xml:space="preserve">Štaviše, </w:t>
      </w:r>
      <w:proofErr w:type="spellStart"/>
      <w:r w:rsidRPr="0093403C">
        <w:rPr>
          <w:sz w:val="22"/>
          <w:szCs w:val="22"/>
          <w:lang w:val="sr-Latn-ME"/>
        </w:rPr>
        <w:t>Bonviva</w:t>
      </w:r>
      <w:proofErr w:type="spellEnd"/>
      <w:r w:rsidRPr="0093403C">
        <w:rPr>
          <w:sz w:val="22"/>
          <w:szCs w:val="22"/>
          <w:lang w:val="sr-Latn-ME"/>
        </w:rPr>
        <w:t xml:space="preserve"> injekcije 3,0 mg jednom u tri mjeseca se pokazala superiornijim u odnosu na lijek </w:t>
      </w:r>
      <w:proofErr w:type="spellStart"/>
      <w:r w:rsidRPr="0093403C">
        <w:rPr>
          <w:sz w:val="22"/>
          <w:szCs w:val="22"/>
          <w:lang w:val="sr-Latn-ME"/>
        </w:rPr>
        <w:t>Bonviva</w:t>
      </w:r>
      <w:proofErr w:type="spellEnd"/>
      <w:r w:rsidRPr="0093403C">
        <w:rPr>
          <w:sz w:val="22"/>
          <w:szCs w:val="22"/>
          <w:lang w:val="sr-Latn-ME"/>
        </w:rPr>
        <w:t xml:space="preserve"> 2,5 mg oralno jednom dnevno za povećanje MGK lumbalne kičme u prospektivno planiranoj analizi poslije godinu dana, p&lt;0,001 i poslije dvije godine, p&lt;0,001. </w:t>
      </w:r>
    </w:p>
    <w:p w14:paraId="075AA1FC" w14:textId="77777777" w:rsidR="002E634B" w:rsidRPr="0093403C" w:rsidRDefault="002E634B" w:rsidP="007C5B43">
      <w:pPr>
        <w:jc w:val="both"/>
        <w:rPr>
          <w:sz w:val="22"/>
          <w:szCs w:val="22"/>
          <w:lang w:val="sr-Latn-ME"/>
        </w:rPr>
      </w:pPr>
    </w:p>
    <w:p w14:paraId="3B04E20A" w14:textId="77777777" w:rsidR="002E634B" w:rsidRPr="0093403C" w:rsidRDefault="002E634B" w:rsidP="007C5B43">
      <w:pPr>
        <w:jc w:val="both"/>
        <w:rPr>
          <w:sz w:val="22"/>
          <w:szCs w:val="22"/>
          <w:lang w:val="sr-Latn-ME"/>
        </w:rPr>
      </w:pPr>
      <w:r w:rsidRPr="0093403C">
        <w:rPr>
          <w:sz w:val="22"/>
          <w:szCs w:val="22"/>
          <w:lang w:val="sr-Latn-ME"/>
        </w:rPr>
        <w:t xml:space="preserve">Poslije godinu dana terapije 92,1% </w:t>
      </w:r>
      <w:proofErr w:type="spellStart"/>
      <w:r w:rsidRPr="0093403C">
        <w:rPr>
          <w:sz w:val="22"/>
          <w:szCs w:val="22"/>
          <w:lang w:val="sr-Latn-ME"/>
        </w:rPr>
        <w:t>pacijentkinja</w:t>
      </w:r>
      <w:proofErr w:type="spellEnd"/>
      <w:r w:rsidRPr="0093403C">
        <w:rPr>
          <w:sz w:val="22"/>
          <w:szCs w:val="22"/>
          <w:lang w:val="sr-Latn-ME"/>
        </w:rPr>
        <w:t xml:space="preserve"> koje su primale </w:t>
      </w:r>
      <w:proofErr w:type="spellStart"/>
      <w:r w:rsidRPr="0093403C">
        <w:rPr>
          <w:sz w:val="22"/>
          <w:szCs w:val="22"/>
          <w:lang w:val="sr-Latn-ME"/>
        </w:rPr>
        <w:t>Bonviva</w:t>
      </w:r>
      <w:proofErr w:type="spellEnd"/>
      <w:r w:rsidRPr="0093403C">
        <w:rPr>
          <w:sz w:val="22"/>
          <w:szCs w:val="22"/>
          <w:lang w:val="sr-Latn-ME"/>
        </w:rPr>
        <w:t xml:space="preserve"> injekcije 3,0 mg jednom u tri mjeseca imalo je povećanje MGK lumbalne kičme na nivou </w:t>
      </w:r>
      <w:proofErr w:type="spellStart"/>
      <w:r w:rsidRPr="0093403C">
        <w:rPr>
          <w:sz w:val="22"/>
          <w:szCs w:val="22"/>
          <w:lang w:val="sr-Latn-ME"/>
        </w:rPr>
        <w:t>bazalne</w:t>
      </w:r>
      <w:proofErr w:type="spellEnd"/>
      <w:r w:rsidRPr="0093403C">
        <w:rPr>
          <w:sz w:val="22"/>
          <w:szCs w:val="22"/>
          <w:lang w:val="sr-Latn-ME"/>
        </w:rPr>
        <w:t xml:space="preserve"> linije ili </w:t>
      </w:r>
      <w:proofErr w:type="spellStart"/>
      <w:r w:rsidRPr="0093403C">
        <w:rPr>
          <w:sz w:val="22"/>
          <w:szCs w:val="22"/>
          <w:lang w:val="sr-Latn-ME"/>
        </w:rPr>
        <w:t>preko</w:t>
      </w:r>
      <w:proofErr w:type="spellEnd"/>
      <w:r w:rsidRPr="0093403C">
        <w:rPr>
          <w:sz w:val="22"/>
          <w:szCs w:val="22"/>
          <w:lang w:val="sr-Latn-ME"/>
        </w:rPr>
        <w:t xml:space="preserve"> nje (koje su reagovale), u poređenju sa 84,9% </w:t>
      </w:r>
      <w:proofErr w:type="spellStart"/>
      <w:r w:rsidRPr="0093403C">
        <w:rPr>
          <w:sz w:val="22"/>
          <w:szCs w:val="22"/>
          <w:lang w:val="sr-Latn-ME"/>
        </w:rPr>
        <w:t>pacijentkinja</w:t>
      </w:r>
      <w:proofErr w:type="spellEnd"/>
      <w:r w:rsidRPr="0093403C">
        <w:rPr>
          <w:sz w:val="22"/>
          <w:szCs w:val="22"/>
          <w:lang w:val="sr-Latn-ME"/>
        </w:rPr>
        <w:t xml:space="preserve"> koje su primale lijek </w:t>
      </w:r>
      <w:proofErr w:type="spellStart"/>
      <w:r w:rsidRPr="0093403C">
        <w:rPr>
          <w:sz w:val="22"/>
          <w:szCs w:val="22"/>
          <w:lang w:val="sr-Latn-ME"/>
        </w:rPr>
        <w:t>Bonviva</w:t>
      </w:r>
      <w:proofErr w:type="spellEnd"/>
      <w:r w:rsidRPr="0093403C">
        <w:rPr>
          <w:sz w:val="22"/>
          <w:szCs w:val="22"/>
          <w:lang w:val="sr-Latn-ME"/>
        </w:rPr>
        <w:t xml:space="preserve"> 2,5 mg oralno jednom dnevno (p=0,002). Poslije dvije godine, 92,8% </w:t>
      </w:r>
      <w:proofErr w:type="spellStart"/>
      <w:r w:rsidRPr="0093403C">
        <w:rPr>
          <w:sz w:val="22"/>
          <w:szCs w:val="22"/>
          <w:lang w:val="sr-Latn-ME"/>
        </w:rPr>
        <w:t>pacijentkinja</w:t>
      </w:r>
      <w:proofErr w:type="spellEnd"/>
      <w:r w:rsidRPr="0093403C">
        <w:rPr>
          <w:sz w:val="22"/>
          <w:szCs w:val="22"/>
          <w:lang w:val="sr-Latn-ME"/>
        </w:rPr>
        <w:t xml:space="preserve"> koje su primale </w:t>
      </w:r>
      <w:proofErr w:type="spellStart"/>
      <w:r w:rsidRPr="0093403C">
        <w:rPr>
          <w:sz w:val="22"/>
          <w:szCs w:val="22"/>
          <w:lang w:val="sr-Latn-ME"/>
        </w:rPr>
        <w:t>Bonviva</w:t>
      </w:r>
      <w:proofErr w:type="spellEnd"/>
      <w:r w:rsidRPr="0093403C">
        <w:rPr>
          <w:sz w:val="22"/>
          <w:szCs w:val="22"/>
          <w:lang w:val="sr-Latn-ME"/>
        </w:rPr>
        <w:t xml:space="preserve"> injekcije 3,0 mg jednom u tri mjeseca i 84,7% </w:t>
      </w:r>
      <w:proofErr w:type="spellStart"/>
      <w:r w:rsidRPr="0093403C">
        <w:rPr>
          <w:sz w:val="22"/>
          <w:szCs w:val="22"/>
          <w:lang w:val="sr-Latn-ME"/>
        </w:rPr>
        <w:t>pacijentkinja</w:t>
      </w:r>
      <w:proofErr w:type="spellEnd"/>
      <w:r w:rsidRPr="0093403C">
        <w:rPr>
          <w:sz w:val="22"/>
          <w:szCs w:val="22"/>
          <w:lang w:val="sr-Latn-ME"/>
        </w:rPr>
        <w:t xml:space="preserve"> koje su primale lijek </w:t>
      </w:r>
      <w:proofErr w:type="spellStart"/>
      <w:r w:rsidRPr="0093403C">
        <w:rPr>
          <w:sz w:val="22"/>
          <w:szCs w:val="22"/>
          <w:lang w:val="sr-Latn-ME"/>
        </w:rPr>
        <w:t>Bonviva</w:t>
      </w:r>
      <w:proofErr w:type="spellEnd"/>
      <w:r w:rsidRPr="0093403C">
        <w:rPr>
          <w:sz w:val="22"/>
          <w:szCs w:val="22"/>
          <w:lang w:val="sr-Latn-ME"/>
        </w:rPr>
        <w:t xml:space="preserve"> 2,5 mg oralno jednom dnevno imale su povećani ili održani MGK lumbalne kičme (p=0,001). </w:t>
      </w:r>
    </w:p>
    <w:p w14:paraId="45607AE4" w14:textId="77777777" w:rsidR="002E634B" w:rsidRPr="0093403C" w:rsidRDefault="002E634B" w:rsidP="007C5B43">
      <w:pPr>
        <w:jc w:val="both"/>
        <w:rPr>
          <w:sz w:val="22"/>
          <w:szCs w:val="22"/>
          <w:lang w:val="sr-Latn-ME"/>
        </w:rPr>
      </w:pPr>
    </w:p>
    <w:p w14:paraId="21574DD4" w14:textId="77777777" w:rsidR="002E634B" w:rsidRPr="0093403C" w:rsidRDefault="002E634B" w:rsidP="007C5B43">
      <w:pPr>
        <w:jc w:val="both"/>
        <w:rPr>
          <w:sz w:val="22"/>
          <w:szCs w:val="22"/>
          <w:lang w:val="sr-Latn-ME"/>
        </w:rPr>
      </w:pPr>
      <w:r w:rsidRPr="0093403C">
        <w:rPr>
          <w:sz w:val="22"/>
          <w:szCs w:val="22"/>
          <w:lang w:val="sr-Latn-ME"/>
        </w:rPr>
        <w:t xml:space="preserve">Za MGK cijelog kuka, 82,3% </w:t>
      </w:r>
      <w:proofErr w:type="spellStart"/>
      <w:r w:rsidRPr="0093403C">
        <w:rPr>
          <w:sz w:val="22"/>
          <w:szCs w:val="22"/>
          <w:lang w:val="sr-Latn-ME"/>
        </w:rPr>
        <w:t>pacijentkinja</w:t>
      </w:r>
      <w:proofErr w:type="spellEnd"/>
      <w:r w:rsidRPr="0093403C">
        <w:rPr>
          <w:sz w:val="22"/>
          <w:szCs w:val="22"/>
          <w:lang w:val="sr-Latn-ME"/>
        </w:rPr>
        <w:t xml:space="preserve"> koje su primale </w:t>
      </w:r>
      <w:proofErr w:type="spellStart"/>
      <w:r w:rsidRPr="0093403C">
        <w:rPr>
          <w:sz w:val="22"/>
          <w:szCs w:val="22"/>
          <w:lang w:val="sr-Latn-ME"/>
        </w:rPr>
        <w:t>Bonviva</w:t>
      </w:r>
      <w:proofErr w:type="spellEnd"/>
      <w:r w:rsidRPr="0093403C">
        <w:rPr>
          <w:sz w:val="22"/>
          <w:szCs w:val="22"/>
          <w:lang w:val="sr-Latn-ME"/>
        </w:rPr>
        <w:t xml:space="preserve"> injekcije 3,0 mg jednom u tri mjeseca imalo je povećanje MGK cijelog kuka u odnosu na </w:t>
      </w:r>
      <w:proofErr w:type="spellStart"/>
      <w:r w:rsidRPr="0093403C">
        <w:rPr>
          <w:sz w:val="22"/>
          <w:szCs w:val="22"/>
          <w:lang w:val="sr-Latn-ME"/>
        </w:rPr>
        <w:t>bazalnu</w:t>
      </w:r>
      <w:proofErr w:type="spellEnd"/>
      <w:r w:rsidRPr="0093403C">
        <w:rPr>
          <w:sz w:val="22"/>
          <w:szCs w:val="22"/>
          <w:lang w:val="sr-Latn-ME"/>
        </w:rPr>
        <w:t xml:space="preserve"> vrijednost u poređenju sa 75,1% </w:t>
      </w:r>
      <w:proofErr w:type="spellStart"/>
      <w:r w:rsidRPr="0093403C">
        <w:rPr>
          <w:sz w:val="22"/>
          <w:szCs w:val="22"/>
          <w:lang w:val="sr-Latn-ME"/>
        </w:rPr>
        <w:t>pacijentkinja</w:t>
      </w:r>
      <w:proofErr w:type="spellEnd"/>
      <w:r w:rsidRPr="0093403C">
        <w:rPr>
          <w:sz w:val="22"/>
          <w:szCs w:val="22"/>
          <w:lang w:val="sr-Latn-ME"/>
        </w:rPr>
        <w:t xml:space="preserve"> koje su primale lijek </w:t>
      </w:r>
      <w:proofErr w:type="spellStart"/>
      <w:r w:rsidRPr="0093403C">
        <w:rPr>
          <w:sz w:val="22"/>
          <w:szCs w:val="22"/>
          <w:lang w:val="sr-Latn-ME"/>
        </w:rPr>
        <w:t>Bonviva</w:t>
      </w:r>
      <w:proofErr w:type="spellEnd"/>
      <w:r w:rsidRPr="0093403C">
        <w:rPr>
          <w:sz w:val="22"/>
          <w:szCs w:val="22"/>
          <w:lang w:val="sr-Latn-ME"/>
        </w:rPr>
        <w:t xml:space="preserve"> 2,5 mg oralno jednom dnevno (p=0,02). Poslije dvije godine, 85,6% </w:t>
      </w:r>
      <w:proofErr w:type="spellStart"/>
      <w:r w:rsidRPr="0093403C">
        <w:rPr>
          <w:sz w:val="22"/>
          <w:szCs w:val="22"/>
          <w:lang w:val="sr-Latn-ME"/>
        </w:rPr>
        <w:t>pacijentkinja</w:t>
      </w:r>
      <w:proofErr w:type="spellEnd"/>
      <w:r w:rsidRPr="0093403C">
        <w:rPr>
          <w:sz w:val="22"/>
          <w:szCs w:val="22"/>
          <w:lang w:val="sr-Latn-ME"/>
        </w:rPr>
        <w:t xml:space="preserve"> koje su primale </w:t>
      </w:r>
      <w:proofErr w:type="spellStart"/>
      <w:r w:rsidRPr="0093403C">
        <w:rPr>
          <w:sz w:val="22"/>
          <w:szCs w:val="22"/>
          <w:lang w:val="sr-Latn-ME"/>
        </w:rPr>
        <w:t>Bonviva</w:t>
      </w:r>
      <w:proofErr w:type="spellEnd"/>
      <w:r w:rsidRPr="0093403C">
        <w:rPr>
          <w:sz w:val="22"/>
          <w:szCs w:val="22"/>
          <w:lang w:val="sr-Latn-ME"/>
        </w:rPr>
        <w:t xml:space="preserve"> injekcije 3,0 mg jednom u tri mjeseca i 77,0% </w:t>
      </w:r>
      <w:proofErr w:type="spellStart"/>
      <w:r w:rsidRPr="0093403C">
        <w:rPr>
          <w:sz w:val="22"/>
          <w:szCs w:val="22"/>
          <w:lang w:val="sr-Latn-ME"/>
        </w:rPr>
        <w:t>pacijentkinja</w:t>
      </w:r>
      <w:proofErr w:type="spellEnd"/>
      <w:r w:rsidRPr="0093403C">
        <w:rPr>
          <w:sz w:val="22"/>
          <w:szCs w:val="22"/>
          <w:lang w:val="sr-Latn-ME"/>
        </w:rPr>
        <w:t xml:space="preserve"> koje su primale lijek </w:t>
      </w:r>
      <w:proofErr w:type="spellStart"/>
      <w:r w:rsidRPr="0093403C">
        <w:rPr>
          <w:sz w:val="22"/>
          <w:szCs w:val="22"/>
          <w:lang w:val="sr-Latn-ME"/>
        </w:rPr>
        <w:t>Bonviva</w:t>
      </w:r>
      <w:proofErr w:type="spellEnd"/>
      <w:r w:rsidRPr="0093403C">
        <w:rPr>
          <w:sz w:val="22"/>
          <w:szCs w:val="22"/>
          <w:lang w:val="sr-Latn-ME"/>
        </w:rPr>
        <w:t xml:space="preserve"> 2,5 mg oralno jednom dnevno imale su povećanje </w:t>
      </w:r>
      <w:proofErr w:type="spellStart"/>
      <w:r w:rsidRPr="0093403C">
        <w:rPr>
          <w:sz w:val="22"/>
          <w:szCs w:val="22"/>
          <w:lang w:val="sr-Latn-ME"/>
        </w:rPr>
        <w:t>MGK</w:t>
      </w:r>
      <w:proofErr w:type="spellEnd"/>
      <w:r w:rsidRPr="0093403C">
        <w:rPr>
          <w:sz w:val="22"/>
          <w:szCs w:val="22"/>
          <w:lang w:val="sr-Latn-ME"/>
        </w:rPr>
        <w:t xml:space="preserve"> cijelog kuka </w:t>
      </w:r>
      <w:proofErr w:type="spellStart"/>
      <w:r w:rsidRPr="0093403C">
        <w:rPr>
          <w:sz w:val="22"/>
          <w:szCs w:val="22"/>
          <w:lang w:val="sr-Latn-ME"/>
        </w:rPr>
        <w:t>preko</w:t>
      </w:r>
      <w:proofErr w:type="spellEnd"/>
      <w:r w:rsidRPr="0093403C">
        <w:rPr>
          <w:sz w:val="22"/>
          <w:szCs w:val="22"/>
          <w:lang w:val="sr-Latn-ME"/>
        </w:rPr>
        <w:t xml:space="preserve"> nivoa </w:t>
      </w:r>
      <w:proofErr w:type="spellStart"/>
      <w:r w:rsidRPr="0093403C">
        <w:rPr>
          <w:sz w:val="22"/>
          <w:szCs w:val="22"/>
          <w:lang w:val="sr-Latn-ME"/>
        </w:rPr>
        <w:t>bazalne</w:t>
      </w:r>
      <w:proofErr w:type="spellEnd"/>
      <w:r w:rsidRPr="0093403C">
        <w:rPr>
          <w:sz w:val="22"/>
          <w:szCs w:val="22"/>
          <w:lang w:val="sr-Latn-ME"/>
        </w:rPr>
        <w:t xml:space="preserve"> vrijednosti ili na tom nivou (p=0,004).</w:t>
      </w:r>
    </w:p>
    <w:p w14:paraId="2D517F0E" w14:textId="77777777" w:rsidR="002E634B" w:rsidRPr="0093403C" w:rsidRDefault="002E634B" w:rsidP="007C5B43">
      <w:pPr>
        <w:jc w:val="both"/>
        <w:rPr>
          <w:sz w:val="22"/>
          <w:szCs w:val="22"/>
          <w:lang w:val="sr-Latn-ME"/>
        </w:rPr>
      </w:pPr>
    </w:p>
    <w:p w14:paraId="2A84090A" w14:textId="77777777" w:rsidR="002E634B" w:rsidRPr="0093403C" w:rsidRDefault="002E634B" w:rsidP="007C5B43">
      <w:pPr>
        <w:jc w:val="both"/>
        <w:rPr>
          <w:sz w:val="22"/>
          <w:szCs w:val="22"/>
          <w:lang w:val="sr-Latn-ME"/>
        </w:rPr>
      </w:pPr>
      <w:r w:rsidRPr="0093403C">
        <w:rPr>
          <w:sz w:val="22"/>
          <w:szCs w:val="22"/>
          <w:lang w:val="sr-Latn-ME"/>
        </w:rPr>
        <w:lastRenderedPageBreak/>
        <w:t xml:space="preserve">Kada su korišćeni kriterijumi koji su kombinovali MGK lumbalne kičme i cijelog kuka, poslije godinu dana reagovalo je 76,2 </w:t>
      </w:r>
      <w:proofErr w:type="spellStart"/>
      <w:r w:rsidRPr="0093403C">
        <w:rPr>
          <w:sz w:val="22"/>
          <w:szCs w:val="22"/>
          <w:lang w:val="sr-Latn-ME"/>
        </w:rPr>
        <w:t>pacijentkinja</w:t>
      </w:r>
      <w:proofErr w:type="spellEnd"/>
      <w:r w:rsidRPr="0093403C">
        <w:rPr>
          <w:sz w:val="22"/>
          <w:szCs w:val="22"/>
          <w:lang w:val="sr-Latn-ME"/>
        </w:rPr>
        <w:t xml:space="preserve"> koje su primale </w:t>
      </w:r>
      <w:proofErr w:type="spellStart"/>
      <w:r w:rsidRPr="0093403C">
        <w:rPr>
          <w:sz w:val="22"/>
          <w:szCs w:val="22"/>
          <w:lang w:val="sr-Latn-ME"/>
        </w:rPr>
        <w:t>Bonviva</w:t>
      </w:r>
      <w:proofErr w:type="spellEnd"/>
      <w:r w:rsidRPr="0093403C">
        <w:rPr>
          <w:sz w:val="22"/>
          <w:szCs w:val="22"/>
          <w:lang w:val="sr-Latn-ME"/>
        </w:rPr>
        <w:t xml:space="preserve"> injekcije 3,0 mg jednom u tri mjeseca odnosno 67,2% onih koje su primale lijek  </w:t>
      </w:r>
      <w:proofErr w:type="spellStart"/>
      <w:r w:rsidRPr="0093403C">
        <w:rPr>
          <w:sz w:val="22"/>
          <w:szCs w:val="22"/>
          <w:lang w:val="sr-Latn-ME"/>
        </w:rPr>
        <w:t>Bonviva</w:t>
      </w:r>
      <w:proofErr w:type="spellEnd"/>
      <w:r w:rsidRPr="0093403C">
        <w:rPr>
          <w:sz w:val="22"/>
          <w:szCs w:val="22"/>
          <w:lang w:val="sr-Latn-ME"/>
        </w:rPr>
        <w:t xml:space="preserve"> 2,5 mg oralno jednom dnevno (p=0,007). Poslije dvije godine, ovaj kriterijum je zadovoljilo 80,1% </w:t>
      </w:r>
      <w:proofErr w:type="spellStart"/>
      <w:r w:rsidRPr="0093403C">
        <w:rPr>
          <w:sz w:val="22"/>
          <w:szCs w:val="22"/>
          <w:lang w:val="sr-Latn-ME"/>
        </w:rPr>
        <w:t>pacijentkinja</w:t>
      </w:r>
      <w:proofErr w:type="spellEnd"/>
      <w:r w:rsidRPr="0093403C">
        <w:rPr>
          <w:sz w:val="22"/>
          <w:szCs w:val="22"/>
          <w:lang w:val="sr-Latn-ME"/>
        </w:rPr>
        <w:t xml:space="preserve"> koje su primale </w:t>
      </w:r>
      <w:proofErr w:type="spellStart"/>
      <w:r w:rsidRPr="0093403C">
        <w:rPr>
          <w:sz w:val="22"/>
          <w:szCs w:val="22"/>
          <w:lang w:val="sr-Latn-ME"/>
        </w:rPr>
        <w:t>Bonviva</w:t>
      </w:r>
      <w:proofErr w:type="spellEnd"/>
      <w:r w:rsidRPr="0093403C">
        <w:rPr>
          <w:sz w:val="22"/>
          <w:szCs w:val="22"/>
          <w:lang w:val="sr-Latn-ME"/>
        </w:rPr>
        <w:t xml:space="preserve"> injekcije 3,0 mg jednom u tri mjeseca i 68,8% </w:t>
      </w:r>
      <w:proofErr w:type="spellStart"/>
      <w:r w:rsidRPr="0093403C">
        <w:rPr>
          <w:sz w:val="22"/>
          <w:szCs w:val="22"/>
          <w:lang w:val="sr-Latn-ME"/>
        </w:rPr>
        <w:t>pacijentkinja</w:t>
      </w:r>
      <w:proofErr w:type="spellEnd"/>
      <w:r w:rsidRPr="0093403C">
        <w:rPr>
          <w:sz w:val="22"/>
          <w:szCs w:val="22"/>
          <w:lang w:val="sr-Latn-ME"/>
        </w:rPr>
        <w:t xml:space="preserve"> koje su primale lijek </w:t>
      </w:r>
      <w:proofErr w:type="spellStart"/>
      <w:r w:rsidRPr="0093403C">
        <w:rPr>
          <w:sz w:val="22"/>
          <w:szCs w:val="22"/>
          <w:lang w:val="sr-Latn-ME"/>
        </w:rPr>
        <w:t>Bonviva</w:t>
      </w:r>
      <w:proofErr w:type="spellEnd"/>
      <w:r w:rsidRPr="0093403C">
        <w:rPr>
          <w:sz w:val="22"/>
          <w:szCs w:val="22"/>
          <w:lang w:val="sr-Latn-ME"/>
        </w:rPr>
        <w:t xml:space="preserve"> 2,5 mg oralno jednom dnevno (p=0,001).</w:t>
      </w:r>
    </w:p>
    <w:p w14:paraId="265B8D04" w14:textId="77777777" w:rsidR="002E634B" w:rsidRPr="0093403C" w:rsidRDefault="002E634B" w:rsidP="007C5B43">
      <w:pPr>
        <w:jc w:val="both"/>
        <w:rPr>
          <w:sz w:val="22"/>
          <w:szCs w:val="22"/>
          <w:lang w:val="sr-Latn-ME"/>
        </w:rPr>
      </w:pPr>
    </w:p>
    <w:p w14:paraId="213D97C4" w14:textId="77777777" w:rsidR="002E634B" w:rsidRPr="0093403C" w:rsidRDefault="002E634B" w:rsidP="007C5B43">
      <w:pPr>
        <w:jc w:val="both"/>
        <w:rPr>
          <w:sz w:val="22"/>
          <w:szCs w:val="22"/>
          <w:u w:val="single"/>
          <w:lang w:val="sr-Latn-ME"/>
        </w:rPr>
      </w:pPr>
      <w:r w:rsidRPr="0093403C">
        <w:rPr>
          <w:sz w:val="22"/>
          <w:szCs w:val="22"/>
          <w:u w:val="single"/>
          <w:lang w:val="sr-Latn-ME"/>
        </w:rPr>
        <w:t>Biohemijski markeri koštanog obrta</w:t>
      </w:r>
    </w:p>
    <w:p w14:paraId="52F3EE5A" w14:textId="77777777" w:rsidR="002E634B" w:rsidRPr="0093403C" w:rsidRDefault="002E634B" w:rsidP="007C5B43">
      <w:pPr>
        <w:jc w:val="both"/>
        <w:rPr>
          <w:sz w:val="22"/>
          <w:szCs w:val="22"/>
          <w:lang w:val="sr-Latn-ME"/>
        </w:rPr>
      </w:pPr>
    </w:p>
    <w:p w14:paraId="730BDCB7" w14:textId="77777777" w:rsidR="002E634B" w:rsidRPr="0093403C" w:rsidRDefault="002E634B" w:rsidP="007C5B43">
      <w:pPr>
        <w:jc w:val="both"/>
        <w:rPr>
          <w:sz w:val="22"/>
          <w:szCs w:val="22"/>
          <w:lang w:val="sr-Latn-ME"/>
        </w:rPr>
      </w:pPr>
      <w:r w:rsidRPr="0093403C">
        <w:rPr>
          <w:sz w:val="22"/>
          <w:szCs w:val="22"/>
          <w:lang w:val="sr-Latn-ME"/>
        </w:rPr>
        <w:t xml:space="preserve">Klinički relevantno smanjenje nivoa CTX u serumu zabilježeno je u svim vremenskim tačkama u kojima je mjereno. Poslije godinu dana srednja relativna promjena od </w:t>
      </w:r>
      <w:proofErr w:type="spellStart"/>
      <w:r w:rsidRPr="0093403C">
        <w:rPr>
          <w:sz w:val="22"/>
          <w:szCs w:val="22"/>
          <w:lang w:val="sr-Latn-ME"/>
        </w:rPr>
        <w:t>bazalne</w:t>
      </w:r>
      <w:proofErr w:type="spellEnd"/>
      <w:r w:rsidRPr="0093403C">
        <w:rPr>
          <w:sz w:val="22"/>
          <w:szCs w:val="22"/>
          <w:lang w:val="sr-Latn-ME"/>
        </w:rPr>
        <w:t xml:space="preserve"> vrijednosti iznosila je -58,6% za </w:t>
      </w:r>
      <w:proofErr w:type="spellStart"/>
      <w:r w:rsidRPr="0093403C">
        <w:rPr>
          <w:sz w:val="22"/>
          <w:szCs w:val="22"/>
          <w:lang w:val="sr-Latn-ME"/>
        </w:rPr>
        <w:t>Bonviva</w:t>
      </w:r>
      <w:proofErr w:type="spellEnd"/>
      <w:r w:rsidRPr="0093403C">
        <w:rPr>
          <w:sz w:val="22"/>
          <w:szCs w:val="22"/>
          <w:lang w:val="sr-Latn-ME"/>
        </w:rPr>
        <w:t xml:space="preserve"> </w:t>
      </w:r>
      <w:proofErr w:type="spellStart"/>
      <w:r w:rsidRPr="0093403C">
        <w:rPr>
          <w:sz w:val="22"/>
          <w:szCs w:val="22"/>
          <w:lang w:val="sr-Latn-ME"/>
        </w:rPr>
        <w:t>intravenske</w:t>
      </w:r>
      <w:proofErr w:type="spellEnd"/>
      <w:r w:rsidRPr="0093403C">
        <w:rPr>
          <w:sz w:val="22"/>
          <w:szCs w:val="22"/>
          <w:lang w:val="sr-Latn-ME"/>
        </w:rPr>
        <w:t xml:space="preserve"> injekcije 3,0 mg jednom u tri mjeseca i -62,6% za lijek </w:t>
      </w:r>
      <w:proofErr w:type="spellStart"/>
      <w:r w:rsidRPr="0093403C">
        <w:rPr>
          <w:sz w:val="22"/>
          <w:szCs w:val="22"/>
          <w:lang w:val="sr-Latn-ME"/>
        </w:rPr>
        <w:t>Bonviva</w:t>
      </w:r>
      <w:proofErr w:type="spellEnd"/>
      <w:r w:rsidRPr="0093403C">
        <w:rPr>
          <w:sz w:val="22"/>
          <w:szCs w:val="22"/>
          <w:lang w:val="sr-Latn-ME"/>
        </w:rPr>
        <w:t xml:space="preserve"> 2,5 mg oralno jednom dnevno. Uz to, 64,8% </w:t>
      </w:r>
      <w:proofErr w:type="spellStart"/>
      <w:r w:rsidRPr="0093403C">
        <w:rPr>
          <w:sz w:val="22"/>
          <w:szCs w:val="22"/>
          <w:lang w:val="sr-Latn-ME"/>
        </w:rPr>
        <w:t>pacijentkinja</w:t>
      </w:r>
      <w:proofErr w:type="spellEnd"/>
      <w:r w:rsidRPr="0093403C">
        <w:rPr>
          <w:sz w:val="22"/>
          <w:szCs w:val="22"/>
          <w:lang w:val="sr-Latn-ME"/>
        </w:rPr>
        <w:t xml:space="preserve"> koje su primale </w:t>
      </w:r>
      <w:proofErr w:type="spellStart"/>
      <w:r w:rsidRPr="0093403C">
        <w:rPr>
          <w:sz w:val="22"/>
          <w:szCs w:val="22"/>
          <w:lang w:val="sr-Latn-ME"/>
        </w:rPr>
        <w:t>Bonviva</w:t>
      </w:r>
      <w:proofErr w:type="spellEnd"/>
      <w:r w:rsidRPr="0093403C">
        <w:rPr>
          <w:sz w:val="22"/>
          <w:szCs w:val="22"/>
          <w:lang w:val="sr-Latn-ME"/>
        </w:rPr>
        <w:t xml:space="preserve"> injekcije 3,0 mg jednom u tri mjeseca identifikovane su kao </w:t>
      </w:r>
      <w:proofErr w:type="spellStart"/>
      <w:r w:rsidRPr="0093403C">
        <w:rPr>
          <w:sz w:val="22"/>
          <w:szCs w:val="22"/>
          <w:lang w:val="sr-Latn-ME"/>
        </w:rPr>
        <w:t>responderi</w:t>
      </w:r>
      <w:proofErr w:type="spellEnd"/>
      <w:r w:rsidRPr="0093403C">
        <w:rPr>
          <w:sz w:val="22"/>
          <w:szCs w:val="22"/>
          <w:lang w:val="sr-Latn-ME"/>
        </w:rPr>
        <w:t xml:space="preserve"> (odnosno reaguju na terapiju, što je definisano kao smanjenje od ≥ 50% u odnosu na vrijednost prije početka terapije) u poređenju sa 64,9%% </w:t>
      </w:r>
      <w:proofErr w:type="spellStart"/>
      <w:r w:rsidRPr="0093403C">
        <w:rPr>
          <w:sz w:val="22"/>
          <w:szCs w:val="22"/>
          <w:lang w:val="sr-Latn-ME"/>
        </w:rPr>
        <w:t>pacijentkinja</w:t>
      </w:r>
      <w:proofErr w:type="spellEnd"/>
      <w:r w:rsidRPr="0093403C">
        <w:rPr>
          <w:sz w:val="22"/>
          <w:szCs w:val="22"/>
          <w:lang w:val="sr-Latn-ME"/>
        </w:rPr>
        <w:t xml:space="preserve"> koje su primale lijek </w:t>
      </w:r>
      <w:proofErr w:type="spellStart"/>
      <w:r w:rsidRPr="0093403C">
        <w:rPr>
          <w:sz w:val="22"/>
          <w:szCs w:val="22"/>
          <w:lang w:val="sr-Latn-ME"/>
        </w:rPr>
        <w:t>Bonviva</w:t>
      </w:r>
      <w:proofErr w:type="spellEnd"/>
      <w:r w:rsidRPr="0093403C">
        <w:rPr>
          <w:sz w:val="22"/>
          <w:szCs w:val="22"/>
          <w:lang w:val="sr-Latn-ME"/>
        </w:rPr>
        <w:t xml:space="preserve"> 2,5 mg oralno jednom dnevno. Ovo smanjenje CTX u serumu održano je tokom 2 godine, a više od polovine </w:t>
      </w:r>
      <w:proofErr w:type="spellStart"/>
      <w:r w:rsidRPr="0093403C">
        <w:rPr>
          <w:sz w:val="22"/>
          <w:szCs w:val="22"/>
          <w:lang w:val="sr-Latn-ME"/>
        </w:rPr>
        <w:t>pacijentkinja</w:t>
      </w:r>
      <w:proofErr w:type="spellEnd"/>
      <w:r w:rsidRPr="0093403C">
        <w:rPr>
          <w:sz w:val="22"/>
          <w:szCs w:val="22"/>
          <w:lang w:val="sr-Latn-ME"/>
        </w:rPr>
        <w:t xml:space="preserve"> su bile </w:t>
      </w:r>
      <w:proofErr w:type="spellStart"/>
      <w:r w:rsidRPr="0093403C">
        <w:rPr>
          <w:sz w:val="22"/>
          <w:szCs w:val="22"/>
          <w:lang w:val="sr-Latn-ME"/>
        </w:rPr>
        <w:t>responderi</w:t>
      </w:r>
      <w:proofErr w:type="spellEnd"/>
      <w:r w:rsidRPr="0093403C">
        <w:rPr>
          <w:sz w:val="22"/>
          <w:szCs w:val="22"/>
          <w:lang w:val="sr-Latn-ME"/>
        </w:rPr>
        <w:t xml:space="preserve"> u obije terapijske grupe. </w:t>
      </w:r>
    </w:p>
    <w:p w14:paraId="291F5982" w14:textId="77777777" w:rsidR="002E634B" w:rsidRPr="0093403C" w:rsidRDefault="002E634B" w:rsidP="007C5B43">
      <w:pPr>
        <w:jc w:val="both"/>
        <w:rPr>
          <w:sz w:val="22"/>
          <w:szCs w:val="22"/>
          <w:lang w:val="sr-Latn-ME"/>
        </w:rPr>
      </w:pPr>
    </w:p>
    <w:p w14:paraId="32B9A1F9" w14:textId="77777777" w:rsidR="002E634B" w:rsidRPr="0093403C" w:rsidRDefault="002E634B" w:rsidP="007C5B43">
      <w:pPr>
        <w:jc w:val="both"/>
        <w:rPr>
          <w:sz w:val="22"/>
          <w:szCs w:val="22"/>
          <w:lang w:val="sr-Latn-ME"/>
        </w:rPr>
      </w:pPr>
      <w:r w:rsidRPr="0093403C">
        <w:rPr>
          <w:sz w:val="22"/>
          <w:szCs w:val="22"/>
          <w:lang w:val="sr-Latn-ME"/>
        </w:rPr>
        <w:t xml:space="preserve">Na osnovu rezultata Studije MB 16550, očekuje se da </w:t>
      </w:r>
      <w:proofErr w:type="spellStart"/>
      <w:r w:rsidRPr="0093403C">
        <w:rPr>
          <w:sz w:val="22"/>
          <w:szCs w:val="22"/>
          <w:lang w:val="sr-Latn-ME"/>
        </w:rPr>
        <w:t>Bonviva</w:t>
      </w:r>
      <w:proofErr w:type="spellEnd"/>
      <w:r w:rsidRPr="0093403C">
        <w:rPr>
          <w:sz w:val="22"/>
          <w:szCs w:val="22"/>
          <w:lang w:val="sr-Latn-ME"/>
        </w:rPr>
        <w:t xml:space="preserve"> injekcije 3,0 mg jednom u tri mjeseca budu efikasne za sprječavanje </w:t>
      </w:r>
      <w:proofErr w:type="spellStart"/>
      <w:r w:rsidRPr="0093403C">
        <w:rPr>
          <w:sz w:val="22"/>
          <w:szCs w:val="22"/>
          <w:lang w:val="sr-Latn-ME"/>
        </w:rPr>
        <w:t>preloma</w:t>
      </w:r>
      <w:proofErr w:type="spellEnd"/>
      <w:r w:rsidRPr="0093403C">
        <w:rPr>
          <w:sz w:val="22"/>
          <w:szCs w:val="22"/>
          <w:lang w:val="sr-Latn-ME"/>
        </w:rPr>
        <w:t xml:space="preserve"> najmanje kao lijek </w:t>
      </w:r>
      <w:proofErr w:type="spellStart"/>
      <w:r w:rsidRPr="0093403C">
        <w:rPr>
          <w:sz w:val="22"/>
          <w:szCs w:val="22"/>
          <w:lang w:val="sr-Latn-ME"/>
        </w:rPr>
        <w:t>Bonviva</w:t>
      </w:r>
      <w:proofErr w:type="spellEnd"/>
      <w:r w:rsidRPr="0093403C">
        <w:rPr>
          <w:sz w:val="22"/>
          <w:szCs w:val="22"/>
          <w:lang w:val="sr-Latn-ME"/>
        </w:rPr>
        <w:t xml:space="preserve"> 2,5 mg jednom dnevno oralno. </w:t>
      </w:r>
    </w:p>
    <w:p w14:paraId="1687ADD1" w14:textId="77777777" w:rsidR="002E634B" w:rsidRPr="0093403C" w:rsidRDefault="002E634B" w:rsidP="007C5B43">
      <w:pPr>
        <w:jc w:val="both"/>
        <w:rPr>
          <w:sz w:val="22"/>
          <w:szCs w:val="22"/>
          <w:lang w:val="sr-Latn-ME"/>
        </w:rPr>
      </w:pPr>
    </w:p>
    <w:p w14:paraId="6E23F507" w14:textId="77777777" w:rsidR="002E634B" w:rsidRPr="0093403C" w:rsidRDefault="002E634B" w:rsidP="007C5B43">
      <w:pPr>
        <w:jc w:val="both"/>
        <w:rPr>
          <w:b/>
          <w:sz w:val="22"/>
          <w:szCs w:val="22"/>
          <w:u w:val="single"/>
          <w:lang w:val="sr-Latn-ME"/>
        </w:rPr>
      </w:pPr>
      <w:proofErr w:type="spellStart"/>
      <w:r w:rsidRPr="0093403C">
        <w:rPr>
          <w:b/>
          <w:sz w:val="22"/>
          <w:szCs w:val="22"/>
          <w:u w:val="single"/>
          <w:lang w:val="sr-Latn-ME"/>
        </w:rPr>
        <w:t>Bonviva</w:t>
      </w:r>
      <w:proofErr w:type="spellEnd"/>
      <w:r w:rsidRPr="0093403C">
        <w:rPr>
          <w:b/>
          <w:sz w:val="22"/>
          <w:szCs w:val="22"/>
          <w:u w:val="single"/>
          <w:lang w:val="sr-Latn-ME"/>
        </w:rPr>
        <w:t xml:space="preserve"> tablete od 2,5 mg jednom dnevno</w:t>
      </w:r>
    </w:p>
    <w:p w14:paraId="747C0008" w14:textId="77777777" w:rsidR="002E634B" w:rsidRPr="0093403C" w:rsidRDefault="002E634B" w:rsidP="007C5B43">
      <w:pPr>
        <w:jc w:val="both"/>
        <w:rPr>
          <w:b/>
          <w:sz w:val="22"/>
          <w:szCs w:val="22"/>
          <w:u w:val="single"/>
          <w:lang w:val="sr-Latn-ME"/>
        </w:rPr>
      </w:pPr>
    </w:p>
    <w:p w14:paraId="541A21B9" w14:textId="77777777" w:rsidR="002E634B" w:rsidRPr="0093403C" w:rsidRDefault="002E634B" w:rsidP="007C5B43">
      <w:pPr>
        <w:jc w:val="both"/>
        <w:rPr>
          <w:sz w:val="22"/>
          <w:szCs w:val="22"/>
          <w:lang w:val="sr-Latn-ME"/>
        </w:rPr>
      </w:pPr>
      <w:r w:rsidRPr="0093403C">
        <w:rPr>
          <w:sz w:val="22"/>
          <w:szCs w:val="22"/>
          <w:lang w:val="sr-Latn-ME"/>
        </w:rPr>
        <w:t xml:space="preserve">U inicijalnoj trogodišnjoj, </w:t>
      </w:r>
      <w:proofErr w:type="spellStart"/>
      <w:r w:rsidRPr="0093403C">
        <w:rPr>
          <w:sz w:val="22"/>
          <w:szCs w:val="22"/>
          <w:lang w:val="sr-Latn-ME"/>
        </w:rPr>
        <w:t>randomizovanoj</w:t>
      </w:r>
      <w:proofErr w:type="spellEnd"/>
      <w:r w:rsidRPr="0093403C">
        <w:rPr>
          <w:sz w:val="22"/>
          <w:szCs w:val="22"/>
          <w:lang w:val="sr-Latn-ME"/>
        </w:rPr>
        <w:t xml:space="preserve">, dvostruko slijepoj, </w:t>
      </w:r>
      <w:proofErr w:type="spellStart"/>
      <w:r w:rsidRPr="0093403C">
        <w:rPr>
          <w:sz w:val="22"/>
          <w:szCs w:val="22"/>
          <w:lang w:val="sr-Latn-ME"/>
        </w:rPr>
        <w:t>placebom</w:t>
      </w:r>
      <w:proofErr w:type="spellEnd"/>
      <w:r w:rsidRPr="0093403C">
        <w:rPr>
          <w:sz w:val="22"/>
          <w:szCs w:val="22"/>
          <w:lang w:val="sr-Latn-ME"/>
        </w:rPr>
        <w:t xml:space="preserve">-kontrolisanoj studiji </w:t>
      </w:r>
      <w:proofErr w:type="spellStart"/>
      <w:r w:rsidRPr="0093403C">
        <w:rPr>
          <w:sz w:val="22"/>
          <w:szCs w:val="22"/>
          <w:lang w:val="sr-Latn-ME"/>
        </w:rPr>
        <w:t>preloma</w:t>
      </w:r>
      <w:proofErr w:type="spellEnd"/>
      <w:r w:rsidRPr="0093403C">
        <w:rPr>
          <w:sz w:val="22"/>
          <w:szCs w:val="22"/>
          <w:lang w:val="sr-Latn-ME"/>
        </w:rPr>
        <w:t xml:space="preserve"> (</w:t>
      </w:r>
      <w:proofErr w:type="spellStart"/>
      <w:r w:rsidRPr="0093403C">
        <w:rPr>
          <w:sz w:val="22"/>
          <w:szCs w:val="22"/>
          <w:lang w:val="sr-Latn-ME"/>
        </w:rPr>
        <w:t>MF4411</w:t>
      </w:r>
      <w:proofErr w:type="spellEnd"/>
      <w:r w:rsidRPr="0093403C">
        <w:rPr>
          <w:sz w:val="22"/>
          <w:szCs w:val="22"/>
          <w:lang w:val="sr-Latn-ME"/>
        </w:rPr>
        <w:t xml:space="preserve">) pokazano je statistički signifikantno i medicinski relevantno smanjenje </w:t>
      </w:r>
      <w:proofErr w:type="spellStart"/>
      <w:r w:rsidRPr="0093403C">
        <w:rPr>
          <w:sz w:val="22"/>
          <w:szCs w:val="22"/>
          <w:lang w:val="sr-Latn-ME"/>
        </w:rPr>
        <w:t>incidencije</w:t>
      </w:r>
      <w:proofErr w:type="spellEnd"/>
      <w:r w:rsidRPr="0093403C">
        <w:rPr>
          <w:sz w:val="22"/>
          <w:szCs w:val="22"/>
          <w:lang w:val="sr-Latn-ME"/>
        </w:rPr>
        <w:t xml:space="preserve"> novih </w:t>
      </w:r>
      <w:proofErr w:type="spellStart"/>
      <w:r w:rsidRPr="0093403C">
        <w:rPr>
          <w:sz w:val="22"/>
          <w:szCs w:val="22"/>
          <w:lang w:val="sr-Latn-ME"/>
        </w:rPr>
        <w:t>radiografskih</w:t>
      </w:r>
      <w:proofErr w:type="spellEnd"/>
      <w:r w:rsidRPr="0093403C">
        <w:rPr>
          <w:sz w:val="22"/>
          <w:szCs w:val="22"/>
          <w:lang w:val="sr-Latn-ME"/>
        </w:rPr>
        <w:t xml:space="preserve"> </w:t>
      </w:r>
      <w:proofErr w:type="spellStart"/>
      <w:r w:rsidRPr="0093403C">
        <w:rPr>
          <w:sz w:val="22"/>
          <w:szCs w:val="22"/>
          <w:lang w:val="sr-Latn-ME"/>
        </w:rPr>
        <w:t>morfometrijskih</w:t>
      </w:r>
      <w:proofErr w:type="spellEnd"/>
      <w:r w:rsidRPr="0093403C">
        <w:rPr>
          <w:sz w:val="22"/>
          <w:szCs w:val="22"/>
          <w:lang w:val="sr-Latn-ME"/>
        </w:rPr>
        <w:t xml:space="preserve"> i kliničkih fraktura kičmenih pršljenova (Tabela 3). U ovoj studiji lijek </w:t>
      </w:r>
      <w:proofErr w:type="spellStart"/>
      <w:r w:rsidRPr="0093403C">
        <w:rPr>
          <w:sz w:val="22"/>
          <w:szCs w:val="22"/>
          <w:lang w:val="sr-Latn-ME"/>
        </w:rPr>
        <w:t>Bonviva</w:t>
      </w:r>
      <w:proofErr w:type="spellEnd"/>
      <w:r w:rsidRPr="0093403C">
        <w:rPr>
          <w:sz w:val="22"/>
          <w:szCs w:val="22"/>
          <w:lang w:val="sr-Latn-ME"/>
        </w:rPr>
        <w:t xml:space="preserve"> je ispitivan u oralnim dozama od 2,5 mg jednom dnevno i 20 mg periodično kao </w:t>
      </w:r>
      <w:proofErr w:type="spellStart"/>
      <w:r w:rsidRPr="0093403C">
        <w:rPr>
          <w:sz w:val="22"/>
          <w:szCs w:val="22"/>
          <w:lang w:val="sr-Latn-ME"/>
        </w:rPr>
        <w:t>eksploratorni</w:t>
      </w:r>
      <w:proofErr w:type="spellEnd"/>
      <w:r w:rsidRPr="0093403C">
        <w:rPr>
          <w:sz w:val="22"/>
          <w:szCs w:val="22"/>
          <w:lang w:val="sr-Latn-ME"/>
        </w:rPr>
        <w:t xml:space="preserve"> </w:t>
      </w:r>
      <w:proofErr w:type="spellStart"/>
      <w:r w:rsidRPr="0093403C">
        <w:rPr>
          <w:sz w:val="22"/>
          <w:szCs w:val="22"/>
          <w:lang w:val="sr-Latn-ME"/>
        </w:rPr>
        <w:t>dozni</w:t>
      </w:r>
      <w:proofErr w:type="spellEnd"/>
      <w:r w:rsidRPr="0093403C">
        <w:rPr>
          <w:sz w:val="22"/>
          <w:szCs w:val="22"/>
          <w:lang w:val="sr-Latn-ME"/>
        </w:rPr>
        <w:t xml:space="preserve"> režim. </w:t>
      </w:r>
      <w:proofErr w:type="spellStart"/>
      <w:r w:rsidRPr="0093403C">
        <w:rPr>
          <w:sz w:val="22"/>
          <w:szCs w:val="22"/>
          <w:lang w:val="sr-Latn-ME"/>
        </w:rPr>
        <w:t>Bonviva</w:t>
      </w:r>
      <w:proofErr w:type="spellEnd"/>
      <w:r w:rsidRPr="0093403C">
        <w:rPr>
          <w:sz w:val="22"/>
          <w:szCs w:val="22"/>
          <w:lang w:val="sr-Latn-ME"/>
        </w:rPr>
        <w:t xml:space="preserve"> je uzimana 60 minuta prije prvog unošenja hrane ili pića za taj dan (period gladovanja poslije uzimanja doze). U ovu studiju su uključene žene starosti 55 do 80 godina koje su u menopauzu ušle najmanje 5 godina ranije, koje su imale MGK lumbalne kičme 2-5 SD ispod nivoa srednje vrijednosti prije menopauze (T skor) u najmanje jednom pršljenu (L1-L4) i koje su imale najmanje jednu do četiri </w:t>
      </w:r>
      <w:proofErr w:type="spellStart"/>
      <w:r w:rsidRPr="0093403C">
        <w:rPr>
          <w:sz w:val="22"/>
          <w:szCs w:val="22"/>
          <w:lang w:val="sr-Latn-ME"/>
        </w:rPr>
        <w:t>prevalentne</w:t>
      </w:r>
      <w:proofErr w:type="spellEnd"/>
      <w:r w:rsidRPr="0093403C">
        <w:rPr>
          <w:sz w:val="22"/>
          <w:szCs w:val="22"/>
          <w:lang w:val="sr-Latn-ME"/>
        </w:rPr>
        <w:t xml:space="preserve"> </w:t>
      </w:r>
      <w:proofErr w:type="spellStart"/>
      <w:r w:rsidRPr="0093403C">
        <w:rPr>
          <w:sz w:val="22"/>
          <w:szCs w:val="22"/>
          <w:lang w:val="sr-Latn-ME"/>
        </w:rPr>
        <w:t>vertebralne</w:t>
      </w:r>
      <w:proofErr w:type="spellEnd"/>
      <w:r w:rsidRPr="0093403C">
        <w:rPr>
          <w:sz w:val="22"/>
          <w:szCs w:val="22"/>
          <w:lang w:val="sr-Latn-ME"/>
        </w:rPr>
        <w:t xml:space="preserve"> frakture. Sve </w:t>
      </w:r>
      <w:proofErr w:type="spellStart"/>
      <w:r w:rsidRPr="0093403C">
        <w:rPr>
          <w:sz w:val="22"/>
          <w:szCs w:val="22"/>
          <w:lang w:val="sr-Latn-ME"/>
        </w:rPr>
        <w:t>pacijentkinje</w:t>
      </w:r>
      <w:proofErr w:type="spellEnd"/>
      <w:r w:rsidRPr="0093403C">
        <w:rPr>
          <w:sz w:val="22"/>
          <w:szCs w:val="22"/>
          <w:lang w:val="sr-Latn-ME"/>
        </w:rPr>
        <w:t xml:space="preserve"> su primale 500 mg kalcijuma i 400 IJ vitamina D dnevno. Efikasnost je ispitivana kod 2928 </w:t>
      </w:r>
      <w:proofErr w:type="spellStart"/>
      <w:r w:rsidRPr="0093403C">
        <w:rPr>
          <w:sz w:val="22"/>
          <w:szCs w:val="22"/>
          <w:lang w:val="sr-Latn-ME"/>
        </w:rPr>
        <w:t>pacijentkinja</w:t>
      </w:r>
      <w:proofErr w:type="spellEnd"/>
      <w:r w:rsidRPr="0093403C">
        <w:rPr>
          <w:sz w:val="22"/>
          <w:szCs w:val="22"/>
          <w:lang w:val="sr-Latn-ME"/>
        </w:rPr>
        <w:t xml:space="preserve">. Lijek </w:t>
      </w:r>
      <w:proofErr w:type="spellStart"/>
      <w:r w:rsidRPr="0093403C">
        <w:rPr>
          <w:sz w:val="22"/>
          <w:szCs w:val="22"/>
          <w:lang w:val="sr-Latn-ME"/>
        </w:rPr>
        <w:t>Bonviva</w:t>
      </w:r>
      <w:proofErr w:type="spellEnd"/>
      <w:r w:rsidRPr="0093403C">
        <w:rPr>
          <w:sz w:val="22"/>
          <w:szCs w:val="22"/>
          <w:lang w:val="sr-Latn-ME"/>
        </w:rPr>
        <w:t xml:space="preserve"> 2,5 mg davan jednom dnevno pokazala je statistički signifikantno i medicinski relevantno smanjenje </w:t>
      </w:r>
      <w:proofErr w:type="spellStart"/>
      <w:r w:rsidRPr="0093403C">
        <w:rPr>
          <w:sz w:val="22"/>
          <w:szCs w:val="22"/>
          <w:lang w:val="sr-Latn-ME"/>
        </w:rPr>
        <w:t>incidencije</w:t>
      </w:r>
      <w:proofErr w:type="spellEnd"/>
      <w:r w:rsidRPr="0093403C">
        <w:rPr>
          <w:sz w:val="22"/>
          <w:szCs w:val="22"/>
          <w:lang w:val="sr-Latn-ME"/>
        </w:rPr>
        <w:t xml:space="preserve"> novih </w:t>
      </w:r>
      <w:proofErr w:type="spellStart"/>
      <w:r w:rsidRPr="0093403C">
        <w:rPr>
          <w:sz w:val="22"/>
          <w:szCs w:val="22"/>
          <w:lang w:val="sr-Latn-ME"/>
        </w:rPr>
        <w:t>preloma</w:t>
      </w:r>
      <w:proofErr w:type="spellEnd"/>
      <w:r w:rsidRPr="0093403C">
        <w:rPr>
          <w:sz w:val="22"/>
          <w:szCs w:val="22"/>
          <w:lang w:val="sr-Latn-ME"/>
        </w:rPr>
        <w:t xml:space="preserve"> pršljenova. Ovaj režim je smanjio i pojavu novih </w:t>
      </w:r>
      <w:proofErr w:type="spellStart"/>
      <w:r w:rsidRPr="0093403C">
        <w:rPr>
          <w:sz w:val="22"/>
          <w:szCs w:val="22"/>
          <w:lang w:val="sr-Latn-ME"/>
        </w:rPr>
        <w:t>radiografskih</w:t>
      </w:r>
      <w:proofErr w:type="spellEnd"/>
      <w:r w:rsidRPr="0093403C">
        <w:rPr>
          <w:sz w:val="22"/>
          <w:szCs w:val="22"/>
          <w:lang w:val="sr-Latn-ME"/>
        </w:rPr>
        <w:t xml:space="preserve"> </w:t>
      </w:r>
      <w:proofErr w:type="spellStart"/>
      <w:r w:rsidRPr="0093403C">
        <w:rPr>
          <w:sz w:val="22"/>
          <w:szCs w:val="22"/>
          <w:lang w:val="sr-Latn-ME"/>
        </w:rPr>
        <w:t>vertebralnih</w:t>
      </w:r>
      <w:proofErr w:type="spellEnd"/>
      <w:r w:rsidRPr="0093403C">
        <w:rPr>
          <w:sz w:val="22"/>
          <w:szCs w:val="22"/>
          <w:lang w:val="sr-Latn-ME"/>
        </w:rPr>
        <w:t xml:space="preserve"> fraktura za 62% (p=0,0001) tokom trogodišnjeg trajanja ove studije. Relativno smanjenje rizika od 61% zabilježeno je poslije 2 godine (p=0,0006). Nije postignut nivo statističke </w:t>
      </w:r>
      <w:proofErr w:type="spellStart"/>
      <w:r w:rsidRPr="0093403C">
        <w:rPr>
          <w:sz w:val="22"/>
          <w:szCs w:val="22"/>
          <w:lang w:val="sr-Latn-ME"/>
        </w:rPr>
        <w:t>značajnosti</w:t>
      </w:r>
      <w:proofErr w:type="spellEnd"/>
      <w:r w:rsidRPr="0093403C">
        <w:rPr>
          <w:sz w:val="22"/>
          <w:szCs w:val="22"/>
          <w:lang w:val="sr-Latn-ME"/>
        </w:rPr>
        <w:t xml:space="preserve"> poslije godinu dana terapije (p=0,056). Dejstvo protiv </w:t>
      </w:r>
      <w:proofErr w:type="spellStart"/>
      <w:r w:rsidRPr="0093403C">
        <w:rPr>
          <w:sz w:val="22"/>
          <w:szCs w:val="22"/>
          <w:lang w:val="sr-Latn-ME"/>
        </w:rPr>
        <w:t>preloma</w:t>
      </w:r>
      <w:proofErr w:type="spellEnd"/>
      <w:r w:rsidRPr="0093403C">
        <w:rPr>
          <w:sz w:val="22"/>
          <w:szCs w:val="22"/>
          <w:lang w:val="sr-Latn-ME"/>
        </w:rPr>
        <w:t xml:space="preserve"> bilo je dosljedno tokom cijelog trajanja studije. Nije bilo znakova koji bi ukazivali na to da se ovo dejstvo gubi tokom </w:t>
      </w:r>
      <w:proofErr w:type="spellStart"/>
      <w:r w:rsidRPr="0093403C">
        <w:rPr>
          <w:sz w:val="22"/>
          <w:szCs w:val="22"/>
          <w:lang w:val="sr-Latn-ME"/>
        </w:rPr>
        <w:t>vremena</w:t>
      </w:r>
      <w:proofErr w:type="spellEnd"/>
      <w:r w:rsidRPr="0093403C">
        <w:rPr>
          <w:sz w:val="22"/>
          <w:szCs w:val="22"/>
          <w:lang w:val="sr-Latn-ME"/>
        </w:rPr>
        <w:t xml:space="preserve">. </w:t>
      </w:r>
    </w:p>
    <w:p w14:paraId="098CA8ED" w14:textId="77777777" w:rsidR="002E634B" w:rsidRPr="0093403C" w:rsidRDefault="002E634B" w:rsidP="007C5B43">
      <w:pPr>
        <w:jc w:val="both"/>
        <w:rPr>
          <w:sz w:val="22"/>
          <w:szCs w:val="22"/>
          <w:lang w:val="sr-Latn-ME"/>
        </w:rPr>
      </w:pPr>
      <w:proofErr w:type="spellStart"/>
      <w:r w:rsidRPr="0093403C">
        <w:rPr>
          <w:sz w:val="22"/>
          <w:szCs w:val="22"/>
          <w:lang w:val="sr-Latn-ME"/>
        </w:rPr>
        <w:t>Incidencija</w:t>
      </w:r>
      <w:proofErr w:type="spellEnd"/>
      <w:r w:rsidRPr="0093403C">
        <w:rPr>
          <w:sz w:val="22"/>
          <w:szCs w:val="22"/>
          <w:lang w:val="sr-Latn-ME"/>
        </w:rPr>
        <w:t xml:space="preserve"> kliničkih fraktura kičmenih pršljenova bila je značajno smanjena za 49% (p=0,011) poslije tri godine. Snažno dejstvo na prelome pršljenova dodatno je pokazano i statistički značajnim smanjenjem gubitka visine u poređenju sa </w:t>
      </w:r>
      <w:proofErr w:type="spellStart"/>
      <w:r w:rsidRPr="0093403C">
        <w:rPr>
          <w:sz w:val="22"/>
          <w:szCs w:val="22"/>
          <w:lang w:val="sr-Latn-ME"/>
        </w:rPr>
        <w:t>placebom</w:t>
      </w:r>
      <w:proofErr w:type="spellEnd"/>
      <w:r w:rsidRPr="0093403C">
        <w:rPr>
          <w:sz w:val="22"/>
          <w:szCs w:val="22"/>
          <w:lang w:val="sr-Latn-ME"/>
        </w:rPr>
        <w:t xml:space="preserve"> (p&lt;0,0001). </w:t>
      </w:r>
    </w:p>
    <w:p w14:paraId="74394318" w14:textId="77777777" w:rsidR="002E634B" w:rsidRPr="0093403C" w:rsidRDefault="002E634B" w:rsidP="007C5B43">
      <w:pPr>
        <w:jc w:val="both"/>
        <w:rPr>
          <w:sz w:val="22"/>
          <w:szCs w:val="22"/>
          <w:lang w:val="sr-Latn-ME"/>
        </w:rPr>
      </w:pPr>
    </w:p>
    <w:p w14:paraId="53CFD5FF" w14:textId="77777777" w:rsidR="002E634B" w:rsidRPr="0093403C" w:rsidRDefault="002E634B" w:rsidP="007C5B43">
      <w:pPr>
        <w:jc w:val="both"/>
        <w:rPr>
          <w:b/>
          <w:sz w:val="22"/>
          <w:szCs w:val="22"/>
          <w:lang w:val="sr-Latn-ME"/>
        </w:rPr>
      </w:pPr>
      <w:r w:rsidRPr="0093403C">
        <w:rPr>
          <w:sz w:val="22"/>
          <w:szCs w:val="22"/>
          <w:lang w:val="sr-Latn-ME"/>
        </w:rPr>
        <w:t xml:space="preserve"> </w:t>
      </w:r>
      <w:r w:rsidRPr="0093403C">
        <w:rPr>
          <w:b/>
          <w:sz w:val="22"/>
          <w:szCs w:val="22"/>
          <w:lang w:val="sr-Latn-ME"/>
        </w:rPr>
        <w:t>Tabela 3. Rezultati trogodišnje studije MF 4411 u kojoj su ispitivani prelomi (%, 95%CI)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58"/>
        <w:gridCol w:w="2500"/>
        <w:gridCol w:w="2693"/>
      </w:tblGrid>
      <w:tr w:rsidR="002E634B" w:rsidRPr="0093403C" w14:paraId="43F56168" w14:textId="77777777" w:rsidTr="00BD1DEA">
        <w:tc>
          <w:tcPr>
            <w:tcW w:w="4158" w:type="dxa"/>
            <w:shd w:val="clear" w:color="auto" w:fill="auto"/>
          </w:tcPr>
          <w:p w14:paraId="09DB89C4" w14:textId="77777777" w:rsidR="002E634B" w:rsidRPr="0093403C" w:rsidRDefault="002E634B" w:rsidP="007C5B43">
            <w:pPr>
              <w:jc w:val="both"/>
              <w:rPr>
                <w:sz w:val="22"/>
                <w:szCs w:val="22"/>
                <w:lang w:val="sr-Latn-ME"/>
              </w:rPr>
            </w:pPr>
          </w:p>
        </w:tc>
        <w:tc>
          <w:tcPr>
            <w:tcW w:w="2500" w:type="dxa"/>
            <w:shd w:val="clear" w:color="auto" w:fill="auto"/>
          </w:tcPr>
          <w:p w14:paraId="4640EB9C" w14:textId="77777777" w:rsidR="002E634B" w:rsidRPr="0093403C" w:rsidRDefault="002E634B" w:rsidP="007C5B43">
            <w:pPr>
              <w:jc w:val="both"/>
              <w:rPr>
                <w:sz w:val="22"/>
                <w:szCs w:val="22"/>
                <w:lang w:val="sr-Latn-ME"/>
              </w:rPr>
            </w:pPr>
            <w:proofErr w:type="spellStart"/>
            <w:r w:rsidRPr="0093403C">
              <w:rPr>
                <w:sz w:val="22"/>
                <w:szCs w:val="22"/>
                <w:lang w:val="sr-Latn-ME"/>
              </w:rPr>
              <w:t>Placebo</w:t>
            </w:r>
            <w:proofErr w:type="spellEnd"/>
            <w:r w:rsidRPr="0093403C">
              <w:rPr>
                <w:sz w:val="22"/>
                <w:szCs w:val="22"/>
                <w:lang w:val="sr-Latn-ME"/>
              </w:rPr>
              <w:t xml:space="preserve"> (N=974)</w:t>
            </w:r>
          </w:p>
        </w:tc>
        <w:tc>
          <w:tcPr>
            <w:tcW w:w="2693" w:type="dxa"/>
            <w:shd w:val="clear" w:color="auto" w:fill="auto"/>
          </w:tcPr>
          <w:p w14:paraId="439B9D7B" w14:textId="77777777" w:rsidR="002E634B" w:rsidRPr="0093403C" w:rsidRDefault="002E634B" w:rsidP="007C5B43">
            <w:pPr>
              <w:jc w:val="both"/>
              <w:rPr>
                <w:sz w:val="22"/>
                <w:szCs w:val="22"/>
                <w:lang w:val="sr-Latn-ME"/>
              </w:rPr>
            </w:pPr>
            <w:proofErr w:type="spellStart"/>
            <w:r w:rsidRPr="0093403C">
              <w:rPr>
                <w:sz w:val="22"/>
                <w:szCs w:val="22"/>
                <w:lang w:val="sr-Latn-ME"/>
              </w:rPr>
              <w:t>Bonviva</w:t>
            </w:r>
            <w:proofErr w:type="spellEnd"/>
            <w:r w:rsidRPr="0093403C">
              <w:rPr>
                <w:sz w:val="22"/>
                <w:szCs w:val="22"/>
                <w:lang w:val="sr-Latn-ME"/>
              </w:rPr>
              <w:t xml:space="preserve"> 2,5 mg jednom dnevno (N=977)</w:t>
            </w:r>
          </w:p>
        </w:tc>
      </w:tr>
      <w:tr w:rsidR="002E634B" w:rsidRPr="0093403C" w14:paraId="531A3E39" w14:textId="77777777" w:rsidTr="00BD1DEA">
        <w:tc>
          <w:tcPr>
            <w:tcW w:w="4158" w:type="dxa"/>
            <w:shd w:val="clear" w:color="auto" w:fill="auto"/>
          </w:tcPr>
          <w:p w14:paraId="37A6B7EF" w14:textId="77777777" w:rsidR="002E634B" w:rsidRPr="0093403C" w:rsidRDefault="002E634B" w:rsidP="007C5B43">
            <w:pPr>
              <w:jc w:val="both"/>
              <w:rPr>
                <w:sz w:val="22"/>
                <w:szCs w:val="22"/>
                <w:lang w:val="sr-Latn-ME"/>
              </w:rPr>
            </w:pPr>
            <w:r w:rsidRPr="0093403C">
              <w:rPr>
                <w:sz w:val="22"/>
                <w:szCs w:val="22"/>
                <w:lang w:val="sr-Latn-ME"/>
              </w:rPr>
              <w:t>Relativno smanjenje rizika</w:t>
            </w:r>
          </w:p>
          <w:p w14:paraId="11EB2DE9" w14:textId="77777777" w:rsidR="002E634B" w:rsidRPr="0093403C" w:rsidRDefault="002E634B" w:rsidP="007C5B43">
            <w:pPr>
              <w:jc w:val="both"/>
              <w:rPr>
                <w:sz w:val="22"/>
                <w:szCs w:val="22"/>
                <w:lang w:val="sr-Latn-ME"/>
              </w:rPr>
            </w:pPr>
            <w:r w:rsidRPr="0093403C">
              <w:rPr>
                <w:sz w:val="22"/>
                <w:szCs w:val="22"/>
                <w:lang w:val="sr-Latn-ME"/>
              </w:rPr>
              <w:t xml:space="preserve">Nove </w:t>
            </w:r>
            <w:proofErr w:type="spellStart"/>
            <w:r w:rsidRPr="0093403C">
              <w:rPr>
                <w:sz w:val="22"/>
                <w:szCs w:val="22"/>
                <w:lang w:val="sr-Latn-ME"/>
              </w:rPr>
              <w:t>morfometrijske</w:t>
            </w:r>
            <w:proofErr w:type="spellEnd"/>
            <w:r w:rsidRPr="0093403C">
              <w:rPr>
                <w:sz w:val="22"/>
                <w:szCs w:val="22"/>
                <w:lang w:val="sr-Latn-ME"/>
              </w:rPr>
              <w:t xml:space="preserve"> </w:t>
            </w:r>
            <w:proofErr w:type="spellStart"/>
            <w:r w:rsidRPr="0093403C">
              <w:rPr>
                <w:sz w:val="22"/>
                <w:szCs w:val="22"/>
                <w:lang w:val="sr-Latn-ME"/>
              </w:rPr>
              <w:t>vertebralne</w:t>
            </w:r>
            <w:proofErr w:type="spellEnd"/>
            <w:r w:rsidRPr="0093403C">
              <w:rPr>
                <w:sz w:val="22"/>
                <w:szCs w:val="22"/>
                <w:lang w:val="sr-Latn-ME"/>
              </w:rPr>
              <w:t xml:space="preserve"> frakture</w:t>
            </w:r>
          </w:p>
        </w:tc>
        <w:tc>
          <w:tcPr>
            <w:tcW w:w="2500" w:type="dxa"/>
            <w:shd w:val="clear" w:color="auto" w:fill="auto"/>
          </w:tcPr>
          <w:p w14:paraId="064CEE35" w14:textId="77777777" w:rsidR="002E634B" w:rsidRPr="0093403C" w:rsidRDefault="002E634B" w:rsidP="007C5B43">
            <w:pPr>
              <w:jc w:val="both"/>
              <w:rPr>
                <w:sz w:val="22"/>
                <w:szCs w:val="22"/>
                <w:lang w:val="sr-Latn-ME"/>
              </w:rPr>
            </w:pPr>
          </w:p>
        </w:tc>
        <w:tc>
          <w:tcPr>
            <w:tcW w:w="2693" w:type="dxa"/>
            <w:shd w:val="clear" w:color="auto" w:fill="auto"/>
          </w:tcPr>
          <w:p w14:paraId="505B2153" w14:textId="77777777" w:rsidR="002E634B" w:rsidRPr="0093403C" w:rsidRDefault="002E634B" w:rsidP="007C5B43">
            <w:pPr>
              <w:jc w:val="both"/>
              <w:rPr>
                <w:sz w:val="22"/>
                <w:szCs w:val="22"/>
                <w:lang w:val="sr-Latn-ME"/>
              </w:rPr>
            </w:pPr>
            <w:r w:rsidRPr="0093403C">
              <w:rPr>
                <w:sz w:val="22"/>
                <w:szCs w:val="22"/>
                <w:lang w:val="sr-Latn-ME"/>
              </w:rPr>
              <w:t>62% (40,9; 75,1)</w:t>
            </w:r>
          </w:p>
        </w:tc>
      </w:tr>
      <w:tr w:rsidR="002E634B" w:rsidRPr="0093403C" w14:paraId="329607E5" w14:textId="77777777" w:rsidTr="00BD1DEA">
        <w:tc>
          <w:tcPr>
            <w:tcW w:w="4158" w:type="dxa"/>
            <w:shd w:val="clear" w:color="auto" w:fill="auto"/>
          </w:tcPr>
          <w:p w14:paraId="30D1FF14" w14:textId="77777777" w:rsidR="002E634B" w:rsidRPr="0093403C" w:rsidRDefault="002E634B" w:rsidP="007C5B43">
            <w:pPr>
              <w:jc w:val="both"/>
              <w:rPr>
                <w:sz w:val="22"/>
                <w:szCs w:val="22"/>
                <w:lang w:val="sr-Latn-ME"/>
              </w:rPr>
            </w:pPr>
            <w:proofErr w:type="spellStart"/>
            <w:r w:rsidRPr="0093403C">
              <w:rPr>
                <w:sz w:val="22"/>
                <w:szCs w:val="22"/>
                <w:lang w:val="sr-Latn-ME"/>
              </w:rPr>
              <w:t>Incidencija</w:t>
            </w:r>
            <w:proofErr w:type="spellEnd"/>
            <w:r w:rsidRPr="0093403C">
              <w:rPr>
                <w:sz w:val="22"/>
                <w:szCs w:val="22"/>
                <w:lang w:val="sr-Latn-ME"/>
              </w:rPr>
              <w:t xml:space="preserve"> novih </w:t>
            </w:r>
            <w:proofErr w:type="spellStart"/>
            <w:r w:rsidRPr="0093403C">
              <w:rPr>
                <w:sz w:val="22"/>
                <w:szCs w:val="22"/>
                <w:lang w:val="sr-Latn-ME"/>
              </w:rPr>
              <w:t>morfometrijskih</w:t>
            </w:r>
            <w:proofErr w:type="spellEnd"/>
            <w:r w:rsidRPr="0093403C">
              <w:rPr>
                <w:sz w:val="22"/>
                <w:szCs w:val="22"/>
                <w:lang w:val="sr-Latn-ME"/>
              </w:rPr>
              <w:t xml:space="preserve"> </w:t>
            </w:r>
            <w:proofErr w:type="spellStart"/>
            <w:r w:rsidRPr="0093403C">
              <w:rPr>
                <w:sz w:val="22"/>
                <w:szCs w:val="22"/>
                <w:lang w:val="sr-Latn-ME"/>
              </w:rPr>
              <w:t>vertebralnih</w:t>
            </w:r>
            <w:proofErr w:type="spellEnd"/>
            <w:r w:rsidRPr="0093403C">
              <w:rPr>
                <w:sz w:val="22"/>
                <w:szCs w:val="22"/>
                <w:lang w:val="sr-Latn-ME"/>
              </w:rPr>
              <w:t xml:space="preserve"> </w:t>
            </w:r>
            <w:proofErr w:type="spellStart"/>
            <w:r w:rsidRPr="0093403C">
              <w:rPr>
                <w:sz w:val="22"/>
                <w:szCs w:val="22"/>
                <w:lang w:val="sr-Latn-ME"/>
              </w:rPr>
              <w:t>preloma</w:t>
            </w:r>
            <w:proofErr w:type="spellEnd"/>
          </w:p>
        </w:tc>
        <w:tc>
          <w:tcPr>
            <w:tcW w:w="2500" w:type="dxa"/>
            <w:shd w:val="clear" w:color="auto" w:fill="auto"/>
          </w:tcPr>
          <w:p w14:paraId="03336B1A" w14:textId="77777777" w:rsidR="002E634B" w:rsidRPr="0093403C" w:rsidRDefault="002E634B" w:rsidP="007C5B43">
            <w:pPr>
              <w:jc w:val="both"/>
              <w:rPr>
                <w:sz w:val="22"/>
                <w:szCs w:val="22"/>
                <w:lang w:val="sr-Latn-ME"/>
              </w:rPr>
            </w:pPr>
            <w:r w:rsidRPr="0093403C">
              <w:rPr>
                <w:sz w:val="22"/>
                <w:szCs w:val="22"/>
                <w:lang w:val="sr-Latn-ME"/>
              </w:rPr>
              <w:t>9,56% (7,5; 11,7)</w:t>
            </w:r>
          </w:p>
        </w:tc>
        <w:tc>
          <w:tcPr>
            <w:tcW w:w="2693" w:type="dxa"/>
            <w:shd w:val="clear" w:color="auto" w:fill="auto"/>
          </w:tcPr>
          <w:p w14:paraId="66A066D6" w14:textId="77777777" w:rsidR="002E634B" w:rsidRPr="0093403C" w:rsidRDefault="002E634B" w:rsidP="007C5B43">
            <w:pPr>
              <w:jc w:val="both"/>
              <w:rPr>
                <w:sz w:val="22"/>
                <w:szCs w:val="22"/>
                <w:lang w:val="sr-Latn-ME"/>
              </w:rPr>
            </w:pPr>
            <w:r w:rsidRPr="0093403C">
              <w:rPr>
                <w:sz w:val="22"/>
                <w:szCs w:val="22"/>
                <w:lang w:val="sr-Latn-ME"/>
              </w:rPr>
              <w:t>4,68 (3,2; 6,2)</w:t>
            </w:r>
          </w:p>
        </w:tc>
      </w:tr>
      <w:tr w:rsidR="002E634B" w:rsidRPr="0093403C" w14:paraId="1FD4E212" w14:textId="77777777" w:rsidTr="00BD1DEA">
        <w:tc>
          <w:tcPr>
            <w:tcW w:w="4158" w:type="dxa"/>
            <w:shd w:val="clear" w:color="auto" w:fill="auto"/>
          </w:tcPr>
          <w:p w14:paraId="40B9B91A" w14:textId="77777777" w:rsidR="002E634B" w:rsidRPr="0093403C" w:rsidRDefault="002E634B" w:rsidP="007C5B43">
            <w:pPr>
              <w:jc w:val="both"/>
              <w:rPr>
                <w:sz w:val="22"/>
                <w:szCs w:val="22"/>
                <w:lang w:val="sr-Latn-ME"/>
              </w:rPr>
            </w:pPr>
            <w:r w:rsidRPr="0093403C">
              <w:rPr>
                <w:sz w:val="22"/>
                <w:szCs w:val="22"/>
                <w:lang w:val="sr-Latn-ME"/>
              </w:rPr>
              <w:t xml:space="preserve">Relativno smanjenje rizika od kliničkih </w:t>
            </w:r>
            <w:proofErr w:type="spellStart"/>
            <w:r w:rsidRPr="0093403C">
              <w:rPr>
                <w:sz w:val="22"/>
                <w:szCs w:val="22"/>
                <w:lang w:val="sr-Latn-ME"/>
              </w:rPr>
              <w:t>vertebralnih</w:t>
            </w:r>
            <w:proofErr w:type="spellEnd"/>
            <w:r w:rsidRPr="0093403C">
              <w:rPr>
                <w:sz w:val="22"/>
                <w:szCs w:val="22"/>
                <w:lang w:val="sr-Latn-ME"/>
              </w:rPr>
              <w:t xml:space="preserve"> </w:t>
            </w:r>
            <w:proofErr w:type="spellStart"/>
            <w:r w:rsidRPr="0093403C">
              <w:rPr>
                <w:sz w:val="22"/>
                <w:szCs w:val="22"/>
                <w:lang w:val="sr-Latn-ME"/>
              </w:rPr>
              <w:t>preloma</w:t>
            </w:r>
            <w:proofErr w:type="spellEnd"/>
          </w:p>
        </w:tc>
        <w:tc>
          <w:tcPr>
            <w:tcW w:w="2500" w:type="dxa"/>
            <w:shd w:val="clear" w:color="auto" w:fill="auto"/>
          </w:tcPr>
          <w:p w14:paraId="2FFEFD47" w14:textId="77777777" w:rsidR="002E634B" w:rsidRPr="0093403C" w:rsidRDefault="002E634B" w:rsidP="007C5B43">
            <w:pPr>
              <w:jc w:val="both"/>
              <w:rPr>
                <w:sz w:val="22"/>
                <w:szCs w:val="22"/>
                <w:lang w:val="sr-Latn-ME"/>
              </w:rPr>
            </w:pPr>
          </w:p>
        </w:tc>
        <w:tc>
          <w:tcPr>
            <w:tcW w:w="2693" w:type="dxa"/>
            <w:shd w:val="clear" w:color="auto" w:fill="auto"/>
          </w:tcPr>
          <w:p w14:paraId="644756AC" w14:textId="77777777" w:rsidR="002E634B" w:rsidRPr="0093403C" w:rsidRDefault="002E634B" w:rsidP="007C5B43">
            <w:pPr>
              <w:jc w:val="both"/>
              <w:rPr>
                <w:sz w:val="22"/>
                <w:szCs w:val="22"/>
                <w:lang w:val="sr-Latn-ME"/>
              </w:rPr>
            </w:pPr>
            <w:r w:rsidRPr="0093403C">
              <w:rPr>
                <w:sz w:val="22"/>
                <w:szCs w:val="22"/>
                <w:lang w:val="sr-Latn-ME"/>
              </w:rPr>
              <w:t>49% (14,3; 69,49)</w:t>
            </w:r>
          </w:p>
        </w:tc>
      </w:tr>
      <w:tr w:rsidR="002E634B" w:rsidRPr="0093403C" w14:paraId="49DB45E9" w14:textId="77777777" w:rsidTr="00BD1DEA">
        <w:tc>
          <w:tcPr>
            <w:tcW w:w="4158" w:type="dxa"/>
            <w:shd w:val="clear" w:color="auto" w:fill="auto"/>
          </w:tcPr>
          <w:p w14:paraId="44F1A15C" w14:textId="77777777" w:rsidR="002E634B" w:rsidRPr="0093403C" w:rsidRDefault="002E634B" w:rsidP="007C5B43">
            <w:pPr>
              <w:jc w:val="both"/>
              <w:rPr>
                <w:sz w:val="22"/>
                <w:szCs w:val="22"/>
                <w:lang w:val="sr-Latn-ME"/>
              </w:rPr>
            </w:pPr>
            <w:proofErr w:type="spellStart"/>
            <w:r w:rsidRPr="0093403C">
              <w:rPr>
                <w:sz w:val="22"/>
                <w:szCs w:val="22"/>
                <w:lang w:val="sr-Latn-ME"/>
              </w:rPr>
              <w:t>Incidencija</w:t>
            </w:r>
            <w:proofErr w:type="spellEnd"/>
            <w:r w:rsidRPr="0093403C">
              <w:rPr>
                <w:sz w:val="22"/>
                <w:szCs w:val="22"/>
                <w:lang w:val="sr-Latn-ME"/>
              </w:rPr>
              <w:t xml:space="preserve"> kliničkih </w:t>
            </w:r>
            <w:proofErr w:type="spellStart"/>
            <w:r w:rsidRPr="0093403C">
              <w:rPr>
                <w:sz w:val="22"/>
                <w:szCs w:val="22"/>
                <w:lang w:val="sr-Latn-ME"/>
              </w:rPr>
              <w:t>vertebralnih</w:t>
            </w:r>
            <w:proofErr w:type="spellEnd"/>
            <w:r w:rsidRPr="0093403C">
              <w:rPr>
                <w:sz w:val="22"/>
                <w:szCs w:val="22"/>
                <w:lang w:val="sr-Latn-ME"/>
              </w:rPr>
              <w:t xml:space="preserve"> </w:t>
            </w:r>
            <w:proofErr w:type="spellStart"/>
            <w:r w:rsidRPr="0093403C">
              <w:rPr>
                <w:sz w:val="22"/>
                <w:szCs w:val="22"/>
                <w:lang w:val="sr-Latn-ME"/>
              </w:rPr>
              <w:t>preloma</w:t>
            </w:r>
            <w:proofErr w:type="spellEnd"/>
          </w:p>
        </w:tc>
        <w:tc>
          <w:tcPr>
            <w:tcW w:w="2500" w:type="dxa"/>
            <w:shd w:val="clear" w:color="auto" w:fill="auto"/>
          </w:tcPr>
          <w:p w14:paraId="04C81194" w14:textId="77777777" w:rsidR="002E634B" w:rsidRPr="0093403C" w:rsidRDefault="002E634B" w:rsidP="007C5B43">
            <w:pPr>
              <w:jc w:val="both"/>
              <w:rPr>
                <w:sz w:val="22"/>
                <w:szCs w:val="22"/>
                <w:lang w:val="sr-Latn-ME"/>
              </w:rPr>
            </w:pPr>
            <w:r w:rsidRPr="0093403C">
              <w:rPr>
                <w:sz w:val="22"/>
                <w:szCs w:val="22"/>
                <w:lang w:val="sr-Latn-ME"/>
              </w:rPr>
              <w:t>5,33% (3,73; 6,92)</w:t>
            </w:r>
          </w:p>
        </w:tc>
        <w:tc>
          <w:tcPr>
            <w:tcW w:w="2693" w:type="dxa"/>
            <w:shd w:val="clear" w:color="auto" w:fill="auto"/>
          </w:tcPr>
          <w:p w14:paraId="0A57155D" w14:textId="77777777" w:rsidR="002E634B" w:rsidRPr="0093403C" w:rsidRDefault="002E634B" w:rsidP="007C5B43">
            <w:pPr>
              <w:jc w:val="both"/>
              <w:rPr>
                <w:sz w:val="22"/>
                <w:szCs w:val="22"/>
                <w:lang w:val="sr-Latn-ME"/>
              </w:rPr>
            </w:pPr>
            <w:r w:rsidRPr="0093403C">
              <w:rPr>
                <w:sz w:val="22"/>
                <w:szCs w:val="22"/>
                <w:lang w:val="sr-Latn-ME"/>
              </w:rPr>
              <w:t>2,75% (1,61; 3,89)</w:t>
            </w:r>
          </w:p>
        </w:tc>
      </w:tr>
      <w:tr w:rsidR="002E634B" w:rsidRPr="0093403C" w14:paraId="28836076" w14:textId="77777777" w:rsidTr="00BD1DEA">
        <w:tc>
          <w:tcPr>
            <w:tcW w:w="4158" w:type="dxa"/>
            <w:shd w:val="clear" w:color="auto" w:fill="auto"/>
          </w:tcPr>
          <w:p w14:paraId="7C15CD2A" w14:textId="77777777" w:rsidR="002E634B" w:rsidRPr="0093403C" w:rsidRDefault="002E634B" w:rsidP="007C5B43">
            <w:pPr>
              <w:jc w:val="both"/>
              <w:rPr>
                <w:sz w:val="22"/>
                <w:szCs w:val="22"/>
                <w:lang w:val="sr-Latn-ME"/>
              </w:rPr>
            </w:pPr>
            <w:r w:rsidRPr="0093403C">
              <w:rPr>
                <w:sz w:val="22"/>
                <w:szCs w:val="22"/>
                <w:lang w:val="sr-Latn-ME"/>
              </w:rPr>
              <w:t xml:space="preserve">MGK – srednja promjena u odnosu na </w:t>
            </w:r>
            <w:proofErr w:type="spellStart"/>
            <w:r w:rsidRPr="0093403C">
              <w:rPr>
                <w:sz w:val="22"/>
                <w:szCs w:val="22"/>
                <w:lang w:val="sr-Latn-ME"/>
              </w:rPr>
              <w:t>bazalnu</w:t>
            </w:r>
            <w:proofErr w:type="spellEnd"/>
            <w:r w:rsidRPr="0093403C">
              <w:rPr>
                <w:sz w:val="22"/>
                <w:szCs w:val="22"/>
                <w:lang w:val="sr-Latn-ME"/>
              </w:rPr>
              <w:t xml:space="preserve"> vrijednost lumbalne kičme poslije 3 godine</w:t>
            </w:r>
          </w:p>
        </w:tc>
        <w:tc>
          <w:tcPr>
            <w:tcW w:w="2500" w:type="dxa"/>
            <w:shd w:val="clear" w:color="auto" w:fill="auto"/>
          </w:tcPr>
          <w:p w14:paraId="6B6CB612" w14:textId="77777777" w:rsidR="002E634B" w:rsidRPr="0093403C" w:rsidRDefault="002E634B" w:rsidP="007C5B43">
            <w:pPr>
              <w:jc w:val="both"/>
              <w:rPr>
                <w:sz w:val="22"/>
                <w:szCs w:val="22"/>
                <w:lang w:val="sr-Latn-ME"/>
              </w:rPr>
            </w:pPr>
            <w:r w:rsidRPr="0093403C">
              <w:rPr>
                <w:sz w:val="22"/>
                <w:szCs w:val="22"/>
                <w:lang w:val="sr-Latn-ME"/>
              </w:rPr>
              <w:t>1,26% (0,8; 1,7)</w:t>
            </w:r>
          </w:p>
        </w:tc>
        <w:tc>
          <w:tcPr>
            <w:tcW w:w="2693" w:type="dxa"/>
            <w:shd w:val="clear" w:color="auto" w:fill="auto"/>
          </w:tcPr>
          <w:p w14:paraId="4491CD72" w14:textId="77777777" w:rsidR="002E634B" w:rsidRPr="0093403C" w:rsidRDefault="002E634B" w:rsidP="007C5B43">
            <w:pPr>
              <w:jc w:val="both"/>
              <w:rPr>
                <w:sz w:val="22"/>
                <w:szCs w:val="22"/>
                <w:lang w:val="sr-Latn-ME"/>
              </w:rPr>
            </w:pPr>
            <w:r w:rsidRPr="0093403C">
              <w:rPr>
                <w:sz w:val="22"/>
                <w:szCs w:val="22"/>
                <w:lang w:val="sr-Latn-ME"/>
              </w:rPr>
              <w:t>6,54% (6,1; 7,0)</w:t>
            </w:r>
          </w:p>
        </w:tc>
      </w:tr>
      <w:tr w:rsidR="002E634B" w:rsidRPr="0093403C" w14:paraId="21D71464" w14:textId="77777777" w:rsidTr="00BD1DEA">
        <w:tc>
          <w:tcPr>
            <w:tcW w:w="4158" w:type="dxa"/>
            <w:shd w:val="clear" w:color="auto" w:fill="auto"/>
          </w:tcPr>
          <w:p w14:paraId="531864BC" w14:textId="77777777" w:rsidR="002E634B" w:rsidRPr="0093403C" w:rsidRDefault="002E634B" w:rsidP="007C5B43">
            <w:pPr>
              <w:jc w:val="both"/>
              <w:rPr>
                <w:sz w:val="22"/>
                <w:szCs w:val="22"/>
                <w:lang w:val="sr-Latn-ME"/>
              </w:rPr>
            </w:pPr>
            <w:r w:rsidRPr="0093403C">
              <w:rPr>
                <w:sz w:val="22"/>
                <w:szCs w:val="22"/>
                <w:lang w:val="sr-Latn-ME"/>
              </w:rPr>
              <w:lastRenderedPageBreak/>
              <w:t xml:space="preserve">MGK – srednja promjena u odnosu na </w:t>
            </w:r>
            <w:proofErr w:type="spellStart"/>
            <w:r w:rsidRPr="0093403C">
              <w:rPr>
                <w:sz w:val="22"/>
                <w:szCs w:val="22"/>
                <w:lang w:val="sr-Latn-ME"/>
              </w:rPr>
              <w:t>bazalnu</w:t>
            </w:r>
            <w:proofErr w:type="spellEnd"/>
            <w:r w:rsidRPr="0093403C">
              <w:rPr>
                <w:sz w:val="22"/>
                <w:szCs w:val="22"/>
                <w:lang w:val="sr-Latn-ME"/>
              </w:rPr>
              <w:t xml:space="preserve"> vrijednost cijelog kuka poslije 3 godine</w:t>
            </w:r>
          </w:p>
        </w:tc>
        <w:tc>
          <w:tcPr>
            <w:tcW w:w="2500" w:type="dxa"/>
            <w:shd w:val="clear" w:color="auto" w:fill="auto"/>
          </w:tcPr>
          <w:p w14:paraId="69DD6047" w14:textId="77777777" w:rsidR="002E634B" w:rsidRPr="0093403C" w:rsidRDefault="002E634B" w:rsidP="007C5B43">
            <w:pPr>
              <w:jc w:val="both"/>
              <w:rPr>
                <w:sz w:val="22"/>
                <w:szCs w:val="22"/>
                <w:lang w:val="sr-Latn-ME"/>
              </w:rPr>
            </w:pPr>
            <w:r w:rsidRPr="0093403C">
              <w:rPr>
                <w:sz w:val="22"/>
                <w:szCs w:val="22"/>
                <w:lang w:val="sr-Latn-ME"/>
              </w:rPr>
              <w:t>-0,69% (-1,0; -0,4)</w:t>
            </w:r>
          </w:p>
        </w:tc>
        <w:tc>
          <w:tcPr>
            <w:tcW w:w="2693" w:type="dxa"/>
            <w:shd w:val="clear" w:color="auto" w:fill="auto"/>
          </w:tcPr>
          <w:p w14:paraId="6CC377C8" w14:textId="77777777" w:rsidR="002E634B" w:rsidRPr="0093403C" w:rsidRDefault="002E634B" w:rsidP="007C5B43">
            <w:pPr>
              <w:jc w:val="both"/>
              <w:rPr>
                <w:sz w:val="22"/>
                <w:szCs w:val="22"/>
                <w:lang w:val="sr-Latn-ME"/>
              </w:rPr>
            </w:pPr>
            <w:r w:rsidRPr="0093403C">
              <w:rPr>
                <w:sz w:val="22"/>
                <w:szCs w:val="22"/>
                <w:lang w:val="sr-Latn-ME"/>
              </w:rPr>
              <w:t>3,36% (3,0; 3,7)</w:t>
            </w:r>
          </w:p>
        </w:tc>
      </w:tr>
    </w:tbl>
    <w:p w14:paraId="37FBCB14" w14:textId="77777777" w:rsidR="002E634B" w:rsidRPr="0093403C" w:rsidRDefault="002E634B" w:rsidP="007C5B43">
      <w:pPr>
        <w:tabs>
          <w:tab w:val="left" w:pos="540"/>
          <w:tab w:val="left" w:pos="569"/>
        </w:tabs>
        <w:jc w:val="both"/>
        <w:rPr>
          <w:b/>
          <w:bCs/>
          <w:sz w:val="22"/>
          <w:szCs w:val="22"/>
          <w:lang w:val="sr-Latn-ME"/>
        </w:rPr>
      </w:pPr>
    </w:p>
    <w:p w14:paraId="526F7565" w14:textId="77777777" w:rsidR="002E634B" w:rsidRPr="0093403C" w:rsidRDefault="002E634B" w:rsidP="007C5B43">
      <w:pPr>
        <w:jc w:val="both"/>
        <w:rPr>
          <w:sz w:val="22"/>
          <w:szCs w:val="22"/>
          <w:lang w:val="sr-Latn-ME"/>
        </w:rPr>
      </w:pPr>
      <w:r w:rsidRPr="0093403C">
        <w:rPr>
          <w:sz w:val="22"/>
          <w:szCs w:val="22"/>
          <w:lang w:val="sr-Latn-ME"/>
        </w:rPr>
        <w:t xml:space="preserve">Terapijsko dejstvo lijeka </w:t>
      </w:r>
      <w:proofErr w:type="spellStart"/>
      <w:r w:rsidRPr="0093403C">
        <w:rPr>
          <w:sz w:val="22"/>
          <w:szCs w:val="22"/>
          <w:lang w:val="sr-Latn-ME"/>
        </w:rPr>
        <w:t>Bonviva</w:t>
      </w:r>
      <w:proofErr w:type="spellEnd"/>
      <w:r w:rsidRPr="0093403C">
        <w:rPr>
          <w:sz w:val="22"/>
          <w:szCs w:val="22"/>
          <w:lang w:val="sr-Latn-ME"/>
        </w:rPr>
        <w:t xml:space="preserve"> dalje je procjenjivano analizom u </w:t>
      </w:r>
      <w:proofErr w:type="spellStart"/>
      <w:r w:rsidRPr="0093403C">
        <w:rPr>
          <w:sz w:val="22"/>
          <w:szCs w:val="22"/>
          <w:lang w:val="sr-Latn-ME"/>
        </w:rPr>
        <w:t>subpopulaciji</w:t>
      </w:r>
      <w:proofErr w:type="spellEnd"/>
      <w:r w:rsidRPr="0093403C">
        <w:rPr>
          <w:sz w:val="22"/>
          <w:szCs w:val="22"/>
          <w:lang w:val="sr-Latn-ME"/>
        </w:rPr>
        <w:t xml:space="preserve"> pacijenata koji su prije početka terapije (</w:t>
      </w:r>
      <w:proofErr w:type="spellStart"/>
      <w:r w:rsidRPr="0093403C">
        <w:rPr>
          <w:sz w:val="22"/>
          <w:szCs w:val="22"/>
          <w:lang w:val="sr-Latn-ME"/>
        </w:rPr>
        <w:t>bazalna</w:t>
      </w:r>
      <w:proofErr w:type="spellEnd"/>
      <w:r w:rsidRPr="0093403C">
        <w:rPr>
          <w:sz w:val="22"/>
          <w:szCs w:val="22"/>
          <w:lang w:val="sr-Latn-ME"/>
        </w:rPr>
        <w:t xml:space="preserve"> vrijednost) imali T skor MGK ispod -2,5 (Tabela 4). Smanjenje rizika od frakture kičmenog pršljena bilo je veoma dosljedno sa onim što se bilježi u opštoj populaciji. </w:t>
      </w:r>
    </w:p>
    <w:p w14:paraId="18F7901E" w14:textId="77777777" w:rsidR="002E634B" w:rsidRPr="0093403C" w:rsidRDefault="002E634B" w:rsidP="007C5B43">
      <w:pPr>
        <w:jc w:val="both"/>
        <w:rPr>
          <w:sz w:val="22"/>
          <w:szCs w:val="22"/>
          <w:lang w:val="sr-Latn-ME"/>
        </w:rPr>
      </w:pPr>
    </w:p>
    <w:p w14:paraId="6C607C01" w14:textId="77777777" w:rsidR="002E634B" w:rsidRPr="0093403C" w:rsidRDefault="002E634B" w:rsidP="007C5B43">
      <w:pPr>
        <w:jc w:val="both"/>
        <w:rPr>
          <w:sz w:val="22"/>
          <w:szCs w:val="22"/>
          <w:lang w:val="sr-Latn-ME"/>
        </w:rPr>
      </w:pPr>
      <w:r w:rsidRPr="0093403C">
        <w:rPr>
          <w:sz w:val="22"/>
          <w:szCs w:val="22"/>
          <w:lang w:val="sr-Latn-ME"/>
        </w:rPr>
        <w:t xml:space="preserve">Tabela 4. Rezultati trogodišnje studije MF 4411 u kojoj su ispitivani prelomi (%, </w:t>
      </w:r>
      <w:proofErr w:type="spellStart"/>
      <w:r w:rsidRPr="0093403C">
        <w:rPr>
          <w:sz w:val="22"/>
          <w:szCs w:val="22"/>
          <w:lang w:val="sr-Latn-ME"/>
        </w:rPr>
        <w:t>95%CI</w:t>
      </w:r>
      <w:proofErr w:type="spellEnd"/>
      <w:r w:rsidRPr="0093403C">
        <w:rPr>
          <w:sz w:val="22"/>
          <w:szCs w:val="22"/>
          <w:lang w:val="sr-Latn-ME"/>
        </w:rPr>
        <w:t xml:space="preserve">) za </w:t>
      </w:r>
      <w:proofErr w:type="spellStart"/>
      <w:r w:rsidRPr="0093403C">
        <w:rPr>
          <w:sz w:val="22"/>
          <w:szCs w:val="22"/>
          <w:lang w:val="sr-Latn-ME"/>
        </w:rPr>
        <w:t>pacijentkinje</w:t>
      </w:r>
      <w:proofErr w:type="spellEnd"/>
      <w:r w:rsidRPr="0093403C">
        <w:rPr>
          <w:sz w:val="22"/>
          <w:szCs w:val="22"/>
          <w:lang w:val="sr-Latn-ME"/>
        </w:rPr>
        <w:t xml:space="preserve"> koje su imale T skor MGK ispod -2,5 prije početka terapije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58"/>
        <w:gridCol w:w="2500"/>
        <w:gridCol w:w="2693"/>
      </w:tblGrid>
      <w:tr w:rsidR="002E634B" w:rsidRPr="0093403C" w14:paraId="56A296A6" w14:textId="77777777" w:rsidTr="00BD1DEA">
        <w:tc>
          <w:tcPr>
            <w:tcW w:w="4158" w:type="dxa"/>
            <w:shd w:val="clear" w:color="auto" w:fill="auto"/>
          </w:tcPr>
          <w:p w14:paraId="3143DFE7" w14:textId="77777777" w:rsidR="002E634B" w:rsidRPr="0093403C" w:rsidRDefault="002E634B" w:rsidP="007C5B43">
            <w:pPr>
              <w:jc w:val="both"/>
              <w:rPr>
                <w:sz w:val="22"/>
                <w:szCs w:val="22"/>
                <w:lang w:val="sr-Latn-ME"/>
              </w:rPr>
            </w:pPr>
          </w:p>
        </w:tc>
        <w:tc>
          <w:tcPr>
            <w:tcW w:w="2500" w:type="dxa"/>
            <w:shd w:val="clear" w:color="auto" w:fill="auto"/>
          </w:tcPr>
          <w:p w14:paraId="13F163D5" w14:textId="77777777" w:rsidR="002E634B" w:rsidRPr="0093403C" w:rsidRDefault="002E634B" w:rsidP="007C5B43">
            <w:pPr>
              <w:jc w:val="both"/>
              <w:rPr>
                <w:sz w:val="22"/>
                <w:szCs w:val="22"/>
                <w:lang w:val="sr-Latn-ME"/>
              </w:rPr>
            </w:pPr>
            <w:proofErr w:type="spellStart"/>
            <w:r w:rsidRPr="0093403C">
              <w:rPr>
                <w:sz w:val="22"/>
                <w:szCs w:val="22"/>
                <w:lang w:val="sr-Latn-ME"/>
              </w:rPr>
              <w:t>Placebo</w:t>
            </w:r>
            <w:proofErr w:type="spellEnd"/>
            <w:r w:rsidRPr="0093403C">
              <w:rPr>
                <w:sz w:val="22"/>
                <w:szCs w:val="22"/>
                <w:lang w:val="sr-Latn-ME"/>
              </w:rPr>
              <w:t xml:space="preserve"> (N=587)</w:t>
            </w:r>
          </w:p>
        </w:tc>
        <w:tc>
          <w:tcPr>
            <w:tcW w:w="2693" w:type="dxa"/>
            <w:shd w:val="clear" w:color="auto" w:fill="auto"/>
          </w:tcPr>
          <w:p w14:paraId="2E8F9DB9" w14:textId="77777777" w:rsidR="002E634B" w:rsidRPr="0093403C" w:rsidRDefault="002E634B" w:rsidP="007C5B43">
            <w:pPr>
              <w:jc w:val="both"/>
              <w:rPr>
                <w:sz w:val="22"/>
                <w:szCs w:val="22"/>
                <w:lang w:val="sr-Latn-ME"/>
              </w:rPr>
            </w:pPr>
            <w:proofErr w:type="spellStart"/>
            <w:r w:rsidRPr="0093403C">
              <w:rPr>
                <w:sz w:val="22"/>
                <w:szCs w:val="22"/>
                <w:lang w:val="sr-Latn-ME"/>
              </w:rPr>
              <w:t>Bonviva</w:t>
            </w:r>
            <w:proofErr w:type="spellEnd"/>
            <w:r w:rsidRPr="0093403C">
              <w:rPr>
                <w:sz w:val="22"/>
                <w:szCs w:val="22"/>
                <w:lang w:val="sr-Latn-ME"/>
              </w:rPr>
              <w:t xml:space="preserve"> 2,5 mg jednom dnevno (N=575)</w:t>
            </w:r>
          </w:p>
        </w:tc>
      </w:tr>
      <w:tr w:rsidR="002E634B" w:rsidRPr="0093403C" w14:paraId="3BE46ADA" w14:textId="77777777" w:rsidTr="00BD1DEA">
        <w:tc>
          <w:tcPr>
            <w:tcW w:w="4158" w:type="dxa"/>
            <w:shd w:val="clear" w:color="auto" w:fill="auto"/>
          </w:tcPr>
          <w:p w14:paraId="367A5358" w14:textId="77777777" w:rsidR="002E634B" w:rsidRPr="0093403C" w:rsidRDefault="002E634B" w:rsidP="007C5B43">
            <w:pPr>
              <w:jc w:val="both"/>
              <w:rPr>
                <w:sz w:val="22"/>
                <w:szCs w:val="22"/>
                <w:lang w:val="sr-Latn-ME"/>
              </w:rPr>
            </w:pPr>
            <w:r w:rsidRPr="0093403C">
              <w:rPr>
                <w:sz w:val="22"/>
                <w:szCs w:val="22"/>
                <w:lang w:val="sr-Latn-ME"/>
              </w:rPr>
              <w:t>Relativno smanjenje rizika</w:t>
            </w:r>
          </w:p>
          <w:p w14:paraId="0DDC262C" w14:textId="77777777" w:rsidR="002E634B" w:rsidRPr="0093403C" w:rsidRDefault="002E634B" w:rsidP="007C5B43">
            <w:pPr>
              <w:jc w:val="both"/>
              <w:rPr>
                <w:sz w:val="22"/>
                <w:szCs w:val="22"/>
                <w:lang w:val="sr-Latn-ME"/>
              </w:rPr>
            </w:pPr>
            <w:r w:rsidRPr="0093403C">
              <w:rPr>
                <w:sz w:val="22"/>
                <w:szCs w:val="22"/>
                <w:lang w:val="sr-Latn-ME"/>
              </w:rPr>
              <w:t xml:space="preserve">Nove </w:t>
            </w:r>
            <w:proofErr w:type="spellStart"/>
            <w:r w:rsidRPr="0093403C">
              <w:rPr>
                <w:sz w:val="22"/>
                <w:szCs w:val="22"/>
                <w:lang w:val="sr-Latn-ME"/>
              </w:rPr>
              <w:t>morfometrijske</w:t>
            </w:r>
            <w:proofErr w:type="spellEnd"/>
            <w:r w:rsidRPr="0093403C">
              <w:rPr>
                <w:sz w:val="22"/>
                <w:szCs w:val="22"/>
                <w:lang w:val="sr-Latn-ME"/>
              </w:rPr>
              <w:t xml:space="preserve"> </w:t>
            </w:r>
            <w:proofErr w:type="spellStart"/>
            <w:r w:rsidRPr="0093403C">
              <w:rPr>
                <w:sz w:val="22"/>
                <w:szCs w:val="22"/>
                <w:lang w:val="sr-Latn-ME"/>
              </w:rPr>
              <w:t>vertebralne</w:t>
            </w:r>
            <w:proofErr w:type="spellEnd"/>
            <w:r w:rsidRPr="0093403C">
              <w:rPr>
                <w:sz w:val="22"/>
                <w:szCs w:val="22"/>
                <w:lang w:val="sr-Latn-ME"/>
              </w:rPr>
              <w:t xml:space="preserve"> frakture</w:t>
            </w:r>
          </w:p>
        </w:tc>
        <w:tc>
          <w:tcPr>
            <w:tcW w:w="2500" w:type="dxa"/>
            <w:shd w:val="clear" w:color="auto" w:fill="auto"/>
          </w:tcPr>
          <w:p w14:paraId="51B1193C" w14:textId="77777777" w:rsidR="002E634B" w:rsidRPr="0093403C" w:rsidRDefault="002E634B" w:rsidP="007C5B43">
            <w:pPr>
              <w:jc w:val="both"/>
              <w:rPr>
                <w:sz w:val="22"/>
                <w:szCs w:val="22"/>
                <w:lang w:val="sr-Latn-ME"/>
              </w:rPr>
            </w:pPr>
          </w:p>
        </w:tc>
        <w:tc>
          <w:tcPr>
            <w:tcW w:w="2693" w:type="dxa"/>
            <w:shd w:val="clear" w:color="auto" w:fill="auto"/>
          </w:tcPr>
          <w:p w14:paraId="1221F5EE" w14:textId="77777777" w:rsidR="002E634B" w:rsidRPr="0093403C" w:rsidRDefault="002E634B" w:rsidP="007C5B43">
            <w:pPr>
              <w:jc w:val="both"/>
              <w:rPr>
                <w:sz w:val="22"/>
                <w:szCs w:val="22"/>
                <w:lang w:val="sr-Latn-ME"/>
              </w:rPr>
            </w:pPr>
            <w:r w:rsidRPr="0093403C">
              <w:rPr>
                <w:sz w:val="22"/>
                <w:szCs w:val="22"/>
                <w:lang w:val="sr-Latn-ME"/>
              </w:rPr>
              <w:t>59% (34,5; 74,3)</w:t>
            </w:r>
          </w:p>
        </w:tc>
      </w:tr>
      <w:tr w:rsidR="002E634B" w:rsidRPr="0093403C" w14:paraId="5BDE2461" w14:textId="77777777" w:rsidTr="00BD1DEA">
        <w:tc>
          <w:tcPr>
            <w:tcW w:w="4158" w:type="dxa"/>
            <w:shd w:val="clear" w:color="auto" w:fill="auto"/>
          </w:tcPr>
          <w:p w14:paraId="44E3FA4C" w14:textId="77777777" w:rsidR="002E634B" w:rsidRPr="0093403C" w:rsidRDefault="002E634B" w:rsidP="007C5B43">
            <w:pPr>
              <w:jc w:val="both"/>
              <w:rPr>
                <w:sz w:val="22"/>
                <w:szCs w:val="22"/>
                <w:lang w:val="sr-Latn-ME"/>
              </w:rPr>
            </w:pPr>
            <w:proofErr w:type="spellStart"/>
            <w:r w:rsidRPr="0093403C">
              <w:rPr>
                <w:sz w:val="22"/>
                <w:szCs w:val="22"/>
                <w:lang w:val="sr-Latn-ME"/>
              </w:rPr>
              <w:t>Incidencija</w:t>
            </w:r>
            <w:proofErr w:type="spellEnd"/>
            <w:r w:rsidRPr="0093403C">
              <w:rPr>
                <w:sz w:val="22"/>
                <w:szCs w:val="22"/>
                <w:lang w:val="sr-Latn-ME"/>
              </w:rPr>
              <w:t xml:space="preserve"> novih </w:t>
            </w:r>
            <w:proofErr w:type="spellStart"/>
            <w:r w:rsidRPr="0093403C">
              <w:rPr>
                <w:sz w:val="22"/>
                <w:szCs w:val="22"/>
                <w:lang w:val="sr-Latn-ME"/>
              </w:rPr>
              <w:t>morfometrijskih</w:t>
            </w:r>
            <w:proofErr w:type="spellEnd"/>
            <w:r w:rsidRPr="0093403C">
              <w:rPr>
                <w:sz w:val="22"/>
                <w:szCs w:val="22"/>
                <w:lang w:val="sr-Latn-ME"/>
              </w:rPr>
              <w:t xml:space="preserve"> </w:t>
            </w:r>
            <w:proofErr w:type="spellStart"/>
            <w:r w:rsidRPr="0093403C">
              <w:rPr>
                <w:sz w:val="22"/>
                <w:szCs w:val="22"/>
                <w:lang w:val="sr-Latn-ME"/>
              </w:rPr>
              <w:t>vertebralnih</w:t>
            </w:r>
            <w:proofErr w:type="spellEnd"/>
            <w:r w:rsidRPr="0093403C">
              <w:rPr>
                <w:sz w:val="22"/>
                <w:szCs w:val="22"/>
                <w:lang w:val="sr-Latn-ME"/>
              </w:rPr>
              <w:t xml:space="preserve"> </w:t>
            </w:r>
            <w:proofErr w:type="spellStart"/>
            <w:r w:rsidRPr="0093403C">
              <w:rPr>
                <w:sz w:val="22"/>
                <w:szCs w:val="22"/>
                <w:lang w:val="sr-Latn-ME"/>
              </w:rPr>
              <w:t>preloma</w:t>
            </w:r>
            <w:proofErr w:type="spellEnd"/>
          </w:p>
        </w:tc>
        <w:tc>
          <w:tcPr>
            <w:tcW w:w="2500" w:type="dxa"/>
            <w:shd w:val="clear" w:color="auto" w:fill="auto"/>
          </w:tcPr>
          <w:p w14:paraId="79060BEC" w14:textId="77777777" w:rsidR="002E634B" w:rsidRPr="0093403C" w:rsidRDefault="002E634B" w:rsidP="007C5B43">
            <w:pPr>
              <w:jc w:val="both"/>
              <w:rPr>
                <w:sz w:val="22"/>
                <w:szCs w:val="22"/>
                <w:lang w:val="sr-Latn-ME"/>
              </w:rPr>
            </w:pPr>
            <w:r w:rsidRPr="0093403C">
              <w:rPr>
                <w:sz w:val="22"/>
                <w:szCs w:val="22"/>
                <w:lang w:val="sr-Latn-ME"/>
              </w:rPr>
              <w:t>12,54% (9,53; 15,55)</w:t>
            </w:r>
          </w:p>
        </w:tc>
        <w:tc>
          <w:tcPr>
            <w:tcW w:w="2693" w:type="dxa"/>
            <w:shd w:val="clear" w:color="auto" w:fill="auto"/>
          </w:tcPr>
          <w:p w14:paraId="78046686" w14:textId="77777777" w:rsidR="002E634B" w:rsidRPr="0093403C" w:rsidRDefault="002E634B" w:rsidP="007C5B43">
            <w:pPr>
              <w:jc w:val="both"/>
              <w:rPr>
                <w:sz w:val="22"/>
                <w:szCs w:val="22"/>
                <w:lang w:val="sr-Latn-ME"/>
              </w:rPr>
            </w:pPr>
            <w:r w:rsidRPr="0093403C">
              <w:rPr>
                <w:sz w:val="22"/>
                <w:szCs w:val="22"/>
                <w:lang w:val="sr-Latn-ME"/>
              </w:rPr>
              <w:t>5,36% (3,31; 7,41)</w:t>
            </w:r>
          </w:p>
        </w:tc>
      </w:tr>
      <w:tr w:rsidR="002E634B" w:rsidRPr="0093403C" w14:paraId="05DA9A89" w14:textId="77777777" w:rsidTr="00BD1DEA">
        <w:tc>
          <w:tcPr>
            <w:tcW w:w="4158" w:type="dxa"/>
            <w:shd w:val="clear" w:color="auto" w:fill="auto"/>
          </w:tcPr>
          <w:p w14:paraId="74268742" w14:textId="77777777" w:rsidR="002E634B" w:rsidRPr="0093403C" w:rsidRDefault="002E634B" w:rsidP="007C5B43">
            <w:pPr>
              <w:jc w:val="both"/>
              <w:rPr>
                <w:sz w:val="22"/>
                <w:szCs w:val="22"/>
                <w:lang w:val="sr-Latn-ME"/>
              </w:rPr>
            </w:pPr>
            <w:r w:rsidRPr="0093403C">
              <w:rPr>
                <w:sz w:val="22"/>
                <w:szCs w:val="22"/>
                <w:lang w:val="sr-Latn-ME"/>
              </w:rPr>
              <w:t xml:space="preserve">Relativno smanjenje rizika od kliničkih </w:t>
            </w:r>
            <w:proofErr w:type="spellStart"/>
            <w:r w:rsidRPr="0093403C">
              <w:rPr>
                <w:sz w:val="22"/>
                <w:szCs w:val="22"/>
                <w:lang w:val="sr-Latn-ME"/>
              </w:rPr>
              <w:t>vertebralnih</w:t>
            </w:r>
            <w:proofErr w:type="spellEnd"/>
            <w:r w:rsidRPr="0093403C">
              <w:rPr>
                <w:sz w:val="22"/>
                <w:szCs w:val="22"/>
                <w:lang w:val="sr-Latn-ME"/>
              </w:rPr>
              <w:t xml:space="preserve"> </w:t>
            </w:r>
            <w:proofErr w:type="spellStart"/>
            <w:r w:rsidRPr="0093403C">
              <w:rPr>
                <w:sz w:val="22"/>
                <w:szCs w:val="22"/>
                <w:lang w:val="sr-Latn-ME"/>
              </w:rPr>
              <w:t>preloma</w:t>
            </w:r>
            <w:proofErr w:type="spellEnd"/>
          </w:p>
        </w:tc>
        <w:tc>
          <w:tcPr>
            <w:tcW w:w="2500" w:type="dxa"/>
            <w:shd w:val="clear" w:color="auto" w:fill="auto"/>
          </w:tcPr>
          <w:p w14:paraId="051FF002" w14:textId="77777777" w:rsidR="002E634B" w:rsidRPr="0093403C" w:rsidRDefault="002E634B" w:rsidP="007C5B43">
            <w:pPr>
              <w:jc w:val="both"/>
              <w:rPr>
                <w:sz w:val="22"/>
                <w:szCs w:val="22"/>
                <w:lang w:val="sr-Latn-ME"/>
              </w:rPr>
            </w:pPr>
          </w:p>
        </w:tc>
        <w:tc>
          <w:tcPr>
            <w:tcW w:w="2693" w:type="dxa"/>
            <w:shd w:val="clear" w:color="auto" w:fill="auto"/>
          </w:tcPr>
          <w:p w14:paraId="3547281C" w14:textId="77777777" w:rsidR="002E634B" w:rsidRPr="0093403C" w:rsidRDefault="002E634B" w:rsidP="007C5B43">
            <w:pPr>
              <w:jc w:val="both"/>
              <w:rPr>
                <w:sz w:val="22"/>
                <w:szCs w:val="22"/>
                <w:lang w:val="sr-Latn-ME"/>
              </w:rPr>
            </w:pPr>
            <w:r w:rsidRPr="0093403C">
              <w:rPr>
                <w:sz w:val="22"/>
                <w:szCs w:val="22"/>
                <w:lang w:val="sr-Latn-ME"/>
              </w:rPr>
              <w:t>50% (9,49; 71,91)</w:t>
            </w:r>
          </w:p>
        </w:tc>
      </w:tr>
      <w:tr w:rsidR="002E634B" w:rsidRPr="0093403C" w14:paraId="63DD8B3F" w14:textId="77777777" w:rsidTr="00BD1DEA">
        <w:tc>
          <w:tcPr>
            <w:tcW w:w="4158" w:type="dxa"/>
            <w:shd w:val="clear" w:color="auto" w:fill="auto"/>
          </w:tcPr>
          <w:p w14:paraId="2E671D83" w14:textId="77777777" w:rsidR="002E634B" w:rsidRPr="0093403C" w:rsidRDefault="002E634B" w:rsidP="007C5B43">
            <w:pPr>
              <w:jc w:val="both"/>
              <w:rPr>
                <w:sz w:val="22"/>
                <w:szCs w:val="22"/>
                <w:lang w:val="sr-Latn-ME"/>
              </w:rPr>
            </w:pPr>
            <w:proofErr w:type="spellStart"/>
            <w:r w:rsidRPr="0093403C">
              <w:rPr>
                <w:sz w:val="22"/>
                <w:szCs w:val="22"/>
                <w:lang w:val="sr-Latn-ME"/>
              </w:rPr>
              <w:t>Incidencija</w:t>
            </w:r>
            <w:proofErr w:type="spellEnd"/>
            <w:r w:rsidRPr="0093403C">
              <w:rPr>
                <w:sz w:val="22"/>
                <w:szCs w:val="22"/>
                <w:lang w:val="sr-Latn-ME"/>
              </w:rPr>
              <w:t xml:space="preserve"> kliničkih </w:t>
            </w:r>
            <w:proofErr w:type="spellStart"/>
            <w:r w:rsidRPr="0093403C">
              <w:rPr>
                <w:sz w:val="22"/>
                <w:szCs w:val="22"/>
                <w:lang w:val="sr-Latn-ME"/>
              </w:rPr>
              <w:t>vertebralnih</w:t>
            </w:r>
            <w:proofErr w:type="spellEnd"/>
            <w:r w:rsidRPr="0093403C">
              <w:rPr>
                <w:sz w:val="22"/>
                <w:szCs w:val="22"/>
                <w:lang w:val="sr-Latn-ME"/>
              </w:rPr>
              <w:t xml:space="preserve"> </w:t>
            </w:r>
            <w:proofErr w:type="spellStart"/>
            <w:r w:rsidRPr="0093403C">
              <w:rPr>
                <w:sz w:val="22"/>
                <w:szCs w:val="22"/>
                <w:lang w:val="sr-Latn-ME"/>
              </w:rPr>
              <w:t>preloma</w:t>
            </w:r>
            <w:proofErr w:type="spellEnd"/>
          </w:p>
        </w:tc>
        <w:tc>
          <w:tcPr>
            <w:tcW w:w="2500" w:type="dxa"/>
            <w:shd w:val="clear" w:color="auto" w:fill="auto"/>
          </w:tcPr>
          <w:p w14:paraId="44E3F6B8" w14:textId="77777777" w:rsidR="002E634B" w:rsidRPr="0093403C" w:rsidRDefault="002E634B" w:rsidP="007C5B43">
            <w:pPr>
              <w:jc w:val="both"/>
              <w:rPr>
                <w:sz w:val="22"/>
                <w:szCs w:val="22"/>
                <w:lang w:val="sr-Latn-ME"/>
              </w:rPr>
            </w:pPr>
            <w:r w:rsidRPr="0093403C">
              <w:rPr>
                <w:sz w:val="22"/>
                <w:szCs w:val="22"/>
                <w:lang w:val="sr-Latn-ME"/>
              </w:rPr>
              <w:t>6,97% (4,67; 9,27)</w:t>
            </w:r>
          </w:p>
        </w:tc>
        <w:tc>
          <w:tcPr>
            <w:tcW w:w="2693" w:type="dxa"/>
            <w:shd w:val="clear" w:color="auto" w:fill="auto"/>
          </w:tcPr>
          <w:p w14:paraId="787CB94C" w14:textId="77777777" w:rsidR="002E634B" w:rsidRPr="0093403C" w:rsidRDefault="002E634B" w:rsidP="007C5B43">
            <w:pPr>
              <w:jc w:val="both"/>
              <w:rPr>
                <w:sz w:val="22"/>
                <w:szCs w:val="22"/>
                <w:lang w:val="sr-Latn-ME"/>
              </w:rPr>
            </w:pPr>
            <w:r w:rsidRPr="0093403C">
              <w:rPr>
                <w:sz w:val="22"/>
                <w:szCs w:val="22"/>
                <w:lang w:val="sr-Latn-ME"/>
              </w:rPr>
              <w:t>3,57% (1,89; 5,24)</w:t>
            </w:r>
          </w:p>
        </w:tc>
      </w:tr>
      <w:tr w:rsidR="002E634B" w:rsidRPr="0093403C" w14:paraId="299A1B34" w14:textId="77777777" w:rsidTr="00BD1DEA">
        <w:tc>
          <w:tcPr>
            <w:tcW w:w="4158" w:type="dxa"/>
            <w:shd w:val="clear" w:color="auto" w:fill="auto"/>
          </w:tcPr>
          <w:p w14:paraId="4533ECCB" w14:textId="77777777" w:rsidR="002E634B" w:rsidRPr="0093403C" w:rsidRDefault="002E634B" w:rsidP="007C5B43">
            <w:pPr>
              <w:jc w:val="both"/>
              <w:rPr>
                <w:sz w:val="22"/>
                <w:szCs w:val="22"/>
                <w:lang w:val="sr-Latn-ME"/>
              </w:rPr>
            </w:pPr>
            <w:r w:rsidRPr="0093403C">
              <w:rPr>
                <w:sz w:val="22"/>
                <w:szCs w:val="22"/>
                <w:lang w:val="sr-Latn-ME"/>
              </w:rPr>
              <w:t xml:space="preserve">MGK – srednja promjena u odnosu na </w:t>
            </w:r>
            <w:proofErr w:type="spellStart"/>
            <w:r w:rsidRPr="0093403C">
              <w:rPr>
                <w:sz w:val="22"/>
                <w:szCs w:val="22"/>
                <w:lang w:val="sr-Latn-ME"/>
              </w:rPr>
              <w:t>bazalnu</w:t>
            </w:r>
            <w:proofErr w:type="spellEnd"/>
            <w:r w:rsidRPr="0093403C">
              <w:rPr>
                <w:sz w:val="22"/>
                <w:szCs w:val="22"/>
                <w:lang w:val="sr-Latn-ME"/>
              </w:rPr>
              <w:t xml:space="preserve"> vrijednost lumbalne kičme poslije 3 godine</w:t>
            </w:r>
          </w:p>
        </w:tc>
        <w:tc>
          <w:tcPr>
            <w:tcW w:w="2500" w:type="dxa"/>
            <w:shd w:val="clear" w:color="auto" w:fill="auto"/>
          </w:tcPr>
          <w:p w14:paraId="740FF9B7" w14:textId="77777777" w:rsidR="002E634B" w:rsidRPr="0093403C" w:rsidRDefault="002E634B" w:rsidP="007C5B43">
            <w:pPr>
              <w:jc w:val="both"/>
              <w:rPr>
                <w:sz w:val="22"/>
                <w:szCs w:val="22"/>
                <w:lang w:val="sr-Latn-ME"/>
              </w:rPr>
            </w:pPr>
            <w:r w:rsidRPr="0093403C">
              <w:rPr>
                <w:sz w:val="22"/>
                <w:szCs w:val="22"/>
                <w:lang w:val="sr-Latn-ME"/>
              </w:rPr>
              <w:t>1,13% (0,6; 1,7)</w:t>
            </w:r>
          </w:p>
        </w:tc>
        <w:tc>
          <w:tcPr>
            <w:tcW w:w="2693" w:type="dxa"/>
            <w:shd w:val="clear" w:color="auto" w:fill="auto"/>
          </w:tcPr>
          <w:p w14:paraId="23EBD6BF" w14:textId="77777777" w:rsidR="002E634B" w:rsidRPr="0093403C" w:rsidRDefault="002E634B" w:rsidP="007C5B43">
            <w:pPr>
              <w:jc w:val="both"/>
              <w:rPr>
                <w:sz w:val="22"/>
                <w:szCs w:val="22"/>
                <w:lang w:val="sr-Latn-ME"/>
              </w:rPr>
            </w:pPr>
            <w:r w:rsidRPr="0093403C">
              <w:rPr>
                <w:sz w:val="22"/>
                <w:szCs w:val="22"/>
                <w:lang w:val="sr-Latn-ME"/>
              </w:rPr>
              <w:t>7,01% (6,5; 7,6)</w:t>
            </w:r>
          </w:p>
        </w:tc>
      </w:tr>
      <w:tr w:rsidR="002E634B" w:rsidRPr="0093403C" w14:paraId="68B9170B" w14:textId="77777777" w:rsidTr="00BD1DEA">
        <w:tc>
          <w:tcPr>
            <w:tcW w:w="4158" w:type="dxa"/>
            <w:shd w:val="clear" w:color="auto" w:fill="auto"/>
          </w:tcPr>
          <w:p w14:paraId="18126E1D" w14:textId="77777777" w:rsidR="002E634B" w:rsidRPr="0093403C" w:rsidRDefault="002E634B" w:rsidP="007C5B43">
            <w:pPr>
              <w:jc w:val="both"/>
              <w:rPr>
                <w:sz w:val="22"/>
                <w:szCs w:val="22"/>
                <w:lang w:val="sr-Latn-ME"/>
              </w:rPr>
            </w:pPr>
            <w:r w:rsidRPr="0093403C">
              <w:rPr>
                <w:sz w:val="22"/>
                <w:szCs w:val="22"/>
                <w:lang w:val="sr-Latn-ME"/>
              </w:rPr>
              <w:t xml:space="preserve">MGK – srednja promjena u odnosu na </w:t>
            </w:r>
            <w:proofErr w:type="spellStart"/>
            <w:r w:rsidRPr="0093403C">
              <w:rPr>
                <w:sz w:val="22"/>
                <w:szCs w:val="22"/>
                <w:lang w:val="sr-Latn-ME"/>
              </w:rPr>
              <w:t>bazalnu</w:t>
            </w:r>
            <w:proofErr w:type="spellEnd"/>
            <w:r w:rsidRPr="0093403C">
              <w:rPr>
                <w:sz w:val="22"/>
                <w:szCs w:val="22"/>
                <w:lang w:val="sr-Latn-ME"/>
              </w:rPr>
              <w:t xml:space="preserve"> vrijednost cijelog kuka poslije 3 godine</w:t>
            </w:r>
          </w:p>
        </w:tc>
        <w:tc>
          <w:tcPr>
            <w:tcW w:w="2500" w:type="dxa"/>
            <w:shd w:val="clear" w:color="auto" w:fill="auto"/>
          </w:tcPr>
          <w:p w14:paraId="1617084F" w14:textId="77777777" w:rsidR="002E634B" w:rsidRPr="0093403C" w:rsidRDefault="002E634B" w:rsidP="007C5B43">
            <w:pPr>
              <w:jc w:val="both"/>
              <w:rPr>
                <w:sz w:val="22"/>
                <w:szCs w:val="22"/>
                <w:lang w:val="sr-Latn-ME"/>
              </w:rPr>
            </w:pPr>
            <w:r w:rsidRPr="0093403C">
              <w:rPr>
                <w:sz w:val="22"/>
                <w:szCs w:val="22"/>
                <w:lang w:val="sr-Latn-ME"/>
              </w:rPr>
              <w:t>-0,70% (-1,1; -0,2)</w:t>
            </w:r>
          </w:p>
        </w:tc>
        <w:tc>
          <w:tcPr>
            <w:tcW w:w="2693" w:type="dxa"/>
            <w:shd w:val="clear" w:color="auto" w:fill="auto"/>
          </w:tcPr>
          <w:p w14:paraId="0CA673E7" w14:textId="77777777" w:rsidR="002E634B" w:rsidRPr="0093403C" w:rsidRDefault="002E634B" w:rsidP="007C5B43">
            <w:pPr>
              <w:jc w:val="both"/>
              <w:rPr>
                <w:sz w:val="22"/>
                <w:szCs w:val="22"/>
                <w:lang w:val="sr-Latn-ME"/>
              </w:rPr>
            </w:pPr>
            <w:r w:rsidRPr="0093403C">
              <w:rPr>
                <w:sz w:val="22"/>
                <w:szCs w:val="22"/>
                <w:lang w:val="sr-Latn-ME"/>
              </w:rPr>
              <w:t>3,59% (3,1; 4,1)</w:t>
            </w:r>
          </w:p>
        </w:tc>
      </w:tr>
    </w:tbl>
    <w:p w14:paraId="6CF37229" w14:textId="77777777" w:rsidR="002E634B" w:rsidRPr="0093403C" w:rsidRDefault="002E634B" w:rsidP="007C5B43">
      <w:pPr>
        <w:tabs>
          <w:tab w:val="left" w:pos="540"/>
          <w:tab w:val="left" w:pos="569"/>
        </w:tabs>
        <w:jc w:val="both"/>
        <w:rPr>
          <w:b/>
          <w:bCs/>
          <w:sz w:val="22"/>
          <w:szCs w:val="22"/>
          <w:lang w:val="sr-Latn-ME"/>
        </w:rPr>
      </w:pPr>
    </w:p>
    <w:p w14:paraId="7621E30F" w14:textId="77777777" w:rsidR="002E634B" w:rsidRPr="0093403C" w:rsidRDefault="002E634B" w:rsidP="007C5B43">
      <w:pPr>
        <w:jc w:val="both"/>
        <w:rPr>
          <w:sz w:val="22"/>
          <w:szCs w:val="22"/>
          <w:lang w:val="sr-Latn-ME"/>
        </w:rPr>
      </w:pPr>
      <w:r w:rsidRPr="0093403C">
        <w:rPr>
          <w:sz w:val="22"/>
          <w:szCs w:val="22"/>
          <w:lang w:val="sr-Latn-ME"/>
        </w:rPr>
        <w:t>Nije zabilježeno smanjenje ne-</w:t>
      </w:r>
      <w:proofErr w:type="spellStart"/>
      <w:r w:rsidRPr="0093403C">
        <w:rPr>
          <w:sz w:val="22"/>
          <w:szCs w:val="22"/>
          <w:lang w:val="sr-Latn-ME"/>
        </w:rPr>
        <w:t>vertebralnih</w:t>
      </w:r>
      <w:proofErr w:type="spellEnd"/>
      <w:r w:rsidRPr="0093403C">
        <w:rPr>
          <w:sz w:val="22"/>
          <w:szCs w:val="22"/>
          <w:lang w:val="sr-Latn-ME"/>
        </w:rPr>
        <w:t xml:space="preserve"> </w:t>
      </w:r>
      <w:proofErr w:type="spellStart"/>
      <w:r w:rsidRPr="0093403C">
        <w:rPr>
          <w:sz w:val="22"/>
          <w:szCs w:val="22"/>
          <w:lang w:val="sr-Latn-ME"/>
        </w:rPr>
        <w:t>preloma</w:t>
      </w:r>
      <w:proofErr w:type="spellEnd"/>
      <w:r w:rsidRPr="0093403C">
        <w:rPr>
          <w:sz w:val="22"/>
          <w:szCs w:val="22"/>
          <w:lang w:val="sr-Latn-ME"/>
        </w:rPr>
        <w:t xml:space="preserve"> ili </w:t>
      </w:r>
      <w:proofErr w:type="spellStart"/>
      <w:r w:rsidRPr="0093403C">
        <w:rPr>
          <w:sz w:val="22"/>
          <w:szCs w:val="22"/>
          <w:lang w:val="sr-Latn-ME"/>
        </w:rPr>
        <w:t>preloma</w:t>
      </w:r>
      <w:proofErr w:type="spellEnd"/>
      <w:r w:rsidRPr="0093403C">
        <w:rPr>
          <w:sz w:val="22"/>
          <w:szCs w:val="22"/>
          <w:lang w:val="sr-Latn-ME"/>
        </w:rPr>
        <w:t xml:space="preserve"> vrata </w:t>
      </w:r>
      <w:proofErr w:type="spellStart"/>
      <w:r w:rsidRPr="0093403C">
        <w:rPr>
          <w:sz w:val="22"/>
          <w:szCs w:val="22"/>
          <w:lang w:val="sr-Latn-ME"/>
        </w:rPr>
        <w:t>femura</w:t>
      </w:r>
      <w:proofErr w:type="spellEnd"/>
      <w:r w:rsidRPr="0093403C">
        <w:rPr>
          <w:sz w:val="22"/>
          <w:szCs w:val="22"/>
          <w:lang w:val="sr-Latn-ME"/>
        </w:rPr>
        <w:t xml:space="preserve"> u ovoj studiji ukupnoj populaciji pacijenata  studije MF4411. Međutim, pokazalo se da je svakodnevno davanje </w:t>
      </w:r>
      <w:proofErr w:type="spellStart"/>
      <w:r w:rsidRPr="0093403C">
        <w:rPr>
          <w:sz w:val="22"/>
          <w:szCs w:val="22"/>
          <w:lang w:val="sr-Latn-ME"/>
        </w:rPr>
        <w:t>ibandronata</w:t>
      </w:r>
      <w:proofErr w:type="spellEnd"/>
      <w:r w:rsidRPr="0093403C">
        <w:rPr>
          <w:sz w:val="22"/>
          <w:szCs w:val="22"/>
          <w:lang w:val="sr-Latn-ME"/>
        </w:rPr>
        <w:t xml:space="preserve"> efikasno u visoko-rizičnoj </w:t>
      </w:r>
      <w:proofErr w:type="spellStart"/>
      <w:r w:rsidRPr="0093403C">
        <w:rPr>
          <w:sz w:val="22"/>
          <w:szCs w:val="22"/>
          <w:lang w:val="sr-Latn-ME"/>
        </w:rPr>
        <w:t>subpopulaciji</w:t>
      </w:r>
      <w:proofErr w:type="spellEnd"/>
      <w:r w:rsidRPr="0093403C">
        <w:rPr>
          <w:sz w:val="22"/>
          <w:szCs w:val="22"/>
          <w:lang w:val="sr-Latn-ME"/>
        </w:rPr>
        <w:t xml:space="preserve"> (</w:t>
      </w:r>
      <w:proofErr w:type="spellStart"/>
      <w:r w:rsidRPr="0093403C">
        <w:rPr>
          <w:sz w:val="22"/>
          <w:szCs w:val="22"/>
          <w:lang w:val="sr-Latn-ME"/>
        </w:rPr>
        <w:t>MGK</w:t>
      </w:r>
      <w:proofErr w:type="spellEnd"/>
      <w:r w:rsidRPr="0093403C">
        <w:rPr>
          <w:sz w:val="22"/>
          <w:szCs w:val="22"/>
          <w:lang w:val="sr-Latn-ME"/>
        </w:rPr>
        <w:t xml:space="preserve"> vrata </w:t>
      </w:r>
      <w:proofErr w:type="spellStart"/>
      <w:r w:rsidRPr="0093403C">
        <w:rPr>
          <w:sz w:val="22"/>
          <w:szCs w:val="22"/>
          <w:lang w:val="sr-Latn-ME"/>
        </w:rPr>
        <w:t>femura</w:t>
      </w:r>
      <w:proofErr w:type="spellEnd"/>
      <w:r w:rsidRPr="0093403C">
        <w:rPr>
          <w:sz w:val="22"/>
          <w:szCs w:val="22"/>
          <w:lang w:val="sr-Latn-ME"/>
        </w:rPr>
        <w:t>, T-skor &lt; -3.0), gdje je zabilježeno smanjenje rizika od fraktura na ne-</w:t>
      </w:r>
      <w:proofErr w:type="spellStart"/>
      <w:r w:rsidRPr="0093403C">
        <w:rPr>
          <w:sz w:val="22"/>
          <w:szCs w:val="22"/>
          <w:lang w:val="sr-Latn-ME"/>
        </w:rPr>
        <w:t>vertebralnim</w:t>
      </w:r>
      <w:proofErr w:type="spellEnd"/>
      <w:r w:rsidRPr="0093403C">
        <w:rPr>
          <w:sz w:val="22"/>
          <w:szCs w:val="22"/>
          <w:lang w:val="sr-Latn-ME"/>
        </w:rPr>
        <w:t xml:space="preserve"> lokacijama od  69%.  </w:t>
      </w:r>
    </w:p>
    <w:p w14:paraId="0D10B65B" w14:textId="77777777" w:rsidR="002E634B" w:rsidRPr="0093403C" w:rsidRDefault="002E634B" w:rsidP="007C5B43">
      <w:pPr>
        <w:jc w:val="both"/>
        <w:rPr>
          <w:sz w:val="22"/>
          <w:szCs w:val="22"/>
          <w:lang w:val="sr-Latn-ME"/>
        </w:rPr>
      </w:pPr>
    </w:p>
    <w:p w14:paraId="553076EE" w14:textId="77777777" w:rsidR="002E634B" w:rsidRPr="0093403C" w:rsidRDefault="002E634B" w:rsidP="007C5B43">
      <w:pPr>
        <w:jc w:val="both"/>
        <w:rPr>
          <w:sz w:val="22"/>
          <w:szCs w:val="22"/>
          <w:lang w:val="sr-Latn-ME"/>
        </w:rPr>
      </w:pPr>
      <w:r w:rsidRPr="0093403C">
        <w:rPr>
          <w:sz w:val="22"/>
          <w:szCs w:val="22"/>
          <w:lang w:val="sr-Latn-ME"/>
        </w:rPr>
        <w:t xml:space="preserve">Svakodnevna oralna  terapija </w:t>
      </w:r>
      <w:proofErr w:type="spellStart"/>
      <w:r w:rsidRPr="0093403C">
        <w:rPr>
          <w:sz w:val="22"/>
          <w:szCs w:val="22"/>
          <w:lang w:val="sr-Latn-ME"/>
        </w:rPr>
        <w:t>Bonviva</w:t>
      </w:r>
      <w:proofErr w:type="spellEnd"/>
      <w:r w:rsidRPr="0093403C">
        <w:rPr>
          <w:sz w:val="22"/>
          <w:szCs w:val="22"/>
          <w:lang w:val="sr-Latn-ME"/>
        </w:rPr>
        <w:t xml:space="preserve"> tabletama  2,5 mg dovodila je do progresivnog povećanja </w:t>
      </w:r>
      <w:proofErr w:type="spellStart"/>
      <w:r w:rsidRPr="0093403C">
        <w:rPr>
          <w:sz w:val="22"/>
          <w:szCs w:val="22"/>
          <w:lang w:val="sr-Latn-ME"/>
        </w:rPr>
        <w:t>MGK</w:t>
      </w:r>
      <w:proofErr w:type="spellEnd"/>
      <w:r w:rsidRPr="0093403C">
        <w:rPr>
          <w:sz w:val="22"/>
          <w:szCs w:val="22"/>
          <w:lang w:val="sr-Latn-ME"/>
        </w:rPr>
        <w:t xml:space="preserve"> i na </w:t>
      </w:r>
      <w:proofErr w:type="spellStart"/>
      <w:r w:rsidRPr="0093403C">
        <w:rPr>
          <w:sz w:val="22"/>
          <w:szCs w:val="22"/>
          <w:lang w:val="sr-Latn-ME"/>
        </w:rPr>
        <w:t>vertebralnim</w:t>
      </w:r>
      <w:proofErr w:type="spellEnd"/>
      <w:r w:rsidRPr="0093403C">
        <w:rPr>
          <w:sz w:val="22"/>
          <w:szCs w:val="22"/>
          <w:lang w:val="sr-Latn-ME"/>
        </w:rPr>
        <w:t xml:space="preserve"> i na ne-</w:t>
      </w:r>
      <w:proofErr w:type="spellStart"/>
      <w:r w:rsidRPr="0093403C">
        <w:rPr>
          <w:sz w:val="22"/>
          <w:szCs w:val="22"/>
          <w:lang w:val="sr-Latn-ME"/>
        </w:rPr>
        <w:t>vertebralnim</w:t>
      </w:r>
      <w:proofErr w:type="spellEnd"/>
      <w:r w:rsidRPr="0093403C">
        <w:rPr>
          <w:sz w:val="22"/>
          <w:szCs w:val="22"/>
          <w:lang w:val="sr-Latn-ME"/>
        </w:rPr>
        <w:t xml:space="preserve"> lokacijama kostura. </w:t>
      </w:r>
    </w:p>
    <w:p w14:paraId="3F4F794E" w14:textId="77777777" w:rsidR="002E634B" w:rsidRPr="0093403C" w:rsidRDefault="002E634B" w:rsidP="007C5B43">
      <w:pPr>
        <w:jc w:val="both"/>
        <w:rPr>
          <w:sz w:val="22"/>
          <w:szCs w:val="22"/>
          <w:lang w:val="sr-Latn-ME"/>
        </w:rPr>
      </w:pPr>
    </w:p>
    <w:p w14:paraId="66ED6DF0" w14:textId="77777777" w:rsidR="002E634B" w:rsidRPr="0093403C" w:rsidRDefault="002E634B" w:rsidP="007C5B43">
      <w:pPr>
        <w:jc w:val="both"/>
        <w:rPr>
          <w:sz w:val="22"/>
          <w:szCs w:val="22"/>
          <w:lang w:val="sr-Latn-ME"/>
        </w:rPr>
      </w:pPr>
      <w:r w:rsidRPr="0093403C">
        <w:rPr>
          <w:sz w:val="22"/>
          <w:szCs w:val="22"/>
          <w:lang w:val="sr-Latn-ME"/>
        </w:rPr>
        <w:t xml:space="preserve">Povećanje MGK na lumbalnim kostima poslije tri godine u poređenju sa </w:t>
      </w:r>
      <w:proofErr w:type="spellStart"/>
      <w:r w:rsidRPr="0093403C">
        <w:rPr>
          <w:sz w:val="22"/>
          <w:szCs w:val="22"/>
          <w:lang w:val="sr-Latn-ME"/>
        </w:rPr>
        <w:t>placebom</w:t>
      </w:r>
      <w:proofErr w:type="spellEnd"/>
      <w:r w:rsidRPr="0093403C">
        <w:rPr>
          <w:sz w:val="22"/>
          <w:szCs w:val="22"/>
          <w:lang w:val="sr-Latn-ME"/>
        </w:rPr>
        <w:t xml:space="preserve"> iznosilo je 5,3% odnosno 6,5% u poređenju sa </w:t>
      </w:r>
      <w:proofErr w:type="spellStart"/>
      <w:r w:rsidRPr="0093403C">
        <w:rPr>
          <w:sz w:val="22"/>
          <w:szCs w:val="22"/>
          <w:lang w:val="sr-Latn-ME"/>
        </w:rPr>
        <w:t>bazalnim</w:t>
      </w:r>
      <w:proofErr w:type="spellEnd"/>
      <w:r w:rsidRPr="0093403C">
        <w:rPr>
          <w:sz w:val="22"/>
          <w:szCs w:val="22"/>
          <w:lang w:val="sr-Latn-ME"/>
        </w:rPr>
        <w:t xml:space="preserve"> vrijednostima. Povećanje na kuku u poređenju sa vrijednostima prije početka terapije iznosilo je 2,8% na vratu </w:t>
      </w:r>
      <w:proofErr w:type="spellStart"/>
      <w:r w:rsidRPr="0093403C">
        <w:rPr>
          <w:sz w:val="22"/>
          <w:szCs w:val="22"/>
          <w:lang w:val="sr-Latn-ME"/>
        </w:rPr>
        <w:t>femura</w:t>
      </w:r>
      <w:proofErr w:type="spellEnd"/>
      <w:r w:rsidRPr="0093403C">
        <w:rPr>
          <w:sz w:val="22"/>
          <w:szCs w:val="22"/>
          <w:lang w:val="sr-Latn-ME"/>
        </w:rPr>
        <w:t xml:space="preserve">, 3,4% kada se radilo o cijelom kuku, i 5,5% za </w:t>
      </w:r>
      <w:proofErr w:type="spellStart"/>
      <w:r w:rsidRPr="0093403C">
        <w:rPr>
          <w:sz w:val="22"/>
          <w:szCs w:val="22"/>
          <w:lang w:val="sr-Latn-ME"/>
        </w:rPr>
        <w:t>trohanter</w:t>
      </w:r>
      <w:proofErr w:type="spellEnd"/>
      <w:r w:rsidRPr="0093403C">
        <w:rPr>
          <w:sz w:val="22"/>
          <w:szCs w:val="22"/>
          <w:lang w:val="sr-Latn-ME"/>
        </w:rPr>
        <w:t xml:space="preserve">. </w:t>
      </w:r>
    </w:p>
    <w:p w14:paraId="3D9F90C4" w14:textId="77777777" w:rsidR="002E634B" w:rsidRPr="0093403C" w:rsidRDefault="002E634B" w:rsidP="007C5B43">
      <w:pPr>
        <w:jc w:val="both"/>
        <w:rPr>
          <w:sz w:val="22"/>
          <w:szCs w:val="22"/>
          <w:lang w:val="sr-Latn-ME"/>
        </w:rPr>
      </w:pPr>
    </w:p>
    <w:p w14:paraId="2D817D5B" w14:textId="77777777" w:rsidR="002E634B" w:rsidRPr="0093403C" w:rsidRDefault="002E634B" w:rsidP="007C5B43">
      <w:pPr>
        <w:jc w:val="both"/>
        <w:rPr>
          <w:sz w:val="22"/>
          <w:szCs w:val="22"/>
          <w:lang w:val="sr-Latn-ME"/>
        </w:rPr>
      </w:pPr>
      <w:r w:rsidRPr="0093403C">
        <w:rPr>
          <w:sz w:val="22"/>
          <w:szCs w:val="22"/>
          <w:lang w:val="sr-Latn-ME"/>
        </w:rPr>
        <w:t xml:space="preserve">Biohemijski markeri obrta kosti (kao što su vrijednosti CTX u urinu i </w:t>
      </w:r>
      <w:proofErr w:type="spellStart"/>
      <w:r w:rsidRPr="0093403C">
        <w:rPr>
          <w:sz w:val="22"/>
          <w:szCs w:val="22"/>
          <w:lang w:val="sr-Latn-ME"/>
        </w:rPr>
        <w:t>Osteokalcin</w:t>
      </w:r>
      <w:proofErr w:type="spellEnd"/>
      <w:r w:rsidRPr="0093403C">
        <w:rPr>
          <w:sz w:val="22"/>
          <w:szCs w:val="22"/>
          <w:lang w:val="sr-Latn-ME"/>
        </w:rPr>
        <w:t xml:space="preserve"> u serumu) pokazali su očekivani model </w:t>
      </w:r>
      <w:proofErr w:type="spellStart"/>
      <w:r w:rsidRPr="0093403C">
        <w:rPr>
          <w:sz w:val="22"/>
          <w:szCs w:val="22"/>
          <w:lang w:val="sr-Latn-ME"/>
        </w:rPr>
        <w:t>supresije</w:t>
      </w:r>
      <w:proofErr w:type="spellEnd"/>
      <w:r w:rsidRPr="0093403C">
        <w:rPr>
          <w:sz w:val="22"/>
          <w:szCs w:val="22"/>
          <w:lang w:val="sr-Latn-ME"/>
        </w:rPr>
        <w:t xml:space="preserve"> do </w:t>
      </w:r>
      <w:proofErr w:type="spellStart"/>
      <w:r w:rsidRPr="0093403C">
        <w:rPr>
          <w:sz w:val="22"/>
          <w:szCs w:val="22"/>
          <w:lang w:val="sr-Latn-ME"/>
        </w:rPr>
        <w:t>predmenopauzalnih</w:t>
      </w:r>
      <w:proofErr w:type="spellEnd"/>
      <w:r w:rsidRPr="0093403C">
        <w:rPr>
          <w:sz w:val="22"/>
          <w:szCs w:val="22"/>
          <w:lang w:val="sr-Latn-ME"/>
        </w:rPr>
        <w:t xml:space="preserve"> nivoa i dostigli su maksimalnu </w:t>
      </w:r>
      <w:proofErr w:type="spellStart"/>
      <w:r w:rsidRPr="0093403C">
        <w:rPr>
          <w:sz w:val="22"/>
          <w:szCs w:val="22"/>
          <w:lang w:val="sr-Latn-ME"/>
        </w:rPr>
        <w:t>supresiju</w:t>
      </w:r>
      <w:proofErr w:type="spellEnd"/>
      <w:r w:rsidRPr="0093403C">
        <w:rPr>
          <w:sz w:val="22"/>
          <w:szCs w:val="22"/>
          <w:lang w:val="sr-Latn-ME"/>
        </w:rPr>
        <w:t xml:space="preserve"> u roku 3-6 mjeseci kada je korišćen lijek </w:t>
      </w:r>
      <w:proofErr w:type="spellStart"/>
      <w:r w:rsidRPr="0093403C">
        <w:rPr>
          <w:sz w:val="22"/>
          <w:szCs w:val="22"/>
          <w:lang w:val="sr-Latn-ME"/>
        </w:rPr>
        <w:t>Bonviva</w:t>
      </w:r>
      <w:proofErr w:type="spellEnd"/>
      <w:r w:rsidRPr="0093403C">
        <w:rPr>
          <w:sz w:val="22"/>
          <w:szCs w:val="22"/>
          <w:lang w:val="sr-Latn-ME"/>
        </w:rPr>
        <w:t xml:space="preserve"> 2,5 jednom dnevno. </w:t>
      </w:r>
    </w:p>
    <w:p w14:paraId="5BB2D0D7" w14:textId="77777777" w:rsidR="002E634B" w:rsidRPr="0093403C" w:rsidRDefault="002E634B" w:rsidP="007C5B43">
      <w:pPr>
        <w:jc w:val="both"/>
        <w:rPr>
          <w:sz w:val="22"/>
          <w:szCs w:val="22"/>
          <w:lang w:val="sr-Latn-ME"/>
        </w:rPr>
      </w:pPr>
    </w:p>
    <w:p w14:paraId="7602BE90" w14:textId="77777777" w:rsidR="002E634B" w:rsidRPr="0093403C" w:rsidRDefault="002E634B" w:rsidP="007C5B43">
      <w:pPr>
        <w:jc w:val="both"/>
        <w:rPr>
          <w:sz w:val="22"/>
          <w:szCs w:val="22"/>
          <w:lang w:val="sr-Latn-ME"/>
        </w:rPr>
      </w:pPr>
      <w:r w:rsidRPr="0093403C">
        <w:rPr>
          <w:sz w:val="22"/>
          <w:szCs w:val="22"/>
          <w:lang w:val="sr-Latn-ME"/>
        </w:rPr>
        <w:t xml:space="preserve">Klinički relevantno, 50% smanjenje biohemijskih markera resorpcije kosti zabilježeno je već mjesec dana po započinjanju terapije lijekom </w:t>
      </w:r>
      <w:proofErr w:type="spellStart"/>
      <w:r w:rsidRPr="0093403C">
        <w:rPr>
          <w:sz w:val="22"/>
          <w:szCs w:val="22"/>
          <w:lang w:val="sr-Latn-ME"/>
        </w:rPr>
        <w:t>Bonviva</w:t>
      </w:r>
      <w:proofErr w:type="spellEnd"/>
      <w:r w:rsidRPr="0093403C">
        <w:rPr>
          <w:sz w:val="22"/>
          <w:szCs w:val="22"/>
          <w:lang w:val="sr-Latn-ME"/>
        </w:rPr>
        <w:t xml:space="preserve"> 2,5 mg. </w:t>
      </w:r>
    </w:p>
    <w:p w14:paraId="6255A12F" w14:textId="77777777" w:rsidR="002E634B" w:rsidRPr="0093403C" w:rsidRDefault="002E634B" w:rsidP="007C5B43">
      <w:pPr>
        <w:tabs>
          <w:tab w:val="left" w:pos="2670"/>
        </w:tabs>
        <w:jc w:val="both"/>
        <w:rPr>
          <w:sz w:val="22"/>
          <w:szCs w:val="22"/>
          <w:lang w:val="sr-Latn-ME"/>
        </w:rPr>
      </w:pPr>
    </w:p>
    <w:p w14:paraId="0A15601E" w14:textId="77777777" w:rsidR="002E634B" w:rsidRPr="0093403C" w:rsidRDefault="002E634B" w:rsidP="007C5B43">
      <w:pPr>
        <w:jc w:val="both"/>
        <w:rPr>
          <w:i/>
          <w:sz w:val="22"/>
          <w:szCs w:val="22"/>
          <w:lang w:val="sr-Latn-ME"/>
        </w:rPr>
      </w:pPr>
      <w:r w:rsidRPr="0093403C">
        <w:rPr>
          <w:i/>
          <w:sz w:val="22"/>
          <w:szCs w:val="22"/>
          <w:lang w:val="sr-Latn-ME"/>
        </w:rPr>
        <w:t>Pedijatrijska populacija (vidjeti djelove 4.2 i 5.2)</w:t>
      </w:r>
    </w:p>
    <w:p w14:paraId="1737AB8E" w14:textId="711522C8" w:rsidR="002E634B" w:rsidRPr="0093403C" w:rsidRDefault="002E634B" w:rsidP="007C5B43">
      <w:pPr>
        <w:tabs>
          <w:tab w:val="left" w:pos="540"/>
          <w:tab w:val="left" w:pos="569"/>
        </w:tabs>
        <w:jc w:val="both"/>
        <w:rPr>
          <w:b/>
          <w:bCs/>
          <w:sz w:val="22"/>
          <w:szCs w:val="22"/>
          <w:lang w:val="sr-Latn-ME"/>
        </w:rPr>
      </w:pPr>
      <w:proofErr w:type="spellStart"/>
      <w:r w:rsidRPr="0093403C">
        <w:rPr>
          <w:sz w:val="22"/>
          <w:szCs w:val="22"/>
          <w:lang w:val="sr-Latn-ME"/>
        </w:rPr>
        <w:t>Bonviva</w:t>
      </w:r>
      <w:proofErr w:type="spellEnd"/>
      <w:r w:rsidRPr="0093403C">
        <w:rPr>
          <w:sz w:val="22"/>
          <w:szCs w:val="22"/>
          <w:lang w:val="sr-Latn-ME"/>
        </w:rPr>
        <w:t xml:space="preserve"> nije ispitivana na pedijatrijskoj populaciji, zbog toga nijesu dostupni podaci o efikasnosti i bezbjednosti primjene u ovoj grupi pacijenata</w:t>
      </w:r>
    </w:p>
    <w:p w14:paraId="37D6AE6B" w14:textId="77777777" w:rsidR="002E634B" w:rsidRPr="0093403C" w:rsidRDefault="002E634B" w:rsidP="007C5B43">
      <w:pPr>
        <w:tabs>
          <w:tab w:val="left" w:pos="540"/>
          <w:tab w:val="left" w:pos="569"/>
        </w:tabs>
        <w:jc w:val="both"/>
        <w:rPr>
          <w:b/>
          <w:bCs/>
          <w:sz w:val="22"/>
          <w:szCs w:val="22"/>
          <w:lang w:val="sr-Latn-ME"/>
        </w:rPr>
      </w:pPr>
    </w:p>
    <w:p w14:paraId="39ED5252" w14:textId="77777777" w:rsidR="0072020E" w:rsidRPr="0093403C" w:rsidRDefault="0072020E" w:rsidP="007C5B43">
      <w:pPr>
        <w:tabs>
          <w:tab w:val="left" w:pos="540"/>
          <w:tab w:val="left" w:pos="569"/>
        </w:tabs>
        <w:jc w:val="both"/>
        <w:rPr>
          <w:b/>
          <w:bCs/>
          <w:sz w:val="22"/>
          <w:szCs w:val="22"/>
          <w:lang w:val="sr-Latn-ME"/>
        </w:rPr>
      </w:pPr>
      <w:r w:rsidRPr="0093403C">
        <w:rPr>
          <w:b/>
          <w:bCs/>
          <w:sz w:val="22"/>
          <w:szCs w:val="22"/>
          <w:lang w:val="sr-Latn-ME"/>
        </w:rPr>
        <w:t xml:space="preserve">5.2. </w:t>
      </w:r>
      <w:r w:rsidR="00480FB1" w:rsidRPr="0093403C">
        <w:rPr>
          <w:b/>
          <w:bCs/>
          <w:sz w:val="22"/>
          <w:szCs w:val="22"/>
          <w:lang w:val="sr-Latn-ME"/>
        </w:rPr>
        <w:tab/>
      </w:r>
      <w:proofErr w:type="spellStart"/>
      <w:r w:rsidRPr="0093403C">
        <w:rPr>
          <w:b/>
          <w:bCs/>
          <w:sz w:val="22"/>
          <w:szCs w:val="22"/>
          <w:lang w:val="sr-Latn-ME"/>
        </w:rPr>
        <w:t>Farmakokinetički</w:t>
      </w:r>
      <w:proofErr w:type="spellEnd"/>
      <w:r w:rsidRPr="0093403C">
        <w:rPr>
          <w:b/>
          <w:bCs/>
          <w:sz w:val="22"/>
          <w:szCs w:val="22"/>
          <w:lang w:val="sr-Latn-ME"/>
        </w:rPr>
        <w:t xml:space="preserve"> podaci</w:t>
      </w:r>
      <w:r w:rsidR="003A7059" w:rsidRPr="0093403C">
        <w:rPr>
          <w:b/>
          <w:bCs/>
          <w:sz w:val="22"/>
          <w:szCs w:val="22"/>
          <w:lang w:val="sr-Latn-ME"/>
        </w:rPr>
        <w:t xml:space="preserve"> </w:t>
      </w:r>
    </w:p>
    <w:p w14:paraId="607BED67" w14:textId="77777777" w:rsidR="0072020E" w:rsidRPr="0093403C" w:rsidRDefault="0072020E" w:rsidP="007C5B43">
      <w:pPr>
        <w:tabs>
          <w:tab w:val="left" w:pos="540"/>
          <w:tab w:val="left" w:pos="569"/>
        </w:tabs>
        <w:jc w:val="both"/>
        <w:rPr>
          <w:bCs/>
          <w:sz w:val="22"/>
          <w:szCs w:val="22"/>
          <w:lang w:val="sr-Latn-ME"/>
        </w:rPr>
      </w:pPr>
    </w:p>
    <w:p w14:paraId="2F656888" w14:textId="77777777" w:rsidR="002E634B" w:rsidRPr="0093403C" w:rsidRDefault="002E634B" w:rsidP="007C5B43">
      <w:pPr>
        <w:jc w:val="both"/>
        <w:rPr>
          <w:sz w:val="22"/>
          <w:szCs w:val="22"/>
          <w:lang w:val="sr-Latn-ME"/>
        </w:rPr>
      </w:pPr>
      <w:r w:rsidRPr="0093403C">
        <w:rPr>
          <w:sz w:val="22"/>
          <w:szCs w:val="22"/>
          <w:lang w:val="sr-Latn-ME"/>
        </w:rPr>
        <w:t xml:space="preserve">Primarna farmakološka dejstva </w:t>
      </w:r>
      <w:proofErr w:type="spellStart"/>
      <w:r w:rsidRPr="0093403C">
        <w:rPr>
          <w:sz w:val="22"/>
          <w:szCs w:val="22"/>
          <w:lang w:val="sr-Latn-ME"/>
        </w:rPr>
        <w:t>ibandronske</w:t>
      </w:r>
      <w:proofErr w:type="spellEnd"/>
      <w:r w:rsidRPr="0093403C">
        <w:rPr>
          <w:sz w:val="22"/>
          <w:szCs w:val="22"/>
          <w:lang w:val="sr-Latn-ME"/>
        </w:rPr>
        <w:t xml:space="preserve"> kiseline na kost nijesu direktno povezana sa prisutnim koncentracijama u plazmi, što je pokazano različitim ispitivanjima na životinjama i </w:t>
      </w:r>
      <w:proofErr w:type="spellStart"/>
      <w:r w:rsidRPr="0093403C">
        <w:rPr>
          <w:sz w:val="22"/>
          <w:szCs w:val="22"/>
          <w:lang w:val="sr-Latn-ME"/>
        </w:rPr>
        <w:t>ljudima</w:t>
      </w:r>
      <w:proofErr w:type="spellEnd"/>
      <w:r w:rsidRPr="0093403C">
        <w:rPr>
          <w:sz w:val="22"/>
          <w:szCs w:val="22"/>
          <w:lang w:val="sr-Latn-ME"/>
        </w:rPr>
        <w:t xml:space="preserve">. </w:t>
      </w:r>
    </w:p>
    <w:p w14:paraId="6067FA2D" w14:textId="77777777" w:rsidR="002E634B" w:rsidRPr="0093403C" w:rsidRDefault="002E634B" w:rsidP="007C5B43">
      <w:pPr>
        <w:tabs>
          <w:tab w:val="left" w:pos="1050"/>
        </w:tabs>
        <w:jc w:val="both"/>
        <w:rPr>
          <w:sz w:val="22"/>
          <w:szCs w:val="22"/>
          <w:lang w:val="sr-Latn-ME"/>
        </w:rPr>
      </w:pPr>
      <w:r w:rsidRPr="0093403C">
        <w:rPr>
          <w:sz w:val="22"/>
          <w:szCs w:val="22"/>
          <w:lang w:val="sr-Latn-ME"/>
        </w:rPr>
        <w:tab/>
      </w:r>
    </w:p>
    <w:p w14:paraId="0FF58936" w14:textId="77777777" w:rsidR="002E634B" w:rsidRPr="0093403C" w:rsidRDefault="002E634B" w:rsidP="007C5B43">
      <w:pPr>
        <w:jc w:val="both"/>
        <w:rPr>
          <w:sz w:val="22"/>
          <w:szCs w:val="22"/>
          <w:lang w:val="sr-Latn-ME"/>
        </w:rPr>
      </w:pPr>
      <w:r w:rsidRPr="0093403C">
        <w:rPr>
          <w:sz w:val="22"/>
          <w:szCs w:val="22"/>
          <w:lang w:val="sr-Latn-ME"/>
        </w:rPr>
        <w:t xml:space="preserve">Koncentracija </w:t>
      </w:r>
      <w:proofErr w:type="spellStart"/>
      <w:r w:rsidRPr="0093403C">
        <w:rPr>
          <w:sz w:val="22"/>
          <w:szCs w:val="22"/>
          <w:lang w:val="sr-Latn-ME"/>
        </w:rPr>
        <w:t>ibandronske</w:t>
      </w:r>
      <w:proofErr w:type="spellEnd"/>
      <w:r w:rsidRPr="0093403C">
        <w:rPr>
          <w:sz w:val="22"/>
          <w:szCs w:val="22"/>
          <w:lang w:val="sr-Latn-ME"/>
        </w:rPr>
        <w:t xml:space="preserve"> kiseline raste na </w:t>
      </w:r>
      <w:proofErr w:type="spellStart"/>
      <w:r w:rsidRPr="0093403C">
        <w:rPr>
          <w:sz w:val="22"/>
          <w:szCs w:val="22"/>
          <w:lang w:val="sr-Latn-ME"/>
        </w:rPr>
        <w:t>dozno</w:t>
      </w:r>
      <w:proofErr w:type="spellEnd"/>
      <w:r w:rsidRPr="0093403C">
        <w:rPr>
          <w:sz w:val="22"/>
          <w:szCs w:val="22"/>
          <w:lang w:val="sr-Latn-ME"/>
        </w:rPr>
        <w:t xml:space="preserve">-proporcionalni način poslije </w:t>
      </w:r>
      <w:proofErr w:type="spellStart"/>
      <w:r w:rsidRPr="0093403C">
        <w:rPr>
          <w:sz w:val="22"/>
          <w:szCs w:val="22"/>
          <w:lang w:val="sr-Latn-ME"/>
        </w:rPr>
        <w:t>intravenske</w:t>
      </w:r>
      <w:proofErr w:type="spellEnd"/>
      <w:r w:rsidRPr="0093403C">
        <w:rPr>
          <w:sz w:val="22"/>
          <w:szCs w:val="22"/>
          <w:lang w:val="sr-Latn-ME"/>
        </w:rPr>
        <w:t xml:space="preserve"> primjene 0,5 mg do 6 mg. </w:t>
      </w:r>
    </w:p>
    <w:p w14:paraId="0C999B4D" w14:textId="77777777" w:rsidR="002E634B" w:rsidRPr="0093403C" w:rsidRDefault="002E634B" w:rsidP="007C5B43">
      <w:pPr>
        <w:jc w:val="both"/>
        <w:rPr>
          <w:b/>
          <w:i/>
          <w:sz w:val="22"/>
          <w:szCs w:val="22"/>
          <w:lang w:val="sr-Latn-ME"/>
        </w:rPr>
      </w:pPr>
      <w:r w:rsidRPr="0093403C">
        <w:rPr>
          <w:b/>
          <w:i/>
          <w:sz w:val="22"/>
          <w:szCs w:val="22"/>
          <w:lang w:val="sr-Latn-ME"/>
        </w:rPr>
        <w:lastRenderedPageBreak/>
        <w:t>Resorpcija</w:t>
      </w:r>
    </w:p>
    <w:p w14:paraId="7B859AA5" w14:textId="41D7B99B" w:rsidR="002E634B" w:rsidRDefault="002E634B" w:rsidP="007C5B43">
      <w:pPr>
        <w:jc w:val="both"/>
        <w:rPr>
          <w:sz w:val="22"/>
          <w:szCs w:val="22"/>
          <w:lang w:val="sr-Latn-ME"/>
        </w:rPr>
      </w:pPr>
      <w:r w:rsidRPr="0093403C">
        <w:rPr>
          <w:sz w:val="22"/>
          <w:szCs w:val="22"/>
          <w:lang w:val="sr-Latn-ME"/>
        </w:rPr>
        <w:t>Nije relevantno.</w:t>
      </w:r>
    </w:p>
    <w:p w14:paraId="0BF857C3" w14:textId="77777777" w:rsidR="00EE6A5F" w:rsidRPr="0093403C" w:rsidRDefault="00EE6A5F" w:rsidP="007C5B43">
      <w:pPr>
        <w:jc w:val="both"/>
        <w:rPr>
          <w:sz w:val="22"/>
          <w:szCs w:val="22"/>
          <w:lang w:val="sr-Latn-ME"/>
        </w:rPr>
      </w:pPr>
    </w:p>
    <w:p w14:paraId="4F8AB6C8" w14:textId="77777777" w:rsidR="002E634B" w:rsidRPr="0093403C" w:rsidRDefault="002E634B" w:rsidP="007C5B43">
      <w:pPr>
        <w:jc w:val="both"/>
        <w:rPr>
          <w:b/>
          <w:i/>
          <w:sz w:val="22"/>
          <w:szCs w:val="22"/>
          <w:lang w:val="sr-Latn-ME"/>
        </w:rPr>
      </w:pPr>
      <w:r w:rsidRPr="0093403C">
        <w:rPr>
          <w:b/>
          <w:i/>
          <w:sz w:val="22"/>
          <w:szCs w:val="22"/>
          <w:lang w:val="sr-Latn-ME"/>
        </w:rPr>
        <w:t>Distribucija</w:t>
      </w:r>
    </w:p>
    <w:p w14:paraId="179306D4" w14:textId="77777777" w:rsidR="002E634B" w:rsidRPr="0093403C" w:rsidRDefault="002E634B" w:rsidP="007C5B43">
      <w:pPr>
        <w:jc w:val="both"/>
        <w:rPr>
          <w:sz w:val="22"/>
          <w:szCs w:val="22"/>
          <w:lang w:val="sr-Latn-ME"/>
        </w:rPr>
      </w:pPr>
      <w:r w:rsidRPr="0093403C">
        <w:rPr>
          <w:sz w:val="22"/>
          <w:szCs w:val="22"/>
          <w:lang w:val="sr-Latn-ME"/>
        </w:rPr>
        <w:t xml:space="preserve">Po inicijalnom sistemskom izlaganju, </w:t>
      </w:r>
      <w:proofErr w:type="spellStart"/>
      <w:r w:rsidRPr="0093403C">
        <w:rPr>
          <w:sz w:val="22"/>
          <w:szCs w:val="22"/>
          <w:lang w:val="sr-Latn-ME"/>
        </w:rPr>
        <w:t>ibandronska</w:t>
      </w:r>
      <w:proofErr w:type="spellEnd"/>
      <w:r w:rsidRPr="0093403C">
        <w:rPr>
          <w:sz w:val="22"/>
          <w:szCs w:val="22"/>
          <w:lang w:val="sr-Latn-ME"/>
        </w:rPr>
        <w:t xml:space="preserve"> kiselina se brzo vezuje za kosti ili izlučuje urinom. Kod </w:t>
      </w:r>
      <w:proofErr w:type="spellStart"/>
      <w:r w:rsidRPr="0093403C">
        <w:rPr>
          <w:sz w:val="22"/>
          <w:szCs w:val="22"/>
          <w:lang w:val="sr-Latn-ME"/>
        </w:rPr>
        <w:t>ljudi</w:t>
      </w:r>
      <w:proofErr w:type="spellEnd"/>
      <w:r w:rsidRPr="0093403C">
        <w:rPr>
          <w:sz w:val="22"/>
          <w:szCs w:val="22"/>
          <w:lang w:val="sr-Latn-ME"/>
        </w:rPr>
        <w:t xml:space="preserve">, terminalni volumen distribucije je najmanje 90 l, a količina doze koja dospijeva do kostiju procjenjuje se na 40-50% doze u cirkulaciji. Vezivanje za proteine plazme kod </w:t>
      </w:r>
      <w:proofErr w:type="spellStart"/>
      <w:r w:rsidRPr="0093403C">
        <w:rPr>
          <w:sz w:val="22"/>
          <w:szCs w:val="22"/>
          <w:lang w:val="sr-Latn-ME"/>
        </w:rPr>
        <w:t>ljudi</w:t>
      </w:r>
      <w:proofErr w:type="spellEnd"/>
      <w:r w:rsidRPr="0093403C">
        <w:rPr>
          <w:sz w:val="22"/>
          <w:szCs w:val="22"/>
          <w:lang w:val="sr-Latn-ME"/>
        </w:rPr>
        <w:t xml:space="preserve"> iznosi približno 85%-87% (određeno </w:t>
      </w:r>
      <w:r w:rsidRPr="0093403C">
        <w:rPr>
          <w:i/>
          <w:sz w:val="22"/>
          <w:szCs w:val="22"/>
          <w:lang w:val="sr-Latn-ME"/>
        </w:rPr>
        <w:t xml:space="preserve">in </w:t>
      </w:r>
      <w:proofErr w:type="spellStart"/>
      <w:r w:rsidRPr="0093403C">
        <w:rPr>
          <w:i/>
          <w:sz w:val="22"/>
          <w:szCs w:val="22"/>
          <w:lang w:val="sr-Latn-ME"/>
        </w:rPr>
        <w:t>vitro</w:t>
      </w:r>
      <w:proofErr w:type="spellEnd"/>
      <w:r w:rsidRPr="0093403C">
        <w:rPr>
          <w:sz w:val="22"/>
          <w:szCs w:val="22"/>
          <w:lang w:val="sr-Latn-ME"/>
        </w:rPr>
        <w:t xml:space="preserve"> pri terapijskim koncentracijama lijeka), pa tako postoji nizak potencijal za interakcije između </w:t>
      </w:r>
      <w:proofErr w:type="spellStart"/>
      <w:r w:rsidRPr="0093403C">
        <w:rPr>
          <w:sz w:val="22"/>
          <w:szCs w:val="22"/>
          <w:lang w:val="sr-Latn-ME"/>
        </w:rPr>
        <w:t>lijekova</w:t>
      </w:r>
      <w:proofErr w:type="spellEnd"/>
      <w:r w:rsidRPr="0093403C">
        <w:rPr>
          <w:sz w:val="22"/>
          <w:szCs w:val="22"/>
          <w:lang w:val="sr-Latn-ME"/>
        </w:rPr>
        <w:t xml:space="preserve"> zbog ovog </w:t>
      </w:r>
      <w:proofErr w:type="spellStart"/>
      <w:r w:rsidRPr="0093403C">
        <w:rPr>
          <w:sz w:val="22"/>
          <w:szCs w:val="22"/>
          <w:lang w:val="sr-Latn-ME"/>
        </w:rPr>
        <w:t>izmještanja</w:t>
      </w:r>
      <w:proofErr w:type="spellEnd"/>
      <w:r w:rsidRPr="0093403C">
        <w:rPr>
          <w:sz w:val="22"/>
          <w:szCs w:val="22"/>
          <w:lang w:val="sr-Latn-ME"/>
        </w:rPr>
        <w:t>.</w:t>
      </w:r>
    </w:p>
    <w:p w14:paraId="7E79A344" w14:textId="77777777" w:rsidR="002E634B" w:rsidRPr="0093403C" w:rsidRDefault="002E634B" w:rsidP="007C5B43">
      <w:pPr>
        <w:jc w:val="both"/>
        <w:rPr>
          <w:sz w:val="22"/>
          <w:szCs w:val="22"/>
          <w:lang w:val="sr-Latn-ME"/>
        </w:rPr>
      </w:pPr>
    </w:p>
    <w:p w14:paraId="1B796702" w14:textId="77777777" w:rsidR="002E634B" w:rsidRPr="0093403C" w:rsidRDefault="002E634B" w:rsidP="007C5B43">
      <w:pPr>
        <w:jc w:val="both"/>
        <w:rPr>
          <w:b/>
          <w:i/>
          <w:sz w:val="22"/>
          <w:szCs w:val="22"/>
          <w:lang w:val="sr-Latn-ME"/>
        </w:rPr>
      </w:pPr>
      <w:proofErr w:type="spellStart"/>
      <w:r w:rsidRPr="0093403C">
        <w:rPr>
          <w:b/>
          <w:i/>
          <w:sz w:val="22"/>
          <w:szCs w:val="22"/>
          <w:lang w:val="sr-Latn-ME"/>
        </w:rPr>
        <w:t>Biotransformacija</w:t>
      </w:r>
      <w:proofErr w:type="spellEnd"/>
    </w:p>
    <w:p w14:paraId="1B718295" w14:textId="77777777" w:rsidR="002E634B" w:rsidRPr="0093403C" w:rsidRDefault="002E634B" w:rsidP="007C5B43">
      <w:pPr>
        <w:jc w:val="both"/>
        <w:rPr>
          <w:sz w:val="22"/>
          <w:szCs w:val="22"/>
          <w:lang w:val="sr-Latn-ME"/>
        </w:rPr>
      </w:pPr>
      <w:r w:rsidRPr="0093403C">
        <w:rPr>
          <w:sz w:val="22"/>
          <w:szCs w:val="22"/>
          <w:lang w:val="sr-Latn-ME"/>
        </w:rPr>
        <w:t xml:space="preserve">Nema dokaza da se </w:t>
      </w:r>
      <w:proofErr w:type="spellStart"/>
      <w:r w:rsidRPr="0093403C">
        <w:rPr>
          <w:sz w:val="22"/>
          <w:szCs w:val="22"/>
          <w:lang w:val="sr-Latn-ME"/>
        </w:rPr>
        <w:t>ibandronska</w:t>
      </w:r>
      <w:proofErr w:type="spellEnd"/>
      <w:r w:rsidRPr="0093403C">
        <w:rPr>
          <w:sz w:val="22"/>
          <w:szCs w:val="22"/>
          <w:lang w:val="sr-Latn-ME"/>
        </w:rPr>
        <w:t xml:space="preserve"> kiselina </w:t>
      </w:r>
      <w:proofErr w:type="spellStart"/>
      <w:r w:rsidRPr="0093403C">
        <w:rPr>
          <w:sz w:val="22"/>
          <w:szCs w:val="22"/>
          <w:lang w:val="sr-Latn-ME"/>
        </w:rPr>
        <w:t>metabolizuje</w:t>
      </w:r>
      <w:proofErr w:type="spellEnd"/>
      <w:r w:rsidRPr="0093403C">
        <w:rPr>
          <w:sz w:val="22"/>
          <w:szCs w:val="22"/>
          <w:lang w:val="sr-Latn-ME"/>
        </w:rPr>
        <w:t xml:space="preserve"> kod </w:t>
      </w:r>
      <w:proofErr w:type="spellStart"/>
      <w:r w:rsidRPr="0093403C">
        <w:rPr>
          <w:sz w:val="22"/>
          <w:szCs w:val="22"/>
          <w:lang w:val="sr-Latn-ME"/>
        </w:rPr>
        <w:t>ljudi</w:t>
      </w:r>
      <w:proofErr w:type="spellEnd"/>
      <w:r w:rsidRPr="0093403C">
        <w:rPr>
          <w:sz w:val="22"/>
          <w:szCs w:val="22"/>
          <w:lang w:val="sr-Latn-ME"/>
        </w:rPr>
        <w:t xml:space="preserve"> ili kod životinja.</w:t>
      </w:r>
    </w:p>
    <w:p w14:paraId="6CAB5336" w14:textId="77777777" w:rsidR="002E634B" w:rsidRPr="0093403C" w:rsidRDefault="002E634B" w:rsidP="007C5B43">
      <w:pPr>
        <w:jc w:val="both"/>
        <w:rPr>
          <w:sz w:val="22"/>
          <w:szCs w:val="22"/>
          <w:lang w:val="sr-Latn-ME"/>
        </w:rPr>
      </w:pPr>
    </w:p>
    <w:p w14:paraId="03A42A98" w14:textId="77777777" w:rsidR="002E634B" w:rsidRPr="0093403C" w:rsidRDefault="002E634B" w:rsidP="007C5B43">
      <w:pPr>
        <w:jc w:val="both"/>
        <w:rPr>
          <w:b/>
          <w:i/>
          <w:sz w:val="22"/>
          <w:szCs w:val="22"/>
          <w:lang w:val="sr-Latn-ME"/>
        </w:rPr>
      </w:pPr>
      <w:r w:rsidRPr="0093403C">
        <w:rPr>
          <w:b/>
          <w:i/>
          <w:sz w:val="22"/>
          <w:szCs w:val="22"/>
          <w:lang w:val="sr-Latn-ME"/>
        </w:rPr>
        <w:t>Eliminacija</w:t>
      </w:r>
    </w:p>
    <w:p w14:paraId="4C02B2F4" w14:textId="77777777" w:rsidR="002E634B" w:rsidRPr="0093403C" w:rsidRDefault="002E634B" w:rsidP="007C5B43">
      <w:pPr>
        <w:jc w:val="both"/>
        <w:rPr>
          <w:sz w:val="22"/>
          <w:szCs w:val="22"/>
          <w:lang w:val="sr-Latn-ME"/>
        </w:rPr>
      </w:pPr>
      <w:proofErr w:type="spellStart"/>
      <w:r w:rsidRPr="0093403C">
        <w:rPr>
          <w:sz w:val="22"/>
          <w:szCs w:val="22"/>
          <w:lang w:val="sr-Latn-ME"/>
        </w:rPr>
        <w:t>Ibandronska</w:t>
      </w:r>
      <w:proofErr w:type="spellEnd"/>
      <w:r w:rsidRPr="0093403C">
        <w:rPr>
          <w:sz w:val="22"/>
          <w:szCs w:val="22"/>
          <w:lang w:val="sr-Latn-ME"/>
        </w:rPr>
        <w:t xml:space="preserve"> kiselina se uklanja iz cirkulacije apsorpcijom u kosti (procjenjuje se na 40-50% kod </w:t>
      </w:r>
      <w:proofErr w:type="spellStart"/>
      <w:r w:rsidRPr="0093403C">
        <w:rPr>
          <w:sz w:val="22"/>
          <w:szCs w:val="22"/>
          <w:lang w:val="sr-Latn-ME"/>
        </w:rPr>
        <w:t>postmenopauzalnih</w:t>
      </w:r>
      <w:proofErr w:type="spellEnd"/>
      <w:r w:rsidRPr="0093403C">
        <w:rPr>
          <w:sz w:val="22"/>
          <w:szCs w:val="22"/>
          <w:lang w:val="sr-Latn-ME"/>
        </w:rPr>
        <w:t xml:space="preserve"> žena), a ostatak se eliminiše u </w:t>
      </w:r>
      <w:proofErr w:type="spellStart"/>
      <w:r w:rsidRPr="0093403C">
        <w:rPr>
          <w:sz w:val="22"/>
          <w:szCs w:val="22"/>
          <w:lang w:val="sr-Latn-ME"/>
        </w:rPr>
        <w:t>neizmijenjenom</w:t>
      </w:r>
      <w:proofErr w:type="spellEnd"/>
      <w:r w:rsidRPr="0093403C">
        <w:rPr>
          <w:sz w:val="22"/>
          <w:szCs w:val="22"/>
          <w:lang w:val="sr-Latn-ME"/>
        </w:rPr>
        <w:t xml:space="preserve"> obliku </w:t>
      </w:r>
      <w:proofErr w:type="spellStart"/>
      <w:r w:rsidRPr="0093403C">
        <w:rPr>
          <w:sz w:val="22"/>
          <w:szCs w:val="22"/>
          <w:lang w:val="sr-Latn-ME"/>
        </w:rPr>
        <w:t>preko</w:t>
      </w:r>
      <w:proofErr w:type="spellEnd"/>
      <w:r w:rsidRPr="0093403C">
        <w:rPr>
          <w:sz w:val="22"/>
          <w:szCs w:val="22"/>
          <w:lang w:val="sr-Latn-ME"/>
        </w:rPr>
        <w:t xml:space="preserve"> bubrega. </w:t>
      </w:r>
    </w:p>
    <w:p w14:paraId="1E981B27" w14:textId="77777777" w:rsidR="002E634B" w:rsidRPr="0093403C" w:rsidRDefault="002E634B" w:rsidP="007C5B43">
      <w:pPr>
        <w:jc w:val="both"/>
        <w:rPr>
          <w:sz w:val="22"/>
          <w:szCs w:val="22"/>
          <w:lang w:val="sr-Latn-ME"/>
        </w:rPr>
      </w:pPr>
    </w:p>
    <w:p w14:paraId="4C5658D8" w14:textId="77777777" w:rsidR="002E634B" w:rsidRPr="0093403C" w:rsidRDefault="002E634B" w:rsidP="007C5B43">
      <w:pPr>
        <w:jc w:val="both"/>
        <w:rPr>
          <w:sz w:val="22"/>
          <w:szCs w:val="22"/>
          <w:lang w:val="sr-Latn-ME"/>
        </w:rPr>
      </w:pPr>
      <w:r w:rsidRPr="0093403C">
        <w:rPr>
          <w:sz w:val="22"/>
          <w:szCs w:val="22"/>
          <w:lang w:val="sr-Latn-ME"/>
        </w:rPr>
        <w:t xml:space="preserve">Raspon </w:t>
      </w:r>
      <w:proofErr w:type="spellStart"/>
      <w:r w:rsidRPr="0093403C">
        <w:rPr>
          <w:sz w:val="22"/>
          <w:szCs w:val="22"/>
          <w:lang w:val="sr-Latn-ME"/>
        </w:rPr>
        <w:t>zabilježenih</w:t>
      </w:r>
      <w:proofErr w:type="spellEnd"/>
      <w:r w:rsidRPr="0093403C">
        <w:rPr>
          <w:sz w:val="22"/>
          <w:szCs w:val="22"/>
          <w:lang w:val="sr-Latn-ME"/>
        </w:rPr>
        <w:t xml:space="preserve"> polu-života je širok, a izgleda da je terminalni polu-život po pravilu u rasponu od 10 do 72 časa. Kako su vrijednosti u cirkulaciji umnogome u funkciji trajanja studije, primijenjene doze i osjetljivosti eseja, pravi terminalni polu-život je najvjerovatnije znatno duži, kao što je to slučaj i sa ostalim </w:t>
      </w:r>
      <w:proofErr w:type="spellStart"/>
      <w:r w:rsidRPr="0093403C">
        <w:rPr>
          <w:sz w:val="22"/>
          <w:szCs w:val="22"/>
          <w:lang w:val="sr-Latn-ME"/>
        </w:rPr>
        <w:t>bisfosfonatima</w:t>
      </w:r>
      <w:proofErr w:type="spellEnd"/>
      <w:r w:rsidRPr="0093403C">
        <w:rPr>
          <w:sz w:val="22"/>
          <w:szCs w:val="22"/>
          <w:lang w:val="sr-Latn-ME"/>
        </w:rPr>
        <w:t xml:space="preserve">. Rani nivoi u plazmi opadaju brzo i dostižu 10% vršnih vrijednosti u plazmi u roku od 3 časa po </w:t>
      </w:r>
      <w:proofErr w:type="spellStart"/>
      <w:r w:rsidRPr="0093403C">
        <w:rPr>
          <w:sz w:val="22"/>
          <w:szCs w:val="22"/>
          <w:lang w:val="sr-Latn-ME"/>
        </w:rPr>
        <w:t>intravenskoj</w:t>
      </w:r>
      <w:proofErr w:type="spellEnd"/>
      <w:r w:rsidRPr="0093403C">
        <w:rPr>
          <w:sz w:val="22"/>
          <w:szCs w:val="22"/>
          <w:lang w:val="sr-Latn-ME"/>
        </w:rPr>
        <w:t xml:space="preserve">, odnosno 8 časova po oralnoj primjeni. </w:t>
      </w:r>
    </w:p>
    <w:p w14:paraId="279B40B8" w14:textId="77777777" w:rsidR="002E634B" w:rsidRPr="0093403C" w:rsidRDefault="002E634B" w:rsidP="007C5B43">
      <w:pPr>
        <w:jc w:val="both"/>
        <w:rPr>
          <w:sz w:val="22"/>
          <w:szCs w:val="22"/>
          <w:lang w:val="sr-Latn-ME"/>
        </w:rPr>
      </w:pPr>
    </w:p>
    <w:p w14:paraId="0A0E9C0D" w14:textId="77777777" w:rsidR="002E634B" w:rsidRPr="0093403C" w:rsidRDefault="002E634B" w:rsidP="007C5B43">
      <w:pPr>
        <w:jc w:val="both"/>
        <w:rPr>
          <w:sz w:val="22"/>
          <w:szCs w:val="22"/>
          <w:lang w:val="sr-Latn-ME"/>
        </w:rPr>
      </w:pPr>
      <w:r w:rsidRPr="0093403C">
        <w:rPr>
          <w:sz w:val="22"/>
          <w:szCs w:val="22"/>
          <w:lang w:val="sr-Latn-ME"/>
        </w:rPr>
        <w:t xml:space="preserve">Ukupni </w:t>
      </w:r>
      <w:proofErr w:type="spellStart"/>
      <w:r w:rsidRPr="0093403C">
        <w:rPr>
          <w:sz w:val="22"/>
          <w:szCs w:val="22"/>
          <w:lang w:val="sr-Latn-ME"/>
        </w:rPr>
        <w:t>klirens</w:t>
      </w:r>
      <w:proofErr w:type="spellEnd"/>
      <w:r w:rsidRPr="0093403C">
        <w:rPr>
          <w:sz w:val="22"/>
          <w:szCs w:val="22"/>
          <w:lang w:val="sr-Latn-ME"/>
        </w:rPr>
        <w:t xml:space="preserve"> </w:t>
      </w:r>
      <w:proofErr w:type="spellStart"/>
      <w:r w:rsidRPr="0093403C">
        <w:rPr>
          <w:sz w:val="22"/>
          <w:szCs w:val="22"/>
          <w:lang w:val="sr-Latn-ME"/>
        </w:rPr>
        <w:t>ibandronske</w:t>
      </w:r>
      <w:proofErr w:type="spellEnd"/>
      <w:r w:rsidRPr="0093403C">
        <w:rPr>
          <w:sz w:val="22"/>
          <w:szCs w:val="22"/>
          <w:lang w:val="sr-Latn-ME"/>
        </w:rPr>
        <w:t xml:space="preserve"> kiseline je nizak, a prosječne vrijednosti kreću se u rasponu od 84-160 ml/min. Na bubrežni </w:t>
      </w:r>
      <w:proofErr w:type="spellStart"/>
      <w:r w:rsidRPr="0093403C">
        <w:rPr>
          <w:sz w:val="22"/>
          <w:szCs w:val="22"/>
          <w:lang w:val="sr-Latn-ME"/>
        </w:rPr>
        <w:t>klirens</w:t>
      </w:r>
      <w:proofErr w:type="spellEnd"/>
      <w:r w:rsidRPr="0093403C">
        <w:rPr>
          <w:sz w:val="22"/>
          <w:szCs w:val="22"/>
          <w:lang w:val="sr-Latn-ME"/>
        </w:rPr>
        <w:t xml:space="preserve"> (oko 60 ml/min kod zdravih </w:t>
      </w:r>
      <w:proofErr w:type="spellStart"/>
      <w:r w:rsidRPr="0093403C">
        <w:rPr>
          <w:sz w:val="22"/>
          <w:szCs w:val="22"/>
          <w:lang w:val="sr-Latn-ME"/>
        </w:rPr>
        <w:t>postmenopauzalnih</w:t>
      </w:r>
      <w:proofErr w:type="spellEnd"/>
      <w:r w:rsidRPr="0093403C">
        <w:rPr>
          <w:sz w:val="22"/>
          <w:szCs w:val="22"/>
          <w:lang w:val="sr-Latn-ME"/>
        </w:rPr>
        <w:t xml:space="preserve"> žena) otpada oko 50-60% ukupnog </w:t>
      </w:r>
      <w:proofErr w:type="spellStart"/>
      <w:r w:rsidRPr="0093403C">
        <w:rPr>
          <w:sz w:val="22"/>
          <w:szCs w:val="22"/>
          <w:lang w:val="sr-Latn-ME"/>
        </w:rPr>
        <w:t>klirensa</w:t>
      </w:r>
      <w:proofErr w:type="spellEnd"/>
      <w:r w:rsidRPr="0093403C">
        <w:rPr>
          <w:sz w:val="22"/>
          <w:szCs w:val="22"/>
          <w:lang w:val="sr-Latn-ME"/>
        </w:rPr>
        <w:t xml:space="preserve"> i ovo je povezano sa </w:t>
      </w:r>
      <w:proofErr w:type="spellStart"/>
      <w:r w:rsidRPr="0093403C">
        <w:rPr>
          <w:sz w:val="22"/>
          <w:szCs w:val="22"/>
          <w:lang w:val="sr-Latn-ME"/>
        </w:rPr>
        <w:t>klirensom</w:t>
      </w:r>
      <w:proofErr w:type="spellEnd"/>
      <w:r w:rsidRPr="0093403C">
        <w:rPr>
          <w:sz w:val="22"/>
          <w:szCs w:val="22"/>
          <w:lang w:val="sr-Latn-ME"/>
        </w:rPr>
        <w:t xml:space="preserve"> </w:t>
      </w:r>
      <w:proofErr w:type="spellStart"/>
      <w:r w:rsidRPr="0093403C">
        <w:rPr>
          <w:sz w:val="22"/>
          <w:szCs w:val="22"/>
          <w:lang w:val="sr-Latn-ME"/>
        </w:rPr>
        <w:t>kreatinina</w:t>
      </w:r>
      <w:proofErr w:type="spellEnd"/>
      <w:r w:rsidRPr="0093403C">
        <w:rPr>
          <w:sz w:val="22"/>
          <w:szCs w:val="22"/>
          <w:lang w:val="sr-Latn-ME"/>
        </w:rPr>
        <w:t xml:space="preserve">. Smatra se da razlika između ukupnog </w:t>
      </w:r>
      <w:proofErr w:type="spellStart"/>
      <w:r w:rsidRPr="0093403C">
        <w:rPr>
          <w:sz w:val="22"/>
          <w:szCs w:val="22"/>
          <w:lang w:val="sr-Latn-ME"/>
        </w:rPr>
        <w:t>klirensa</w:t>
      </w:r>
      <w:proofErr w:type="spellEnd"/>
      <w:r w:rsidRPr="0093403C">
        <w:rPr>
          <w:sz w:val="22"/>
          <w:szCs w:val="22"/>
          <w:lang w:val="sr-Latn-ME"/>
        </w:rPr>
        <w:t xml:space="preserve"> i bubrežnog </w:t>
      </w:r>
      <w:proofErr w:type="spellStart"/>
      <w:r w:rsidRPr="0093403C">
        <w:rPr>
          <w:sz w:val="22"/>
          <w:szCs w:val="22"/>
          <w:lang w:val="sr-Latn-ME"/>
        </w:rPr>
        <w:t>klirensa</w:t>
      </w:r>
      <w:proofErr w:type="spellEnd"/>
      <w:r w:rsidRPr="0093403C">
        <w:rPr>
          <w:sz w:val="22"/>
          <w:szCs w:val="22"/>
          <w:lang w:val="sr-Latn-ME"/>
        </w:rPr>
        <w:t xml:space="preserve"> oslikava preuzimanje od strane kostiju.</w:t>
      </w:r>
    </w:p>
    <w:p w14:paraId="6D8563F4" w14:textId="77777777" w:rsidR="002E634B" w:rsidRPr="0093403C" w:rsidRDefault="002E634B" w:rsidP="007C5B43">
      <w:pPr>
        <w:jc w:val="both"/>
        <w:rPr>
          <w:sz w:val="22"/>
          <w:szCs w:val="22"/>
          <w:lang w:val="sr-Latn-ME"/>
        </w:rPr>
      </w:pPr>
    </w:p>
    <w:p w14:paraId="3158818D" w14:textId="77777777" w:rsidR="002E634B" w:rsidRPr="0093403C" w:rsidRDefault="002E634B" w:rsidP="007C5B43">
      <w:pPr>
        <w:jc w:val="both"/>
        <w:rPr>
          <w:sz w:val="22"/>
          <w:szCs w:val="22"/>
          <w:lang w:val="sr-Latn-ME"/>
        </w:rPr>
      </w:pPr>
      <w:r w:rsidRPr="0093403C">
        <w:rPr>
          <w:sz w:val="22"/>
          <w:szCs w:val="22"/>
          <w:lang w:val="sr-Latn-ME"/>
        </w:rPr>
        <w:t xml:space="preserve">Čini se da put izlučivanja putem bubrega ne obuhvata poznate kisele ni bazne transportne sisteme uključene u izlučivanje drugih aktivnih supstanci. Osim toga, </w:t>
      </w:r>
      <w:proofErr w:type="spellStart"/>
      <w:r w:rsidRPr="0093403C">
        <w:rPr>
          <w:sz w:val="22"/>
          <w:szCs w:val="22"/>
          <w:lang w:val="sr-Latn-ME"/>
        </w:rPr>
        <w:t>ibandronska</w:t>
      </w:r>
      <w:proofErr w:type="spellEnd"/>
      <w:r w:rsidRPr="0093403C">
        <w:rPr>
          <w:sz w:val="22"/>
          <w:szCs w:val="22"/>
          <w:lang w:val="sr-Latn-ME"/>
        </w:rPr>
        <w:t xml:space="preserve"> kiselina ne inhibira glavne </w:t>
      </w:r>
      <w:proofErr w:type="spellStart"/>
      <w:r w:rsidRPr="0093403C">
        <w:rPr>
          <w:sz w:val="22"/>
          <w:szCs w:val="22"/>
          <w:lang w:val="sr-Latn-ME"/>
        </w:rPr>
        <w:t>izoenzime</w:t>
      </w:r>
      <w:proofErr w:type="spellEnd"/>
      <w:r w:rsidRPr="0093403C">
        <w:rPr>
          <w:sz w:val="22"/>
          <w:szCs w:val="22"/>
          <w:lang w:val="sr-Latn-ME"/>
        </w:rPr>
        <w:t xml:space="preserve"> </w:t>
      </w:r>
      <w:proofErr w:type="spellStart"/>
      <w:r w:rsidRPr="0093403C">
        <w:rPr>
          <w:sz w:val="22"/>
          <w:szCs w:val="22"/>
          <w:lang w:val="sr-Latn-ME"/>
        </w:rPr>
        <w:t>citohroma</w:t>
      </w:r>
      <w:proofErr w:type="spellEnd"/>
      <w:r w:rsidRPr="0093403C">
        <w:rPr>
          <w:sz w:val="22"/>
          <w:szCs w:val="22"/>
          <w:lang w:val="sr-Latn-ME"/>
        </w:rPr>
        <w:t xml:space="preserve"> </w:t>
      </w:r>
      <w:proofErr w:type="spellStart"/>
      <w:r w:rsidRPr="0093403C">
        <w:rPr>
          <w:sz w:val="22"/>
          <w:szCs w:val="22"/>
          <w:lang w:val="sr-Latn-ME"/>
        </w:rPr>
        <w:t>P450</w:t>
      </w:r>
      <w:proofErr w:type="spellEnd"/>
      <w:r w:rsidRPr="0093403C">
        <w:rPr>
          <w:sz w:val="22"/>
          <w:szCs w:val="22"/>
          <w:lang w:val="sr-Latn-ME"/>
        </w:rPr>
        <w:t xml:space="preserve"> u ljudskoj jetri i ne indukuje jetreni </w:t>
      </w:r>
      <w:proofErr w:type="spellStart"/>
      <w:r w:rsidRPr="0093403C">
        <w:rPr>
          <w:sz w:val="22"/>
          <w:szCs w:val="22"/>
          <w:lang w:val="sr-Latn-ME"/>
        </w:rPr>
        <w:t>P450</w:t>
      </w:r>
      <w:proofErr w:type="spellEnd"/>
      <w:r w:rsidRPr="0093403C">
        <w:rPr>
          <w:sz w:val="22"/>
          <w:szCs w:val="22"/>
          <w:lang w:val="sr-Latn-ME"/>
        </w:rPr>
        <w:t xml:space="preserve"> </w:t>
      </w:r>
      <w:proofErr w:type="spellStart"/>
      <w:r w:rsidRPr="0093403C">
        <w:rPr>
          <w:sz w:val="22"/>
          <w:szCs w:val="22"/>
          <w:lang w:val="sr-Latn-ME"/>
        </w:rPr>
        <w:t>citohromski</w:t>
      </w:r>
      <w:proofErr w:type="spellEnd"/>
      <w:r w:rsidRPr="0093403C">
        <w:rPr>
          <w:sz w:val="22"/>
          <w:szCs w:val="22"/>
          <w:lang w:val="sr-Latn-ME"/>
        </w:rPr>
        <w:t xml:space="preserve"> sistem kod pacova.</w:t>
      </w:r>
    </w:p>
    <w:p w14:paraId="2B6EC615" w14:textId="77777777" w:rsidR="002E634B" w:rsidRPr="0093403C" w:rsidRDefault="002E634B" w:rsidP="007C5B43">
      <w:pPr>
        <w:jc w:val="both"/>
        <w:rPr>
          <w:sz w:val="22"/>
          <w:szCs w:val="22"/>
          <w:lang w:val="sr-Latn-ME"/>
        </w:rPr>
      </w:pPr>
    </w:p>
    <w:p w14:paraId="53B1CE86" w14:textId="77777777" w:rsidR="002E634B" w:rsidRPr="0093403C" w:rsidRDefault="002E634B" w:rsidP="007C5B43">
      <w:pPr>
        <w:jc w:val="both"/>
        <w:rPr>
          <w:b/>
          <w:sz w:val="22"/>
          <w:szCs w:val="22"/>
          <w:u w:val="single"/>
          <w:lang w:val="sr-Latn-ME"/>
        </w:rPr>
      </w:pPr>
      <w:proofErr w:type="spellStart"/>
      <w:r w:rsidRPr="0093403C">
        <w:rPr>
          <w:b/>
          <w:sz w:val="22"/>
          <w:szCs w:val="22"/>
          <w:u w:val="single"/>
          <w:lang w:val="sr-Latn-ME"/>
        </w:rPr>
        <w:t>Farmakokinetika</w:t>
      </w:r>
      <w:proofErr w:type="spellEnd"/>
      <w:r w:rsidRPr="0093403C">
        <w:rPr>
          <w:b/>
          <w:sz w:val="22"/>
          <w:szCs w:val="22"/>
          <w:u w:val="single"/>
          <w:lang w:val="sr-Latn-ME"/>
        </w:rPr>
        <w:t xml:space="preserve"> posebnih grupa</w:t>
      </w:r>
    </w:p>
    <w:p w14:paraId="674CBBAD" w14:textId="77777777" w:rsidR="002E634B" w:rsidRPr="0093403C" w:rsidRDefault="002E634B" w:rsidP="007C5B43">
      <w:pPr>
        <w:jc w:val="both"/>
        <w:rPr>
          <w:sz w:val="22"/>
          <w:szCs w:val="22"/>
          <w:lang w:val="sr-Latn-ME"/>
        </w:rPr>
      </w:pPr>
    </w:p>
    <w:p w14:paraId="05C8C341" w14:textId="77777777" w:rsidR="002E634B" w:rsidRPr="0093403C" w:rsidRDefault="002E634B" w:rsidP="007C5B43">
      <w:pPr>
        <w:jc w:val="both"/>
        <w:rPr>
          <w:i/>
          <w:sz w:val="22"/>
          <w:szCs w:val="22"/>
          <w:lang w:val="sr-Latn-ME"/>
        </w:rPr>
      </w:pPr>
      <w:r w:rsidRPr="0093403C">
        <w:rPr>
          <w:i/>
          <w:sz w:val="22"/>
          <w:szCs w:val="22"/>
          <w:lang w:val="sr-Latn-ME"/>
        </w:rPr>
        <w:t>Pol</w:t>
      </w:r>
    </w:p>
    <w:p w14:paraId="01F73B35" w14:textId="77777777" w:rsidR="002E634B" w:rsidRPr="0093403C" w:rsidRDefault="002E634B" w:rsidP="007C5B43">
      <w:pPr>
        <w:jc w:val="both"/>
        <w:rPr>
          <w:sz w:val="22"/>
          <w:szCs w:val="22"/>
          <w:lang w:val="sr-Latn-ME"/>
        </w:rPr>
      </w:pPr>
      <w:r w:rsidRPr="0093403C">
        <w:rPr>
          <w:sz w:val="22"/>
          <w:szCs w:val="22"/>
          <w:lang w:val="sr-Latn-ME"/>
        </w:rPr>
        <w:t xml:space="preserve">Biološka raspoloživost i </w:t>
      </w:r>
      <w:proofErr w:type="spellStart"/>
      <w:r w:rsidRPr="0093403C">
        <w:rPr>
          <w:sz w:val="22"/>
          <w:szCs w:val="22"/>
          <w:lang w:val="sr-Latn-ME"/>
        </w:rPr>
        <w:t>farmakokinetika</w:t>
      </w:r>
      <w:proofErr w:type="spellEnd"/>
      <w:r w:rsidRPr="0093403C">
        <w:rPr>
          <w:sz w:val="22"/>
          <w:szCs w:val="22"/>
          <w:lang w:val="sr-Latn-ME"/>
        </w:rPr>
        <w:t xml:space="preserve"> </w:t>
      </w:r>
      <w:proofErr w:type="spellStart"/>
      <w:r w:rsidRPr="0093403C">
        <w:rPr>
          <w:sz w:val="22"/>
          <w:szCs w:val="22"/>
          <w:lang w:val="sr-Latn-ME"/>
        </w:rPr>
        <w:t>ibandronske</w:t>
      </w:r>
      <w:proofErr w:type="spellEnd"/>
      <w:r w:rsidRPr="0093403C">
        <w:rPr>
          <w:sz w:val="22"/>
          <w:szCs w:val="22"/>
          <w:lang w:val="sr-Latn-ME"/>
        </w:rPr>
        <w:t xml:space="preserve"> kiseline su slične kod muškaraca i kod žena. </w:t>
      </w:r>
    </w:p>
    <w:p w14:paraId="04A70246" w14:textId="77777777" w:rsidR="002E634B" w:rsidRPr="0093403C" w:rsidRDefault="002E634B" w:rsidP="007C5B43">
      <w:pPr>
        <w:jc w:val="both"/>
        <w:rPr>
          <w:sz w:val="22"/>
          <w:szCs w:val="22"/>
          <w:lang w:val="sr-Latn-ME"/>
        </w:rPr>
      </w:pPr>
    </w:p>
    <w:p w14:paraId="160EFCBE" w14:textId="77777777" w:rsidR="002E634B" w:rsidRPr="0093403C" w:rsidRDefault="002E634B" w:rsidP="007C5B43">
      <w:pPr>
        <w:jc w:val="both"/>
        <w:rPr>
          <w:i/>
          <w:sz w:val="22"/>
          <w:szCs w:val="22"/>
          <w:lang w:val="sr-Latn-ME"/>
        </w:rPr>
      </w:pPr>
      <w:r w:rsidRPr="0093403C">
        <w:rPr>
          <w:i/>
          <w:sz w:val="22"/>
          <w:szCs w:val="22"/>
          <w:lang w:val="sr-Latn-ME"/>
        </w:rPr>
        <w:t>Rasa</w:t>
      </w:r>
    </w:p>
    <w:p w14:paraId="5802D02A" w14:textId="77777777" w:rsidR="002E634B" w:rsidRPr="0093403C" w:rsidRDefault="002E634B" w:rsidP="007C5B43">
      <w:pPr>
        <w:jc w:val="both"/>
        <w:rPr>
          <w:sz w:val="22"/>
          <w:szCs w:val="22"/>
          <w:lang w:val="sr-Latn-ME"/>
        </w:rPr>
      </w:pPr>
      <w:r w:rsidRPr="0093403C">
        <w:rPr>
          <w:sz w:val="22"/>
          <w:szCs w:val="22"/>
          <w:lang w:val="sr-Latn-ME"/>
        </w:rPr>
        <w:t xml:space="preserve">Nema podataka o ma kakvim klinički relevantnim među-etničkim razlikama između </w:t>
      </w:r>
      <w:proofErr w:type="spellStart"/>
      <w:r w:rsidRPr="0093403C">
        <w:rPr>
          <w:sz w:val="22"/>
          <w:szCs w:val="22"/>
          <w:lang w:val="sr-Latn-ME"/>
        </w:rPr>
        <w:t>azijata</w:t>
      </w:r>
      <w:proofErr w:type="spellEnd"/>
      <w:r w:rsidRPr="0093403C">
        <w:rPr>
          <w:sz w:val="22"/>
          <w:szCs w:val="22"/>
          <w:lang w:val="sr-Latn-ME"/>
        </w:rPr>
        <w:t xml:space="preserve"> i </w:t>
      </w:r>
      <w:proofErr w:type="spellStart"/>
      <w:r w:rsidRPr="0093403C">
        <w:rPr>
          <w:sz w:val="22"/>
          <w:szCs w:val="22"/>
          <w:lang w:val="sr-Latn-ME"/>
        </w:rPr>
        <w:t>ljudi</w:t>
      </w:r>
      <w:proofErr w:type="spellEnd"/>
      <w:r w:rsidRPr="0093403C">
        <w:rPr>
          <w:sz w:val="22"/>
          <w:szCs w:val="22"/>
          <w:lang w:val="sr-Latn-ME"/>
        </w:rPr>
        <w:t xml:space="preserve"> bijele rase kada se radi o raspolaganju </w:t>
      </w:r>
      <w:proofErr w:type="spellStart"/>
      <w:r w:rsidRPr="0093403C">
        <w:rPr>
          <w:sz w:val="22"/>
          <w:szCs w:val="22"/>
          <w:lang w:val="sr-Latn-ME"/>
        </w:rPr>
        <w:t>ibandronskom</w:t>
      </w:r>
      <w:proofErr w:type="spellEnd"/>
      <w:r w:rsidRPr="0093403C">
        <w:rPr>
          <w:sz w:val="22"/>
          <w:szCs w:val="22"/>
          <w:lang w:val="sr-Latn-ME"/>
        </w:rPr>
        <w:t xml:space="preserve"> kiselinom. Podaci o pacijentima afričkog porijekla su veoma oskudni. </w:t>
      </w:r>
    </w:p>
    <w:p w14:paraId="7EF8D354" w14:textId="77777777" w:rsidR="002E634B" w:rsidRPr="0093403C" w:rsidRDefault="002E634B" w:rsidP="007C5B43">
      <w:pPr>
        <w:jc w:val="both"/>
        <w:rPr>
          <w:i/>
          <w:sz w:val="22"/>
          <w:szCs w:val="22"/>
          <w:lang w:val="sr-Latn-ME"/>
        </w:rPr>
      </w:pPr>
    </w:p>
    <w:p w14:paraId="2AD02D9C" w14:textId="77777777" w:rsidR="002E634B" w:rsidRPr="0093403C" w:rsidRDefault="002E634B" w:rsidP="007C5B43">
      <w:pPr>
        <w:jc w:val="both"/>
        <w:rPr>
          <w:i/>
          <w:sz w:val="22"/>
          <w:szCs w:val="22"/>
          <w:lang w:val="sr-Latn-ME"/>
        </w:rPr>
      </w:pPr>
      <w:r w:rsidRPr="0093403C">
        <w:rPr>
          <w:i/>
          <w:sz w:val="22"/>
          <w:szCs w:val="22"/>
          <w:lang w:val="sr-Latn-ME"/>
        </w:rPr>
        <w:t>Pacijenti sa oslabljenom funkcijom bubrega</w:t>
      </w:r>
    </w:p>
    <w:p w14:paraId="0F728953" w14:textId="77777777" w:rsidR="002E634B" w:rsidRPr="0093403C" w:rsidRDefault="002E634B" w:rsidP="007C5B43">
      <w:pPr>
        <w:jc w:val="both"/>
        <w:rPr>
          <w:sz w:val="22"/>
          <w:szCs w:val="22"/>
          <w:lang w:val="sr-Latn-ME"/>
        </w:rPr>
      </w:pPr>
      <w:r w:rsidRPr="0093403C">
        <w:rPr>
          <w:sz w:val="22"/>
          <w:szCs w:val="22"/>
          <w:lang w:val="sr-Latn-ME"/>
        </w:rPr>
        <w:t xml:space="preserve">Bubrežni </w:t>
      </w:r>
      <w:proofErr w:type="spellStart"/>
      <w:r w:rsidRPr="0093403C">
        <w:rPr>
          <w:sz w:val="22"/>
          <w:szCs w:val="22"/>
          <w:lang w:val="sr-Latn-ME"/>
        </w:rPr>
        <w:t>klirens</w:t>
      </w:r>
      <w:proofErr w:type="spellEnd"/>
      <w:r w:rsidRPr="0093403C">
        <w:rPr>
          <w:sz w:val="22"/>
          <w:szCs w:val="22"/>
          <w:lang w:val="sr-Latn-ME"/>
        </w:rPr>
        <w:t xml:space="preserve"> </w:t>
      </w:r>
      <w:proofErr w:type="spellStart"/>
      <w:r w:rsidRPr="0093403C">
        <w:rPr>
          <w:sz w:val="22"/>
          <w:szCs w:val="22"/>
          <w:lang w:val="sr-Latn-ME"/>
        </w:rPr>
        <w:t>ibandronske</w:t>
      </w:r>
      <w:proofErr w:type="spellEnd"/>
      <w:r w:rsidRPr="0093403C">
        <w:rPr>
          <w:sz w:val="22"/>
          <w:szCs w:val="22"/>
          <w:lang w:val="sr-Latn-ME"/>
        </w:rPr>
        <w:t xml:space="preserve"> kiseline kod pacijenata sa različitim stepenima bubrežne </w:t>
      </w:r>
      <w:proofErr w:type="spellStart"/>
      <w:r w:rsidRPr="0093403C">
        <w:rPr>
          <w:sz w:val="22"/>
          <w:szCs w:val="22"/>
          <w:lang w:val="sr-Latn-ME"/>
        </w:rPr>
        <w:t>insuficijencije</w:t>
      </w:r>
      <w:proofErr w:type="spellEnd"/>
      <w:r w:rsidRPr="0093403C">
        <w:rPr>
          <w:sz w:val="22"/>
          <w:szCs w:val="22"/>
          <w:lang w:val="sr-Latn-ME"/>
        </w:rPr>
        <w:t xml:space="preserve"> je u linearnom odnosu sa </w:t>
      </w:r>
      <w:proofErr w:type="spellStart"/>
      <w:r w:rsidRPr="0093403C">
        <w:rPr>
          <w:sz w:val="22"/>
          <w:szCs w:val="22"/>
          <w:lang w:val="sr-Latn-ME"/>
        </w:rPr>
        <w:t>klirensom</w:t>
      </w:r>
      <w:proofErr w:type="spellEnd"/>
      <w:r w:rsidRPr="0093403C">
        <w:rPr>
          <w:sz w:val="22"/>
          <w:szCs w:val="22"/>
          <w:lang w:val="sr-Latn-ME"/>
        </w:rPr>
        <w:t xml:space="preserve"> </w:t>
      </w:r>
      <w:proofErr w:type="spellStart"/>
      <w:r w:rsidRPr="0093403C">
        <w:rPr>
          <w:sz w:val="22"/>
          <w:szCs w:val="22"/>
          <w:lang w:val="sr-Latn-ME"/>
        </w:rPr>
        <w:t>kreatinina</w:t>
      </w:r>
      <w:proofErr w:type="spellEnd"/>
      <w:r w:rsidRPr="0093403C">
        <w:rPr>
          <w:sz w:val="22"/>
          <w:szCs w:val="22"/>
          <w:lang w:val="sr-Latn-ME"/>
        </w:rPr>
        <w:t xml:space="preserve"> (</w:t>
      </w:r>
      <w:proofErr w:type="spellStart"/>
      <w:r w:rsidRPr="0093403C">
        <w:rPr>
          <w:sz w:val="22"/>
          <w:szCs w:val="22"/>
          <w:lang w:val="sr-Latn-ME"/>
        </w:rPr>
        <w:t>CLcr</w:t>
      </w:r>
      <w:proofErr w:type="spellEnd"/>
      <w:r w:rsidRPr="0093403C">
        <w:rPr>
          <w:sz w:val="22"/>
          <w:szCs w:val="22"/>
          <w:lang w:val="sr-Latn-ME"/>
        </w:rPr>
        <w:t xml:space="preserve">). </w:t>
      </w:r>
    </w:p>
    <w:p w14:paraId="380AEBDA" w14:textId="77777777" w:rsidR="002E634B" w:rsidRPr="0093403C" w:rsidRDefault="002E634B" w:rsidP="007C5B43">
      <w:pPr>
        <w:jc w:val="both"/>
        <w:rPr>
          <w:sz w:val="22"/>
          <w:szCs w:val="22"/>
          <w:lang w:val="sr-Latn-ME"/>
        </w:rPr>
      </w:pPr>
    </w:p>
    <w:p w14:paraId="1606D49A" w14:textId="77777777" w:rsidR="002E634B" w:rsidRPr="0093403C" w:rsidRDefault="002E634B" w:rsidP="007C5B43">
      <w:pPr>
        <w:jc w:val="both"/>
        <w:rPr>
          <w:sz w:val="22"/>
          <w:szCs w:val="22"/>
          <w:lang w:val="sr-Latn-ME"/>
        </w:rPr>
      </w:pPr>
      <w:r w:rsidRPr="0093403C">
        <w:rPr>
          <w:sz w:val="22"/>
          <w:szCs w:val="22"/>
          <w:lang w:val="sr-Latn-ME"/>
        </w:rPr>
        <w:t xml:space="preserve">Nije neophodno nikakvo podešavanje doze za pacijente sa blagom do umjerenom bubrežnom </w:t>
      </w:r>
      <w:proofErr w:type="spellStart"/>
      <w:r w:rsidRPr="0093403C">
        <w:rPr>
          <w:sz w:val="22"/>
          <w:szCs w:val="22"/>
          <w:lang w:val="sr-Latn-ME"/>
        </w:rPr>
        <w:t>insuficijencijom</w:t>
      </w:r>
      <w:proofErr w:type="spellEnd"/>
      <w:r w:rsidRPr="0093403C">
        <w:rPr>
          <w:sz w:val="22"/>
          <w:szCs w:val="22"/>
          <w:lang w:val="sr-Latn-ME"/>
        </w:rPr>
        <w:t xml:space="preserve"> (</w:t>
      </w:r>
      <w:proofErr w:type="spellStart"/>
      <w:r w:rsidRPr="0093403C">
        <w:rPr>
          <w:sz w:val="22"/>
          <w:szCs w:val="22"/>
          <w:lang w:val="sr-Latn-ME"/>
        </w:rPr>
        <w:t>CLcr</w:t>
      </w:r>
      <w:proofErr w:type="spellEnd"/>
      <w:r w:rsidRPr="0093403C">
        <w:rPr>
          <w:sz w:val="22"/>
          <w:szCs w:val="22"/>
          <w:lang w:val="sr-Latn-ME"/>
        </w:rPr>
        <w:t xml:space="preserve"> jednak ili veći od 30 ml/min). </w:t>
      </w:r>
    </w:p>
    <w:p w14:paraId="1F16D996" w14:textId="77777777" w:rsidR="002E634B" w:rsidRPr="0093403C" w:rsidRDefault="002E634B" w:rsidP="007C5B43">
      <w:pPr>
        <w:jc w:val="both"/>
        <w:rPr>
          <w:sz w:val="22"/>
          <w:szCs w:val="22"/>
          <w:lang w:val="sr-Latn-ME"/>
        </w:rPr>
      </w:pPr>
    </w:p>
    <w:p w14:paraId="4AA60777" w14:textId="77777777" w:rsidR="002E634B" w:rsidRPr="0093403C" w:rsidRDefault="002E634B" w:rsidP="007C5B43">
      <w:pPr>
        <w:jc w:val="both"/>
        <w:rPr>
          <w:sz w:val="22"/>
          <w:szCs w:val="22"/>
          <w:lang w:val="sr-Latn-ME"/>
        </w:rPr>
      </w:pPr>
      <w:r w:rsidRPr="0093403C">
        <w:rPr>
          <w:sz w:val="22"/>
          <w:szCs w:val="22"/>
          <w:lang w:val="sr-Latn-ME"/>
        </w:rPr>
        <w:t xml:space="preserve">Kod pacijenata sa teškom bubrežnom </w:t>
      </w:r>
      <w:proofErr w:type="spellStart"/>
      <w:r w:rsidRPr="0093403C">
        <w:rPr>
          <w:sz w:val="22"/>
          <w:szCs w:val="22"/>
          <w:lang w:val="sr-Latn-ME"/>
        </w:rPr>
        <w:t>insuficijencijom</w:t>
      </w:r>
      <w:proofErr w:type="spellEnd"/>
      <w:r w:rsidRPr="0093403C">
        <w:rPr>
          <w:sz w:val="22"/>
          <w:szCs w:val="22"/>
          <w:lang w:val="sr-Latn-ME"/>
        </w:rPr>
        <w:t xml:space="preserve"> (</w:t>
      </w:r>
      <w:proofErr w:type="spellStart"/>
      <w:r w:rsidRPr="0093403C">
        <w:rPr>
          <w:sz w:val="22"/>
          <w:szCs w:val="22"/>
          <w:lang w:val="sr-Latn-ME"/>
        </w:rPr>
        <w:t>CLcr</w:t>
      </w:r>
      <w:proofErr w:type="spellEnd"/>
      <w:r w:rsidRPr="0093403C">
        <w:rPr>
          <w:sz w:val="22"/>
          <w:szCs w:val="22"/>
          <w:lang w:val="sr-Latn-ME"/>
        </w:rPr>
        <w:t xml:space="preserve"> manji od 30 ml/min), davanje dnevne oralne doze od 10 mg </w:t>
      </w:r>
      <w:proofErr w:type="spellStart"/>
      <w:r w:rsidRPr="0093403C">
        <w:rPr>
          <w:sz w:val="22"/>
          <w:szCs w:val="22"/>
          <w:lang w:val="sr-Latn-ME"/>
        </w:rPr>
        <w:t>ibandronske</w:t>
      </w:r>
      <w:proofErr w:type="spellEnd"/>
      <w:r w:rsidRPr="0093403C">
        <w:rPr>
          <w:sz w:val="22"/>
          <w:szCs w:val="22"/>
          <w:lang w:val="sr-Latn-ME"/>
        </w:rPr>
        <w:t xml:space="preserve"> kiseline tokom 21 dana dovodilo je do 2-3 puta većih koncentracija u plazmi nego kod ispitanika sa normalnom funkcijom bubrega, a ukupni </w:t>
      </w:r>
      <w:proofErr w:type="spellStart"/>
      <w:r w:rsidRPr="0093403C">
        <w:rPr>
          <w:sz w:val="22"/>
          <w:szCs w:val="22"/>
          <w:lang w:val="sr-Latn-ME"/>
        </w:rPr>
        <w:t>klirens</w:t>
      </w:r>
      <w:proofErr w:type="spellEnd"/>
      <w:r w:rsidRPr="0093403C">
        <w:rPr>
          <w:sz w:val="22"/>
          <w:szCs w:val="22"/>
          <w:lang w:val="sr-Latn-ME"/>
        </w:rPr>
        <w:t xml:space="preserve"> </w:t>
      </w:r>
      <w:proofErr w:type="spellStart"/>
      <w:r w:rsidRPr="0093403C">
        <w:rPr>
          <w:sz w:val="22"/>
          <w:szCs w:val="22"/>
          <w:lang w:val="sr-Latn-ME"/>
        </w:rPr>
        <w:t>ibandronske</w:t>
      </w:r>
      <w:proofErr w:type="spellEnd"/>
      <w:r w:rsidRPr="0093403C">
        <w:rPr>
          <w:sz w:val="22"/>
          <w:szCs w:val="22"/>
          <w:lang w:val="sr-Latn-ME"/>
        </w:rPr>
        <w:t xml:space="preserve"> kiseline bio je 44 ml/min.  Po </w:t>
      </w:r>
      <w:proofErr w:type="spellStart"/>
      <w:r w:rsidRPr="0093403C">
        <w:rPr>
          <w:sz w:val="22"/>
          <w:szCs w:val="22"/>
          <w:lang w:val="sr-Latn-ME"/>
        </w:rPr>
        <w:t>intravenskom</w:t>
      </w:r>
      <w:proofErr w:type="spellEnd"/>
      <w:r w:rsidRPr="0093403C">
        <w:rPr>
          <w:sz w:val="22"/>
          <w:szCs w:val="22"/>
          <w:lang w:val="sr-Latn-ME"/>
        </w:rPr>
        <w:t xml:space="preserve"> davanju 0,5 mg, ukupni </w:t>
      </w:r>
      <w:proofErr w:type="spellStart"/>
      <w:r w:rsidRPr="0093403C">
        <w:rPr>
          <w:sz w:val="22"/>
          <w:szCs w:val="22"/>
          <w:lang w:val="sr-Latn-ME"/>
        </w:rPr>
        <w:t>klirens</w:t>
      </w:r>
      <w:proofErr w:type="spellEnd"/>
      <w:r w:rsidRPr="0093403C">
        <w:rPr>
          <w:sz w:val="22"/>
          <w:szCs w:val="22"/>
          <w:lang w:val="sr-Latn-ME"/>
        </w:rPr>
        <w:t xml:space="preserve"> smanjen je za 67%, bubrežni za 77%, a ne-bubrežni za 50%, kod ispitanika sa teškom bubrežnom </w:t>
      </w:r>
      <w:proofErr w:type="spellStart"/>
      <w:r w:rsidRPr="0093403C">
        <w:rPr>
          <w:sz w:val="22"/>
          <w:szCs w:val="22"/>
          <w:lang w:val="sr-Latn-ME"/>
        </w:rPr>
        <w:t>insuficijencijom</w:t>
      </w:r>
      <w:proofErr w:type="spellEnd"/>
      <w:r w:rsidRPr="0093403C">
        <w:rPr>
          <w:sz w:val="22"/>
          <w:szCs w:val="22"/>
          <w:lang w:val="sr-Latn-ME"/>
        </w:rPr>
        <w:t xml:space="preserve">, ali nije bilo smanjenja tolerancije koje bi bilo povezano sa povećanjem izloženosti.  Zbog ograničenog kliničkog iskustva, lijek </w:t>
      </w:r>
      <w:proofErr w:type="spellStart"/>
      <w:r w:rsidRPr="0093403C">
        <w:rPr>
          <w:sz w:val="22"/>
          <w:szCs w:val="22"/>
          <w:lang w:val="sr-Latn-ME"/>
        </w:rPr>
        <w:t>Bonviva</w:t>
      </w:r>
      <w:proofErr w:type="spellEnd"/>
      <w:r w:rsidRPr="0093403C">
        <w:rPr>
          <w:sz w:val="22"/>
          <w:szCs w:val="22"/>
          <w:lang w:val="sr-Latn-ME"/>
        </w:rPr>
        <w:t xml:space="preserve"> se ne preporučuje pacijentima sa teškom bubrežnom </w:t>
      </w:r>
      <w:proofErr w:type="spellStart"/>
      <w:r w:rsidRPr="0093403C">
        <w:rPr>
          <w:sz w:val="22"/>
          <w:szCs w:val="22"/>
          <w:lang w:val="sr-Latn-ME"/>
        </w:rPr>
        <w:t>insuficijencijom</w:t>
      </w:r>
      <w:proofErr w:type="spellEnd"/>
      <w:r w:rsidRPr="0093403C">
        <w:rPr>
          <w:sz w:val="22"/>
          <w:szCs w:val="22"/>
          <w:lang w:val="sr-Latn-ME"/>
        </w:rPr>
        <w:t xml:space="preserve"> (vidjeti djelove 4.2. i 4.4). </w:t>
      </w:r>
      <w:proofErr w:type="spellStart"/>
      <w:r w:rsidRPr="0093403C">
        <w:rPr>
          <w:sz w:val="22"/>
          <w:szCs w:val="22"/>
          <w:lang w:val="sr-Latn-ME"/>
        </w:rPr>
        <w:t>Farmakokinetika</w:t>
      </w:r>
      <w:proofErr w:type="spellEnd"/>
      <w:r w:rsidRPr="0093403C">
        <w:rPr>
          <w:sz w:val="22"/>
          <w:szCs w:val="22"/>
          <w:lang w:val="sr-Latn-ME"/>
        </w:rPr>
        <w:t xml:space="preserve"> </w:t>
      </w:r>
      <w:proofErr w:type="spellStart"/>
      <w:r w:rsidRPr="0093403C">
        <w:rPr>
          <w:sz w:val="22"/>
          <w:szCs w:val="22"/>
          <w:lang w:val="sr-Latn-ME"/>
        </w:rPr>
        <w:t>ibandronske</w:t>
      </w:r>
      <w:proofErr w:type="spellEnd"/>
      <w:r w:rsidRPr="0093403C">
        <w:rPr>
          <w:sz w:val="22"/>
          <w:szCs w:val="22"/>
          <w:lang w:val="sr-Latn-ME"/>
        </w:rPr>
        <w:t xml:space="preserve"> kiseline kod pacijenata sa terminalnom bubrežnom </w:t>
      </w:r>
      <w:proofErr w:type="spellStart"/>
      <w:r w:rsidRPr="0093403C">
        <w:rPr>
          <w:sz w:val="22"/>
          <w:szCs w:val="22"/>
          <w:lang w:val="sr-Latn-ME"/>
        </w:rPr>
        <w:lastRenderedPageBreak/>
        <w:t>insuficijencijom</w:t>
      </w:r>
      <w:proofErr w:type="spellEnd"/>
      <w:r w:rsidRPr="0093403C">
        <w:rPr>
          <w:sz w:val="22"/>
          <w:szCs w:val="22"/>
          <w:lang w:val="sr-Latn-ME"/>
        </w:rPr>
        <w:t xml:space="preserve"> je procjenjivana samo  kod malog broja pacijenata koji su liječeni </w:t>
      </w:r>
      <w:proofErr w:type="spellStart"/>
      <w:r w:rsidRPr="0093403C">
        <w:rPr>
          <w:sz w:val="22"/>
          <w:szCs w:val="22"/>
          <w:lang w:val="sr-Latn-ME"/>
        </w:rPr>
        <w:t>hemodijalizom</w:t>
      </w:r>
      <w:proofErr w:type="spellEnd"/>
      <w:r w:rsidRPr="0093403C">
        <w:rPr>
          <w:sz w:val="22"/>
          <w:szCs w:val="22"/>
          <w:lang w:val="sr-Latn-ME"/>
        </w:rPr>
        <w:t xml:space="preserve">. Prema tome, nije poznato kakva je </w:t>
      </w:r>
      <w:proofErr w:type="spellStart"/>
      <w:r w:rsidRPr="0093403C">
        <w:rPr>
          <w:sz w:val="22"/>
          <w:szCs w:val="22"/>
          <w:lang w:val="sr-Latn-ME"/>
        </w:rPr>
        <w:t>farmakokinetika</w:t>
      </w:r>
      <w:proofErr w:type="spellEnd"/>
      <w:r w:rsidRPr="0093403C">
        <w:rPr>
          <w:sz w:val="22"/>
          <w:szCs w:val="22"/>
          <w:lang w:val="sr-Latn-ME"/>
        </w:rPr>
        <w:t xml:space="preserve"> </w:t>
      </w:r>
      <w:proofErr w:type="spellStart"/>
      <w:r w:rsidRPr="0093403C">
        <w:rPr>
          <w:sz w:val="22"/>
          <w:szCs w:val="22"/>
          <w:lang w:val="sr-Latn-ME"/>
        </w:rPr>
        <w:t>ibandronske</w:t>
      </w:r>
      <w:proofErr w:type="spellEnd"/>
      <w:r w:rsidRPr="0093403C">
        <w:rPr>
          <w:sz w:val="22"/>
          <w:szCs w:val="22"/>
          <w:lang w:val="sr-Latn-ME"/>
        </w:rPr>
        <w:t xml:space="preserve"> kiseline kod pacijenata koji se ne podvrgavaju </w:t>
      </w:r>
      <w:proofErr w:type="spellStart"/>
      <w:r w:rsidRPr="0093403C">
        <w:rPr>
          <w:sz w:val="22"/>
          <w:szCs w:val="22"/>
          <w:lang w:val="sr-Latn-ME"/>
        </w:rPr>
        <w:t>hemodijalizi</w:t>
      </w:r>
      <w:proofErr w:type="spellEnd"/>
      <w:r w:rsidRPr="0093403C">
        <w:rPr>
          <w:sz w:val="22"/>
          <w:szCs w:val="22"/>
          <w:lang w:val="sr-Latn-ME"/>
        </w:rPr>
        <w:t xml:space="preserve">. Zbog ograničenih podataka, </w:t>
      </w:r>
      <w:proofErr w:type="spellStart"/>
      <w:r w:rsidRPr="0093403C">
        <w:rPr>
          <w:sz w:val="22"/>
          <w:szCs w:val="22"/>
          <w:lang w:val="sr-Latn-ME"/>
        </w:rPr>
        <w:t>ibandronsku</w:t>
      </w:r>
      <w:proofErr w:type="spellEnd"/>
      <w:r w:rsidRPr="0093403C">
        <w:rPr>
          <w:sz w:val="22"/>
          <w:szCs w:val="22"/>
          <w:lang w:val="sr-Latn-ME"/>
        </w:rPr>
        <w:t xml:space="preserve"> kiselinu ne bi trebalo koristiti kod pacijenata sa terminalnom bubrežnom </w:t>
      </w:r>
      <w:proofErr w:type="spellStart"/>
      <w:r w:rsidRPr="0093403C">
        <w:rPr>
          <w:sz w:val="22"/>
          <w:szCs w:val="22"/>
          <w:lang w:val="sr-Latn-ME"/>
        </w:rPr>
        <w:t>insuficijencijom</w:t>
      </w:r>
      <w:proofErr w:type="spellEnd"/>
      <w:r w:rsidRPr="0093403C">
        <w:rPr>
          <w:sz w:val="22"/>
          <w:szCs w:val="22"/>
          <w:lang w:val="sr-Latn-ME"/>
        </w:rPr>
        <w:t xml:space="preserve">. </w:t>
      </w:r>
    </w:p>
    <w:p w14:paraId="5E792E01" w14:textId="77777777" w:rsidR="002E634B" w:rsidRPr="0093403C" w:rsidRDefault="002E634B" w:rsidP="007C5B43">
      <w:pPr>
        <w:jc w:val="both"/>
        <w:rPr>
          <w:sz w:val="22"/>
          <w:szCs w:val="22"/>
          <w:lang w:val="sr-Latn-ME"/>
        </w:rPr>
      </w:pPr>
    </w:p>
    <w:p w14:paraId="69E6CB08" w14:textId="77777777" w:rsidR="002E634B" w:rsidRPr="0093403C" w:rsidRDefault="002E634B" w:rsidP="007C5B43">
      <w:pPr>
        <w:jc w:val="both"/>
        <w:rPr>
          <w:i/>
          <w:sz w:val="22"/>
          <w:szCs w:val="22"/>
          <w:lang w:val="sr-Latn-ME"/>
        </w:rPr>
      </w:pPr>
      <w:r w:rsidRPr="0093403C">
        <w:rPr>
          <w:i/>
          <w:sz w:val="22"/>
          <w:szCs w:val="22"/>
          <w:lang w:val="sr-Latn-ME"/>
        </w:rPr>
        <w:t>Pacijenti sa oslabljenom funkcijom jetre</w:t>
      </w:r>
    </w:p>
    <w:p w14:paraId="5607D69C" w14:textId="77777777" w:rsidR="002E634B" w:rsidRPr="0093403C" w:rsidRDefault="002E634B" w:rsidP="007C5B43">
      <w:pPr>
        <w:jc w:val="both"/>
        <w:rPr>
          <w:sz w:val="22"/>
          <w:szCs w:val="22"/>
          <w:lang w:val="sr-Latn-ME"/>
        </w:rPr>
      </w:pPr>
      <w:r w:rsidRPr="0093403C">
        <w:rPr>
          <w:sz w:val="22"/>
          <w:szCs w:val="22"/>
          <w:lang w:val="sr-Latn-ME"/>
        </w:rPr>
        <w:t xml:space="preserve">Nema </w:t>
      </w:r>
      <w:proofErr w:type="spellStart"/>
      <w:r w:rsidRPr="0093403C">
        <w:rPr>
          <w:sz w:val="22"/>
          <w:szCs w:val="22"/>
          <w:lang w:val="sr-Latn-ME"/>
        </w:rPr>
        <w:t>farmakokinetičkih</w:t>
      </w:r>
      <w:proofErr w:type="spellEnd"/>
      <w:r w:rsidRPr="0093403C">
        <w:rPr>
          <w:sz w:val="22"/>
          <w:szCs w:val="22"/>
          <w:lang w:val="sr-Latn-ME"/>
        </w:rPr>
        <w:t xml:space="preserve"> podataka za </w:t>
      </w:r>
      <w:proofErr w:type="spellStart"/>
      <w:r w:rsidRPr="0093403C">
        <w:rPr>
          <w:sz w:val="22"/>
          <w:szCs w:val="22"/>
          <w:lang w:val="sr-Latn-ME"/>
        </w:rPr>
        <w:t>ibandronsku</w:t>
      </w:r>
      <w:proofErr w:type="spellEnd"/>
      <w:r w:rsidRPr="0093403C">
        <w:rPr>
          <w:sz w:val="22"/>
          <w:szCs w:val="22"/>
          <w:lang w:val="sr-Latn-ME"/>
        </w:rPr>
        <w:t xml:space="preserve"> kiselinu kod pacijenata sa oslabljenim funkcijom jetre. Jetra ne igra značajniju ulogu u </w:t>
      </w:r>
      <w:proofErr w:type="spellStart"/>
      <w:r w:rsidRPr="0093403C">
        <w:rPr>
          <w:sz w:val="22"/>
          <w:szCs w:val="22"/>
          <w:lang w:val="sr-Latn-ME"/>
        </w:rPr>
        <w:t>klirensu</w:t>
      </w:r>
      <w:proofErr w:type="spellEnd"/>
      <w:r w:rsidRPr="0093403C">
        <w:rPr>
          <w:sz w:val="22"/>
          <w:szCs w:val="22"/>
          <w:lang w:val="sr-Latn-ME"/>
        </w:rPr>
        <w:t xml:space="preserve"> </w:t>
      </w:r>
      <w:proofErr w:type="spellStart"/>
      <w:r w:rsidRPr="0093403C">
        <w:rPr>
          <w:sz w:val="22"/>
          <w:szCs w:val="22"/>
          <w:lang w:val="sr-Latn-ME"/>
        </w:rPr>
        <w:t>ibandronske</w:t>
      </w:r>
      <w:proofErr w:type="spellEnd"/>
      <w:r w:rsidRPr="0093403C">
        <w:rPr>
          <w:sz w:val="22"/>
          <w:szCs w:val="22"/>
          <w:lang w:val="sr-Latn-ME"/>
        </w:rPr>
        <w:t xml:space="preserve"> kiseline koja se ne </w:t>
      </w:r>
      <w:proofErr w:type="spellStart"/>
      <w:r w:rsidRPr="0093403C">
        <w:rPr>
          <w:sz w:val="22"/>
          <w:szCs w:val="22"/>
          <w:lang w:val="sr-Latn-ME"/>
        </w:rPr>
        <w:t>metabolizuje</w:t>
      </w:r>
      <w:proofErr w:type="spellEnd"/>
      <w:r w:rsidRPr="0093403C">
        <w:rPr>
          <w:sz w:val="22"/>
          <w:szCs w:val="22"/>
          <w:lang w:val="sr-Latn-ME"/>
        </w:rPr>
        <w:t xml:space="preserve">, već izlučuje </w:t>
      </w:r>
      <w:proofErr w:type="spellStart"/>
      <w:r w:rsidRPr="0093403C">
        <w:rPr>
          <w:sz w:val="22"/>
          <w:szCs w:val="22"/>
          <w:lang w:val="sr-Latn-ME"/>
        </w:rPr>
        <w:t>preko</w:t>
      </w:r>
      <w:proofErr w:type="spellEnd"/>
      <w:r w:rsidRPr="0093403C">
        <w:rPr>
          <w:sz w:val="22"/>
          <w:szCs w:val="22"/>
          <w:lang w:val="sr-Latn-ME"/>
        </w:rPr>
        <w:t xml:space="preserve"> bubrega i preuzima u kosti. Prema tome, nije potrebno nikakvo podešavanje doze kod pacijenata sa oslabljenim funkcijom jetre.</w:t>
      </w:r>
    </w:p>
    <w:p w14:paraId="05C0FD4F" w14:textId="77777777" w:rsidR="002E634B" w:rsidRPr="0093403C" w:rsidRDefault="002E634B" w:rsidP="007C5B43">
      <w:pPr>
        <w:jc w:val="both"/>
        <w:rPr>
          <w:sz w:val="22"/>
          <w:szCs w:val="22"/>
          <w:lang w:val="sr-Latn-ME"/>
        </w:rPr>
      </w:pPr>
    </w:p>
    <w:p w14:paraId="57C282FC" w14:textId="77777777" w:rsidR="002E634B" w:rsidRPr="0093403C" w:rsidRDefault="002E634B" w:rsidP="007C5B43">
      <w:pPr>
        <w:jc w:val="both"/>
        <w:rPr>
          <w:i/>
          <w:sz w:val="22"/>
          <w:szCs w:val="22"/>
          <w:lang w:val="sr-Latn-ME"/>
        </w:rPr>
      </w:pPr>
      <w:r w:rsidRPr="0093403C">
        <w:rPr>
          <w:i/>
          <w:sz w:val="22"/>
          <w:szCs w:val="22"/>
          <w:lang w:val="sr-Latn-ME"/>
        </w:rPr>
        <w:t>Starije osobe (vidjeti dio 4.2)</w:t>
      </w:r>
    </w:p>
    <w:p w14:paraId="5C27DBBB" w14:textId="77777777" w:rsidR="002E634B" w:rsidRPr="0093403C" w:rsidRDefault="002E634B" w:rsidP="007C5B43">
      <w:pPr>
        <w:jc w:val="both"/>
        <w:rPr>
          <w:sz w:val="22"/>
          <w:szCs w:val="22"/>
          <w:lang w:val="sr-Latn-ME"/>
        </w:rPr>
      </w:pPr>
      <w:r w:rsidRPr="0093403C">
        <w:rPr>
          <w:sz w:val="22"/>
          <w:szCs w:val="22"/>
          <w:lang w:val="sr-Latn-ME"/>
        </w:rPr>
        <w:t xml:space="preserve">U </w:t>
      </w:r>
      <w:proofErr w:type="spellStart"/>
      <w:r w:rsidRPr="0093403C">
        <w:rPr>
          <w:sz w:val="22"/>
          <w:szCs w:val="22"/>
          <w:lang w:val="sr-Latn-ME"/>
        </w:rPr>
        <w:t>multivarijantnoj</w:t>
      </w:r>
      <w:proofErr w:type="spellEnd"/>
      <w:r w:rsidRPr="0093403C">
        <w:rPr>
          <w:sz w:val="22"/>
          <w:szCs w:val="22"/>
          <w:lang w:val="sr-Latn-ME"/>
        </w:rPr>
        <w:t xml:space="preserve"> analizi, godine starosti se nijesu pokazale kao nezavisni faktor u ispitivanim </w:t>
      </w:r>
      <w:proofErr w:type="spellStart"/>
      <w:r w:rsidRPr="0093403C">
        <w:rPr>
          <w:sz w:val="22"/>
          <w:szCs w:val="22"/>
          <w:lang w:val="sr-Latn-ME"/>
        </w:rPr>
        <w:t>farmakokinetičkim</w:t>
      </w:r>
      <w:proofErr w:type="spellEnd"/>
      <w:r w:rsidRPr="0093403C">
        <w:rPr>
          <w:sz w:val="22"/>
          <w:szCs w:val="22"/>
          <w:lang w:val="sr-Latn-ME"/>
        </w:rPr>
        <w:t xml:space="preserve"> parametrima. Budući da sa godinama i bubrežna funkcija opada, ovo je jedini faktor koji treba uzeti u obzir (vidjeti dio o bubrežnoj </w:t>
      </w:r>
      <w:proofErr w:type="spellStart"/>
      <w:r w:rsidRPr="0093403C">
        <w:rPr>
          <w:sz w:val="22"/>
          <w:szCs w:val="22"/>
          <w:lang w:val="sr-Latn-ME"/>
        </w:rPr>
        <w:t>insuficijenciji</w:t>
      </w:r>
      <w:proofErr w:type="spellEnd"/>
      <w:r w:rsidRPr="0093403C">
        <w:rPr>
          <w:sz w:val="22"/>
          <w:szCs w:val="22"/>
          <w:lang w:val="sr-Latn-ME"/>
        </w:rPr>
        <w:t>).</w:t>
      </w:r>
    </w:p>
    <w:p w14:paraId="00257B24" w14:textId="77777777" w:rsidR="002E634B" w:rsidRPr="0093403C" w:rsidRDefault="002E634B" w:rsidP="007C5B43">
      <w:pPr>
        <w:jc w:val="both"/>
        <w:rPr>
          <w:sz w:val="22"/>
          <w:szCs w:val="22"/>
          <w:lang w:val="sr-Latn-ME"/>
        </w:rPr>
      </w:pPr>
    </w:p>
    <w:p w14:paraId="38F1BE43" w14:textId="77777777" w:rsidR="002E634B" w:rsidRPr="0093403C" w:rsidRDefault="002E634B" w:rsidP="007C5B43">
      <w:pPr>
        <w:ind w:right="3492"/>
        <w:jc w:val="both"/>
        <w:rPr>
          <w:i/>
          <w:sz w:val="22"/>
          <w:szCs w:val="22"/>
          <w:lang w:val="sr-Latn-ME"/>
        </w:rPr>
      </w:pPr>
      <w:r w:rsidRPr="0093403C">
        <w:rPr>
          <w:i/>
          <w:sz w:val="22"/>
          <w:szCs w:val="22"/>
          <w:lang w:val="sr-Latn-ME"/>
        </w:rPr>
        <w:t>Pedijatrijska populacija (vidjeti djelove 4.2 i 5.1)</w:t>
      </w:r>
    </w:p>
    <w:p w14:paraId="2D1CF44C" w14:textId="77777777" w:rsidR="002E634B" w:rsidRPr="0093403C" w:rsidRDefault="002E634B" w:rsidP="007C5B43">
      <w:pPr>
        <w:jc w:val="both"/>
        <w:rPr>
          <w:sz w:val="22"/>
          <w:szCs w:val="22"/>
          <w:lang w:val="sr-Latn-ME"/>
        </w:rPr>
      </w:pPr>
      <w:r w:rsidRPr="0093403C">
        <w:rPr>
          <w:sz w:val="22"/>
          <w:szCs w:val="22"/>
          <w:lang w:val="sr-Latn-ME"/>
        </w:rPr>
        <w:t xml:space="preserve">Nema podataka o upotrebi lijeka </w:t>
      </w:r>
      <w:proofErr w:type="spellStart"/>
      <w:r w:rsidRPr="0093403C">
        <w:rPr>
          <w:sz w:val="22"/>
          <w:szCs w:val="22"/>
          <w:lang w:val="sr-Latn-ME"/>
        </w:rPr>
        <w:t>Bonviva</w:t>
      </w:r>
      <w:proofErr w:type="spellEnd"/>
      <w:r w:rsidRPr="0093403C">
        <w:rPr>
          <w:sz w:val="22"/>
          <w:szCs w:val="22"/>
          <w:lang w:val="sr-Latn-ME"/>
        </w:rPr>
        <w:t xml:space="preserve"> u ovim </w:t>
      </w:r>
      <w:proofErr w:type="spellStart"/>
      <w:r w:rsidRPr="0093403C">
        <w:rPr>
          <w:sz w:val="22"/>
          <w:szCs w:val="22"/>
          <w:lang w:val="sr-Latn-ME"/>
        </w:rPr>
        <w:t>uzrasnim</w:t>
      </w:r>
      <w:proofErr w:type="spellEnd"/>
      <w:r w:rsidRPr="0093403C">
        <w:rPr>
          <w:sz w:val="22"/>
          <w:szCs w:val="22"/>
          <w:lang w:val="sr-Latn-ME"/>
        </w:rPr>
        <w:t xml:space="preserve"> grupama. </w:t>
      </w:r>
    </w:p>
    <w:p w14:paraId="12891132" w14:textId="77777777" w:rsidR="002E634B" w:rsidRPr="0093403C" w:rsidRDefault="002E634B" w:rsidP="007C5B43">
      <w:pPr>
        <w:tabs>
          <w:tab w:val="left" w:pos="540"/>
          <w:tab w:val="left" w:pos="569"/>
        </w:tabs>
        <w:jc w:val="both"/>
        <w:rPr>
          <w:bCs/>
          <w:sz w:val="22"/>
          <w:szCs w:val="22"/>
          <w:lang w:val="sr-Latn-ME"/>
        </w:rPr>
      </w:pPr>
    </w:p>
    <w:p w14:paraId="0D4F6B8D" w14:textId="77777777" w:rsidR="0072020E" w:rsidRPr="0093403C" w:rsidRDefault="0072020E" w:rsidP="007C5B43">
      <w:pPr>
        <w:tabs>
          <w:tab w:val="left" w:pos="540"/>
          <w:tab w:val="left" w:pos="569"/>
        </w:tabs>
        <w:jc w:val="both"/>
        <w:rPr>
          <w:b/>
          <w:bCs/>
          <w:sz w:val="22"/>
          <w:szCs w:val="22"/>
          <w:lang w:val="sr-Latn-ME"/>
        </w:rPr>
      </w:pPr>
      <w:r w:rsidRPr="0093403C">
        <w:rPr>
          <w:b/>
          <w:bCs/>
          <w:sz w:val="22"/>
          <w:szCs w:val="22"/>
          <w:lang w:val="sr-Latn-ME"/>
        </w:rPr>
        <w:t xml:space="preserve">5.3. </w:t>
      </w:r>
      <w:r w:rsidR="00480FB1" w:rsidRPr="0093403C">
        <w:rPr>
          <w:b/>
          <w:bCs/>
          <w:sz w:val="22"/>
          <w:szCs w:val="22"/>
          <w:lang w:val="sr-Latn-ME"/>
        </w:rPr>
        <w:tab/>
      </w:r>
      <w:proofErr w:type="spellStart"/>
      <w:r w:rsidRPr="0093403C">
        <w:rPr>
          <w:b/>
          <w:bCs/>
          <w:sz w:val="22"/>
          <w:szCs w:val="22"/>
          <w:lang w:val="sr-Latn-ME"/>
        </w:rPr>
        <w:t>Pretklinički</w:t>
      </w:r>
      <w:proofErr w:type="spellEnd"/>
      <w:r w:rsidRPr="0093403C">
        <w:rPr>
          <w:b/>
          <w:bCs/>
          <w:sz w:val="22"/>
          <w:szCs w:val="22"/>
          <w:lang w:val="sr-Latn-ME"/>
        </w:rPr>
        <w:t xml:space="preserve"> podaci o bezbjednosti </w:t>
      </w:r>
    </w:p>
    <w:p w14:paraId="3ADDBF9D" w14:textId="77777777" w:rsidR="00836B35" w:rsidRPr="0093403C" w:rsidRDefault="00836B35" w:rsidP="007C5B43">
      <w:pPr>
        <w:tabs>
          <w:tab w:val="left" w:pos="540"/>
          <w:tab w:val="left" w:pos="569"/>
        </w:tabs>
        <w:jc w:val="both"/>
        <w:rPr>
          <w:bCs/>
          <w:sz w:val="22"/>
          <w:szCs w:val="22"/>
          <w:lang w:val="sr-Latn-ME"/>
        </w:rPr>
      </w:pPr>
    </w:p>
    <w:p w14:paraId="207FA88B" w14:textId="77777777" w:rsidR="002E634B" w:rsidRPr="0093403C" w:rsidRDefault="002E634B" w:rsidP="007C5B43">
      <w:pPr>
        <w:jc w:val="both"/>
        <w:rPr>
          <w:sz w:val="22"/>
          <w:szCs w:val="22"/>
          <w:lang w:val="sr-Latn-ME"/>
        </w:rPr>
      </w:pPr>
      <w:r w:rsidRPr="0093403C">
        <w:rPr>
          <w:sz w:val="22"/>
          <w:szCs w:val="22"/>
          <w:lang w:val="sr-Latn-ME"/>
        </w:rPr>
        <w:t xml:space="preserve">Toksična dejstva, tj. znaci oštećenja bubrega zabilježeni su kod pasa samo pri izlaganjima koja su se smatrala dovoljno većim od maksimalnog izlaganja </w:t>
      </w:r>
      <w:proofErr w:type="spellStart"/>
      <w:r w:rsidRPr="0093403C">
        <w:rPr>
          <w:sz w:val="22"/>
          <w:szCs w:val="22"/>
          <w:lang w:val="sr-Latn-ME"/>
        </w:rPr>
        <w:t>ljudi</w:t>
      </w:r>
      <w:proofErr w:type="spellEnd"/>
      <w:r w:rsidRPr="0093403C">
        <w:rPr>
          <w:sz w:val="22"/>
          <w:szCs w:val="22"/>
          <w:lang w:val="sr-Latn-ME"/>
        </w:rPr>
        <w:t xml:space="preserve">, da se smatra da to nije relevantno za kliničku upotrebu. </w:t>
      </w:r>
    </w:p>
    <w:p w14:paraId="5C718D93" w14:textId="77777777" w:rsidR="002E634B" w:rsidRPr="0093403C" w:rsidRDefault="002E634B" w:rsidP="007C5B43">
      <w:pPr>
        <w:jc w:val="both"/>
        <w:rPr>
          <w:sz w:val="22"/>
          <w:szCs w:val="22"/>
          <w:lang w:val="sr-Latn-ME"/>
        </w:rPr>
      </w:pPr>
    </w:p>
    <w:p w14:paraId="0B511945" w14:textId="77777777" w:rsidR="002E634B" w:rsidRPr="0093403C" w:rsidRDefault="002E634B" w:rsidP="007C5B43">
      <w:pPr>
        <w:jc w:val="both"/>
        <w:rPr>
          <w:i/>
          <w:sz w:val="22"/>
          <w:szCs w:val="22"/>
          <w:lang w:val="sr-Latn-ME"/>
        </w:rPr>
      </w:pPr>
      <w:proofErr w:type="spellStart"/>
      <w:r w:rsidRPr="0093403C">
        <w:rPr>
          <w:i/>
          <w:sz w:val="22"/>
          <w:szCs w:val="22"/>
          <w:lang w:val="sr-Latn-ME"/>
        </w:rPr>
        <w:t>Mutagenost</w:t>
      </w:r>
      <w:proofErr w:type="spellEnd"/>
      <w:r w:rsidRPr="0093403C">
        <w:rPr>
          <w:i/>
          <w:sz w:val="22"/>
          <w:szCs w:val="22"/>
          <w:lang w:val="sr-Latn-ME"/>
        </w:rPr>
        <w:t>/kancerogenost</w:t>
      </w:r>
    </w:p>
    <w:p w14:paraId="41432FE0" w14:textId="77777777" w:rsidR="002E634B" w:rsidRPr="0093403C" w:rsidRDefault="002E634B" w:rsidP="007C5B43">
      <w:pPr>
        <w:jc w:val="both"/>
        <w:rPr>
          <w:sz w:val="22"/>
          <w:szCs w:val="22"/>
          <w:lang w:val="sr-Latn-ME"/>
        </w:rPr>
      </w:pPr>
      <w:r w:rsidRPr="0093403C">
        <w:rPr>
          <w:sz w:val="22"/>
          <w:szCs w:val="22"/>
          <w:lang w:val="sr-Latn-ME"/>
        </w:rPr>
        <w:t xml:space="preserve">Nema indikacija o kancerogenom potencijalu. Testovi kojima je ispitivana </w:t>
      </w:r>
      <w:proofErr w:type="spellStart"/>
      <w:r w:rsidRPr="0093403C">
        <w:rPr>
          <w:sz w:val="22"/>
          <w:szCs w:val="22"/>
          <w:lang w:val="sr-Latn-ME"/>
        </w:rPr>
        <w:t>genostoksičnost</w:t>
      </w:r>
      <w:proofErr w:type="spellEnd"/>
      <w:r w:rsidRPr="0093403C">
        <w:rPr>
          <w:sz w:val="22"/>
          <w:szCs w:val="22"/>
          <w:lang w:val="sr-Latn-ME"/>
        </w:rPr>
        <w:t xml:space="preserve"> nijesu otkrili nikakve dokaze o genetskoj aktivnosti </w:t>
      </w:r>
      <w:proofErr w:type="spellStart"/>
      <w:r w:rsidRPr="0093403C">
        <w:rPr>
          <w:sz w:val="22"/>
          <w:szCs w:val="22"/>
          <w:lang w:val="sr-Latn-ME"/>
        </w:rPr>
        <w:t>ibandronske</w:t>
      </w:r>
      <w:proofErr w:type="spellEnd"/>
      <w:r w:rsidRPr="0093403C">
        <w:rPr>
          <w:sz w:val="22"/>
          <w:szCs w:val="22"/>
          <w:lang w:val="sr-Latn-ME"/>
        </w:rPr>
        <w:t xml:space="preserve"> kiseline. </w:t>
      </w:r>
    </w:p>
    <w:p w14:paraId="49908CFA" w14:textId="77777777" w:rsidR="002E634B" w:rsidRPr="0093403C" w:rsidRDefault="002E634B" w:rsidP="007C5B43">
      <w:pPr>
        <w:jc w:val="both"/>
        <w:rPr>
          <w:sz w:val="22"/>
          <w:szCs w:val="22"/>
          <w:lang w:val="sr-Latn-ME"/>
        </w:rPr>
      </w:pPr>
    </w:p>
    <w:p w14:paraId="497D1C2D" w14:textId="77777777" w:rsidR="002E634B" w:rsidRPr="0093403C" w:rsidRDefault="002E634B" w:rsidP="007C5B43">
      <w:pPr>
        <w:jc w:val="both"/>
        <w:rPr>
          <w:i/>
          <w:sz w:val="22"/>
          <w:szCs w:val="22"/>
          <w:lang w:val="sr-Latn-ME"/>
        </w:rPr>
      </w:pPr>
      <w:r w:rsidRPr="0093403C">
        <w:rPr>
          <w:i/>
          <w:sz w:val="22"/>
          <w:szCs w:val="22"/>
          <w:lang w:val="sr-Latn-ME"/>
        </w:rPr>
        <w:t>Reproduktivna toksičnost</w:t>
      </w:r>
    </w:p>
    <w:p w14:paraId="5FAEBD84" w14:textId="11F25EEC" w:rsidR="002E634B" w:rsidRPr="0093403C" w:rsidRDefault="002E634B" w:rsidP="007C5B43">
      <w:pPr>
        <w:jc w:val="both"/>
        <w:rPr>
          <w:sz w:val="22"/>
          <w:szCs w:val="22"/>
          <w:lang w:val="sr-Latn-ME"/>
        </w:rPr>
      </w:pPr>
      <w:r w:rsidRPr="0093403C">
        <w:rPr>
          <w:sz w:val="22"/>
          <w:szCs w:val="22"/>
          <w:lang w:val="sr-Latn-ME"/>
        </w:rPr>
        <w:t>Nijesu rađene specifične studije sa režimom doziranja jednom u tri mjese</w:t>
      </w:r>
      <w:r w:rsidR="0093403C">
        <w:rPr>
          <w:sz w:val="22"/>
          <w:szCs w:val="22"/>
          <w:lang w:val="sr-Latn-ME"/>
        </w:rPr>
        <w:t>ca. U ispitivanjima sa svakodne</w:t>
      </w:r>
      <w:r w:rsidRPr="0093403C">
        <w:rPr>
          <w:sz w:val="22"/>
          <w:szCs w:val="22"/>
          <w:lang w:val="sr-Latn-ME"/>
        </w:rPr>
        <w:t>v</w:t>
      </w:r>
      <w:r w:rsidR="0093403C">
        <w:rPr>
          <w:sz w:val="22"/>
          <w:szCs w:val="22"/>
          <w:lang w:val="sr-Latn-ME"/>
        </w:rPr>
        <w:t>n</w:t>
      </w:r>
      <w:r w:rsidRPr="0093403C">
        <w:rPr>
          <w:sz w:val="22"/>
          <w:szCs w:val="22"/>
          <w:lang w:val="sr-Latn-ME"/>
        </w:rPr>
        <w:t xml:space="preserve">im </w:t>
      </w:r>
      <w:proofErr w:type="spellStart"/>
      <w:r w:rsidRPr="0093403C">
        <w:rPr>
          <w:sz w:val="22"/>
          <w:szCs w:val="22"/>
          <w:lang w:val="sr-Latn-ME"/>
        </w:rPr>
        <w:t>intravenskim</w:t>
      </w:r>
      <w:proofErr w:type="spellEnd"/>
      <w:r w:rsidRPr="0093403C">
        <w:rPr>
          <w:sz w:val="22"/>
          <w:szCs w:val="22"/>
          <w:lang w:val="sr-Latn-ME"/>
        </w:rPr>
        <w:t xml:space="preserve"> doziranjem nije bilo dokaza o direktnom </w:t>
      </w:r>
      <w:proofErr w:type="spellStart"/>
      <w:r w:rsidRPr="0093403C">
        <w:rPr>
          <w:sz w:val="22"/>
          <w:szCs w:val="22"/>
          <w:lang w:val="sr-Latn-ME"/>
        </w:rPr>
        <w:t>fetotoksičnom</w:t>
      </w:r>
      <w:proofErr w:type="spellEnd"/>
      <w:r w:rsidRPr="0093403C">
        <w:rPr>
          <w:sz w:val="22"/>
          <w:szCs w:val="22"/>
          <w:lang w:val="sr-Latn-ME"/>
        </w:rPr>
        <w:t xml:space="preserve"> dejstvu ili </w:t>
      </w:r>
      <w:proofErr w:type="spellStart"/>
      <w:r w:rsidRPr="0093403C">
        <w:rPr>
          <w:sz w:val="22"/>
          <w:szCs w:val="22"/>
          <w:lang w:val="sr-Latn-ME"/>
        </w:rPr>
        <w:t>teratogenom</w:t>
      </w:r>
      <w:proofErr w:type="spellEnd"/>
      <w:r w:rsidRPr="0093403C">
        <w:rPr>
          <w:sz w:val="22"/>
          <w:szCs w:val="22"/>
          <w:lang w:val="sr-Latn-ME"/>
        </w:rPr>
        <w:t xml:space="preserve"> dejstvu </w:t>
      </w:r>
      <w:proofErr w:type="spellStart"/>
      <w:r w:rsidRPr="0093403C">
        <w:rPr>
          <w:sz w:val="22"/>
          <w:szCs w:val="22"/>
          <w:lang w:val="sr-Latn-ME"/>
        </w:rPr>
        <w:t>ibandronske</w:t>
      </w:r>
      <w:proofErr w:type="spellEnd"/>
      <w:r w:rsidRPr="0093403C">
        <w:rPr>
          <w:sz w:val="22"/>
          <w:szCs w:val="22"/>
          <w:lang w:val="sr-Latn-ME"/>
        </w:rPr>
        <w:t xml:space="preserve"> kiseline kod pacova i zečeva. Kod F1 potomaka kod pacova  bilo je smanjeno povećanje tjelesne težine. U reproduktivnim studijama </w:t>
      </w:r>
      <w:proofErr w:type="spellStart"/>
      <w:r w:rsidRPr="0093403C">
        <w:rPr>
          <w:sz w:val="22"/>
          <w:szCs w:val="22"/>
          <w:lang w:val="sr-Latn-ME"/>
        </w:rPr>
        <w:t>peroralne</w:t>
      </w:r>
      <w:proofErr w:type="spellEnd"/>
      <w:r w:rsidRPr="0093403C">
        <w:rPr>
          <w:sz w:val="22"/>
          <w:szCs w:val="22"/>
          <w:lang w:val="sr-Latn-ME"/>
        </w:rPr>
        <w:t xml:space="preserve"> primjene na pacovima, djelovanje na plodnost obuhvatalo je povećane </w:t>
      </w:r>
      <w:proofErr w:type="spellStart"/>
      <w:r w:rsidRPr="0093403C">
        <w:rPr>
          <w:sz w:val="22"/>
          <w:szCs w:val="22"/>
          <w:lang w:val="sr-Latn-ME"/>
        </w:rPr>
        <w:t>preimplantacione</w:t>
      </w:r>
      <w:proofErr w:type="spellEnd"/>
      <w:r w:rsidRPr="0093403C">
        <w:rPr>
          <w:sz w:val="22"/>
          <w:szCs w:val="22"/>
          <w:lang w:val="sr-Latn-ME"/>
        </w:rPr>
        <w:t xml:space="preserve"> gubitke pri nivoima doza od 1 mg/kg na dan i višim. U reproduktivnim studijama na pacovima koji su lijek primali </w:t>
      </w:r>
      <w:proofErr w:type="spellStart"/>
      <w:r w:rsidRPr="0093403C">
        <w:rPr>
          <w:sz w:val="22"/>
          <w:szCs w:val="22"/>
          <w:lang w:val="sr-Latn-ME"/>
        </w:rPr>
        <w:t>intravenskim</w:t>
      </w:r>
      <w:proofErr w:type="spellEnd"/>
      <w:r w:rsidRPr="0093403C">
        <w:rPr>
          <w:sz w:val="22"/>
          <w:szCs w:val="22"/>
          <w:lang w:val="sr-Latn-ME"/>
        </w:rPr>
        <w:t xml:space="preserve"> putem, </w:t>
      </w:r>
      <w:proofErr w:type="spellStart"/>
      <w:r w:rsidRPr="0093403C">
        <w:rPr>
          <w:sz w:val="22"/>
          <w:szCs w:val="22"/>
          <w:lang w:val="sr-Latn-ME"/>
        </w:rPr>
        <w:t>ibandronska</w:t>
      </w:r>
      <w:proofErr w:type="spellEnd"/>
      <w:r w:rsidRPr="0093403C">
        <w:rPr>
          <w:sz w:val="22"/>
          <w:szCs w:val="22"/>
          <w:lang w:val="sr-Latn-ME"/>
        </w:rPr>
        <w:t xml:space="preserve">  kiselina je smanjila broj spermatozoida pri dozama od 0,3 i 1 mg/kg na dan te smanjila plodnost kod  mužjaka pri dozi od 1 mg/kg na dan, a u ženki pri dozi od 1,2 mg/kg na dan. Ostala neželjena dejstva </w:t>
      </w:r>
      <w:proofErr w:type="spellStart"/>
      <w:r w:rsidRPr="0093403C">
        <w:rPr>
          <w:sz w:val="22"/>
          <w:szCs w:val="22"/>
          <w:lang w:val="sr-Latn-ME"/>
        </w:rPr>
        <w:t>ibandronske</w:t>
      </w:r>
      <w:proofErr w:type="spellEnd"/>
      <w:r w:rsidRPr="0093403C">
        <w:rPr>
          <w:sz w:val="22"/>
          <w:szCs w:val="22"/>
          <w:lang w:val="sr-Latn-ME"/>
        </w:rPr>
        <w:t xml:space="preserve"> kiseline u ispitivanjima reproduktivne toksičnosti kod pacova su bila ista kao i ona koja se bilježe sa </w:t>
      </w:r>
      <w:proofErr w:type="spellStart"/>
      <w:r w:rsidRPr="0093403C">
        <w:rPr>
          <w:sz w:val="22"/>
          <w:szCs w:val="22"/>
          <w:lang w:val="sr-Latn-ME"/>
        </w:rPr>
        <w:t>bisfosfonatima</w:t>
      </w:r>
      <w:proofErr w:type="spellEnd"/>
      <w:r w:rsidRPr="0093403C">
        <w:rPr>
          <w:sz w:val="22"/>
          <w:szCs w:val="22"/>
          <w:lang w:val="sr-Latn-ME"/>
        </w:rPr>
        <w:t xml:space="preserve"> kao klasom. Ovdje spadaju smanjeni broj mjesta </w:t>
      </w:r>
      <w:proofErr w:type="spellStart"/>
      <w:r w:rsidRPr="0093403C">
        <w:rPr>
          <w:sz w:val="22"/>
          <w:szCs w:val="22"/>
          <w:lang w:val="sr-Latn-ME"/>
        </w:rPr>
        <w:t>implantacije</w:t>
      </w:r>
      <w:proofErr w:type="spellEnd"/>
      <w:r w:rsidRPr="0093403C">
        <w:rPr>
          <w:sz w:val="22"/>
          <w:szCs w:val="22"/>
          <w:lang w:val="sr-Latn-ME"/>
        </w:rPr>
        <w:t>, interferencija sa prirodnim porođajem (</w:t>
      </w:r>
      <w:proofErr w:type="spellStart"/>
      <w:r w:rsidRPr="0093403C">
        <w:rPr>
          <w:sz w:val="22"/>
          <w:szCs w:val="22"/>
          <w:lang w:val="sr-Latn-ME"/>
        </w:rPr>
        <w:t>distocija</w:t>
      </w:r>
      <w:proofErr w:type="spellEnd"/>
      <w:r w:rsidRPr="0093403C">
        <w:rPr>
          <w:sz w:val="22"/>
          <w:szCs w:val="22"/>
          <w:lang w:val="sr-Latn-ME"/>
        </w:rPr>
        <w:t xml:space="preserve">), kao i porast visceralnih varijacija (sindrom bubrežne karlice i </w:t>
      </w:r>
      <w:proofErr w:type="spellStart"/>
      <w:r w:rsidRPr="0093403C">
        <w:rPr>
          <w:sz w:val="22"/>
          <w:szCs w:val="22"/>
          <w:lang w:val="sr-Latn-ME"/>
        </w:rPr>
        <w:t>uretera</w:t>
      </w:r>
      <w:proofErr w:type="spellEnd"/>
      <w:r w:rsidRPr="0093403C">
        <w:rPr>
          <w:sz w:val="22"/>
          <w:szCs w:val="22"/>
          <w:lang w:val="sr-Latn-ME"/>
        </w:rPr>
        <w:t>).</w:t>
      </w:r>
    </w:p>
    <w:p w14:paraId="680CB722" w14:textId="4EA6B51F" w:rsidR="00396DFD" w:rsidRPr="0093403C" w:rsidRDefault="00396DFD" w:rsidP="007C5B43">
      <w:pPr>
        <w:tabs>
          <w:tab w:val="left" w:pos="540"/>
          <w:tab w:val="left" w:pos="569"/>
        </w:tabs>
        <w:jc w:val="both"/>
        <w:rPr>
          <w:b/>
          <w:bCs/>
          <w:sz w:val="22"/>
          <w:szCs w:val="22"/>
          <w:lang w:val="sr-Latn-ME"/>
        </w:rPr>
      </w:pPr>
    </w:p>
    <w:p w14:paraId="6C7F55E7" w14:textId="77777777" w:rsidR="007C5B43" w:rsidRPr="0093403C" w:rsidRDefault="007C5B43" w:rsidP="007C5B43">
      <w:pPr>
        <w:tabs>
          <w:tab w:val="left" w:pos="540"/>
          <w:tab w:val="left" w:pos="569"/>
        </w:tabs>
        <w:jc w:val="both"/>
        <w:rPr>
          <w:b/>
          <w:bCs/>
          <w:sz w:val="22"/>
          <w:szCs w:val="22"/>
          <w:lang w:val="sr-Latn-ME"/>
        </w:rPr>
      </w:pPr>
    </w:p>
    <w:p w14:paraId="4ADA9008" w14:textId="77777777" w:rsidR="0072020E" w:rsidRPr="0093403C" w:rsidRDefault="0072020E" w:rsidP="007C5B43">
      <w:pPr>
        <w:tabs>
          <w:tab w:val="left" w:pos="540"/>
          <w:tab w:val="left" w:pos="569"/>
        </w:tabs>
        <w:jc w:val="both"/>
        <w:rPr>
          <w:b/>
          <w:bCs/>
          <w:sz w:val="22"/>
          <w:szCs w:val="22"/>
          <w:lang w:val="sr-Latn-ME"/>
        </w:rPr>
      </w:pPr>
      <w:r w:rsidRPr="0093403C">
        <w:rPr>
          <w:b/>
          <w:bCs/>
          <w:sz w:val="22"/>
          <w:szCs w:val="22"/>
          <w:lang w:val="sr-Latn-ME"/>
        </w:rPr>
        <w:t xml:space="preserve">6. </w:t>
      </w:r>
      <w:r w:rsidR="00480FB1" w:rsidRPr="0093403C">
        <w:rPr>
          <w:b/>
          <w:bCs/>
          <w:sz w:val="22"/>
          <w:szCs w:val="22"/>
          <w:lang w:val="sr-Latn-ME"/>
        </w:rPr>
        <w:tab/>
      </w:r>
      <w:r w:rsidRPr="0093403C">
        <w:rPr>
          <w:b/>
          <w:bCs/>
          <w:sz w:val="22"/>
          <w:szCs w:val="22"/>
          <w:lang w:val="sr-Latn-ME"/>
        </w:rPr>
        <w:t>FARMACEUTSKI PODACI</w:t>
      </w:r>
    </w:p>
    <w:p w14:paraId="3DD46656" w14:textId="77777777" w:rsidR="00836B35" w:rsidRPr="0093403C" w:rsidRDefault="00836B35" w:rsidP="007C5B43">
      <w:pPr>
        <w:tabs>
          <w:tab w:val="left" w:pos="540"/>
          <w:tab w:val="left" w:pos="569"/>
        </w:tabs>
        <w:jc w:val="both"/>
        <w:rPr>
          <w:bCs/>
          <w:sz w:val="22"/>
          <w:szCs w:val="22"/>
          <w:lang w:val="sr-Latn-ME"/>
        </w:rPr>
      </w:pPr>
    </w:p>
    <w:p w14:paraId="1866CC82" w14:textId="77777777" w:rsidR="0072020E" w:rsidRPr="0093403C" w:rsidRDefault="0072020E" w:rsidP="007C5B43">
      <w:pPr>
        <w:tabs>
          <w:tab w:val="left" w:pos="540"/>
          <w:tab w:val="left" w:pos="569"/>
        </w:tabs>
        <w:jc w:val="both"/>
        <w:rPr>
          <w:b/>
          <w:bCs/>
          <w:sz w:val="22"/>
          <w:szCs w:val="22"/>
          <w:lang w:val="sr-Latn-ME"/>
        </w:rPr>
      </w:pPr>
      <w:r w:rsidRPr="0093403C">
        <w:rPr>
          <w:b/>
          <w:bCs/>
          <w:sz w:val="22"/>
          <w:szCs w:val="22"/>
          <w:lang w:val="sr-Latn-ME"/>
        </w:rPr>
        <w:t xml:space="preserve">6.1. </w:t>
      </w:r>
      <w:r w:rsidR="00480FB1" w:rsidRPr="0093403C">
        <w:rPr>
          <w:b/>
          <w:bCs/>
          <w:sz w:val="22"/>
          <w:szCs w:val="22"/>
          <w:lang w:val="sr-Latn-ME"/>
        </w:rPr>
        <w:tab/>
      </w:r>
      <w:r w:rsidRPr="0093403C">
        <w:rPr>
          <w:b/>
          <w:bCs/>
          <w:sz w:val="22"/>
          <w:szCs w:val="22"/>
          <w:lang w:val="sr-Latn-ME"/>
        </w:rPr>
        <w:t>Lista pomoćnih supstanci</w:t>
      </w:r>
      <w:r w:rsidR="002E0135" w:rsidRPr="0093403C">
        <w:rPr>
          <w:b/>
          <w:bCs/>
          <w:sz w:val="22"/>
          <w:szCs w:val="22"/>
          <w:lang w:val="sr-Latn-ME"/>
        </w:rPr>
        <w:t xml:space="preserve"> (</w:t>
      </w:r>
      <w:proofErr w:type="spellStart"/>
      <w:r w:rsidR="002E0135" w:rsidRPr="0093403C">
        <w:rPr>
          <w:b/>
          <w:bCs/>
          <w:sz w:val="22"/>
          <w:szCs w:val="22"/>
          <w:lang w:val="sr-Latn-ME"/>
        </w:rPr>
        <w:t>ekscipijenasa</w:t>
      </w:r>
      <w:proofErr w:type="spellEnd"/>
      <w:r w:rsidR="002E0135" w:rsidRPr="0093403C">
        <w:rPr>
          <w:b/>
          <w:bCs/>
          <w:sz w:val="22"/>
          <w:szCs w:val="22"/>
          <w:lang w:val="sr-Latn-ME"/>
        </w:rPr>
        <w:t>)</w:t>
      </w:r>
    </w:p>
    <w:p w14:paraId="60D162E6" w14:textId="77777777" w:rsidR="002E634B" w:rsidRPr="0093403C" w:rsidRDefault="002E634B" w:rsidP="007C5B43">
      <w:pPr>
        <w:tabs>
          <w:tab w:val="left" w:pos="540"/>
          <w:tab w:val="left" w:pos="569"/>
        </w:tabs>
        <w:jc w:val="both"/>
        <w:rPr>
          <w:b/>
          <w:bCs/>
          <w:sz w:val="22"/>
          <w:szCs w:val="22"/>
          <w:lang w:val="sr-Latn-ME"/>
        </w:rPr>
      </w:pPr>
    </w:p>
    <w:p w14:paraId="4B692FAD" w14:textId="77777777" w:rsidR="002E634B" w:rsidRPr="0093403C" w:rsidRDefault="002E634B" w:rsidP="007C5B43">
      <w:pPr>
        <w:jc w:val="both"/>
        <w:rPr>
          <w:sz w:val="22"/>
          <w:szCs w:val="22"/>
          <w:lang w:val="sr-Latn-ME"/>
        </w:rPr>
      </w:pPr>
      <w:r w:rsidRPr="0093403C">
        <w:rPr>
          <w:sz w:val="22"/>
          <w:szCs w:val="22"/>
          <w:lang w:val="sr-Latn-ME"/>
        </w:rPr>
        <w:t>Natrijum hlorid</w:t>
      </w:r>
    </w:p>
    <w:p w14:paraId="1D56D678" w14:textId="77777777" w:rsidR="002E634B" w:rsidRPr="0093403C" w:rsidRDefault="002E634B" w:rsidP="007C5B43">
      <w:pPr>
        <w:jc w:val="both"/>
        <w:rPr>
          <w:sz w:val="22"/>
          <w:szCs w:val="22"/>
          <w:lang w:val="sr-Latn-ME"/>
        </w:rPr>
      </w:pPr>
      <w:proofErr w:type="spellStart"/>
      <w:r w:rsidRPr="0093403C">
        <w:rPr>
          <w:sz w:val="22"/>
          <w:szCs w:val="22"/>
          <w:lang w:val="sr-Latn-ME"/>
        </w:rPr>
        <w:t>Sirćetna</w:t>
      </w:r>
      <w:proofErr w:type="spellEnd"/>
      <w:r w:rsidRPr="0093403C">
        <w:rPr>
          <w:sz w:val="22"/>
          <w:szCs w:val="22"/>
          <w:lang w:val="sr-Latn-ME"/>
        </w:rPr>
        <w:t xml:space="preserve"> kiselina, glacijalna</w:t>
      </w:r>
    </w:p>
    <w:p w14:paraId="276E6C2C" w14:textId="77777777" w:rsidR="002E634B" w:rsidRPr="0093403C" w:rsidRDefault="002E634B" w:rsidP="007C5B43">
      <w:pPr>
        <w:jc w:val="both"/>
        <w:rPr>
          <w:sz w:val="22"/>
          <w:szCs w:val="22"/>
          <w:lang w:val="sr-Latn-ME"/>
        </w:rPr>
      </w:pPr>
      <w:r w:rsidRPr="0093403C">
        <w:rPr>
          <w:sz w:val="22"/>
          <w:szCs w:val="22"/>
          <w:lang w:val="sr-Latn-ME"/>
        </w:rPr>
        <w:t xml:space="preserve">Natrijum acetat </w:t>
      </w:r>
      <w:proofErr w:type="spellStart"/>
      <w:r w:rsidRPr="0093403C">
        <w:rPr>
          <w:sz w:val="22"/>
          <w:szCs w:val="22"/>
          <w:lang w:val="sr-Latn-ME"/>
        </w:rPr>
        <w:t>trihidrat</w:t>
      </w:r>
      <w:proofErr w:type="spellEnd"/>
    </w:p>
    <w:p w14:paraId="52389EC3" w14:textId="77777777" w:rsidR="002E634B" w:rsidRPr="0093403C" w:rsidRDefault="002E634B" w:rsidP="007C5B43">
      <w:pPr>
        <w:jc w:val="both"/>
        <w:rPr>
          <w:sz w:val="22"/>
          <w:szCs w:val="22"/>
          <w:lang w:val="sr-Latn-ME"/>
        </w:rPr>
      </w:pPr>
      <w:r w:rsidRPr="0093403C">
        <w:rPr>
          <w:sz w:val="22"/>
          <w:szCs w:val="22"/>
          <w:lang w:val="sr-Latn-ME"/>
        </w:rPr>
        <w:t>Voda za injekcije</w:t>
      </w:r>
    </w:p>
    <w:p w14:paraId="3AC053D8" w14:textId="77777777" w:rsidR="0072020E" w:rsidRPr="0093403C" w:rsidRDefault="0072020E" w:rsidP="007C5B43">
      <w:pPr>
        <w:tabs>
          <w:tab w:val="left" w:pos="540"/>
          <w:tab w:val="left" w:pos="569"/>
        </w:tabs>
        <w:jc w:val="both"/>
        <w:rPr>
          <w:bCs/>
          <w:sz w:val="22"/>
          <w:szCs w:val="22"/>
          <w:lang w:val="sr-Latn-ME"/>
        </w:rPr>
      </w:pPr>
    </w:p>
    <w:p w14:paraId="7F5D5D48" w14:textId="77777777" w:rsidR="0072020E" w:rsidRPr="0093403C" w:rsidRDefault="0072020E" w:rsidP="007C5B43">
      <w:pPr>
        <w:tabs>
          <w:tab w:val="left" w:pos="540"/>
          <w:tab w:val="left" w:pos="569"/>
        </w:tabs>
        <w:jc w:val="both"/>
        <w:rPr>
          <w:b/>
          <w:bCs/>
          <w:sz w:val="22"/>
          <w:szCs w:val="22"/>
          <w:lang w:val="sr-Latn-ME"/>
        </w:rPr>
      </w:pPr>
      <w:r w:rsidRPr="0093403C">
        <w:rPr>
          <w:b/>
          <w:bCs/>
          <w:sz w:val="22"/>
          <w:szCs w:val="22"/>
          <w:lang w:val="sr-Latn-ME"/>
        </w:rPr>
        <w:t xml:space="preserve">6.2. </w:t>
      </w:r>
      <w:r w:rsidR="00480FB1" w:rsidRPr="0093403C">
        <w:rPr>
          <w:b/>
          <w:bCs/>
          <w:sz w:val="22"/>
          <w:szCs w:val="22"/>
          <w:lang w:val="sr-Latn-ME"/>
        </w:rPr>
        <w:tab/>
      </w:r>
      <w:r w:rsidRPr="0093403C">
        <w:rPr>
          <w:b/>
          <w:bCs/>
          <w:sz w:val="22"/>
          <w:szCs w:val="22"/>
          <w:lang w:val="sr-Latn-ME"/>
        </w:rPr>
        <w:t>Inkompatibilnost</w:t>
      </w:r>
      <w:r w:rsidR="002846DB" w:rsidRPr="0093403C">
        <w:rPr>
          <w:b/>
          <w:bCs/>
          <w:sz w:val="22"/>
          <w:szCs w:val="22"/>
          <w:lang w:val="sr-Latn-ME"/>
        </w:rPr>
        <w:t>i</w:t>
      </w:r>
    </w:p>
    <w:p w14:paraId="1B0D6FAF" w14:textId="77777777" w:rsidR="002E634B" w:rsidRPr="0093403C" w:rsidRDefault="002E634B" w:rsidP="007C5B43">
      <w:pPr>
        <w:tabs>
          <w:tab w:val="left" w:pos="540"/>
          <w:tab w:val="left" w:pos="569"/>
        </w:tabs>
        <w:jc w:val="both"/>
        <w:rPr>
          <w:bCs/>
          <w:sz w:val="22"/>
          <w:szCs w:val="22"/>
          <w:lang w:val="sr-Latn-ME"/>
        </w:rPr>
      </w:pPr>
    </w:p>
    <w:p w14:paraId="165ED90B" w14:textId="77777777" w:rsidR="002E634B" w:rsidRPr="0093403C" w:rsidRDefault="002E634B" w:rsidP="007C5B43">
      <w:pPr>
        <w:jc w:val="both"/>
        <w:rPr>
          <w:sz w:val="22"/>
          <w:szCs w:val="22"/>
          <w:lang w:val="sr-Latn-ME"/>
        </w:rPr>
      </w:pPr>
      <w:proofErr w:type="spellStart"/>
      <w:r w:rsidRPr="0093403C">
        <w:rPr>
          <w:sz w:val="22"/>
          <w:szCs w:val="22"/>
          <w:lang w:val="sr-Latn-ME"/>
        </w:rPr>
        <w:t>Bonviva</w:t>
      </w:r>
      <w:proofErr w:type="spellEnd"/>
      <w:r w:rsidRPr="0093403C">
        <w:rPr>
          <w:sz w:val="22"/>
          <w:szCs w:val="22"/>
          <w:lang w:val="sr-Latn-ME"/>
        </w:rPr>
        <w:t xml:space="preserve"> rastvor za injekciju se ne smije miješati sa rastvorima koji sadrže kalcijum ili sa drugim ljekovima koji se primjenjuju </w:t>
      </w:r>
      <w:proofErr w:type="spellStart"/>
      <w:r w:rsidRPr="0093403C">
        <w:rPr>
          <w:sz w:val="22"/>
          <w:szCs w:val="22"/>
          <w:lang w:val="sr-Latn-ME"/>
        </w:rPr>
        <w:t>intravenski</w:t>
      </w:r>
      <w:proofErr w:type="spellEnd"/>
      <w:r w:rsidRPr="0093403C">
        <w:rPr>
          <w:sz w:val="22"/>
          <w:szCs w:val="22"/>
          <w:lang w:val="sr-Latn-ME"/>
        </w:rPr>
        <w:t>, osim sa onima koji su navedeni u dijelu 6.6.</w:t>
      </w:r>
    </w:p>
    <w:p w14:paraId="4B0589EE" w14:textId="6D824CC9" w:rsidR="0072020E" w:rsidRPr="0093403C" w:rsidRDefault="0072020E" w:rsidP="007C5B43">
      <w:pPr>
        <w:tabs>
          <w:tab w:val="left" w:pos="540"/>
          <w:tab w:val="left" w:pos="569"/>
        </w:tabs>
        <w:jc w:val="both"/>
        <w:rPr>
          <w:b/>
          <w:bCs/>
          <w:sz w:val="22"/>
          <w:szCs w:val="22"/>
          <w:lang w:val="sr-Latn-ME"/>
        </w:rPr>
      </w:pPr>
      <w:r w:rsidRPr="0093403C">
        <w:rPr>
          <w:b/>
          <w:bCs/>
          <w:sz w:val="22"/>
          <w:szCs w:val="22"/>
          <w:lang w:val="sr-Latn-ME"/>
        </w:rPr>
        <w:lastRenderedPageBreak/>
        <w:t>6.3.</w:t>
      </w:r>
      <w:r w:rsidR="00C05DF8" w:rsidRPr="0093403C">
        <w:rPr>
          <w:b/>
          <w:bCs/>
          <w:sz w:val="22"/>
          <w:szCs w:val="22"/>
          <w:lang w:val="sr-Latn-ME"/>
        </w:rPr>
        <w:t xml:space="preserve"> </w:t>
      </w:r>
      <w:r w:rsidR="00480FB1" w:rsidRPr="0093403C">
        <w:rPr>
          <w:b/>
          <w:bCs/>
          <w:sz w:val="22"/>
          <w:szCs w:val="22"/>
          <w:lang w:val="sr-Latn-ME"/>
        </w:rPr>
        <w:tab/>
      </w:r>
      <w:r w:rsidRPr="0093403C">
        <w:rPr>
          <w:b/>
          <w:bCs/>
          <w:sz w:val="22"/>
          <w:szCs w:val="22"/>
          <w:lang w:val="sr-Latn-ME"/>
        </w:rPr>
        <w:t>Rok upotrebe</w:t>
      </w:r>
    </w:p>
    <w:p w14:paraId="2E893A8A" w14:textId="77777777" w:rsidR="0072020E" w:rsidRPr="0093403C" w:rsidRDefault="0072020E" w:rsidP="007C5B43">
      <w:pPr>
        <w:tabs>
          <w:tab w:val="left" w:pos="540"/>
          <w:tab w:val="left" w:pos="569"/>
        </w:tabs>
        <w:jc w:val="both"/>
        <w:rPr>
          <w:bCs/>
          <w:sz w:val="22"/>
          <w:szCs w:val="22"/>
          <w:lang w:val="sr-Latn-ME"/>
        </w:rPr>
      </w:pPr>
    </w:p>
    <w:p w14:paraId="365844EA" w14:textId="7FEEFBA2" w:rsidR="002E634B" w:rsidRPr="0093403C" w:rsidRDefault="002E634B" w:rsidP="007C5B43">
      <w:pPr>
        <w:tabs>
          <w:tab w:val="left" w:pos="540"/>
          <w:tab w:val="left" w:pos="569"/>
        </w:tabs>
        <w:jc w:val="both"/>
        <w:rPr>
          <w:bCs/>
          <w:sz w:val="22"/>
          <w:szCs w:val="22"/>
          <w:lang w:val="sr-Latn-ME"/>
        </w:rPr>
      </w:pPr>
      <w:r w:rsidRPr="0093403C">
        <w:rPr>
          <w:bCs/>
          <w:sz w:val="22"/>
          <w:szCs w:val="22"/>
          <w:lang w:val="sr-Latn-ME"/>
        </w:rPr>
        <w:t>2 godine</w:t>
      </w:r>
    </w:p>
    <w:p w14:paraId="262A1370" w14:textId="77777777" w:rsidR="002E634B" w:rsidRPr="0093403C" w:rsidRDefault="002E634B" w:rsidP="007C5B43">
      <w:pPr>
        <w:tabs>
          <w:tab w:val="left" w:pos="540"/>
          <w:tab w:val="left" w:pos="569"/>
        </w:tabs>
        <w:jc w:val="both"/>
        <w:rPr>
          <w:bCs/>
          <w:sz w:val="22"/>
          <w:szCs w:val="22"/>
          <w:lang w:val="sr-Latn-ME"/>
        </w:rPr>
      </w:pPr>
    </w:p>
    <w:p w14:paraId="61979A1F" w14:textId="77777777" w:rsidR="0072020E" w:rsidRPr="0093403C" w:rsidRDefault="0072020E" w:rsidP="007C5B43">
      <w:pPr>
        <w:tabs>
          <w:tab w:val="left" w:pos="540"/>
          <w:tab w:val="left" w:pos="569"/>
        </w:tabs>
        <w:jc w:val="both"/>
        <w:rPr>
          <w:b/>
          <w:bCs/>
          <w:sz w:val="22"/>
          <w:szCs w:val="22"/>
          <w:lang w:val="sr-Latn-ME"/>
        </w:rPr>
      </w:pPr>
      <w:r w:rsidRPr="0093403C">
        <w:rPr>
          <w:b/>
          <w:bCs/>
          <w:sz w:val="22"/>
          <w:szCs w:val="22"/>
          <w:lang w:val="sr-Latn-ME"/>
        </w:rPr>
        <w:t xml:space="preserve">6.4. </w:t>
      </w:r>
      <w:r w:rsidR="00480FB1" w:rsidRPr="0093403C">
        <w:rPr>
          <w:b/>
          <w:bCs/>
          <w:sz w:val="22"/>
          <w:szCs w:val="22"/>
          <w:lang w:val="sr-Latn-ME"/>
        </w:rPr>
        <w:tab/>
      </w:r>
      <w:r w:rsidRPr="0093403C">
        <w:rPr>
          <w:b/>
          <w:bCs/>
          <w:sz w:val="22"/>
          <w:szCs w:val="22"/>
          <w:lang w:val="sr-Latn-ME"/>
        </w:rPr>
        <w:t>Posebne mjere upozorenja pri čuvanju</w:t>
      </w:r>
      <w:r w:rsidR="00F8570A" w:rsidRPr="0093403C">
        <w:rPr>
          <w:b/>
          <w:bCs/>
          <w:sz w:val="22"/>
          <w:szCs w:val="22"/>
          <w:lang w:val="sr-Latn-ME"/>
        </w:rPr>
        <w:t xml:space="preserve"> lijeka</w:t>
      </w:r>
    </w:p>
    <w:p w14:paraId="100076E0" w14:textId="77777777" w:rsidR="00EC2532" w:rsidRPr="0093403C" w:rsidRDefault="00EC2532" w:rsidP="007C5B43">
      <w:pPr>
        <w:tabs>
          <w:tab w:val="left" w:pos="540"/>
          <w:tab w:val="left" w:pos="569"/>
        </w:tabs>
        <w:jc w:val="both"/>
        <w:rPr>
          <w:bCs/>
          <w:sz w:val="22"/>
          <w:szCs w:val="22"/>
          <w:lang w:val="sr-Latn-ME"/>
        </w:rPr>
      </w:pPr>
    </w:p>
    <w:p w14:paraId="26126AE3" w14:textId="77777777" w:rsidR="002E634B" w:rsidRPr="0093403C" w:rsidRDefault="002E634B" w:rsidP="007C5B43">
      <w:pPr>
        <w:jc w:val="both"/>
        <w:rPr>
          <w:sz w:val="22"/>
          <w:szCs w:val="22"/>
          <w:lang w:val="sr-Latn-ME"/>
        </w:rPr>
      </w:pPr>
      <w:r w:rsidRPr="0093403C">
        <w:rPr>
          <w:sz w:val="22"/>
          <w:szCs w:val="22"/>
          <w:lang w:val="sr-Latn-ME"/>
        </w:rPr>
        <w:t xml:space="preserve">Lijek ne zahtijeva posebne uslove čuvanja. </w:t>
      </w:r>
    </w:p>
    <w:p w14:paraId="4848A5EE" w14:textId="77777777" w:rsidR="002E634B" w:rsidRPr="0093403C" w:rsidRDefault="002E634B" w:rsidP="007C5B43">
      <w:pPr>
        <w:tabs>
          <w:tab w:val="left" w:pos="540"/>
          <w:tab w:val="left" w:pos="569"/>
        </w:tabs>
        <w:jc w:val="both"/>
        <w:rPr>
          <w:bCs/>
          <w:sz w:val="22"/>
          <w:szCs w:val="22"/>
          <w:lang w:val="sr-Latn-ME"/>
        </w:rPr>
      </w:pPr>
    </w:p>
    <w:p w14:paraId="7CDD1A28" w14:textId="77777777" w:rsidR="0072020E" w:rsidRPr="0093403C" w:rsidRDefault="0072020E" w:rsidP="007C5B43">
      <w:pPr>
        <w:tabs>
          <w:tab w:val="left" w:pos="540"/>
          <w:tab w:val="left" w:pos="569"/>
        </w:tabs>
        <w:jc w:val="both"/>
        <w:rPr>
          <w:b/>
          <w:bCs/>
          <w:sz w:val="22"/>
          <w:szCs w:val="22"/>
          <w:lang w:val="sr-Latn-ME"/>
        </w:rPr>
      </w:pPr>
      <w:r w:rsidRPr="0093403C">
        <w:rPr>
          <w:b/>
          <w:bCs/>
          <w:sz w:val="22"/>
          <w:szCs w:val="22"/>
          <w:lang w:val="sr-Latn-ME"/>
        </w:rPr>
        <w:t xml:space="preserve">6.5. </w:t>
      </w:r>
      <w:r w:rsidR="00480FB1" w:rsidRPr="0093403C">
        <w:rPr>
          <w:b/>
          <w:bCs/>
          <w:sz w:val="22"/>
          <w:szCs w:val="22"/>
          <w:lang w:val="sr-Latn-ME"/>
        </w:rPr>
        <w:tab/>
      </w:r>
      <w:r w:rsidR="002846DB" w:rsidRPr="0093403C">
        <w:rPr>
          <w:b/>
          <w:bCs/>
          <w:sz w:val="22"/>
          <w:szCs w:val="22"/>
          <w:lang w:val="sr-Latn-ME"/>
        </w:rPr>
        <w:t xml:space="preserve">Vrsta i sadržaj </w:t>
      </w:r>
      <w:r w:rsidR="00F8570A" w:rsidRPr="0093403C">
        <w:rPr>
          <w:b/>
          <w:bCs/>
          <w:sz w:val="22"/>
          <w:szCs w:val="22"/>
          <w:lang w:val="sr-Latn-ME"/>
        </w:rPr>
        <w:t>pakovanja</w:t>
      </w:r>
      <w:r w:rsidR="00C06864" w:rsidRPr="0093403C">
        <w:rPr>
          <w:b/>
          <w:bCs/>
          <w:sz w:val="22"/>
          <w:szCs w:val="22"/>
          <w:lang w:val="sr-Latn-ME"/>
        </w:rPr>
        <w:t xml:space="preserve"> </w:t>
      </w:r>
    </w:p>
    <w:p w14:paraId="494165DE" w14:textId="6812A4C7" w:rsidR="0072020E" w:rsidRPr="0093403C" w:rsidRDefault="002E634B" w:rsidP="007C5B43">
      <w:pPr>
        <w:tabs>
          <w:tab w:val="left" w:pos="569"/>
        </w:tabs>
        <w:jc w:val="both"/>
        <w:rPr>
          <w:bCs/>
          <w:sz w:val="22"/>
          <w:szCs w:val="22"/>
          <w:lang w:val="sr-Latn-ME"/>
        </w:rPr>
      </w:pPr>
      <w:r w:rsidRPr="0093403C">
        <w:rPr>
          <w:bCs/>
          <w:sz w:val="22"/>
          <w:szCs w:val="22"/>
          <w:lang w:val="sr-Latn-ME"/>
        </w:rPr>
        <w:tab/>
      </w:r>
    </w:p>
    <w:p w14:paraId="37CB3006" w14:textId="77777777" w:rsidR="002E634B" w:rsidRPr="0093403C" w:rsidRDefault="002E634B" w:rsidP="007C5B43">
      <w:pPr>
        <w:jc w:val="both"/>
        <w:rPr>
          <w:sz w:val="22"/>
          <w:szCs w:val="22"/>
          <w:lang w:val="sr-Latn-ME"/>
        </w:rPr>
      </w:pPr>
      <w:r w:rsidRPr="0093403C">
        <w:rPr>
          <w:sz w:val="22"/>
          <w:szCs w:val="22"/>
          <w:lang w:val="sr-Latn-ME"/>
        </w:rPr>
        <w:t xml:space="preserve">Unutrašnje pakovanje je napunjeni injekcioni špric zapremine 5 ml napravljen od bezbojnog stakla tipa I, sa sivim gumenim zatvaračem i kapicom klipa od </w:t>
      </w:r>
      <w:proofErr w:type="spellStart"/>
      <w:r w:rsidRPr="0093403C">
        <w:rPr>
          <w:sz w:val="22"/>
          <w:szCs w:val="22"/>
          <w:lang w:val="sr-Latn-ME"/>
        </w:rPr>
        <w:t>butil</w:t>
      </w:r>
      <w:proofErr w:type="spellEnd"/>
      <w:r w:rsidRPr="0093403C">
        <w:rPr>
          <w:sz w:val="22"/>
          <w:szCs w:val="22"/>
          <w:lang w:val="sr-Latn-ME"/>
        </w:rPr>
        <w:t xml:space="preserve"> gume obložene filmom od </w:t>
      </w:r>
      <w:proofErr w:type="spellStart"/>
      <w:r w:rsidRPr="0093403C">
        <w:rPr>
          <w:sz w:val="22"/>
          <w:szCs w:val="22"/>
          <w:lang w:val="sr-Latn-ME"/>
        </w:rPr>
        <w:t>fluoro</w:t>
      </w:r>
      <w:proofErr w:type="spellEnd"/>
      <w:r w:rsidRPr="0093403C">
        <w:rPr>
          <w:sz w:val="22"/>
          <w:szCs w:val="22"/>
          <w:lang w:val="sr-Latn-ME"/>
        </w:rPr>
        <w:t xml:space="preserve">-smole, koji  sadrži 3 ml rastvora za injekciju. </w:t>
      </w:r>
    </w:p>
    <w:p w14:paraId="08FE1952" w14:textId="77777777" w:rsidR="002E634B" w:rsidRPr="0093403C" w:rsidRDefault="002E634B" w:rsidP="007C5B43">
      <w:pPr>
        <w:jc w:val="both"/>
        <w:rPr>
          <w:sz w:val="22"/>
          <w:szCs w:val="22"/>
          <w:lang w:val="sr-Latn-ME"/>
        </w:rPr>
      </w:pPr>
    </w:p>
    <w:p w14:paraId="171E08AD" w14:textId="77777777" w:rsidR="002E634B" w:rsidRPr="0093403C" w:rsidRDefault="002E634B" w:rsidP="007C5B43">
      <w:pPr>
        <w:jc w:val="both"/>
        <w:rPr>
          <w:sz w:val="22"/>
          <w:szCs w:val="22"/>
          <w:lang w:val="sr-Latn-ME"/>
        </w:rPr>
      </w:pPr>
      <w:r w:rsidRPr="0093403C">
        <w:rPr>
          <w:sz w:val="22"/>
          <w:szCs w:val="22"/>
          <w:lang w:val="sr-Latn-ME"/>
        </w:rPr>
        <w:t xml:space="preserve">Spoljašnje pakovanje je </w:t>
      </w:r>
      <w:proofErr w:type="spellStart"/>
      <w:r w:rsidRPr="0093403C">
        <w:rPr>
          <w:sz w:val="22"/>
          <w:szCs w:val="22"/>
          <w:lang w:val="sr-Latn-ME"/>
        </w:rPr>
        <w:t>složiva</w:t>
      </w:r>
      <w:proofErr w:type="spellEnd"/>
      <w:r w:rsidRPr="0093403C">
        <w:rPr>
          <w:sz w:val="22"/>
          <w:szCs w:val="22"/>
          <w:lang w:val="sr-Latn-ME"/>
        </w:rPr>
        <w:t xml:space="preserve"> kartonska kutija koja sadrži 1 napunjeni injekcioni špric, 1 iglu za injekciju i Uputstvo za lijek. </w:t>
      </w:r>
    </w:p>
    <w:p w14:paraId="291578E2" w14:textId="77777777" w:rsidR="002E634B" w:rsidRPr="0093403C" w:rsidRDefault="002E634B" w:rsidP="007C5B43">
      <w:pPr>
        <w:tabs>
          <w:tab w:val="left" w:pos="569"/>
        </w:tabs>
        <w:jc w:val="both"/>
        <w:rPr>
          <w:bCs/>
          <w:sz w:val="22"/>
          <w:szCs w:val="22"/>
          <w:lang w:val="sr-Latn-ME"/>
        </w:rPr>
      </w:pPr>
    </w:p>
    <w:p w14:paraId="6CEDE0DE" w14:textId="77777777" w:rsidR="002846DB" w:rsidRPr="0093403C" w:rsidRDefault="0072020E" w:rsidP="007C5B43">
      <w:pPr>
        <w:tabs>
          <w:tab w:val="left" w:pos="540"/>
          <w:tab w:val="left" w:pos="569"/>
        </w:tabs>
        <w:jc w:val="both"/>
        <w:rPr>
          <w:b/>
          <w:bCs/>
          <w:sz w:val="22"/>
          <w:szCs w:val="22"/>
          <w:lang w:val="sr-Latn-ME"/>
        </w:rPr>
      </w:pPr>
      <w:r w:rsidRPr="0093403C">
        <w:rPr>
          <w:b/>
          <w:bCs/>
          <w:sz w:val="22"/>
          <w:szCs w:val="22"/>
          <w:lang w:val="sr-Latn-ME"/>
        </w:rPr>
        <w:t xml:space="preserve">6.6. </w:t>
      </w:r>
      <w:r w:rsidR="00480FB1" w:rsidRPr="0093403C">
        <w:rPr>
          <w:b/>
          <w:bCs/>
          <w:sz w:val="22"/>
          <w:szCs w:val="22"/>
          <w:lang w:val="sr-Latn-ME"/>
        </w:rPr>
        <w:tab/>
      </w:r>
      <w:r w:rsidRPr="0093403C">
        <w:rPr>
          <w:b/>
          <w:bCs/>
          <w:color w:val="000000"/>
          <w:sz w:val="22"/>
          <w:szCs w:val="22"/>
          <w:lang w:val="sr-Latn-ME"/>
        </w:rPr>
        <w:t>Posebne mjere opreza pri odlaganju materijala koji treba odbaciti nakon primjene lijeka</w:t>
      </w:r>
      <w:r w:rsidRPr="0093403C">
        <w:rPr>
          <w:b/>
          <w:bCs/>
          <w:sz w:val="22"/>
          <w:szCs w:val="22"/>
          <w:lang w:val="sr-Latn-ME"/>
        </w:rPr>
        <w:t xml:space="preserve"> </w:t>
      </w:r>
      <w:r w:rsidR="00310F03" w:rsidRPr="0093403C">
        <w:rPr>
          <w:b/>
          <w:bCs/>
          <w:sz w:val="22"/>
          <w:szCs w:val="22"/>
          <w:lang w:val="sr-Latn-ME"/>
        </w:rPr>
        <w:t>(i druga uputs</w:t>
      </w:r>
      <w:r w:rsidR="004109FA" w:rsidRPr="0093403C">
        <w:rPr>
          <w:b/>
          <w:bCs/>
          <w:sz w:val="22"/>
          <w:szCs w:val="22"/>
          <w:lang w:val="sr-Latn-ME"/>
        </w:rPr>
        <w:t>t</w:t>
      </w:r>
      <w:r w:rsidR="00310F03" w:rsidRPr="0093403C">
        <w:rPr>
          <w:b/>
          <w:bCs/>
          <w:sz w:val="22"/>
          <w:szCs w:val="22"/>
          <w:lang w:val="sr-Latn-ME"/>
        </w:rPr>
        <w:t xml:space="preserve">va za rukovanje lijekom) </w:t>
      </w:r>
    </w:p>
    <w:p w14:paraId="7CD8A213" w14:textId="77777777" w:rsidR="00B66A70" w:rsidRPr="0093403C" w:rsidRDefault="00B66A70" w:rsidP="007C5B43">
      <w:pPr>
        <w:tabs>
          <w:tab w:val="left" w:pos="540"/>
          <w:tab w:val="left" w:pos="569"/>
        </w:tabs>
        <w:jc w:val="both"/>
        <w:rPr>
          <w:b/>
          <w:bCs/>
          <w:sz w:val="22"/>
          <w:szCs w:val="22"/>
          <w:lang w:val="sr-Latn-ME"/>
        </w:rPr>
      </w:pPr>
    </w:p>
    <w:p w14:paraId="6D17A1BC" w14:textId="5CC57394" w:rsidR="002E634B" w:rsidRPr="0093403C" w:rsidRDefault="002E634B" w:rsidP="0093403C">
      <w:pPr>
        <w:pStyle w:val="Header"/>
        <w:tabs>
          <w:tab w:val="left" w:pos="284"/>
        </w:tabs>
        <w:jc w:val="both"/>
        <w:rPr>
          <w:bCs/>
          <w:sz w:val="22"/>
          <w:szCs w:val="22"/>
          <w:lang w:val="sr-Latn-ME"/>
        </w:rPr>
      </w:pPr>
      <w:r w:rsidRPr="0093403C">
        <w:rPr>
          <w:bCs/>
          <w:sz w:val="22"/>
          <w:szCs w:val="22"/>
          <w:lang w:val="sr-Latn-ME"/>
        </w:rPr>
        <w:t xml:space="preserve">Kada se ovaj lijek primjenjuje u već postojeću liniju za </w:t>
      </w:r>
      <w:proofErr w:type="spellStart"/>
      <w:r w:rsidRPr="0093403C">
        <w:rPr>
          <w:bCs/>
          <w:sz w:val="22"/>
          <w:szCs w:val="22"/>
          <w:lang w:val="sr-Latn-ME"/>
        </w:rPr>
        <w:t>intravensku</w:t>
      </w:r>
      <w:proofErr w:type="spellEnd"/>
      <w:r w:rsidRPr="0093403C">
        <w:rPr>
          <w:bCs/>
          <w:sz w:val="22"/>
          <w:szCs w:val="22"/>
          <w:lang w:val="sr-Latn-ME"/>
        </w:rPr>
        <w:t xml:space="preserve"> infuziju, rastvor za infuziju mora biti ograničen na </w:t>
      </w:r>
      <w:proofErr w:type="spellStart"/>
      <w:r w:rsidRPr="0093403C">
        <w:rPr>
          <w:bCs/>
          <w:sz w:val="22"/>
          <w:szCs w:val="22"/>
          <w:lang w:val="sr-Latn-ME"/>
        </w:rPr>
        <w:t>izotonični</w:t>
      </w:r>
      <w:proofErr w:type="spellEnd"/>
      <w:r w:rsidRPr="0093403C">
        <w:rPr>
          <w:bCs/>
          <w:sz w:val="22"/>
          <w:szCs w:val="22"/>
          <w:lang w:val="sr-Latn-ME"/>
        </w:rPr>
        <w:t xml:space="preserve"> fiziološki rastvor ili 50 mg/ml (5%) rastvor glukoze. Ovo se odnosi i na rastvore koji se koriste za ispiranje leptira i drugog </w:t>
      </w:r>
      <w:proofErr w:type="spellStart"/>
      <w:r w:rsidRPr="0093403C">
        <w:rPr>
          <w:bCs/>
          <w:sz w:val="22"/>
          <w:szCs w:val="22"/>
          <w:lang w:val="sr-Latn-ME"/>
        </w:rPr>
        <w:t>infuzionog</w:t>
      </w:r>
      <w:proofErr w:type="spellEnd"/>
      <w:r w:rsidRPr="0093403C">
        <w:rPr>
          <w:bCs/>
          <w:sz w:val="22"/>
          <w:szCs w:val="22"/>
          <w:lang w:val="sr-Latn-ME"/>
        </w:rPr>
        <w:t xml:space="preserve"> pribora.</w:t>
      </w:r>
    </w:p>
    <w:p w14:paraId="1DEFD952" w14:textId="77777777" w:rsidR="007C5B43" w:rsidRPr="0093403C" w:rsidRDefault="007C5B43" w:rsidP="007C5B43">
      <w:pPr>
        <w:pStyle w:val="Header"/>
        <w:tabs>
          <w:tab w:val="left" w:pos="284"/>
        </w:tabs>
        <w:spacing w:after="80"/>
        <w:jc w:val="both"/>
        <w:rPr>
          <w:bCs/>
          <w:sz w:val="22"/>
          <w:szCs w:val="22"/>
          <w:lang w:val="sr-Latn-ME"/>
        </w:rPr>
      </w:pPr>
    </w:p>
    <w:p w14:paraId="3EA4A4DB" w14:textId="77777777" w:rsidR="002E634B" w:rsidRPr="0093403C" w:rsidRDefault="002E634B" w:rsidP="0093403C">
      <w:pPr>
        <w:pStyle w:val="Header"/>
        <w:tabs>
          <w:tab w:val="left" w:pos="284"/>
        </w:tabs>
        <w:jc w:val="both"/>
        <w:rPr>
          <w:bCs/>
          <w:sz w:val="22"/>
          <w:szCs w:val="22"/>
          <w:lang w:val="sr-Latn-ME"/>
        </w:rPr>
      </w:pPr>
      <w:r w:rsidRPr="0093403C">
        <w:rPr>
          <w:bCs/>
          <w:sz w:val="22"/>
          <w:szCs w:val="22"/>
          <w:lang w:val="sr-Latn-ME"/>
        </w:rPr>
        <w:t>Svu neiskorišćenu količina rastvora za injekciju, špric i iglu za injekciju, nakon upotrebe, treba ukloniti u skladu sa važećim propisima.</w:t>
      </w:r>
    </w:p>
    <w:p w14:paraId="4D552D44" w14:textId="77777777" w:rsidR="002E634B" w:rsidRPr="0093403C" w:rsidRDefault="002E634B" w:rsidP="007C5B43">
      <w:pPr>
        <w:pStyle w:val="Header"/>
        <w:tabs>
          <w:tab w:val="left" w:pos="284"/>
        </w:tabs>
        <w:spacing w:after="80"/>
        <w:jc w:val="both"/>
        <w:rPr>
          <w:bCs/>
          <w:sz w:val="22"/>
          <w:szCs w:val="22"/>
          <w:lang w:val="sr-Latn-ME"/>
        </w:rPr>
      </w:pPr>
    </w:p>
    <w:p w14:paraId="57B65D06" w14:textId="77777777" w:rsidR="002E634B" w:rsidRPr="0093403C" w:rsidRDefault="002E634B" w:rsidP="007C5B43">
      <w:pPr>
        <w:pStyle w:val="Header"/>
        <w:tabs>
          <w:tab w:val="left" w:pos="284"/>
        </w:tabs>
        <w:spacing w:before="80" w:after="80"/>
        <w:jc w:val="both"/>
        <w:rPr>
          <w:bCs/>
          <w:sz w:val="22"/>
          <w:szCs w:val="22"/>
          <w:lang w:val="sr-Latn-ME"/>
        </w:rPr>
      </w:pPr>
      <w:r w:rsidRPr="0093403C">
        <w:rPr>
          <w:bCs/>
          <w:sz w:val="22"/>
          <w:szCs w:val="22"/>
          <w:lang w:val="sr-Latn-ME"/>
        </w:rPr>
        <w:t>Strogo je potrebno pridržavati se sljedećih uputstava u vezi sa korišćenjem i odlaganjem špriceva i ostalog oštrog medicinskog pribora:</w:t>
      </w:r>
    </w:p>
    <w:p w14:paraId="0A1B886C" w14:textId="2CF4A93E" w:rsidR="002E634B" w:rsidRPr="0093403C" w:rsidRDefault="002E634B" w:rsidP="00EE6A5F">
      <w:pPr>
        <w:pStyle w:val="Header"/>
        <w:numPr>
          <w:ilvl w:val="0"/>
          <w:numId w:val="13"/>
        </w:numPr>
        <w:tabs>
          <w:tab w:val="left" w:pos="284"/>
        </w:tabs>
        <w:spacing w:before="80" w:after="80"/>
        <w:jc w:val="both"/>
        <w:rPr>
          <w:bCs/>
          <w:sz w:val="22"/>
          <w:szCs w:val="22"/>
          <w:lang w:val="sr-Latn-ME"/>
        </w:rPr>
      </w:pPr>
      <w:r w:rsidRPr="0093403C">
        <w:rPr>
          <w:bCs/>
          <w:sz w:val="22"/>
          <w:szCs w:val="22"/>
          <w:lang w:val="sr-Latn-ME"/>
        </w:rPr>
        <w:t>Igle i špricevi se ne smiju ponovo upotrebljavati.</w:t>
      </w:r>
    </w:p>
    <w:p w14:paraId="5D4D5785" w14:textId="2558D8EF" w:rsidR="002E634B" w:rsidRPr="0093403C" w:rsidRDefault="002E634B" w:rsidP="00EE6A5F">
      <w:pPr>
        <w:pStyle w:val="Header"/>
        <w:numPr>
          <w:ilvl w:val="0"/>
          <w:numId w:val="13"/>
        </w:numPr>
        <w:tabs>
          <w:tab w:val="left" w:pos="284"/>
        </w:tabs>
        <w:spacing w:before="80" w:after="80"/>
        <w:jc w:val="both"/>
        <w:rPr>
          <w:bCs/>
          <w:sz w:val="22"/>
          <w:szCs w:val="22"/>
          <w:lang w:val="sr-Latn-ME"/>
        </w:rPr>
      </w:pPr>
      <w:r w:rsidRPr="0093403C">
        <w:rPr>
          <w:bCs/>
          <w:sz w:val="22"/>
          <w:szCs w:val="22"/>
          <w:lang w:val="sr-Latn-ME"/>
        </w:rPr>
        <w:t>Sve upotrijebljene igle i špriceve odložite u kontejner za oštre predmete (posudu za odlaganje koja pruža zaštitu od uboda).</w:t>
      </w:r>
    </w:p>
    <w:p w14:paraId="7B2383AC" w14:textId="5C871DA4" w:rsidR="002E634B" w:rsidRPr="0093403C" w:rsidRDefault="002E634B" w:rsidP="00EE6A5F">
      <w:pPr>
        <w:pStyle w:val="Header"/>
        <w:numPr>
          <w:ilvl w:val="0"/>
          <w:numId w:val="13"/>
        </w:numPr>
        <w:tabs>
          <w:tab w:val="left" w:pos="284"/>
        </w:tabs>
        <w:spacing w:before="80" w:after="80"/>
        <w:jc w:val="both"/>
        <w:rPr>
          <w:bCs/>
          <w:sz w:val="22"/>
          <w:szCs w:val="22"/>
          <w:lang w:val="sr-Latn-ME"/>
        </w:rPr>
      </w:pPr>
      <w:r w:rsidRPr="0093403C">
        <w:rPr>
          <w:bCs/>
          <w:sz w:val="22"/>
          <w:szCs w:val="22"/>
          <w:lang w:val="sr-Latn-ME"/>
        </w:rPr>
        <w:t>Takvu posudu držite van domašaja djece.</w:t>
      </w:r>
    </w:p>
    <w:p w14:paraId="458B12EF" w14:textId="77777777" w:rsidR="00EE6A5F" w:rsidRDefault="002E634B" w:rsidP="00EE6A5F">
      <w:pPr>
        <w:pStyle w:val="Header"/>
        <w:numPr>
          <w:ilvl w:val="0"/>
          <w:numId w:val="13"/>
        </w:numPr>
        <w:tabs>
          <w:tab w:val="left" w:pos="284"/>
        </w:tabs>
        <w:spacing w:before="80" w:after="80"/>
        <w:jc w:val="both"/>
        <w:rPr>
          <w:bCs/>
          <w:sz w:val="22"/>
          <w:szCs w:val="22"/>
          <w:lang w:val="sr-Latn-ME"/>
        </w:rPr>
      </w:pPr>
      <w:r w:rsidRPr="0093403C">
        <w:rPr>
          <w:bCs/>
          <w:sz w:val="22"/>
          <w:szCs w:val="22"/>
          <w:lang w:val="sr-Latn-ME"/>
        </w:rPr>
        <w:t>Izbjegavajte odlaganje posude sa oštrim predmetima u kućni otpad.</w:t>
      </w:r>
    </w:p>
    <w:p w14:paraId="1B8CFC69" w14:textId="792CC4E9" w:rsidR="002E634B" w:rsidRPr="00EE6A5F" w:rsidRDefault="002E634B" w:rsidP="00EE6A5F">
      <w:pPr>
        <w:pStyle w:val="Header"/>
        <w:numPr>
          <w:ilvl w:val="0"/>
          <w:numId w:val="13"/>
        </w:numPr>
        <w:tabs>
          <w:tab w:val="left" w:pos="284"/>
        </w:tabs>
        <w:spacing w:before="80" w:after="80"/>
        <w:jc w:val="both"/>
        <w:rPr>
          <w:bCs/>
          <w:sz w:val="22"/>
          <w:szCs w:val="22"/>
          <w:lang w:val="sr-Latn-ME"/>
        </w:rPr>
      </w:pPr>
      <w:r w:rsidRPr="00EE6A5F">
        <w:rPr>
          <w:bCs/>
          <w:sz w:val="22"/>
          <w:szCs w:val="22"/>
          <w:lang w:val="sr-Latn-ME"/>
        </w:rPr>
        <w:t>Odlaganje kontejnera za oštre predmete izvršite u skladu sa lokalnim propisima ili po uputstvu zdravstvenih radnika.</w:t>
      </w:r>
    </w:p>
    <w:p w14:paraId="1DCEB5CE" w14:textId="18432EB6" w:rsidR="0072020E" w:rsidRPr="0093403C" w:rsidRDefault="0072020E" w:rsidP="007C5B43">
      <w:pPr>
        <w:tabs>
          <w:tab w:val="left" w:pos="540"/>
          <w:tab w:val="left" w:pos="569"/>
        </w:tabs>
        <w:jc w:val="both"/>
        <w:rPr>
          <w:bCs/>
          <w:sz w:val="22"/>
          <w:szCs w:val="22"/>
          <w:lang w:val="sr-Latn-ME"/>
        </w:rPr>
      </w:pPr>
    </w:p>
    <w:p w14:paraId="6463CC10" w14:textId="77777777" w:rsidR="007C5B43" w:rsidRPr="0093403C" w:rsidRDefault="007C5B43" w:rsidP="007C5B43">
      <w:pPr>
        <w:tabs>
          <w:tab w:val="left" w:pos="540"/>
          <w:tab w:val="left" w:pos="569"/>
        </w:tabs>
        <w:jc w:val="both"/>
        <w:rPr>
          <w:bCs/>
          <w:sz w:val="22"/>
          <w:szCs w:val="22"/>
          <w:lang w:val="sr-Latn-ME"/>
        </w:rPr>
      </w:pPr>
    </w:p>
    <w:p w14:paraId="1E215FE7" w14:textId="77777777" w:rsidR="00F8570A" w:rsidRPr="0093403C" w:rsidRDefault="0072020E" w:rsidP="007C5B43">
      <w:pPr>
        <w:tabs>
          <w:tab w:val="left" w:pos="540"/>
          <w:tab w:val="left" w:pos="569"/>
        </w:tabs>
        <w:jc w:val="both"/>
        <w:rPr>
          <w:b/>
          <w:bCs/>
          <w:sz w:val="22"/>
          <w:szCs w:val="22"/>
          <w:lang w:val="sr-Latn-ME"/>
        </w:rPr>
      </w:pPr>
      <w:r w:rsidRPr="0093403C">
        <w:rPr>
          <w:b/>
          <w:bCs/>
          <w:sz w:val="22"/>
          <w:szCs w:val="22"/>
          <w:lang w:val="sr-Latn-ME"/>
        </w:rPr>
        <w:t xml:space="preserve">7. </w:t>
      </w:r>
      <w:r w:rsidR="00480FB1" w:rsidRPr="0093403C">
        <w:rPr>
          <w:b/>
          <w:bCs/>
          <w:sz w:val="22"/>
          <w:szCs w:val="22"/>
          <w:lang w:val="sr-Latn-ME"/>
        </w:rPr>
        <w:tab/>
      </w:r>
      <w:r w:rsidRPr="0093403C">
        <w:rPr>
          <w:b/>
          <w:bCs/>
          <w:sz w:val="22"/>
          <w:szCs w:val="22"/>
          <w:lang w:val="sr-Latn-ME"/>
        </w:rPr>
        <w:t>NOSILAC DOZVOLE</w:t>
      </w:r>
      <w:r w:rsidR="00483928" w:rsidRPr="0093403C">
        <w:rPr>
          <w:b/>
          <w:bCs/>
          <w:sz w:val="22"/>
          <w:szCs w:val="22"/>
          <w:lang w:val="sr-Latn-ME"/>
        </w:rPr>
        <w:t xml:space="preserve"> </w:t>
      </w:r>
    </w:p>
    <w:p w14:paraId="0168E003" w14:textId="77777777" w:rsidR="00C61BE0" w:rsidRPr="0093403C" w:rsidRDefault="00C61BE0" w:rsidP="007C5B43">
      <w:pPr>
        <w:tabs>
          <w:tab w:val="left" w:pos="540"/>
          <w:tab w:val="left" w:pos="569"/>
        </w:tabs>
        <w:jc w:val="both"/>
        <w:rPr>
          <w:bCs/>
          <w:sz w:val="22"/>
          <w:szCs w:val="22"/>
          <w:lang w:val="sr-Latn-ME"/>
        </w:rPr>
      </w:pPr>
    </w:p>
    <w:p w14:paraId="49CF0DC7" w14:textId="77777777" w:rsidR="002E634B" w:rsidRPr="0093403C" w:rsidRDefault="002E634B" w:rsidP="007C5B43">
      <w:pPr>
        <w:pStyle w:val="Header"/>
        <w:tabs>
          <w:tab w:val="left" w:pos="284"/>
        </w:tabs>
        <w:jc w:val="both"/>
        <w:rPr>
          <w:sz w:val="22"/>
          <w:szCs w:val="22"/>
          <w:lang w:val="sr-Latn-ME"/>
        </w:rPr>
      </w:pPr>
      <w:r w:rsidRPr="0093403C">
        <w:rPr>
          <w:sz w:val="22"/>
          <w:szCs w:val="22"/>
          <w:lang w:val="sr-Latn-ME"/>
        </w:rPr>
        <w:t xml:space="preserve">Evropa </w:t>
      </w:r>
      <w:proofErr w:type="spellStart"/>
      <w:r w:rsidRPr="0093403C">
        <w:rPr>
          <w:sz w:val="22"/>
          <w:szCs w:val="22"/>
          <w:lang w:val="sr-Latn-ME"/>
        </w:rPr>
        <w:t>Lek</w:t>
      </w:r>
      <w:proofErr w:type="spellEnd"/>
      <w:r w:rsidRPr="0093403C">
        <w:rPr>
          <w:sz w:val="22"/>
          <w:szCs w:val="22"/>
          <w:lang w:val="sr-Latn-ME"/>
        </w:rPr>
        <w:t xml:space="preserve"> Pharma d.o.o. Podgorica,</w:t>
      </w:r>
    </w:p>
    <w:p w14:paraId="275056AC" w14:textId="77777777" w:rsidR="002E634B" w:rsidRPr="0093403C" w:rsidRDefault="002E634B" w:rsidP="007C5B43">
      <w:pPr>
        <w:tabs>
          <w:tab w:val="left" w:pos="540"/>
          <w:tab w:val="left" w:pos="569"/>
        </w:tabs>
        <w:jc w:val="both"/>
        <w:rPr>
          <w:bCs/>
          <w:sz w:val="22"/>
          <w:szCs w:val="22"/>
          <w:lang w:val="sr-Latn-ME"/>
        </w:rPr>
      </w:pPr>
      <w:r w:rsidRPr="0093403C">
        <w:rPr>
          <w:bCs/>
          <w:sz w:val="22"/>
          <w:szCs w:val="22"/>
          <w:lang w:val="sr-Latn-ME"/>
        </w:rPr>
        <w:t>Kritskog odreda 4/1, 81000 Podgorica, Crna Gora</w:t>
      </w:r>
    </w:p>
    <w:p w14:paraId="2F668452" w14:textId="179DAED6" w:rsidR="00C37FD7" w:rsidRPr="0093403C" w:rsidRDefault="00C37FD7" w:rsidP="007C5B43">
      <w:pPr>
        <w:tabs>
          <w:tab w:val="left" w:pos="540"/>
          <w:tab w:val="left" w:pos="569"/>
        </w:tabs>
        <w:jc w:val="both"/>
        <w:rPr>
          <w:bCs/>
          <w:sz w:val="22"/>
          <w:szCs w:val="22"/>
          <w:lang w:val="sr-Latn-ME"/>
        </w:rPr>
      </w:pPr>
    </w:p>
    <w:p w14:paraId="174900EA" w14:textId="77777777" w:rsidR="007C5B43" w:rsidRPr="0093403C" w:rsidRDefault="007C5B43" w:rsidP="007C5B43">
      <w:pPr>
        <w:tabs>
          <w:tab w:val="left" w:pos="540"/>
          <w:tab w:val="left" w:pos="569"/>
        </w:tabs>
        <w:jc w:val="both"/>
        <w:rPr>
          <w:bCs/>
          <w:sz w:val="22"/>
          <w:szCs w:val="22"/>
          <w:lang w:val="sr-Latn-ME"/>
        </w:rPr>
      </w:pPr>
    </w:p>
    <w:p w14:paraId="0AEEFE3B" w14:textId="77777777" w:rsidR="0072020E" w:rsidRPr="0093403C" w:rsidRDefault="0072020E" w:rsidP="007C5B43">
      <w:pPr>
        <w:tabs>
          <w:tab w:val="left" w:pos="540"/>
          <w:tab w:val="left" w:pos="569"/>
        </w:tabs>
        <w:jc w:val="both"/>
        <w:rPr>
          <w:b/>
          <w:bCs/>
          <w:sz w:val="22"/>
          <w:szCs w:val="22"/>
          <w:lang w:val="sr-Latn-ME"/>
        </w:rPr>
      </w:pPr>
      <w:r w:rsidRPr="0093403C">
        <w:rPr>
          <w:b/>
          <w:bCs/>
          <w:sz w:val="22"/>
          <w:szCs w:val="22"/>
          <w:lang w:val="sr-Latn-ME"/>
        </w:rPr>
        <w:t xml:space="preserve">8. </w:t>
      </w:r>
      <w:r w:rsidR="00480FB1" w:rsidRPr="0093403C">
        <w:rPr>
          <w:b/>
          <w:bCs/>
          <w:sz w:val="22"/>
          <w:szCs w:val="22"/>
          <w:lang w:val="sr-Latn-ME"/>
        </w:rPr>
        <w:tab/>
      </w:r>
      <w:r w:rsidRPr="0093403C">
        <w:rPr>
          <w:b/>
          <w:bCs/>
          <w:sz w:val="22"/>
          <w:szCs w:val="22"/>
          <w:lang w:val="sr-Latn-ME"/>
        </w:rPr>
        <w:t>BROJ DOZVOLE</w:t>
      </w:r>
      <w:r w:rsidR="008A6D43" w:rsidRPr="0093403C">
        <w:rPr>
          <w:b/>
          <w:bCs/>
          <w:sz w:val="22"/>
          <w:szCs w:val="22"/>
          <w:lang w:val="sr-Latn-ME"/>
        </w:rPr>
        <w:t xml:space="preserve"> ZA STAVLJANJE LIJEKA U PROMET</w:t>
      </w:r>
    </w:p>
    <w:p w14:paraId="0D9BE482" w14:textId="30AECAEA" w:rsidR="0072020E" w:rsidRPr="0093403C" w:rsidRDefault="0072020E" w:rsidP="007C5B43">
      <w:pPr>
        <w:tabs>
          <w:tab w:val="left" w:pos="540"/>
          <w:tab w:val="left" w:pos="569"/>
        </w:tabs>
        <w:jc w:val="both"/>
        <w:rPr>
          <w:bCs/>
          <w:sz w:val="22"/>
          <w:szCs w:val="22"/>
          <w:lang w:val="sr-Latn-ME"/>
        </w:rPr>
      </w:pPr>
    </w:p>
    <w:p w14:paraId="3CAB4CEC" w14:textId="7655A67A" w:rsidR="007C5B43" w:rsidRPr="0093403C" w:rsidRDefault="0093403C" w:rsidP="007C5B43">
      <w:pPr>
        <w:tabs>
          <w:tab w:val="left" w:pos="540"/>
          <w:tab w:val="left" w:pos="569"/>
        </w:tabs>
        <w:jc w:val="both"/>
        <w:rPr>
          <w:bCs/>
          <w:sz w:val="22"/>
          <w:szCs w:val="22"/>
          <w:lang w:val="sr-Latn-ME"/>
        </w:rPr>
      </w:pPr>
      <w:r w:rsidRPr="0093403C">
        <w:rPr>
          <w:bCs/>
          <w:sz w:val="22"/>
          <w:szCs w:val="22"/>
          <w:lang w:val="sr-Latn-ME"/>
        </w:rPr>
        <w:t xml:space="preserve">2030/24/2082 – 7862 </w:t>
      </w:r>
    </w:p>
    <w:p w14:paraId="3099FA80" w14:textId="6E69A864" w:rsidR="00F45F77" w:rsidRPr="0093403C" w:rsidRDefault="00F45F77" w:rsidP="007C5B43">
      <w:pPr>
        <w:tabs>
          <w:tab w:val="left" w:pos="540"/>
          <w:tab w:val="left" w:pos="569"/>
        </w:tabs>
        <w:jc w:val="both"/>
        <w:rPr>
          <w:bCs/>
          <w:sz w:val="22"/>
          <w:szCs w:val="22"/>
          <w:lang w:val="sr-Latn-ME"/>
        </w:rPr>
      </w:pPr>
    </w:p>
    <w:p w14:paraId="666E0940" w14:textId="77777777" w:rsidR="0093403C" w:rsidRPr="0093403C" w:rsidRDefault="0093403C" w:rsidP="007C5B43">
      <w:pPr>
        <w:tabs>
          <w:tab w:val="left" w:pos="540"/>
          <w:tab w:val="left" w:pos="569"/>
        </w:tabs>
        <w:jc w:val="both"/>
        <w:rPr>
          <w:bCs/>
          <w:sz w:val="22"/>
          <w:szCs w:val="22"/>
          <w:lang w:val="sr-Latn-ME"/>
        </w:rPr>
      </w:pPr>
    </w:p>
    <w:p w14:paraId="1E2BC33A" w14:textId="77777777" w:rsidR="0072020E" w:rsidRPr="0093403C" w:rsidRDefault="0072020E" w:rsidP="007C5B43">
      <w:pPr>
        <w:tabs>
          <w:tab w:val="left" w:pos="540"/>
          <w:tab w:val="left" w:pos="569"/>
        </w:tabs>
        <w:jc w:val="both"/>
        <w:rPr>
          <w:b/>
          <w:bCs/>
          <w:sz w:val="22"/>
          <w:szCs w:val="22"/>
          <w:lang w:val="sr-Latn-ME"/>
        </w:rPr>
      </w:pPr>
      <w:r w:rsidRPr="0093403C">
        <w:rPr>
          <w:b/>
          <w:bCs/>
          <w:sz w:val="22"/>
          <w:szCs w:val="22"/>
          <w:lang w:val="sr-Latn-ME"/>
        </w:rPr>
        <w:t xml:space="preserve">9. </w:t>
      </w:r>
      <w:r w:rsidR="00480FB1" w:rsidRPr="0093403C">
        <w:rPr>
          <w:b/>
          <w:bCs/>
          <w:sz w:val="22"/>
          <w:szCs w:val="22"/>
          <w:lang w:val="sr-Latn-ME"/>
        </w:rPr>
        <w:tab/>
      </w:r>
      <w:r w:rsidRPr="0093403C">
        <w:rPr>
          <w:b/>
          <w:bCs/>
          <w:sz w:val="22"/>
          <w:szCs w:val="22"/>
          <w:lang w:val="sr-Latn-ME"/>
        </w:rPr>
        <w:t xml:space="preserve">DATUM </w:t>
      </w:r>
      <w:r w:rsidR="00C05DF8" w:rsidRPr="0093403C">
        <w:rPr>
          <w:b/>
          <w:bCs/>
          <w:sz w:val="22"/>
          <w:szCs w:val="22"/>
          <w:lang w:val="sr-Latn-ME"/>
        </w:rPr>
        <w:t xml:space="preserve">PRVE </w:t>
      </w:r>
      <w:r w:rsidR="008A6D43" w:rsidRPr="0093403C">
        <w:rPr>
          <w:b/>
          <w:bCs/>
          <w:sz w:val="22"/>
          <w:szCs w:val="22"/>
          <w:lang w:val="sr-Latn-ME"/>
        </w:rPr>
        <w:t>DOZVOLE</w:t>
      </w:r>
      <w:r w:rsidR="00C05DF8" w:rsidRPr="0093403C">
        <w:rPr>
          <w:b/>
          <w:bCs/>
          <w:sz w:val="22"/>
          <w:szCs w:val="22"/>
          <w:lang w:val="sr-Latn-ME"/>
        </w:rPr>
        <w:t>/OBNOVE DOZVOLE</w:t>
      </w:r>
      <w:r w:rsidR="008A6D43" w:rsidRPr="0093403C">
        <w:rPr>
          <w:b/>
          <w:bCs/>
          <w:sz w:val="22"/>
          <w:szCs w:val="22"/>
          <w:lang w:val="sr-Latn-ME"/>
        </w:rPr>
        <w:t xml:space="preserve"> ZA STAVLJANJE LIJEKA U PROMET</w:t>
      </w:r>
    </w:p>
    <w:p w14:paraId="0FED452D" w14:textId="77777777" w:rsidR="0072020E" w:rsidRPr="0093403C" w:rsidRDefault="0072020E" w:rsidP="007C5B43">
      <w:pPr>
        <w:tabs>
          <w:tab w:val="left" w:pos="540"/>
          <w:tab w:val="left" w:pos="569"/>
        </w:tabs>
        <w:jc w:val="both"/>
        <w:rPr>
          <w:bCs/>
          <w:sz w:val="22"/>
          <w:szCs w:val="22"/>
          <w:lang w:val="sr-Latn-ME"/>
        </w:rPr>
      </w:pPr>
    </w:p>
    <w:p w14:paraId="215146F7" w14:textId="77777777" w:rsidR="00766872" w:rsidRPr="0093403C" w:rsidRDefault="00766872" w:rsidP="0093403C">
      <w:pPr>
        <w:pStyle w:val="Header"/>
        <w:jc w:val="both"/>
        <w:rPr>
          <w:bCs/>
          <w:sz w:val="22"/>
          <w:szCs w:val="22"/>
          <w:lang w:val="sr-Latn-ME"/>
        </w:rPr>
      </w:pPr>
      <w:r w:rsidRPr="0093403C">
        <w:rPr>
          <w:bCs/>
          <w:sz w:val="22"/>
          <w:szCs w:val="22"/>
          <w:lang w:val="sr-Latn-ME"/>
        </w:rPr>
        <w:t>Datum prve dozvole: 16.12.2009. godine</w:t>
      </w:r>
    </w:p>
    <w:p w14:paraId="1C839AEA" w14:textId="7469353F" w:rsidR="00836B35" w:rsidRPr="0093403C" w:rsidRDefault="00766872" w:rsidP="0093403C">
      <w:pPr>
        <w:tabs>
          <w:tab w:val="left" w:pos="540"/>
          <w:tab w:val="left" w:pos="569"/>
        </w:tabs>
        <w:jc w:val="both"/>
        <w:rPr>
          <w:bCs/>
          <w:sz w:val="22"/>
          <w:szCs w:val="22"/>
          <w:lang w:val="sr-Latn-ME"/>
        </w:rPr>
      </w:pPr>
      <w:r w:rsidRPr="0093403C">
        <w:rPr>
          <w:bCs/>
          <w:sz w:val="22"/>
          <w:szCs w:val="22"/>
          <w:lang w:val="sr-Latn-ME"/>
        </w:rPr>
        <w:t>Datum posljednje obnove dozvole:</w:t>
      </w:r>
      <w:r w:rsidR="0093403C" w:rsidRPr="0093403C">
        <w:rPr>
          <w:bCs/>
          <w:sz w:val="22"/>
          <w:szCs w:val="22"/>
          <w:lang w:val="sr-Latn-ME"/>
        </w:rPr>
        <w:t xml:space="preserve"> 10.04.2024. godine</w:t>
      </w:r>
    </w:p>
    <w:p w14:paraId="7FDAD0BE" w14:textId="77777777" w:rsidR="003F6A59" w:rsidRPr="0093403C" w:rsidRDefault="0072020E" w:rsidP="007C5B43">
      <w:pPr>
        <w:tabs>
          <w:tab w:val="left" w:pos="540"/>
          <w:tab w:val="left" w:pos="569"/>
        </w:tabs>
        <w:ind w:left="540" w:hanging="540"/>
        <w:jc w:val="both"/>
        <w:rPr>
          <w:bCs/>
          <w:sz w:val="22"/>
          <w:szCs w:val="22"/>
          <w:lang w:val="sr-Latn-ME"/>
        </w:rPr>
      </w:pPr>
      <w:bookmarkStart w:id="0" w:name="_GoBack"/>
      <w:bookmarkEnd w:id="0"/>
      <w:r w:rsidRPr="0093403C">
        <w:rPr>
          <w:b/>
          <w:bCs/>
          <w:sz w:val="22"/>
          <w:szCs w:val="22"/>
          <w:lang w:val="sr-Latn-ME"/>
        </w:rPr>
        <w:lastRenderedPageBreak/>
        <w:t xml:space="preserve">10. </w:t>
      </w:r>
      <w:r w:rsidR="00480FB1" w:rsidRPr="0093403C">
        <w:rPr>
          <w:b/>
          <w:bCs/>
          <w:sz w:val="22"/>
          <w:szCs w:val="22"/>
          <w:lang w:val="sr-Latn-ME"/>
        </w:rPr>
        <w:tab/>
      </w:r>
      <w:r w:rsidR="002846DB" w:rsidRPr="0093403C">
        <w:rPr>
          <w:b/>
          <w:bCs/>
          <w:sz w:val="22"/>
          <w:szCs w:val="22"/>
          <w:lang w:val="sr-Latn-ME"/>
        </w:rPr>
        <w:t>D</w:t>
      </w:r>
      <w:r w:rsidR="00EC2532" w:rsidRPr="0093403C">
        <w:rPr>
          <w:b/>
          <w:bCs/>
          <w:sz w:val="22"/>
          <w:szCs w:val="22"/>
          <w:lang w:val="sr-Latn-ME"/>
        </w:rPr>
        <w:t xml:space="preserve">ATUM REVIZIJE TEKSTA </w:t>
      </w:r>
    </w:p>
    <w:p w14:paraId="08870765" w14:textId="77777777" w:rsidR="003F6A59" w:rsidRPr="0093403C" w:rsidRDefault="003F6A59" w:rsidP="007C5B43">
      <w:pPr>
        <w:tabs>
          <w:tab w:val="left" w:pos="540"/>
          <w:tab w:val="left" w:pos="569"/>
        </w:tabs>
        <w:jc w:val="both"/>
        <w:rPr>
          <w:bCs/>
          <w:sz w:val="22"/>
          <w:szCs w:val="22"/>
          <w:lang w:val="sr-Latn-ME"/>
        </w:rPr>
      </w:pPr>
    </w:p>
    <w:p w14:paraId="421708D0" w14:textId="3DA7A934" w:rsidR="003F6A59" w:rsidRPr="0093403C" w:rsidRDefault="0093403C" w:rsidP="007C5B43">
      <w:pPr>
        <w:tabs>
          <w:tab w:val="left" w:pos="540"/>
          <w:tab w:val="left" w:pos="569"/>
        </w:tabs>
        <w:jc w:val="both"/>
        <w:rPr>
          <w:bCs/>
          <w:sz w:val="22"/>
          <w:szCs w:val="22"/>
          <w:lang w:val="sr-Latn-ME"/>
        </w:rPr>
      </w:pPr>
      <w:r w:rsidRPr="0093403C">
        <w:rPr>
          <w:bCs/>
          <w:sz w:val="22"/>
          <w:szCs w:val="22"/>
          <w:lang w:val="sr-Latn-ME"/>
        </w:rPr>
        <w:t>April, 2024. godine</w:t>
      </w:r>
    </w:p>
    <w:p w14:paraId="519E073D" w14:textId="77777777" w:rsidR="003F6A59" w:rsidRPr="0093403C" w:rsidRDefault="003F6A59" w:rsidP="007C5B43">
      <w:pPr>
        <w:jc w:val="both"/>
        <w:rPr>
          <w:sz w:val="22"/>
          <w:szCs w:val="22"/>
          <w:lang w:val="sr-Latn-ME"/>
        </w:rPr>
      </w:pPr>
    </w:p>
    <w:sectPr w:rsidR="003F6A59" w:rsidRPr="0093403C" w:rsidSect="006B5404">
      <w:footerReference w:type="default" r:id="rId12"/>
      <w:pgSz w:w="11909" w:h="16834" w:code="9"/>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EF559D" w14:textId="77777777" w:rsidR="00D12050" w:rsidRDefault="00D12050">
      <w:r>
        <w:separator/>
      </w:r>
    </w:p>
  </w:endnote>
  <w:endnote w:type="continuationSeparator" w:id="0">
    <w:p w14:paraId="2B78EC47" w14:textId="77777777" w:rsidR="00D12050" w:rsidRDefault="00D120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96174B" w14:textId="1A7198BA" w:rsidR="00EF3B86" w:rsidRPr="00B23F69" w:rsidRDefault="00EF3B86" w:rsidP="00B23F69">
    <w:pPr>
      <w:pStyle w:val="Footer"/>
      <w:jc w:val="center"/>
      <w:rPr>
        <w:sz w:val="22"/>
        <w:szCs w:val="22"/>
      </w:rPr>
    </w:pPr>
    <w:r w:rsidRPr="00B23F69">
      <w:rPr>
        <w:sz w:val="22"/>
        <w:szCs w:val="22"/>
      </w:rPr>
      <w:fldChar w:fldCharType="begin"/>
    </w:r>
    <w:r w:rsidRPr="00B23F69">
      <w:rPr>
        <w:sz w:val="22"/>
        <w:szCs w:val="22"/>
      </w:rPr>
      <w:instrText xml:space="preserve"> PAGE </w:instrText>
    </w:r>
    <w:r w:rsidRPr="00B23F69">
      <w:rPr>
        <w:sz w:val="22"/>
        <w:szCs w:val="22"/>
      </w:rPr>
      <w:fldChar w:fldCharType="separate"/>
    </w:r>
    <w:r w:rsidR="00EE6A5F">
      <w:rPr>
        <w:noProof/>
        <w:sz w:val="22"/>
        <w:szCs w:val="22"/>
      </w:rPr>
      <w:t>12</w:t>
    </w:r>
    <w:r w:rsidRPr="00B23F69">
      <w:rPr>
        <w:sz w:val="22"/>
        <w:szCs w:val="22"/>
      </w:rPr>
      <w:fldChar w:fldCharType="end"/>
    </w:r>
    <w:r w:rsidRPr="00B23F69">
      <w:rPr>
        <w:sz w:val="22"/>
        <w:szCs w:val="22"/>
      </w:rPr>
      <w:t xml:space="preserve"> / </w:t>
    </w:r>
    <w:r w:rsidRPr="00B23F69">
      <w:rPr>
        <w:sz w:val="22"/>
        <w:szCs w:val="22"/>
      </w:rPr>
      <w:fldChar w:fldCharType="begin"/>
    </w:r>
    <w:r w:rsidRPr="00B23F69">
      <w:rPr>
        <w:sz w:val="22"/>
        <w:szCs w:val="22"/>
      </w:rPr>
      <w:instrText xml:space="preserve"> NUMPAGES </w:instrText>
    </w:r>
    <w:r w:rsidRPr="00B23F69">
      <w:rPr>
        <w:sz w:val="22"/>
        <w:szCs w:val="22"/>
      </w:rPr>
      <w:fldChar w:fldCharType="separate"/>
    </w:r>
    <w:r w:rsidR="00EE6A5F">
      <w:rPr>
        <w:noProof/>
        <w:sz w:val="22"/>
        <w:szCs w:val="22"/>
      </w:rPr>
      <w:t>14</w:t>
    </w:r>
    <w:r w:rsidRPr="00B23F69">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CAD864" w14:textId="77777777" w:rsidR="00D12050" w:rsidRDefault="00D12050">
      <w:r>
        <w:separator/>
      </w:r>
    </w:p>
  </w:footnote>
  <w:footnote w:type="continuationSeparator" w:id="0">
    <w:p w14:paraId="3730C7F7" w14:textId="77777777" w:rsidR="00D12050" w:rsidRDefault="00D120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style="width:15.75pt;height:13.5pt;visibility:visible" o:bullet="t">
        <v:imagedata r:id="rId1" o:title="BT_1000x858px"/>
      </v:shape>
    </w:pict>
  </w:numPicBullet>
  <w:abstractNum w:abstractNumId="0" w15:restartNumberingAfterBreak="0">
    <w:nsid w:val="01570532"/>
    <w:multiLevelType w:val="hybridMultilevel"/>
    <w:tmpl w:val="0A2EF868"/>
    <w:lvl w:ilvl="0" w:tplc="09685584">
      <w:start w:val="8"/>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0DF475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3B7527E"/>
    <w:multiLevelType w:val="hybridMultilevel"/>
    <w:tmpl w:val="8D6E2A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3FA57B4"/>
    <w:multiLevelType w:val="hybridMultilevel"/>
    <w:tmpl w:val="4E9C3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24E8136F"/>
    <w:multiLevelType w:val="multilevel"/>
    <w:tmpl w:val="C5B2E7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26DB49BF"/>
    <w:multiLevelType w:val="hybridMultilevel"/>
    <w:tmpl w:val="F5D0C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CD1BEF"/>
    <w:multiLevelType w:val="hybridMultilevel"/>
    <w:tmpl w:val="BF14EA68"/>
    <w:lvl w:ilvl="0" w:tplc="0409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8" w15:restartNumberingAfterBreak="0">
    <w:nsid w:val="2D1E09DD"/>
    <w:multiLevelType w:val="multilevel"/>
    <w:tmpl w:val="BBBCBE5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9" w15:restartNumberingAfterBreak="0">
    <w:nsid w:val="410C3C58"/>
    <w:multiLevelType w:val="hybridMultilevel"/>
    <w:tmpl w:val="A0C66DD6"/>
    <w:lvl w:ilvl="0" w:tplc="04090001">
      <w:numFmt w:val="bullet"/>
      <w:lvlText w:val=""/>
      <w:lvlJc w:val="left"/>
      <w:pPr>
        <w:ind w:left="720" w:hanging="360"/>
      </w:pPr>
      <w:rPr>
        <w:rFonts w:ascii="Symbol" w:eastAsia="Times New Roman" w:hAnsi="Symbol" w:cs="Times New Roman"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10" w15:restartNumberingAfterBreak="0">
    <w:nsid w:val="478D2C0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1" w15:restartNumberingAfterBreak="0">
    <w:nsid w:val="5555671D"/>
    <w:multiLevelType w:val="multilevel"/>
    <w:tmpl w:val="0409001F"/>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6A31197F"/>
    <w:multiLevelType w:val="hybridMultilevel"/>
    <w:tmpl w:val="C5B2E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49724F4"/>
    <w:multiLevelType w:val="hybridMultilevel"/>
    <w:tmpl w:val="1386514C"/>
    <w:lvl w:ilvl="0" w:tplc="BF803BD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2"/>
  </w:num>
  <w:num w:numId="3">
    <w:abstractNumId w:val="1"/>
  </w:num>
  <w:num w:numId="4">
    <w:abstractNumId w:val="11"/>
  </w:num>
  <w:num w:numId="5">
    <w:abstractNumId w:val="5"/>
  </w:num>
  <w:num w:numId="6">
    <w:abstractNumId w:val="2"/>
  </w:num>
  <w:num w:numId="7">
    <w:abstractNumId w:val="10"/>
  </w:num>
  <w:num w:numId="8">
    <w:abstractNumId w:val="4"/>
  </w:num>
  <w:num w:numId="9">
    <w:abstractNumId w:val="8"/>
  </w:num>
  <w:num w:numId="10">
    <w:abstractNumId w:val="13"/>
  </w:num>
  <w:num w:numId="11">
    <w:abstractNumId w:val="6"/>
  </w:num>
  <w:num w:numId="12">
    <w:abstractNumId w:val="0"/>
  </w:num>
  <w:num w:numId="13">
    <w:abstractNumId w:val="7"/>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ED6"/>
    <w:rsid w:val="00000528"/>
    <w:rsid w:val="000176CA"/>
    <w:rsid w:val="00033469"/>
    <w:rsid w:val="00036FA0"/>
    <w:rsid w:val="0003793F"/>
    <w:rsid w:val="00045130"/>
    <w:rsid w:val="00057E35"/>
    <w:rsid w:val="00075E28"/>
    <w:rsid w:val="00076726"/>
    <w:rsid w:val="00080303"/>
    <w:rsid w:val="00083D02"/>
    <w:rsid w:val="000A3F58"/>
    <w:rsid w:val="000D2343"/>
    <w:rsid w:val="000D3449"/>
    <w:rsid w:val="000D425A"/>
    <w:rsid w:val="000D60CC"/>
    <w:rsid w:val="000E2084"/>
    <w:rsid w:val="000E6F55"/>
    <w:rsid w:val="000F77FA"/>
    <w:rsid w:val="00107BF7"/>
    <w:rsid w:val="00126F53"/>
    <w:rsid w:val="0014766D"/>
    <w:rsid w:val="001536CC"/>
    <w:rsid w:val="001A3FBA"/>
    <w:rsid w:val="001A5518"/>
    <w:rsid w:val="001B1C6A"/>
    <w:rsid w:val="001C1263"/>
    <w:rsid w:val="001C1417"/>
    <w:rsid w:val="001E390B"/>
    <w:rsid w:val="001F42FB"/>
    <w:rsid w:val="001F719A"/>
    <w:rsid w:val="002031B3"/>
    <w:rsid w:val="00215931"/>
    <w:rsid w:val="00224C91"/>
    <w:rsid w:val="00227BDB"/>
    <w:rsid w:val="00234CB1"/>
    <w:rsid w:val="002352F8"/>
    <w:rsid w:val="002510A5"/>
    <w:rsid w:val="00254A0A"/>
    <w:rsid w:val="00266046"/>
    <w:rsid w:val="002846DB"/>
    <w:rsid w:val="00284CCD"/>
    <w:rsid w:val="002C6637"/>
    <w:rsid w:val="002E0135"/>
    <w:rsid w:val="002E37A5"/>
    <w:rsid w:val="002E634B"/>
    <w:rsid w:val="00310F03"/>
    <w:rsid w:val="003247D2"/>
    <w:rsid w:val="003445C1"/>
    <w:rsid w:val="00355B61"/>
    <w:rsid w:val="00362686"/>
    <w:rsid w:val="00371510"/>
    <w:rsid w:val="00396DFD"/>
    <w:rsid w:val="003A7059"/>
    <w:rsid w:val="003B7A36"/>
    <w:rsid w:val="003C17AB"/>
    <w:rsid w:val="003C7823"/>
    <w:rsid w:val="003E1DCC"/>
    <w:rsid w:val="003F11A1"/>
    <w:rsid w:val="003F6A59"/>
    <w:rsid w:val="004065C8"/>
    <w:rsid w:val="004109FA"/>
    <w:rsid w:val="00411B4B"/>
    <w:rsid w:val="00415BEE"/>
    <w:rsid w:val="004254E9"/>
    <w:rsid w:val="00427F85"/>
    <w:rsid w:val="00436F42"/>
    <w:rsid w:val="004378B4"/>
    <w:rsid w:val="00451314"/>
    <w:rsid w:val="00452E9D"/>
    <w:rsid w:val="004534C7"/>
    <w:rsid w:val="004671AA"/>
    <w:rsid w:val="00471DF8"/>
    <w:rsid w:val="00480FB1"/>
    <w:rsid w:val="00483928"/>
    <w:rsid w:val="004C331F"/>
    <w:rsid w:val="004D6103"/>
    <w:rsid w:val="004E3BCE"/>
    <w:rsid w:val="004E70AD"/>
    <w:rsid w:val="004F0E97"/>
    <w:rsid w:val="004F17E2"/>
    <w:rsid w:val="00501DD1"/>
    <w:rsid w:val="00515C21"/>
    <w:rsid w:val="00530BD7"/>
    <w:rsid w:val="00545CD2"/>
    <w:rsid w:val="005476F3"/>
    <w:rsid w:val="00572527"/>
    <w:rsid w:val="00573E40"/>
    <w:rsid w:val="00576348"/>
    <w:rsid w:val="005A0B2E"/>
    <w:rsid w:val="005A23D2"/>
    <w:rsid w:val="005A36CB"/>
    <w:rsid w:val="005B49B8"/>
    <w:rsid w:val="005C0741"/>
    <w:rsid w:val="005C5EF4"/>
    <w:rsid w:val="005E2E0B"/>
    <w:rsid w:val="005E67AD"/>
    <w:rsid w:val="005E7A7D"/>
    <w:rsid w:val="00602457"/>
    <w:rsid w:val="00644FC3"/>
    <w:rsid w:val="00646BD1"/>
    <w:rsid w:val="006561C2"/>
    <w:rsid w:val="00671CB3"/>
    <w:rsid w:val="00674BAF"/>
    <w:rsid w:val="00682200"/>
    <w:rsid w:val="00692BF6"/>
    <w:rsid w:val="006A1351"/>
    <w:rsid w:val="006A1497"/>
    <w:rsid w:val="006B0BD1"/>
    <w:rsid w:val="006B5404"/>
    <w:rsid w:val="006D20A5"/>
    <w:rsid w:val="006D37BF"/>
    <w:rsid w:val="00702E22"/>
    <w:rsid w:val="0072020E"/>
    <w:rsid w:val="00754902"/>
    <w:rsid w:val="00761202"/>
    <w:rsid w:val="00766872"/>
    <w:rsid w:val="00786071"/>
    <w:rsid w:val="007A3ECB"/>
    <w:rsid w:val="007C5B43"/>
    <w:rsid w:val="007D7BB3"/>
    <w:rsid w:val="007E31E9"/>
    <w:rsid w:val="007F05E3"/>
    <w:rsid w:val="00824AB9"/>
    <w:rsid w:val="00836B35"/>
    <w:rsid w:val="00843BDE"/>
    <w:rsid w:val="0087588C"/>
    <w:rsid w:val="0089705C"/>
    <w:rsid w:val="008A6D43"/>
    <w:rsid w:val="008B491E"/>
    <w:rsid w:val="008C1A28"/>
    <w:rsid w:val="008C2E98"/>
    <w:rsid w:val="008E49BD"/>
    <w:rsid w:val="008E53E9"/>
    <w:rsid w:val="008E5771"/>
    <w:rsid w:val="008F4ACF"/>
    <w:rsid w:val="00924166"/>
    <w:rsid w:val="0093403C"/>
    <w:rsid w:val="00940B9B"/>
    <w:rsid w:val="00953573"/>
    <w:rsid w:val="0095676E"/>
    <w:rsid w:val="00956983"/>
    <w:rsid w:val="00963CF0"/>
    <w:rsid w:val="00964BB1"/>
    <w:rsid w:val="009775D9"/>
    <w:rsid w:val="00997175"/>
    <w:rsid w:val="009A1847"/>
    <w:rsid w:val="009B062A"/>
    <w:rsid w:val="009E7C6F"/>
    <w:rsid w:val="009F1793"/>
    <w:rsid w:val="009F2D23"/>
    <w:rsid w:val="00A01D69"/>
    <w:rsid w:val="00A02335"/>
    <w:rsid w:val="00A46C9A"/>
    <w:rsid w:val="00A5337F"/>
    <w:rsid w:val="00A619F3"/>
    <w:rsid w:val="00A62A73"/>
    <w:rsid w:val="00A7643F"/>
    <w:rsid w:val="00A87FF6"/>
    <w:rsid w:val="00AA0A3B"/>
    <w:rsid w:val="00AA2763"/>
    <w:rsid w:val="00AA33B6"/>
    <w:rsid w:val="00AB50CA"/>
    <w:rsid w:val="00AB6D64"/>
    <w:rsid w:val="00AC53CE"/>
    <w:rsid w:val="00AD2193"/>
    <w:rsid w:val="00AF19F4"/>
    <w:rsid w:val="00AF2AC7"/>
    <w:rsid w:val="00AF74CE"/>
    <w:rsid w:val="00B208DB"/>
    <w:rsid w:val="00B23F69"/>
    <w:rsid w:val="00B60619"/>
    <w:rsid w:val="00B66A70"/>
    <w:rsid w:val="00B67366"/>
    <w:rsid w:val="00B80EE1"/>
    <w:rsid w:val="00B84135"/>
    <w:rsid w:val="00C04D34"/>
    <w:rsid w:val="00C05DF8"/>
    <w:rsid w:val="00C06864"/>
    <w:rsid w:val="00C10F54"/>
    <w:rsid w:val="00C23D8D"/>
    <w:rsid w:val="00C37AA3"/>
    <w:rsid w:val="00C37FD7"/>
    <w:rsid w:val="00C43419"/>
    <w:rsid w:val="00C44CF3"/>
    <w:rsid w:val="00C61BE0"/>
    <w:rsid w:val="00C6707E"/>
    <w:rsid w:val="00C70B0E"/>
    <w:rsid w:val="00C773CA"/>
    <w:rsid w:val="00C83785"/>
    <w:rsid w:val="00C87FA8"/>
    <w:rsid w:val="00C94C0D"/>
    <w:rsid w:val="00CA1FEB"/>
    <w:rsid w:val="00CD4F85"/>
    <w:rsid w:val="00CD6F02"/>
    <w:rsid w:val="00CE246D"/>
    <w:rsid w:val="00CF07A0"/>
    <w:rsid w:val="00CF3E03"/>
    <w:rsid w:val="00D0082A"/>
    <w:rsid w:val="00D12050"/>
    <w:rsid w:val="00D21455"/>
    <w:rsid w:val="00D47634"/>
    <w:rsid w:val="00D709B3"/>
    <w:rsid w:val="00D74CD2"/>
    <w:rsid w:val="00DA2ED6"/>
    <w:rsid w:val="00DB1D55"/>
    <w:rsid w:val="00DB76B8"/>
    <w:rsid w:val="00DC2EA1"/>
    <w:rsid w:val="00DD6AAF"/>
    <w:rsid w:val="00DE3F5C"/>
    <w:rsid w:val="00DF1D20"/>
    <w:rsid w:val="00E21324"/>
    <w:rsid w:val="00E246B9"/>
    <w:rsid w:val="00E31FEA"/>
    <w:rsid w:val="00E45169"/>
    <w:rsid w:val="00E47787"/>
    <w:rsid w:val="00E51C30"/>
    <w:rsid w:val="00E64180"/>
    <w:rsid w:val="00E7235D"/>
    <w:rsid w:val="00E74AEE"/>
    <w:rsid w:val="00E868E5"/>
    <w:rsid w:val="00E9237A"/>
    <w:rsid w:val="00E939FA"/>
    <w:rsid w:val="00EA5765"/>
    <w:rsid w:val="00EC2532"/>
    <w:rsid w:val="00ED7812"/>
    <w:rsid w:val="00EE6A5F"/>
    <w:rsid w:val="00EF3B86"/>
    <w:rsid w:val="00F317E9"/>
    <w:rsid w:val="00F34554"/>
    <w:rsid w:val="00F35B68"/>
    <w:rsid w:val="00F45F77"/>
    <w:rsid w:val="00F5167F"/>
    <w:rsid w:val="00F52258"/>
    <w:rsid w:val="00F8570A"/>
    <w:rsid w:val="00F91C7B"/>
    <w:rsid w:val="00FF3EDF"/>
    <w:rsid w:val="00FF5F82"/>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F6253E"/>
  <w15:chartTrackingRefBased/>
  <w15:docId w15:val="{72686179-00AE-4FF5-9B6D-A3DA2EF3E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2">
    <w:name w:val="heading 2"/>
    <w:basedOn w:val="Normal"/>
    <w:next w:val="Normal"/>
    <w:qFormat/>
    <w:rsid w:val="005A0B2E"/>
    <w:pPr>
      <w:keepNext/>
      <w:tabs>
        <w:tab w:val="left" w:pos="284"/>
      </w:tabs>
      <w:jc w:val="center"/>
      <w:outlineLvl w:val="1"/>
    </w:pPr>
    <w:rPr>
      <w:rFonts w:ascii="Arial" w:hAnsi="Arial" w:cs="Arial"/>
      <w:i/>
      <w:iCs/>
      <w:color w:val="999999"/>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Header Char,Char"/>
    <w:basedOn w:val="Normal"/>
    <w:link w:val="HeaderChar2"/>
    <w:uiPriority w:val="99"/>
    <w:rsid w:val="00E246B9"/>
    <w:pPr>
      <w:tabs>
        <w:tab w:val="center" w:pos="4320"/>
        <w:tab w:val="right" w:pos="8640"/>
      </w:tabs>
    </w:pPr>
  </w:style>
  <w:style w:type="paragraph" w:styleId="Footer">
    <w:name w:val="footer"/>
    <w:basedOn w:val="Normal"/>
    <w:rsid w:val="00E246B9"/>
    <w:pPr>
      <w:tabs>
        <w:tab w:val="center" w:pos="4320"/>
        <w:tab w:val="right" w:pos="8640"/>
      </w:tabs>
    </w:pPr>
  </w:style>
  <w:style w:type="character" w:styleId="PageNumber">
    <w:name w:val="page number"/>
    <w:basedOn w:val="DefaultParagraphFont"/>
    <w:rsid w:val="00E246B9"/>
  </w:style>
  <w:style w:type="numbering" w:styleId="111111">
    <w:name w:val="Outline List 2"/>
    <w:basedOn w:val="NoList"/>
    <w:rsid w:val="00E246B9"/>
    <w:pPr>
      <w:numPr>
        <w:numId w:val="3"/>
      </w:numPr>
    </w:pPr>
  </w:style>
  <w:style w:type="character" w:styleId="CommentReference">
    <w:name w:val="annotation reference"/>
    <w:semiHidden/>
    <w:rsid w:val="005A0B2E"/>
    <w:rPr>
      <w:sz w:val="16"/>
      <w:szCs w:val="16"/>
    </w:rPr>
  </w:style>
  <w:style w:type="paragraph" w:styleId="CommentText">
    <w:name w:val="annotation text"/>
    <w:basedOn w:val="Normal"/>
    <w:link w:val="CommentTextChar"/>
    <w:semiHidden/>
    <w:rsid w:val="005A0B2E"/>
    <w:rPr>
      <w:sz w:val="20"/>
      <w:szCs w:val="20"/>
    </w:rPr>
  </w:style>
  <w:style w:type="paragraph" w:styleId="CommentSubject">
    <w:name w:val="annotation subject"/>
    <w:basedOn w:val="CommentText"/>
    <w:next w:val="CommentText"/>
    <w:semiHidden/>
    <w:rsid w:val="005A0B2E"/>
    <w:rPr>
      <w:b/>
      <w:bCs/>
    </w:rPr>
  </w:style>
  <w:style w:type="paragraph" w:styleId="BalloonText">
    <w:name w:val="Balloon Text"/>
    <w:basedOn w:val="Normal"/>
    <w:semiHidden/>
    <w:rsid w:val="005A0B2E"/>
    <w:rPr>
      <w:rFonts w:ascii="Tahoma" w:hAnsi="Tahoma" w:cs="Tahoma"/>
      <w:sz w:val="16"/>
      <w:szCs w:val="16"/>
    </w:rPr>
  </w:style>
  <w:style w:type="paragraph" w:styleId="NoSpacing">
    <w:name w:val="No Spacing"/>
    <w:uiPriority w:val="1"/>
    <w:qFormat/>
    <w:rsid w:val="00EA5765"/>
    <w:rPr>
      <w:sz w:val="24"/>
      <w:szCs w:val="24"/>
      <w:lang w:val="en-US" w:eastAsia="en-US"/>
    </w:rPr>
  </w:style>
  <w:style w:type="character" w:customStyle="1" w:styleId="CommentTextChar">
    <w:name w:val="Comment Text Char"/>
    <w:link w:val="CommentText"/>
    <w:semiHidden/>
    <w:rsid w:val="008A6D43"/>
    <w:rPr>
      <w:lang w:val="en-US" w:eastAsia="en-US"/>
    </w:rPr>
  </w:style>
  <w:style w:type="character" w:styleId="Hyperlink">
    <w:name w:val="Hyperlink"/>
    <w:basedOn w:val="DefaultParagraphFont"/>
    <w:rsid w:val="004E70AD"/>
    <w:rPr>
      <w:color w:val="0563C1" w:themeColor="hyperlink"/>
      <w:u w:val="single"/>
    </w:rPr>
  </w:style>
  <w:style w:type="character" w:customStyle="1" w:styleId="HeaderChar2">
    <w:name w:val="Header Char2"/>
    <w:aliases w:val="Header Char1 Char,Header Char Char Char,Header Char1 Char Char Char,Header Char Char Char Char Char,Char Char Char Char Char Char,Char Char1 Char Char Char,Char Char Char Char,Char Char1 Char,Header Char1 Char Char Char Char Char, Char Char"/>
    <w:link w:val="Header"/>
    <w:uiPriority w:val="99"/>
    <w:locked/>
    <w:rsid w:val="002E634B"/>
    <w:rPr>
      <w:sz w:val="24"/>
      <w:szCs w:val="24"/>
      <w:lang w:val="en-US" w:eastAsia="en-US"/>
    </w:rPr>
  </w:style>
  <w:style w:type="paragraph" w:styleId="ListParagraph">
    <w:name w:val="List Paragraph"/>
    <w:basedOn w:val="Normal"/>
    <w:uiPriority w:val="34"/>
    <w:qFormat/>
    <w:rsid w:val="00EE6A5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hyperlink" Target="https://primaryreporting.who-umc.org/ME"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0E8373-521D-4976-809B-78C39D31DC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14</Pages>
  <Words>5744</Words>
  <Characters>32744</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Obrazac za SmPC</vt:lpstr>
    </vt:vector>
  </TitlesOfParts>
  <Company>CInMED</Company>
  <LinksUpToDate>false</LinksUpToDate>
  <CharactersWithSpaces>38412</CharactersWithSpaces>
  <SharedDoc>false</SharedDoc>
  <HLinks>
    <vt:vector size="12" baseType="variant">
      <vt:variant>
        <vt:i4>2621465</vt:i4>
      </vt:variant>
      <vt:variant>
        <vt:i4>3</vt:i4>
      </vt:variant>
      <vt:variant>
        <vt:i4>0</vt:i4>
      </vt:variant>
      <vt:variant>
        <vt:i4>5</vt:i4>
      </vt:variant>
      <vt:variant>
        <vt:lpwstr>mailto:nezeljenadejstva@calims.me</vt:lpwstr>
      </vt:variant>
      <vt:variant>
        <vt:lpwstr/>
      </vt:variant>
      <vt:variant>
        <vt:i4>131142</vt:i4>
      </vt:variant>
      <vt:variant>
        <vt:i4>0</vt:i4>
      </vt:variant>
      <vt:variant>
        <vt:i4>0</vt:i4>
      </vt:variant>
      <vt:variant>
        <vt:i4>5</vt:i4>
      </vt:variant>
      <vt:variant>
        <vt:lpwstr>http://www.calims.me/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SmPC</dc:title>
  <dc:subject/>
  <dc:creator>Tatjana Banković</dc:creator>
  <cp:keywords/>
  <dc:description>Sažetak karakteristika lijeka</dc:description>
  <cp:lastModifiedBy>Gordana Boljević</cp:lastModifiedBy>
  <cp:revision>6</cp:revision>
  <cp:lastPrinted>2023-02-09T08:16:00Z</cp:lastPrinted>
  <dcterms:created xsi:type="dcterms:W3CDTF">2024-04-10T09:57:00Z</dcterms:created>
  <dcterms:modified xsi:type="dcterms:W3CDTF">2024-04-11T05:19:00Z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