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7BBC8" w14:textId="77777777" w:rsidR="00C16A37" w:rsidRPr="00B41023" w:rsidRDefault="00C16A37" w:rsidP="00923865"/>
    <w:p w14:paraId="649BCED5" w14:textId="77BED31C" w:rsidR="00C16A37" w:rsidRPr="008675A3" w:rsidRDefault="00C16A37">
      <w:pPr>
        <w:jc w:val="center"/>
        <w:outlineLvl w:val="0"/>
        <w:rPr>
          <w:b/>
          <w:bCs/>
          <w:u w:val="single"/>
          <w:lang w:val="sr-Latn-ME"/>
        </w:rPr>
      </w:pPr>
      <w:r w:rsidRPr="008675A3">
        <w:rPr>
          <w:b/>
          <w:bCs/>
          <w:u w:val="single"/>
          <w:lang w:val="sr-Latn-ME"/>
        </w:rPr>
        <w:t>SAŽETAK KARAKTERISTIKA L</w:t>
      </w:r>
      <w:r w:rsidR="001F6E94" w:rsidRPr="008675A3">
        <w:rPr>
          <w:b/>
          <w:bCs/>
          <w:u w:val="single"/>
          <w:lang w:val="sr-Latn-ME"/>
        </w:rPr>
        <w:t>IJ</w:t>
      </w:r>
      <w:r w:rsidRPr="008675A3">
        <w:rPr>
          <w:b/>
          <w:bCs/>
          <w:u w:val="single"/>
          <w:lang w:val="sr-Latn-ME"/>
        </w:rPr>
        <w:t>EKA</w:t>
      </w:r>
    </w:p>
    <w:p w14:paraId="6EB5D6AD" w14:textId="77777777" w:rsidR="00691E4D" w:rsidRPr="008675A3" w:rsidRDefault="00691E4D" w:rsidP="006F3369">
      <w:pPr>
        <w:rPr>
          <w:lang w:val="sr-Latn-ME"/>
        </w:rPr>
      </w:pPr>
    </w:p>
    <w:p w14:paraId="485A9FCA" w14:textId="0203CD31" w:rsidR="00C16A37" w:rsidRPr="008675A3" w:rsidRDefault="00C16A37" w:rsidP="00936834">
      <w:pPr>
        <w:pStyle w:val="NASLOV123"/>
        <w:ind w:right="-284"/>
        <w:outlineLvl w:val="0"/>
        <w:rPr>
          <w:lang w:val="sr-Latn-ME"/>
        </w:rPr>
      </w:pPr>
      <w:r w:rsidRPr="008675A3">
        <w:rPr>
          <w:lang w:val="sr-Latn-ME"/>
        </w:rPr>
        <w:t>1.</w:t>
      </w:r>
      <w:r w:rsidR="00936834">
        <w:rPr>
          <w:lang w:val="sr-Latn-ME"/>
        </w:rPr>
        <w:tab/>
      </w:r>
      <w:r w:rsidRPr="008675A3">
        <w:rPr>
          <w:lang w:val="sr-Latn-ME"/>
        </w:rPr>
        <w:t xml:space="preserve"> </w:t>
      </w:r>
      <w:r w:rsidR="001F6E94" w:rsidRPr="008675A3">
        <w:rPr>
          <w:lang w:val="sr-Latn-ME"/>
        </w:rPr>
        <w:t>NAZIV LIJEKA</w:t>
      </w:r>
    </w:p>
    <w:p w14:paraId="56387593" w14:textId="597EF8F2" w:rsidR="00906CE5" w:rsidRPr="008675A3" w:rsidRDefault="00C16A37" w:rsidP="006D32DF">
      <w:pPr>
        <w:outlineLvl w:val="0"/>
        <w:rPr>
          <w:lang w:val="sr-Latn-ME"/>
        </w:rPr>
      </w:pPr>
      <w:r w:rsidRPr="008675A3">
        <w:rPr>
          <w:bCs/>
          <w:lang w:val="sr-Latn-ME"/>
        </w:rPr>
        <w:t>Daktanol,</w:t>
      </w:r>
      <w:r w:rsidR="00295FD3" w:rsidRPr="008675A3">
        <w:rPr>
          <w:bCs/>
          <w:lang w:val="sr-Latn-ME"/>
        </w:rPr>
        <w:t xml:space="preserve"> 20</w:t>
      </w:r>
      <w:r w:rsidR="00946040">
        <w:rPr>
          <w:bCs/>
          <w:lang w:val="sr-Latn-ME"/>
        </w:rPr>
        <w:t xml:space="preserve"> </w:t>
      </w:r>
      <w:r w:rsidR="00295FD3" w:rsidRPr="008675A3">
        <w:rPr>
          <w:bCs/>
          <w:lang w:val="sr-Latn-ME"/>
        </w:rPr>
        <w:t>mg/g</w:t>
      </w:r>
      <w:r w:rsidRPr="008675A3">
        <w:rPr>
          <w:bCs/>
          <w:lang w:val="sr-Latn-ME"/>
        </w:rPr>
        <w:t>, oralni gel</w:t>
      </w:r>
    </w:p>
    <w:p w14:paraId="7B1364B9" w14:textId="77777777" w:rsidR="00691E4D" w:rsidRPr="008675A3" w:rsidRDefault="00691E4D" w:rsidP="00564BA6">
      <w:pPr>
        <w:outlineLvl w:val="0"/>
        <w:rPr>
          <w:lang w:val="sr-Latn-ME"/>
        </w:rPr>
      </w:pPr>
    </w:p>
    <w:p w14:paraId="371FFF2D" w14:textId="1D1D1F7C" w:rsidR="00C16A37" w:rsidRPr="008675A3" w:rsidRDefault="00C16A37" w:rsidP="00564BA6">
      <w:pPr>
        <w:outlineLvl w:val="0"/>
        <w:rPr>
          <w:bCs/>
          <w:lang w:val="sr-Latn-ME"/>
        </w:rPr>
      </w:pPr>
      <w:r w:rsidRPr="008675A3">
        <w:rPr>
          <w:lang w:val="sr-Latn-ME"/>
        </w:rPr>
        <w:t>INN:</w:t>
      </w:r>
      <w:r w:rsidRPr="008675A3">
        <w:rPr>
          <w:bCs/>
          <w:lang w:val="sr-Latn-ME"/>
        </w:rPr>
        <w:t xml:space="preserve"> mikonazol</w:t>
      </w:r>
    </w:p>
    <w:p w14:paraId="014D9C03" w14:textId="77777777" w:rsidR="007524B0" w:rsidRPr="008675A3" w:rsidRDefault="007524B0" w:rsidP="00564BA6">
      <w:pPr>
        <w:outlineLvl w:val="0"/>
        <w:rPr>
          <w:lang w:val="sr-Latn-ME"/>
        </w:rPr>
      </w:pPr>
    </w:p>
    <w:p w14:paraId="618D2010" w14:textId="013FD25A" w:rsidR="00C16A37" w:rsidRPr="008675A3" w:rsidRDefault="00C16A37" w:rsidP="006D32DF">
      <w:pPr>
        <w:pStyle w:val="NASLOV123"/>
        <w:outlineLvl w:val="0"/>
        <w:rPr>
          <w:lang w:val="sr-Latn-ME"/>
        </w:rPr>
      </w:pPr>
      <w:r w:rsidRPr="008675A3">
        <w:rPr>
          <w:lang w:val="sr-Latn-ME"/>
        </w:rPr>
        <w:t>2.</w:t>
      </w:r>
      <w:r w:rsidR="00936834">
        <w:rPr>
          <w:lang w:val="sr-Latn-ME"/>
        </w:rPr>
        <w:tab/>
      </w:r>
      <w:r w:rsidRPr="008675A3">
        <w:rPr>
          <w:lang w:val="sr-Latn-ME"/>
        </w:rPr>
        <w:t xml:space="preserve"> KVALITATIVNI I KVANTITATIVNI SASTAV</w:t>
      </w:r>
    </w:p>
    <w:p w14:paraId="432C66A9" w14:textId="772152F9" w:rsidR="00906CE5" w:rsidRPr="008675A3" w:rsidRDefault="00C16A37" w:rsidP="00DC58D6">
      <w:pPr>
        <w:rPr>
          <w:lang w:val="sr-Latn-ME"/>
        </w:rPr>
      </w:pPr>
      <w:r w:rsidRPr="008675A3">
        <w:rPr>
          <w:lang w:val="sr-Latn-ME"/>
        </w:rPr>
        <w:t>1 g oralnog gela sadrži 20 mg mikonazola</w:t>
      </w:r>
      <w:r w:rsidR="00936834">
        <w:rPr>
          <w:lang w:val="sr-Latn-ME"/>
        </w:rPr>
        <w:t>.</w:t>
      </w:r>
    </w:p>
    <w:p w14:paraId="2B8FE646" w14:textId="77777777" w:rsidR="00691E4D" w:rsidRPr="008675A3" w:rsidRDefault="00691E4D" w:rsidP="008675A3">
      <w:pPr>
        <w:rPr>
          <w:lang w:val="sr-Latn-ME"/>
        </w:rPr>
      </w:pPr>
    </w:p>
    <w:p w14:paraId="5BA8B924" w14:textId="5874E0F1" w:rsidR="00C16A37" w:rsidRDefault="00C16A37" w:rsidP="00DC58D6">
      <w:pPr>
        <w:pStyle w:val="Header"/>
        <w:tabs>
          <w:tab w:val="clear" w:pos="4536"/>
          <w:tab w:val="clear" w:pos="9072"/>
          <w:tab w:val="left" w:pos="284"/>
        </w:tabs>
        <w:jc w:val="left"/>
        <w:rPr>
          <w:sz w:val="22"/>
          <w:szCs w:val="22"/>
          <w:lang w:val="sr-Latn-ME"/>
        </w:rPr>
      </w:pPr>
      <w:r w:rsidRPr="008675A3">
        <w:rPr>
          <w:sz w:val="22"/>
          <w:szCs w:val="22"/>
          <w:lang w:val="sr-Latn-ME"/>
        </w:rPr>
        <w:t>Pomoćna supstanc</w:t>
      </w:r>
      <w:r w:rsidR="00B70351">
        <w:rPr>
          <w:sz w:val="22"/>
          <w:szCs w:val="22"/>
          <w:lang w:val="sr-Latn-ME"/>
        </w:rPr>
        <w:t>a sa potvrđenim dejstvom: benzo</w:t>
      </w:r>
      <w:r w:rsidRPr="008675A3">
        <w:rPr>
          <w:sz w:val="22"/>
          <w:szCs w:val="22"/>
          <w:lang w:val="sr-Latn-ME"/>
        </w:rPr>
        <w:t>eva kiselina (E 210).</w:t>
      </w:r>
    </w:p>
    <w:p w14:paraId="0B22C8A0" w14:textId="77777777" w:rsidR="00906CE5" w:rsidRPr="008675A3" w:rsidRDefault="00906CE5" w:rsidP="00DC58D6">
      <w:pPr>
        <w:pStyle w:val="Header"/>
        <w:tabs>
          <w:tab w:val="clear" w:pos="4536"/>
          <w:tab w:val="clear" w:pos="9072"/>
          <w:tab w:val="left" w:pos="284"/>
        </w:tabs>
        <w:jc w:val="left"/>
        <w:rPr>
          <w:sz w:val="22"/>
          <w:szCs w:val="22"/>
          <w:lang w:val="sr-Latn-ME"/>
        </w:rPr>
      </w:pPr>
    </w:p>
    <w:p w14:paraId="349E18FC" w14:textId="77777777" w:rsidR="001F6E94" w:rsidRPr="008675A3" w:rsidRDefault="001F6E94" w:rsidP="001F6E94">
      <w:pPr>
        <w:tabs>
          <w:tab w:val="clear" w:pos="284"/>
        </w:tabs>
        <w:jc w:val="left"/>
        <w:rPr>
          <w:lang w:val="sr-Latn-ME"/>
        </w:rPr>
      </w:pPr>
      <w:r w:rsidRPr="008675A3">
        <w:rPr>
          <w:lang w:val="sr-Latn-ME"/>
        </w:rPr>
        <w:t>Za spisak svih ekscipijenasa, pogledati dio 6.1.</w:t>
      </w:r>
    </w:p>
    <w:p w14:paraId="3604452E" w14:textId="77777777" w:rsidR="00C16A37" w:rsidRPr="008675A3" w:rsidRDefault="00C16A37" w:rsidP="00923865">
      <w:pPr>
        <w:rPr>
          <w:lang w:val="sr-Latn-ME"/>
        </w:rPr>
      </w:pPr>
    </w:p>
    <w:p w14:paraId="5CDECE5A" w14:textId="734D4CE4" w:rsidR="00C16A37" w:rsidRPr="008675A3" w:rsidRDefault="00C16A37" w:rsidP="006D32DF">
      <w:pPr>
        <w:pStyle w:val="NASLOV123"/>
        <w:outlineLvl w:val="0"/>
        <w:rPr>
          <w:lang w:val="sr-Latn-ME"/>
        </w:rPr>
      </w:pPr>
      <w:r w:rsidRPr="008675A3">
        <w:rPr>
          <w:lang w:val="sr-Latn-ME"/>
        </w:rPr>
        <w:t>3.</w:t>
      </w:r>
      <w:r w:rsidR="00936834">
        <w:rPr>
          <w:lang w:val="sr-Latn-ME"/>
        </w:rPr>
        <w:tab/>
      </w:r>
      <w:r w:rsidRPr="008675A3">
        <w:rPr>
          <w:lang w:val="sr-Latn-ME"/>
        </w:rPr>
        <w:t xml:space="preserve"> FARMACEUTSKI OBLIK</w:t>
      </w:r>
    </w:p>
    <w:p w14:paraId="6A9F27F6" w14:textId="77777777"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Oralni gel</w:t>
      </w:r>
    </w:p>
    <w:p w14:paraId="76CCFD54" w14:textId="4A155CA4"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Neprovidan gel, skoro b</w:t>
      </w:r>
      <w:r w:rsidR="001F6E94" w:rsidRPr="008675A3">
        <w:rPr>
          <w:sz w:val="22"/>
          <w:szCs w:val="22"/>
          <w:lang w:val="sr-Latn-ME"/>
        </w:rPr>
        <w:t>ij</w:t>
      </w:r>
      <w:r w:rsidRPr="008675A3">
        <w:rPr>
          <w:sz w:val="22"/>
          <w:szCs w:val="22"/>
          <w:lang w:val="sr-Latn-ME"/>
        </w:rPr>
        <w:t>ele do žućkasto-b</w:t>
      </w:r>
      <w:r w:rsidR="001F6E94" w:rsidRPr="008675A3">
        <w:rPr>
          <w:sz w:val="22"/>
          <w:szCs w:val="22"/>
          <w:lang w:val="sr-Latn-ME"/>
        </w:rPr>
        <w:t>ij</w:t>
      </w:r>
      <w:r w:rsidRPr="008675A3">
        <w:rPr>
          <w:sz w:val="22"/>
          <w:szCs w:val="22"/>
          <w:lang w:val="sr-Latn-ME"/>
        </w:rPr>
        <w:t>ele boje, mirisa na pomorandžu.</w:t>
      </w:r>
    </w:p>
    <w:p w14:paraId="311F6E1C" w14:textId="77777777" w:rsidR="00C16A37" w:rsidRPr="008675A3" w:rsidRDefault="00C16A37" w:rsidP="006D0100">
      <w:pPr>
        <w:rPr>
          <w:lang w:val="sr-Latn-ME"/>
        </w:rPr>
      </w:pPr>
    </w:p>
    <w:p w14:paraId="1DD005E9" w14:textId="3B7502C4" w:rsidR="00C16A37" w:rsidRPr="008675A3" w:rsidRDefault="00C16A37" w:rsidP="006D32DF">
      <w:pPr>
        <w:pStyle w:val="NASLOV123"/>
        <w:jc w:val="both"/>
        <w:outlineLvl w:val="0"/>
        <w:rPr>
          <w:lang w:val="sr-Latn-ME"/>
        </w:rPr>
      </w:pPr>
      <w:r w:rsidRPr="008675A3">
        <w:rPr>
          <w:lang w:val="sr-Latn-ME"/>
        </w:rPr>
        <w:t>4.</w:t>
      </w:r>
      <w:r w:rsidR="00936834">
        <w:rPr>
          <w:lang w:val="sr-Latn-ME"/>
        </w:rPr>
        <w:tab/>
      </w:r>
      <w:r w:rsidRPr="008675A3">
        <w:rPr>
          <w:lang w:val="sr-Latn-ME"/>
        </w:rPr>
        <w:t xml:space="preserve"> KLINIČKI PODACI</w:t>
      </w:r>
    </w:p>
    <w:p w14:paraId="507F7809" w14:textId="77777777" w:rsidR="00C16A37" w:rsidRPr="008675A3" w:rsidRDefault="00C16A37" w:rsidP="006D32DF">
      <w:pPr>
        <w:outlineLvl w:val="0"/>
        <w:rPr>
          <w:b/>
          <w:bCs/>
          <w:lang w:val="sr-Latn-ME"/>
        </w:rPr>
      </w:pPr>
      <w:r w:rsidRPr="008675A3">
        <w:rPr>
          <w:b/>
          <w:bCs/>
          <w:lang w:val="sr-Latn-ME"/>
        </w:rPr>
        <w:t>4.1. Terapijske indikacije</w:t>
      </w:r>
    </w:p>
    <w:p w14:paraId="452CDA8B" w14:textId="77777777" w:rsidR="00C16A37" w:rsidRPr="008675A3" w:rsidRDefault="00C16A37" w:rsidP="006D0100">
      <w:pPr>
        <w:rPr>
          <w:lang w:val="sr-Latn-ME"/>
        </w:rPr>
      </w:pPr>
    </w:p>
    <w:p w14:paraId="64C8E833" w14:textId="77777777" w:rsidR="00C16A37" w:rsidRPr="008675A3" w:rsidRDefault="00C16A37" w:rsidP="006D0100">
      <w:pPr>
        <w:rPr>
          <w:lang w:val="sr-Latn-ME"/>
        </w:rPr>
      </w:pPr>
      <w:r w:rsidRPr="008675A3">
        <w:rPr>
          <w:lang w:val="sr-Latn-ME"/>
        </w:rPr>
        <w:t xml:space="preserve">Oralna terapija gljivičnih infekcija </w:t>
      </w:r>
      <w:r w:rsidRPr="008675A3">
        <w:rPr>
          <w:rFonts w:eastAsia="TimesNewRoman"/>
          <w:lang w:val="sr-Latn-ME"/>
        </w:rPr>
        <w:t xml:space="preserve">orofarinksa </w:t>
      </w:r>
      <w:r w:rsidRPr="008675A3">
        <w:rPr>
          <w:lang w:val="sr-Latn-ME"/>
        </w:rPr>
        <w:t>i gastrointestinalnog trakta.</w:t>
      </w:r>
    </w:p>
    <w:p w14:paraId="0A80E757" w14:textId="35832501" w:rsidR="00C16A37" w:rsidRPr="008675A3" w:rsidRDefault="00C16A37" w:rsidP="006D0100">
      <w:pPr>
        <w:rPr>
          <w:b/>
          <w:bCs/>
          <w:lang w:val="sr-Latn-ME"/>
        </w:rPr>
      </w:pPr>
      <w:r w:rsidRPr="008675A3">
        <w:rPr>
          <w:lang w:val="sr-Latn-ME"/>
        </w:rPr>
        <w:t>Daktanol, oralni gel se prim</w:t>
      </w:r>
      <w:r w:rsidR="001F6E94" w:rsidRPr="008675A3">
        <w:rPr>
          <w:lang w:val="sr-Latn-ME"/>
        </w:rPr>
        <w:t>j</w:t>
      </w:r>
      <w:r w:rsidRPr="008675A3">
        <w:rPr>
          <w:lang w:val="sr-Latn-ME"/>
        </w:rPr>
        <w:t>enjuje kod odraslih, d</w:t>
      </w:r>
      <w:r w:rsidR="001F6E94" w:rsidRPr="008675A3">
        <w:rPr>
          <w:lang w:val="sr-Latn-ME"/>
        </w:rPr>
        <w:t>j</w:t>
      </w:r>
      <w:r w:rsidRPr="008675A3">
        <w:rPr>
          <w:lang w:val="sr-Latn-ME"/>
        </w:rPr>
        <w:t xml:space="preserve">ece </w:t>
      </w:r>
      <w:r w:rsidRPr="008675A3">
        <w:rPr>
          <w:rFonts w:eastAsia="TimesNewRoman"/>
          <w:lang w:val="sr-Latn-ME"/>
        </w:rPr>
        <w:t>i odojčadi starije od 4 m</w:t>
      </w:r>
      <w:r w:rsidR="001F6E94" w:rsidRPr="008675A3">
        <w:rPr>
          <w:rFonts w:eastAsia="TimesNewRoman"/>
          <w:lang w:val="sr-Latn-ME"/>
        </w:rPr>
        <w:t>j</w:t>
      </w:r>
      <w:r w:rsidRPr="008675A3">
        <w:rPr>
          <w:rFonts w:eastAsia="TimesNewRoman"/>
          <w:lang w:val="sr-Latn-ME"/>
        </w:rPr>
        <w:t>eseca.</w:t>
      </w:r>
    </w:p>
    <w:p w14:paraId="0E379CEC" w14:textId="77777777" w:rsidR="00C16A37" w:rsidRPr="008675A3" w:rsidRDefault="00C16A37" w:rsidP="006D0100">
      <w:pPr>
        <w:rPr>
          <w:b/>
          <w:bCs/>
          <w:lang w:val="sr-Latn-ME"/>
        </w:rPr>
      </w:pPr>
    </w:p>
    <w:p w14:paraId="068BB293" w14:textId="032F6D63" w:rsidR="00C16A37" w:rsidRPr="008675A3" w:rsidRDefault="00C16A37" w:rsidP="006D32DF">
      <w:pPr>
        <w:outlineLvl w:val="0"/>
        <w:rPr>
          <w:b/>
          <w:bCs/>
          <w:lang w:val="sr-Latn-ME"/>
        </w:rPr>
      </w:pPr>
      <w:r w:rsidRPr="008675A3">
        <w:rPr>
          <w:b/>
          <w:bCs/>
          <w:lang w:val="sr-Latn-ME"/>
        </w:rPr>
        <w:t>4.2. Doziranje i način prim</w:t>
      </w:r>
      <w:r w:rsidR="001F6E94" w:rsidRPr="008675A3">
        <w:rPr>
          <w:b/>
          <w:bCs/>
          <w:lang w:val="sr-Latn-ME"/>
        </w:rPr>
        <w:t>j</w:t>
      </w:r>
      <w:r w:rsidRPr="008675A3">
        <w:rPr>
          <w:b/>
          <w:bCs/>
          <w:lang w:val="sr-Latn-ME"/>
        </w:rPr>
        <w:t>ene</w:t>
      </w:r>
    </w:p>
    <w:p w14:paraId="384E64A7" w14:textId="77777777" w:rsidR="00C16A37" w:rsidRPr="008675A3" w:rsidRDefault="00C16A37" w:rsidP="006D0100">
      <w:pPr>
        <w:pStyle w:val="Header"/>
        <w:tabs>
          <w:tab w:val="clear" w:pos="4536"/>
          <w:tab w:val="clear" w:pos="9072"/>
          <w:tab w:val="left" w:pos="284"/>
        </w:tabs>
        <w:rPr>
          <w:b/>
          <w:bCs/>
          <w:sz w:val="22"/>
          <w:szCs w:val="22"/>
          <w:lang w:val="sr-Latn-ME"/>
        </w:rPr>
      </w:pPr>
    </w:p>
    <w:p w14:paraId="49E7A0DD" w14:textId="38A01FD6" w:rsidR="00C16A37" w:rsidRPr="008675A3" w:rsidRDefault="00B16116" w:rsidP="006D0100">
      <w:pPr>
        <w:pStyle w:val="Header"/>
        <w:tabs>
          <w:tab w:val="clear" w:pos="4536"/>
          <w:tab w:val="clear" w:pos="9072"/>
          <w:tab w:val="left" w:pos="284"/>
        </w:tabs>
        <w:rPr>
          <w:b/>
          <w:bCs/>
          <w:sz w:val="22"/>
          <w:szCs w:val="22"/>
          <w:u w:val="single"/>
          <w:lang w:val="sr-Latn-ME"/>
        </w:rPr>
      </w:pPr>
      <w:r w:rsidRPr="008675A3">
        <w:rPr>
          <w:b/>
          <w:bCs/>
          <w:sz w:val="22"/>
          <w:szCs w:val="22"/>
          <w:u w:val="single"/>
          <w:lang w:val="sr-Latn-ME"/>
        </w:rPr>
        <w:t>Doziranje</w:t>
      </w:r>
    </w:p>
    <w:p w14:paraId="71F22E94" w14:textId="77777777" w:rsidR="00B16116" w:rsidRPr="008675A3" w:rsidRDefault="00B16116" w:rsidP="006D0100">
      <w:pPr>
        <w:pStyle w:val="Header"/>
        <w:tabs>
          <w:tab w:val="clear" w:pos="4536"/>
          <w:tab w:val="clear" w:pos="9072"/>
          <w:tab w:val="left" w:pos="284"/>
        </w:tabs>
        <w:rPr>
          <w:b/>
          <w:bCs/>
          <w:sz w:val="22"/>
          <w:szCs w:val="22"/>
          <w:lang w:val="sr-Latn-ME"/>
        </w:rPr>
      </w:pPr>
    </w:p>
    <w:p w14:paraId="56130B63" w14:textId="77777777" w:rsidR="00C16A37" w:rsidRPr="008675A3" w:rsidRDefault="00C16A37" w:rsidP="006D32DF">
      <w:pPr>
        <w:pStyle w:val="Header"/>
        <w:tabs>
          <w:tab w:val="clear" w:pos="4536"/>
          <w:tab w:val="clear" w:pos="9072"/>
          <w:tab w:val="left" w:pos="284"/>
        </w:tabs>
        <w:outlineLvl w:val="0"/>
        <w:rPr>
          <w:i/>
          <w:iCs/>
          <w:sz w:val="22"/>
          <w:szCs w:val="22"/>
          <w:lang w:val="sr-Latn-ME"/>
        </w:rPr>
      </w:pPr>
      <w:r w:rsidRPr="008675A3">
        <w:rPr>
          <w:i/>
          <w:iCs/>
          <w:sz w:val="22"/>
          <w:szCs w:val="22"/>
          <w:lang w:val="sr-Latn-ME"/>
        </w:rPr>
        <w:t>Orofaringealna kandidijaza</w:t>
      </w:r>
    </w:p>
    <w:p w14:paraId="33A8AB49" w14:textId="77777777" w:rsidR="00C16A37" w:rsidRPr="008675A3" w:rsidRDefault="00C16A37" w:rsidP="006D0100">
      <w:pPr>
        <w:pStyle w:val="Header"/>
        <w:tabs>
          <w:tab w:val="clear" w:pos="4536"/>
          <w:tab w:val="clear" w:pos="9072"/>
          <w:tab w:val="left" w:pos="284"/>
        </w:tabs>
        <w:rPr>
          <w:b/>
          <w:bCs/>
          <w:sz w:val="22"/>
          <w:szCs w:val="22"/>
          <w:lang w:val="sr-Latn-ME"/>
        </w:rPr>
      </w:pPr>
    </w:p>
    <w:p w14:paraId="68BFCC95" w14:textId="228336A2" w:rsidR="00C16A37" w:rsidRPr="008675A3" w:rsidRDefault="00C16A37" w:rsidP="006D32DF">
      <w:pPr>
        <w:pStyle w:val="Header"/>
        <w:tabs>
          <w:tab w:val="clear" w:pos="4536"/>
          <w:tab w:val="clear" w:pos="9072"/>
          <w:tab w:val="left" w:pos="284"/>
        </w:tabs>
        <w:outlineLvl w:val="0"/>
        <w:rPr>
          <w:sz w:val="22"/>
          <w:szCs w:val="22"/>
          <w:u w:val="single"/>
          <w:lang w:val="sr-Latn-ME"/>
        </w:rPr>
      </w:pPr>
      <w:r w:rsidRPr="008675A3">
        <w:rPr>
          <w:rFonts w:eastAsia="TimesNewRoman"/>
          <w:sz w:val="22"/>
          <w:szCs w:val="22"/>
          <w:u w:val="single"/>
          <w:lang w:val="sr-Latn-ME"/>
        </w:rPr>
        <w:t xml:space="preserve">Odojčad i </w:t>
      </w:r>
      <w:r w:rsidRPr="008675A3">
        <w:rPr>
          <w:sz w:val="22"/>
          <w:szCs w:val="22"/>
          <w:u w:val="single"/>
          <w:lang w:val="sr-Latn-ME"/>
        </w:rPr>
        <w:t>d</w:t>
      </w:r>
      <w:r w:rsidR="001F6E94" w:rsidRPr="008675A3">
        <w:rPr>
          <w:sz w:val="22"/>
          <w:szCs w:val="22"/>
          <w:u w:val="single"/>
          <w:lang w:val="sr-Latn-ME"/>
        </w:rPr>
        <w:t>j</w:t>
      </w:r>
      <w:r w:rsidRPr="008675A3">
        <w:rPr>
          <w:sz w:val="22"/>
          <w:szCs w:val="22"/>
          <w:u w:val="single"/>
          <w:lang w:val="sr-Latn-ME"/>
        </w:rPr>
        <w:t>eca od 4 do 24 m</w:t>
      </w:r>
      <w:r w:rsidR="001F6E94" w:rsidRPr="008675A3">
        <w:rPr>
          <w:sz w:val="22"/>
          <w:szCs w:val="22"/>
          <w:u w:val="single"/>
          <w:lang w:val="sr-Latn-ME"/>
        </w:rPr>
        <w:t>j</w:t>
      </w:r>
      <w:r w:rsidRPr="008675A3">
        <w:rPr>
          <w:sz w:val="22"/>
          <w:szCs w:val="22"/>
          <w:u w:val="single"/>
          <w:lang w:val="sr-Latn-ME"/>
        </w:rPr>
        <w:t xml:space="preserve">eseca: </w:t>
      </w:r>
    </w:p>
    <w:p w14:paraId="211871C2" w14:textId="3DE2487B"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 xml:space="preserve">1,25 </w:t>
      </w:r>
      <w:r w:rsidR="00633641" w:rsidRPr="008675A3">
        <w:rPr>
          <w:sz w:val="22"/>
          <w:szCs w:val="22"/>
          <w:lang w:val="sr-Latn-ME"/>
        </w:rPr>
        <w:t>ml</w:t>
      </w:r>
      <w:r w:rsidRPr="008675A3">
        <w:rPr>
          <w:sz w:val="22"/>
          <w:szCs w:val="22"/>
          <w:lang w:val="sr-Latn-ME"/>
        </w:rPr>
        <w:t xml:space="preserve"> (1/4 kafene kašike; ekvivalentno je približno 25 mg) gela, četiri puta dnevno, nakon obroka. Svaka doza bi trebalo da bude pod</w:t>
      </w:r>
      <w:r w:rsidR="001F6E94" w:rsidRPr="008675A3">
        <w:rPr>
          <w:sz w:val="22"/>
          <w:szCs w:val="22"/>
          <w:lang w:val="sr-Latn-ME"/>
        </w:rPr>
        <w:t>ij</w:t>
      </w:r>
      <w:r w:rsidRPr="008675A3">
        <w:rPr>
          <w:sz w:val="22"/>
          <w:szCs w:val="22"/>
          <w:lang w:val="sr-Latn-ME"/>
        </w:rPr>
        <w:t>eljena u manje porcije, a gel bi trebalo prim</w:t>
      </w:r>
      <w:r w:rsidR="001F6E94" w:rsidRPr="008675A3">
        <w:rPr>
          <w:sz w:val="22"/>
          <w:szCs w:val="22"/>
          <w:lang w:val="sr-Latn-ME"/>
        </w:rPr>
        <w:t>j</w:t>
      </w:r>
      <w:r w:rsidRPr="008675A3">
        <w:rPr>
          <w:sz w:val="22"/>
          <w:szCs w:val="22"/>
          <w:lang w:val="sr-Latn-ME"/>
        </w:rPr>
        <w:t>enjivati na zahvaćenu površinu/e čistim prstom. Gel ne bi trebalo prim</w:t>
      </w:r>
      <w:r w:rsidR="001F6E94" w:rsidRPr="008675A3">
        <w:rPr>
          <w:sz w:val="22"/>
          <w:szCs w:val="22"/>
          <w:lang w:val="sr-Latn-ME"/>
        </w:rPr>
        <w:t>j</w:t>
      </w:r>
      <w:r w:rsidRPr="008675A3">
        <w:rPr>
          <w:sz w:val="22"/>
          <w:szCs w:val="22"/>
          <w:lang w:val="sr-Latn-ME"/>
        </w:rPr>
        <w:t xml:space="preserve">enjivati na zadnji </w:t>
      </w:r>
      <w:r w:rsidRPr="008675A3">
        <w:rPr>
          <w:rFonts w:eastAsia="TimesNewRoman"/>
          <w:sz w:val="22"/>
          <w:szCs w:val="22"/>
          <w:lang w:val="sr-Latn-ME"/>
        </w:rPr>
        <w:t>zid ždr</w:t>
      </w:r>
      <w:r w:rsidR="001F6E94" w:rsidRPr="008675A3">
        <w:rPr>
          <w:rFonts w:eastAsia="TimesNewRoman"/>
          <w:sz w:val="22"/>
          <w:szCs w:val="22"/>
          <w:lang w:val="sr-Latn-ME"/>
        </w:rPr>
        <w:t>ij</w:t>
      </w:r>
      <w:r w:rsidRPr="008675A3">
        <w:rPr>
          <w:rFonts w:eastAsia="TimesNewRoman"/>
          <w:sz w:val="22"/>
          <w:szCs w:val="22"/>
          <w:lang w:val="sr-Latn-ME"/>
        </w:rPr>
        <w:t xml:space="preserve">ela </w:t>
      </w:r>
      <w:r w:rsidRPr="008675A3">
        <w:rPr>
          <w:sz w:val="22"/>
          <w:szCs w:val="22"/>
          <w:lang w:val="sr-Latn-ME"/>
        </w:rPr>
        <w:t>zbog opasnosti od mogućeg gušenja. Gel ne bi trebalo da se guta odmah nego da se drži u ustima što je moguće duže.</w:t>
      </w:r>
    </w:p>
    <w:p w14:paraId="41D0DC18" w14:textId="77777777" w:rsidR="00C16A37" w:rsidRPr="008675A3" w:rsidRDefault="00C16A37" w:rsidP="006D0100">
      <w:pPr>
        <w:pStyle w:val="Header"/>
        <w:tabs>
          <w:tab w:val="clear" w:pos="4536"/>
          <w:tab w:val="clear" w:pos="9072"/>
          <w:tab w:val="left" w:pos="284"/>
        </w:tabs>
        <w:rPr>
          <w:sz w:val="22"/>
          <w:szCs w:val="22"/>
          <w:lang w:val="sr-Latn-ME"/>
        </w:rPr>
      </w:pPr>
    </w:p>
    <w:p w14:paraId="04985C8A" w14:textId="29156C9F" w:rsidR="00C16A37" w:rsidRPr="008675A3" w:rsidRDefault="00C16A37" w:rsidP="006D32DF">
      <w:pPr>
        <w:pStyle w:val="Header"/>
        <w:tabs>
          <w:tab w:val="clear" w:pos="4536"/>
          <w:tab w:val="clear" w:pos="9072"/>
          <w:tab w:val="left" w:pos="284"/>
        </w:tabs>
        <w:outlineLvl w:val="0"/>
        <w:rPr>
          <w:sz w:val="22"/>
          <w:szCs w:val="22"/>
          <w:lang w:val="sr-Latn-ME"/>
        </w:rPr>
      </w:pPr>
      <w:r w:rsidRPr="008675A3">
        <w:rPr>
          <w:sz w:val="22"/>
          <w:szCs w:val="22"/>
          <w:u w:val="single"/>
          <w:lang w:val="sr-Latn-ME"/>
        </w:rPr>
        <w:t>Odrasli i d</w:t>
      </w:r>
      <w:r w:rsidR="001F6E94" w:rsidRPr="008675A3">
        <w:rPr>
          <w:sz w:val="22"/>
          <w:szCs w:val="22"/>
          <w:u w:val="single"/>
          <w:lang w:val="sr-Latn-ME"/>
        </w:rPr>
        <w:t>j</w:t>
      </w:r>
      <w:r w:rsidRPr="008675A3">
        <w:rPr>
          <w:sz w:val="22"/>
          <w:szCs w:val="22"/>
          <w:u w:val="single"/>
          <w:lang w:val="sr-Latn-ME"/>
        </w:rPr>
        <w:t>eca starija od 2 godine</w:t>
      </w:r>
      <w:r w:rsidRPr="008675A3">
        <w:rPr>
          <w:sz w:val="22"/>
          <w:szCs w:val="22"/>
          <w:lang w:val="sr-Latn-ME"/>
        </w:rPr>
        <w:t xml:space="preserve">: </w:t>
      </w:r>
    </w:p>
    <w:p w14:paraId="6422C91C" w14:textId="2D037026"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 xml:space="preserve">2,5 </w:t>
      </w:r>
      <w:r w:rsidR="00633641" w:rsidRPr="008675A3">
        <w:rPr>
          <w:sz w:val="22"/>
          <w:szCs w:val="22"/>
          <w:lang w:val="sr-Latn-ME"/>
        </w:rPr>
        <w:t>ml</w:t>
      </w:r>
      <w:r w:rsidRPr="008675A3">
        <w:rPr>
          <w:sz w:val="22"/>
          <w:szCs w:val="22"/>
          <w:lang w:val="sr-Latn-ME"/>
        </w:rPr>
        <w:t xml:space="preserve"> (pola kafene kašike; ekvivalentno je približno 50 mg) gela, četiri puta dnevno, nakon obroka. Gel ne bi trebalo da se guta odmah nego da se drži u ustima što je moguće duže.</w:t>
      </w:r>
    </w:p>
    <w:p w14:paraId="258A331B" w14:textId="77777777" w:rsidR="00C16A37" w:rsidRPr="008675A3" w:rsidRDefault="00C16A37" w:rsidP="006D0100">
      <w:pPr>
        <w:pStyle w:val="Header"/>
        <w:tabs>
          <w:tab w:val="clear" w:pos="4536"/>
          <w:tab w:val="clear" w:pos="9072"/>
          <w:tab w:val="left" w:pos="284"/>
        </w:tabs>
        <w:rPr>
          <w:sz w:val="22"/>
          <w:szCs w:val="22"/>
          <w:lang w:val="sr-Latn-ME"/>
        </w:rPr>
      </w:pPr>
    </w:p>
    <w:p w14:paraId="41D756EB" w14:textId="35F4D539" w:rsidR="00C16A37" w:rsidRPr="008675A3" w:rsidRDefault="00C16A37" w:rsidP="006D32DF">
      <w:pPr>
        <w:pStyle w:val="Header"/>
        <w:tabs>
          <w:tab w:val="clear" w:pos="4536"/>
          <w:tab w:val="clear" w:pos="9072"/>
          <w:tab w:val="left" w:pos="284"/>
        </w:tabs>
        <w:outlineLvl w:val="0"/>
        <w:rPr>
          <w:sz w:val="22"/>
          <w:szCs w:val="22"/>
          <w:lang w:val="sr-Latn-ME"/>
        </w:rPr>
      </w:pPr>
      <w:r w:rsidRPr="008675A3">
        <w:rPr>
          <w:sz w:val="22"/>
          <w:szCs w:val="22"/>
          <w:lang w:val="sr-Latn-ME"/>
        </w:rPr>
        <w:t>Terapiju bi trebalo produžiti bar ned</w:t>
      </w:r>
      <w:r w:rsidR="001F6E94" w:rsidRPr="008675A3">
        <w:rPr>
          <w:sz w:val="22"/>
          <w:szCs w:val="22"/>
          <w:lang w:val="sr-Latn-ME"/>
        </w:rPr>
        <w:t>j</w:t>
      </w:r>
      <w:r w:rsidRPr="008675A3">
        <w:rPr>
          <w:sz w:val="22"/>
          <w:szCs w:val="22"/>
          <w:lang w:val="sr-Latn-ME"/>
        </w:rPr>
        <w:t>elju dana nakon povlačenja simptoma.</w:t>
      </w:r>
    </w:p>
    <w:p w14:paraId="7D2E537A" w14:textId="77777777" w:rsidR="00C16A37" w:rsidRPr="008675A3" w:rsidRDefault="00C16A37" w:rsidP="006D0100">
      <w:pPr>
        <w:pStyle w:val="Header"/>
        <w:tabs>
          <w:tab w:val="clear" w:pos="4536"/>
          <w:tab w:val="clear" w:pos="9072"/>
          <w:tab w:val="left" w:pos="284"/>
        </w:tabs>
        <w:rPr>
          <w:sz w:val="22"/>
          <w:szCs w:val="22"/>
          <w:lang w:val="sr-Latn-ME"/>
        </w:rPr>
      </w:pPr>
    </w:p>
    <w:p w14:paraId="418BC76E" w14:textId="58CDCB57" w:rsidR="00A778B9" w:rsidRPr="008675A3" w:rsidRDefault="00C16A37" w:rsidP="006D0100">
      <w:pPr>
        <w:pStyle w:val="Header"/>
        <w:tabs>
          <w:tab w:val="clear" w:pos="4536"/>
          <w:tab w:val="clear" w:pos="9072"/>
          <w:tab w:val="left" w:pos="284"/>
        </w:tabs>
        <w:rPr>
          <w:sz w:val="22"/>
          <w:szCs w:val="22"/>
          <w:lang w:val="sr-Latn-ME"/>
        </w:rPr>
      </w:pPr>
      <w:r w:rsidRPr="008675A3">
        <w:rPr>
          <w:lang w:val="sr-Latn-ME"/>
        </w:rPr>
        <w:t>Kod oralne kandidijaze preporučuje se da se gelom premaže i zubna proteza i tako premazana ostavi preko noći.</w:t>
      </w:r>
    </w:p>
    <w:p w14:paraId="0379B32A" w14:textId="77777777" w:rsidR="00C16A37" w:rsidRPr="008675A3" w:rsidRDefault="00C16A37" w:rsidP="006D32DF">
      <w:pPr>
        <w:pStyle w:val="Header"/>
        <w:tabs>
          <w:tab w:val="clear" w:pos="4536"/>
          <w:tab w:val="clear" w:pos="9072"/>
          <w:tab w:val="left" w:pos="284"/>
        </w:tabs>
        <w:outlineLvl w:val="0"/>
        <w:rPr>
          <w:i/>
          <w:iCs/>
          <w:sz w:val="22"/>
          <w:szCs w:val="22"/>
          <w:lang w:val="sr-Latn-ME"/>
        </w:rPr>
      </w:pPr>
      <w:r w:rsidRPr="008675A3">
        <w:rPr>
          <w:i/>
          <w:iCs/>
          <w:sz w:val="22"/>
          <w:szCs w:val="22"/>
          <w:lang w:val="sr-Latn-ME"/>
        </w:rPr>
        <w:lastRenderedPageBreak/>
        <w:t>Kandidijaza gastrointestinalnog trakta</w:t>
      </w:r>
    </w:p>
    <w:p w14:paraId="6EDAF193" w14:textId="77777777" w:rsidR="00C16A37" w:rsidRPr="008675A3" w:rsidRDefault="00C16A37" w:rsidP="006D0100">
      <w:pPr>
        <w:pStyle w:val="Header"/>
        <w:tabs>
          <w:tab w:val="clear" w:pos="4536"/>
          <w:tab w:val="clear" w:pos="9072"/>
          <w:tab w:val="left" w:pos="284"/>
        </w:tabs>
        <w:rPr>
          <w:b/>
          <w:bCs/>
          <w:i/>
          <w:iCs/>
          <w:sz w:val="22"/>
          <w:szCs w:val="22"/>
          <w:lang w:val="sr-Latn-ME"/>
        </w:rPr>
      </w:pPr>
    </w:p>
    <w:p w14:paraId="607291C1" w14:textId="2234C2A2"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L</w:t>
      </w:r>
      <w:r w:rsidR="001F6E94" w:rsidRPr="008675A3">
        <w:rPr>
          <w:sz w:val="22"/>
          <w:szCs w:val="22"/>
          <w:lang w:val="sr-Latn-ME"/>
        </w:rPr>
        <w:t>ij</w:t>
      </w:r>
      <w:r w:rsidRPr="008675A3">
        <w:rPr>
          <w:sz w:val="22"/>
          <w:szCs w:val="22"/>
          <w:lang w:val="sr-Latn-ME"/>
        </w:rPr>
        <w:t>ek se može prim</w:t>
      </w:r>
      <w:r w:rsidR="001F6E94" w:rsidRPr="008675A3">
        <w:rPr>
          <w:sz w:val="22"/>
          <w:szCs w:val="22"/>
          <w:lang w:val="sr-Latn-ME"/>
        </w:rPr>
        <w:t>j</w:t>
      </w:r>
      <w:r w:rsidRPr="008675A3">
        <w:rPr>
          <w:sz w:val="22"/>
          <w:szCs w:val="22"/>
          <w:lang w:val="sr-Latn-ME"/>
        </w:rPr>
        <w:t>enjivati kod odojčadi (</w:t>
      </w:r>
      <w:r w:rsidR="00DB7AE7" w:rsidRPr="008675A3">
        <w:rPr>
          <w:sz w:val="22"/>
          <w:szCs w:val="22"/>
          <w:lang w:val="sr-Latn-ME"/>
        </w:rPr>
        <w:t xml:space="preserve">uzrasta </w:t>
      </w:r>
      <w:r w:rsidRPr="008675A3">
        <w:rPr>
          <w:sz w:val="22"/>
          <w:szCs w:val="22"/>
          <w:lang w:val="sr-Latn-ME"/>
        </w:rPr>
        <w:t>≥ 4 m</w:t>
      </w:r>
      <w:r w:rsidR="001F6E94" w:rsidRPr="008675A3">
        <w:rPr>
          <w:sz w:val="22"/>
          <w:szCs w:val="22"/>
          <w:lang w:val="sr-Latn-ME"/>
        </w:rPr>
        <w:t>j</w:t>
      </w:r>
      <w:r w:rsidRPr="008675A3">
        <w:rPr>
          <w:sz w:val="22"/>
          <w:szCs w:val="22"/>
          <w:lang w:val="sr-Latn-ME"/>
        </w:rPr>
        <w:t>eseca), d</w:t>
      </w:r>
      <w:r w:rsidR="001F6E94" w:rsidRPr="008675A3">
        <w:rPr>
          <w:sz w:val="22"/>
          <w:szCs w:val="22"/>
          <w:lang w:val="sr-Latn-ME"/>
        </w:rPr>
        <w:t>j</w:t>
      </w:r>
      <w:r w:rsidRPr="008675A3">
        <w:rPr>
          <w:sz w:val="22"/>
          <w:szCs w:val="22"/>
          <w:lang w:val="sr-Latn-ME"/>
        </w:rPr>
        <w:t>ece i odraslih koji imaju problema sa gutanjem tableta. Doza je 20 mg po kilogramu t</w:t>
      </w:r>
      <w:r w:rsidR="001F6E94" w:rsidRPr="008675A3">
        <w:rPr>
          <w:sz w:val="22"/>
          <w:szCs w:val="22"/>
          <w:lang w:val="sr-Latn-ME"/>
        </w:rPr>
        <w:t>j</w:t>
      </w:r>
      <w:r w:rsidRPr="008675A3">
        <w:rPr>
          <w:sz w:val="22"/>
          <w:szCs w:val="22"/>
          <w:lang w:val="sr-Latn-ME"/>
        </w:rPr>
        <w:t>elesne mase na dan, pod</w:t>
      </w:r>
      <w:r w:rsidR="001F6E94" w:rsidRPr="008675A3">
        <w:rPr>
          <w:sz w:val="22"/>
          <w:szCs w:val="22"/>
          <w:lang w:val="sr-Latn-ME"/>
        </w:rPr>
        <w:t>ij</w:t>
      </w:r>
      <w:r w:rsidRPr="008675A3">
        <w:rPr>
          <w:sz w:val="22"/>
          <w:szCs w:val="22"/>
          <w:lang w:val="sr-Latn-ME"/>
        </w:rPr>
        <w:t xml:space="preserve">eljena u četiri doze. Ukupna dnevna doza ne bi trebalo da pređe 250 mg (10 </w:t>
      </w:r>
      <w:r w:rsidR="00633641" w:rsidRPr="008675A3">
        <w:rPr>
          <w:sz w:val="22"/>
          <w:szCs w:val="22"/>
          <w:lang w:val="sr-Latn-ME"/>
        </w:rPr>
        <w:t>ml</w:t>
      </w:r>
      <w:r w:rsidRPr="008675A3">
        <w:rPr>
          <w:sz w:val="22"/>
          <w:szCs w:val="22"/>
          <w:lang w:val="sr-Latn-ME"/>
        </w:rPr>
        <w:t xml:space="preserve"> oralnog gela) četiri puta dnevno.</w:t>
      </w:r>
    </w:p>
    <w:p w14:paraId="264E94F9" w14:textId="77777777" w:rsidR="00C16A37" w:rsidRPr="008675A3" w:rsidRDefault="00C16A37" w:rsidP="006D0100">
      <w:pPr>
        <w:pStyle w:val="Header"/>
        <w:tabs>
          <w:tab w:val="clear" w:pos="4536"/>
          <w:tab w:val="clear" w:pos="9072"/>
          <w:tab w:val="left" w:pos="284"/>
        </w:tabs>
        <w:rPr>
          <w:sz w:val="22"/>
          <w:szCs w:val="22"/>
          <w:lang w:val="sr-Latn-ME"/>
        </w:rPr>
      </w:pPr>
    </w:p>
    <w:p w14:paraId="2FB5D19A" w14:textId="0C14B901" w:rsidR="00C16A37" w:rsidRPr="008675A3" w:rsidRDefault="00C16A37" w:rsidP="006D32DF">
      <w:pPr>
        <w:pStyle w:val="Header"/>
        <w:tabs>
          <w:tab w:val="clear" w:pos="4536"/>
          <w:tab w:val="clear" w:pos="9072"/>
          <w:tab w:val="left" w:pos="284"/>
        </w:tabs>
        <w:outlineLvl w:val="0"/>
        <w:rPr>
          <w:sz w:val="22"/>
          <w:szCs w:val="22"/>
          <w:lang w:val="sr-Latn-ME"/>
        </w:rPr>
      </w:pPr>
      <w:r w:rsidRPr="008675A3">
        <w:rPr>
          <w:sz w:val="22"/>
          <w:szCs w:val="22"/>
          <w:lang w:val="sr-Latn-ME"/>
        </w:rPr>
        <w:t>Terapiju bi trebalo produžiti bar ned</w:t>
      </w:r>
      <w:r w:rsidR="001F6E94" w:rsidRPr="008675A3">
        <w:rPr>
          <w:sz w:val="22"/>
          <w:szCs w:val="22"/>
          <w:lang w:val="sr-Latn-ME"/>
        </w:rPr>
        <w:t>j</w:t>
      </w:r>
      <w:r w:rsidRPr="008675A3">
        <w:rPr>
          <w:sz w:val="22"/>
          <w:szCs w:val="22"/>
          <w:lang w:val="sr-Latn-ME"/>
        </w:rPr>
        <w:t>elju dana nakon povlačenja simptoma.</w:t>
      </w:r>
    </w:p>
    <w:p w14:paraId="120A1057" w14:textId="2969AE61" w:rsidR="00B16116" w:rsidRPr="008675A3" w:rsidRDefault="00B16116" w:rsidP="006D32DF">
      <w:pPr>
        <w:pStyle w:val="Header"/>
        <w:tabs>
          <w:tab w:val="clear" w:pos="4536"/>
          <w:tab w:val="clear" w:pos="9072"/>
          <w:tab w:val="left" w:pos="284"/>
        </w:tabs>
        <w:outlineLvl w:val="0"/>
        <w:rPr>
          <w:sz w:val="22"/>
          <w:szCs w:val="22"/>
          <w:lang w:val="sr-Latn-ME"/>
        </w:rPr>
      </w:pPr>
    </w:p>
    <w:p w14:paraId="5653825F" w14:textId="09262500" w:rsidR="00B16116" w:rsidRPr="008675A3" w:rsidRDefault="00B16116" w:rsidP="006D32DF">
      <w:pPr>
        <w:pStyle w:val="Header"/>
        <w:tabs>
          <w:tab w:val="clear" w:pos="4536"/>
          <w:tab w:val="clear" w:pos="9072"/>
          <w:tab w:val="left" w:pos="284"/>
        </w:tabs>
        <w:outlineLvl w:val="0"/>
        <w:rPr>
          <w:sz w:val="22"/>
          <w:szCs w:val="22"/>
          <w:u w:val="single"/>
          <w:lang w:val="sr-Latn-ME"/>
        </w:rPr>
      </w:pPr>
      <w:r w:rsidRPr="008675A3">
        <w:rPr>
          <w:sz w:val="22"/>
          <w:szCs w:val="22"/>
          <w:u w:val="single"/>
          <w:lang w:val="sr-Latn-ME"/>
        </w:rPr>
        <w:t>Način primjene</w:t>
      </w:r>
    </w:p>
    <w:p w14:paraId="17663989" w14:textId="41852577" w:rsidR="00B16116" w:rsidRPr="008675A3" w:rsidRDefault="00B16116" w:rsidP="006D32DF">
      <w:pPr>
        <w:pStyle w:val="Header"/>
        <w:tabs>
          <w:tab w:val="clear" w:pos="4536"/>
          <w:tab w:val="clear" w:pos="9072"/>
          <w:tab w:val="left" w:pos="284"/>
        </w:tabs>
        <w:outlineLvl w:val="0"/>
        <w:rPr>
          <w:sz w:val="22"/>
          <w:szCs w:val="22"/>
          <w:lang w:val="sr-Latn-ME"/>
        </w:rPr>
      </w:pPr>
      <w:r w:rsidRPr="008675A3">
        <w:rPr>
          <w:sz w:val="22"/>
          <w:szCs w:val="22"/>
          <w:lang w:val="sr-Latn-ME"/>
        </w:rPr>
        <w:t>Za oralnu primjenu</w:t>
      </w:r>
    </w:p>
    <w:p w14:paraId="6D36BCD0" w14:textId="77777777" w:rsidR="00C16A37" w:rsidRPr="008675A3" w:rsidRDefault="00C16A37" w:rsidP="006D0100">
      <w:pPr>
        <w:rPr>
          <w:lang w:val="sr-Latn-ME"/>
        </w:rPr>
      </w:pPr>
    </w:p>
    <w:p w14:paraId="705E4592" w14:textId="42DB8FC5" w:rsidR="00C16A37" w:rsidRPr="008675A3" w:rsidRDefault="00C16A37" w:rsidP="008675A3">
      <w:pPr>
        <w:outlineLvl w:val="0"/>
        <w:rPr>
          <w:lang w:val="sr-Latn-ME"/>
        </w:rPr>
      </w:pPr>
      <w:r w:rsidRPr="008675A3">
        <w:rPr>
          <w:b/>
          <w:bCs/>
          <w:lang w:val="sr-Latn-ME"/>
        </w:rPr>
        <w:t>4.3. Kontraindikacije</w:t>
      </w:r>
    </w:p>
    <w:p w14:paraId="6B9FF829" w14:textId="5CA361C8" w:rsidR="00C16A37" w:rsidRPr="008675A3" w:rsidRDefault="00C16A37" w:rsidP="006D0100">
      <w:pPr>
        <w:pStyle w:val="Header"/>
        <w:tabs>
          <w:tab w:val="clear" w:pos="4536"/>
          <w:tab w:val="clear" w:pos="9072"/>
          <w:tab w:val="left" w:pos="284"/>
        </w:tabs>
        <w:spacing w:before="120"/>
        <w:rPr>
          <w:sz w:val="22"/>
          <w:szCs w:val="22"/>
          <w:lang w:val="sr-Latn-ME"/>
        </w:rPr>
      </w:pPr>
      <w:r w:rsidRPr="008675A3">
        <w:rPr>
          <w:sz w:val="22"/>
          <w:szCs w:val="22"/>
          <w:lang w:val="sr-Latn-ME"/>
        </w:rPr>
        <w:t>Preos</w:t>
      </w:r>
      <w:r w:rsidR="001F6E94" w:rsidRPr="008675A3">
        <w:rPr>
          <w:sz w:val="22"/>
          <w:szCs w:val="22"/>
          <w:lang w:val="sr-Latn-ME"/>
        </w:rPr>
        <w:t>j</w:t>
      </w:r>
      <w:r w:rsidRPr="008675A3">
        <w:rPr>
          <w:sz w:val="22"/>
          <w:szCs w:val="22"/>
          <w:lang w:val="sr-Latn-ME"/>
        </w:rPr>
        <w:t xml:space="preserve">etljivost na mikonazol, ostale derivate imidazola ili na bilo koju od pomoćnih supstanci navedenih u </w:t>
      </w:r>
      <w:r w:rsidR="00DB7AE7" w:rsidRPr="008675A3">
        <w:rPr>
          <w:sz w:val="22"/>
          <w:szCs w:val="22"/>
          <w:lang w:val="sr-Latn-ME"/>
        </w:rPr>
        <w:t>dijelu</w:t>
      </w:r>
      <w:r w:rsidRPr="008675A3">
        <w:rPr>
          <w:sz w:val="22"/>
          <w:szCs w:val="22"/>
          <w:lang w:val="sr-Latn-ME"/>
        </w:rPr>
        <w:t xml:space="preserve"> 6.1.</w:t>
      </w:r>
    </w:p>
    <w:p w14:paraId="73001C20" w14:textId="5C23E922" w:rsidR="00C16A37" w:rsidRPr="008675A3" w:rsidRDefault="00C16A37" w:rsidP="006D0100">
      <w:pPr>
        <w:tabs>
          <w:tab w:val="clear" w:pos="284"/>
        </w:tabs>
        <w:spacing w:before="100" w:beforeAutospacing="1" w:after="100" w:afterAutospacing="1"/>
        <w:rPr>
          <w:lang w:val="sr-Latn-ME"/>
        </w:rPr>
      </w:pPr>
      <w:r w:rsidRPr="008675A3">
        <w:rPr>
          <w:lang w:val="sr-Latn-ME"/>
        </w:rPr>
        <w:t xml:space="preserve">Kod novorođenčadi i odojčadi </w:t>
      </w:r>
      <w:r w:rsidR="00633641" w:rsidRPr="008675A3">
        <w:rPr>
          <w:lang w:val="sr-Latn-ME"/>
        </w:rPr>
        <w:t>ml</w:t>
      </w:r>
      <w:r w:rsidRPr="008675A3">
        <w:rPr>
          <w:lang w:val="sr-Latn-ME"/>
        </w:rPr>
        <w:t>ađih od 4 m</w:t>
      </w:r>
      <w:r w:rsidR="001F6E94" w:rsidRPr="008675A3">
        <w:rPr>
          <w:lang w:val="sr-Latn-ME"/>
        </w:rPr>
        <w:t>j</w:t>
      </w:r>
      <w:r w:rsidRPr="008675A3">
        <w:rPr>
          <w:lang w:val="sr-Latn-ME"/>
        </w:rPr>
        <w:t>eseca ili kod onih kod kojih refleks gutanja još uv</w:t>
      </w:r>
      <w:r w:rsidR="001F6E94" w:rsidRPr="008675A3">
        <w:rPr>
          <w:lang w:val="sr-Latn-ME"/>
        </w:rPr>
        <w:t>ij</w:t>
      </w:r>
      <w:r w:rsidRPr="008675A3">
        <w:rPr>
          <w:lang w:val="sr-Latn-ME"/>
        </w:rPr>
        <w:t>ek nije dobro razvijen (vid</w:t>
      </w:r>
      <w:r w:rsidR="001F6E94" w:rsidRPr="008675A3">
        <w:rPr>
          <w:lang w:val="sr-Latn-ME"/>
        </w:rPr>
        <w:t>j</w:t>
      </w:r>
      <w:r w:rsidRPr="008675A3">
        <w:rPr>
          <w:lang w:val="sr-Latn-ME"/>
        </w:rPr>
        <w:t xml:space="preserve">eti </w:t>
      </w:r>
      <w:r w:rsidR="00DB7AE7" w:rsidRPr="008675A3">
        <w:rPr>
          <w:lang w:val="sr-Latn-ME"/>
        </w:rPr>
        <w:t>dio</w:t>
      </w:r>
      <w:r w:rsidR="00665B19" w:rsidRPr="008675A3">
        <w:rPr>
          <w:lang w:val="sr-Latn-ME"/>
        </w:rPr>
        <w:t>dio</w:t>
      </w:r>
      <w:r w:rsidRPr="008675A3">
        <w:rPr>
          <w:lang w:val="sr-Latn-ME"/>
        </w:rPr>
        <w:t xml:space="preserve"> 4.4). </w:t>
      </w:r>
    </w:p>
    <w:p w14:paraId="6643F2BB" w14:textId="77777777"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Kod pacijenata sa oštećenom funkcijom jetre.</w:t>
      </w:r>
    </w:p>
    <w:p w14:paraId="57C3DA8E" w14:textId="77777777" w:rsidR="00C16A37" w:rsidRPr="008675A3" w:rsidRDefault="00C16A37" w:rsidP="006D0100">
      <w:pPr>
        <w:pStyle w:val="Header"/>
        <w:tabs>
          <w:tab w:val="clear" w:pos="4536"/>
          <w:tab w:val="clear" w:pos="9072"/>
          <w:tab w:val="left" w:pos="284"/>
        </w:tabs>
        <w:rPr>
          <w:sz w:val="22"/>
          <w:szCs w:val="22"/>
          <w:lang w:val="sr-Latn-ME"/>
        </w:rPr>
      </w:pPr>
    </w:p>
    <w:p w14:paraId="0FA465A3" w14:textId="61A116DA" w:rsidR="00C16A37" w:rsidRPr="008675A3" w:rsidRDefault="00C16A37" w:rsidP="006D0100">
      <w:pPr>
        <w:pStyle w:val="Header"/>
        <w:tabs>
          <w:tab w:val="clear" w:pos="4536"/>
          <w:tab w:val="clear" w:pos="9072"/>
          <w:tab w:val="left" w:pos="0"/>
        </w:tabs>
        <w:rPr>
          <w:sz w:val="22"/>
          <w:szCs w:val="22"/>
          <w:lang w:val="sr-Latn-ME"/>
        </w:rPr>
      </w:pPr>
      <w:r w:rsidRPr="008675A3">
        <w:rPr>
          <w:sz w:val="22"/>
          <w:szCs w:val="22"/>
          <w:lang w:val="sr-Latn-ME"/>
        </w:rPr>
        <w:t>Istovremena prim</w:t>
      </w:r>
      <w:r w:rsidR="001F6E94" w:rsidRPr="008675A3">
        <w:rPr>
          <w:sz w:val="22"/>
          <w:szCs w:val="22"/>
          <w:lang w:val="sr-Latn-ME"/>
        </w:rPr>
        <w:t>j</w:t>
      </w:r>
      <w:r w:rsidRPr="008675A3">
        <w:rPr>
          <w:sz w:val="22"/>
          <w:szCs w:val="22"/>
          <w:lang w:val="sr-Latn-ME"/>
        </w:rPr>
        <w:t>ena l</w:t>
      </w:r>
      <w:r w:rsidR="001F6E94" w:rsidRPr="008675A3">
        <w:rPr>
          <w:sz w:val="22"/>
          <w:szCs w:val="22"/>
          <w:lang w:val="sr-Latn-ME"/>
        </w:rPr>
        <w:t>ij</w:t>
      </w:r>
      <w:r w:rsidRPr="008675A3">
        <w:rPr>
          <w:sz w:val="22"/>
          <w:szCs w:val="22"/>
          <w:lang w:val="sr-Latn-ME"/>
        </w:rPr>
        <w:t>eka kod osoba koje u terapiji koriste l</w:t>
      </w:r>
      <w:r w:rsidR="001F6E94" w:rsidRPr="008675A3">
        <w:rPr>
          <w:sz w:val="22"/>
          <w:szCs w:val="22"/>
          <w:lang w:val="sr-Latn-ME"/>
        </w:rPr>
        <w:t>j</w:t>
      </w:r>
      <w:r w:rsidRPr="008675A3">
        <w:rPr>
          <w:sz w:val="22"/>
          <w:szCs w:val="22"/>
          <w:lang w:val="sr-Latn-ME"/>
        </w:rPr>
        <w:t>ekove koji podl</w:t>
      </w:r>
      <w:r w:rsidR="001F6E94" w:rsidRPr="008675A3">
        <w:rPr>
          <w:sz w:val="22"/>
          <w:szCs w:val="22"/>
          <w:lang w:val="sr-Latn-ME"/>
        </w:rPr>
        <w:t>j</w:t>
      </w:r>
      <w:r w:rsidRPr="008675A3">
        <w:rPr>
          <w:sz w:val="22"/>
          <w:szCs w:val="22"/>
          <w:lang w:val="sr-Latn-ME"/>
        </w:rPr>
        <w:t>ežu metabolizmu posredstvom enzima CYP3A4 (vid</w:t>
      </w:r>
      <w:r w:rsidR="001F6E94" w:rsidRPr="008675A3">
        <w:rPr>
          <w:sz w:val="22"/>
          <w:szCs w:val="22"/>
          <w:lang w:val="sr-Latn-ME"/>
        </w:rPr>
        <w:t>j</w:t>
      </w:r>
      <w:r w:rsidRPr="008675A3">
        <w:rPr>
          <w:sz w:val="22"/>
          <w:szCs w:val="22"/>
          <w:lang w:val="sr-Latn-ME"/>
        </w:rPr>
        <w:t xml:space="preserve">eti </w:t>
      </w:r>
      <w:r w:rsidR="00665B19" w:rsidRPr="008675A3">
        <w:rPr>
          <w:sz w:val="22"/>
          <w:szCs w:val="22"/>
          <w:lang w:val="sr-Latn-ME"/>
        </w:rPr>
        <w:t>dio</w:t>
      </w:r>
      <w:r w:rsidRPr="008675A3">
        <w:rPr>
          <w:sz w:val="22"/>
          <w:szCs w:val="22"/>
          <w:lang w:val="sr-Latn-ME"/>
        </w:rPr>
        <w:t xml:space="preserve"> 4.5 Interakcije sa drugim l</w:t>
      </w:r>
      <w:r w:rsidR="001F6E94" w:rsidRPr="008675A3">
        <w:rPr>
          <w:sz w:val="22"/>
          <w:szCs w:val="22"/>
          <w:lang w:val="sr-Latn-ME"/>
        </w:rPr>
        <w:t>j</w:t>
      </w:r>
      <w:r w:rsidRPr="008675A3">
        <w:rPr>
          <w:sz w:val="22"/>
          <w:szCs w:val="22"/>
          <w:lang w:val="sr-Latn-ME"/>
        </w:rPr>
        <w:t>ekovima i druge vrste interakcija):</w:t>
      </w:r>
    </w:p>
    <w:p w14:paraId="30DBCED8" w14:textId="77777777" w:rsidR="00C16A37" w:rsidRPr="008675A3" w:rsidRDefault="00C16A37" w:rsidP="006D0100">
      <w:pPr>
        <w:pStyle w:val="Header"/>
        <w:tabs>
          <w:tab w:val="clear" w:pos="4536"/>
          <w:tab w:val="clear" w:pos="9072"/>
          <w:tab w:val="left" w:pos="0"/>
        </w:tabs>
        <w:rPr>
          <w:sz w:val="22"/>
          <w:szCs w:val="22"/>
          <w:lang w:val="sr-Latn-ME"/>
        </w:rPr>
      </w:pPr>
    </w:p>
    <w:p w14:paraId="7B9B09E2" w14:textId="7BF6A4F9" w:rsidR="00C16A37" w:rsidRPr="008675A3" w:rsidRDefault="00C16A37" w:rsidP="006D0100">
      <w:pPr>
        <w:pStyle w:val="Header"/>
        <w:numPr>
          <w:ilvl w:val="0"/>
          <w:numId w:val="4"/>
        </w:numPr>
        <w:tabs>
          <w:tab w:val="clear" w:pos="4536"/>
          <w:tab w:val="clear" w:pos="9072"/>
          <w:tab w:val="left" w:pos="0"/>
        </w:tabs>
        <w:rPr>
          <w:sz w:val="22"/>
          <w:szCs w:val="22"/>
          <w:lang w:val="sr-Latn-ME"/>
        </w:rPr>
      </w:pPr>
      <w:r w:rsidRPr="008675A3">
        <w:rPr>
          <w:sz w:val="22"/>
          <w:szCs w:val="22"/>
          <w:lang w:val="sr-Latn-ME"/>
        </w:rPr>
        <w:t>l</w:t>
      </w:r>
      <w:r w:rsidR="001F6E94" w:rsidRPr="008675A3">
        <w:rPr>
          <w:sz w:val="22"/>
          <w:szCs w:val="22"/>
          <w:lang w:val="sr-Latn-ME"/>
        </w:rPr>
        <w:t>j</w:t>
      </w:r>
      <w:r w:rsidRPr="008675A3">
        <w:rPr>
          <w:sz w:val="22"/>
          <w:szCs w:val="22"/>
          <w:lang w:val="sr-Latn-ME"/>
        </w:rPr>
        <w:t xml:space="preserve">ekovi koji produžavaju QT-interval (astemizol, cisaprid, dofetilid, mizolastin, pimozid, </w:t>
      </w:r>
      <w:r w:rsidR="00665B19" w:rsidRPr="008675A3">
        <w:rPr>
          <w:sz w:val="22"/>
          <w:szCs w:val="22"/>
          <w:lang w:val="sr-Latn-ME"/>
        </w:rPr>
        <w:t>h</w:t>
      </w:r>
      <w:r w:rsidRPr="008675A3">
        <w:rPr>
          <w:sz w:val="22"/>
          <w:szCs w:val="22"/>
          <w:lang w:val="sr-Latn-ME"/>
        </w:rPr>
        <w:t>inidin, sertindol, terfenadin);</w:t>
      </w:r>
    </w:p>
    <w:p w14:paraId="05D72601" w14:textId="77777777" w:rsidR="00C16A37" w:rsidRPr="008675A3" w:rsidRDefault="00C16A37" w:rsidP="006D0100">
      <w:pPr>
        <w:pStyle w:val="Header"/>
        <w:numPr>
          <w:ilvl w:val="0"/>
          <w:numId w:val="4"/>
        </w:numPr>
        <w:tabs>
          <w:tab w:val="clear" w:pos="4536"/>
          <w:tab w:val="clear" w:pos="9072"/>
          <w:tab w:val="left" w:pos="0"/>
        </w:tabs>
        <w:rPr>
          <w:sz w:val="22"/>
          <w:szCs w:val="22"/>
          <w:lang w:val="sr-Latn-ME"/>
        </w:rPr>
      </w:pPr>
      <w:r w:rsidRPr="008675A3">
        <w:rPr>
          <w:sz w:val="22"/>
          <w:szCs w:val="22"/>
          <w:lang w:val="sr-Latn-ME"/>
        </w:rPr>
        <w:t>ergot alkaloidi;</w:t>
      </w:r>
    </w:p>
    <w:p w14:paraId="29D9B46E" w14:textId="77777777" w:rsidR="00C16A37" w:rsidRPr="008675A3" w:rsidRDefault="00C16A37" w:rsidP="002E47AE">
      <w:pPr>
        <w:pStyle w:val="Header"/>
        <w:numPr>
          <w:ilvl w:val="0"/>
          <w:numId w:val="4"/>
        </w:numPr>
        <w:tabs>
          <w:tab w:val="clear" w:pos="4536"/>
          <w:tab w:val="clear" w:pos="9072"/>
          <w:tab w:val="left" w:pos="0"/>
        </w:tabs>
        <w:rPr>
          <w:sz w:val="22"/>
          <w:szCs w:val="22"/>
          <w:lang w:val="sr-Latn-ME"/>
        </w:rPr>
      </w:pPr>
      <w:r w:rsidRPr="008675A3">
        <w:rPr>
          <w:sz w:val="22"/>
          <w:szCs w:val="22"/>
          <w:lang w:val="sr-Latn-ME"/>
        </w:rPr>
        <w:t xml:space="preserve">inhibitori HMG-CoA reduktaze (simvastatin i lovastatin); </w:t>
      </w:r>
    </w:p>
    <w:p w14:paraId="1FEB9F0E" w14:textId="77777777" w:rsidR="00C16A37" w:rsidRPr="008675A3" w:rsidRDefault="00C16A37" w:rsidP="006D0100">
      <w:pPr>
        <w:pStyle w:val="Header"/>
        <w:numPr>
          <w:ilvl w:val="0"/>
          <w:numId w:val="4"/>
        </w:numPr>
        <w:tabs>
          <w:tab w:val="clear" w:pos="4536"/>
          <w:tab w:val="clear" w:pos="9072"/>
          <w:tab w:val="left" w:pos="0"/>
        </w:tabs>
        <w:rPr>
          <w:sz w:val="22"/>
          <w:szCs w:val="22"/>
          <w:lang w:val="sr-Latn-ME"/>
        </w:rPr>
      </w:pPr>
      <w:r w:rsidRPr="008675A3">
        <w:rPr>
          <w:sz w:val="22"/>
          <w:szCs w:val="22"/>
          <w:lang w:val="sr-Latn-ME"/>
        </w:rPr>
        <w:t>triazolam i oralni midazolam.</w:t>
      </w:r>
    </w:p>
    <w:p w14:paraId="2D418D51" w14:textId="77777777" w:rsidR="00C16A37" w:rsidRPr="008675A3" w:rsidRDefault="00C16A37" w:rsidP="006D0100">
      <w:pPr>
        <w:rPr>
          <w:lang w:val="sr-Latn-ME"/>
        </w:rPr>
      </w:pPr>
    </w:p>
    <w:p w14:paraId="46D71CDD" w14:textId="2ACD67A1" w:rsidR="00C16A37" w:rsidRPr="008675A3" w:rsidRDefault="00C16A37" w:rsidP="006D32DF">
      <w:pPr>
        <w:outlineLvl w:val="0"/>
        <w:rPr>
          <w:b/>
          <w:bCs/>
          <w:lang w:val="sr-Latn-ME"/>
        </w:rPr>
      </w:pPr>
      <w:r w:rsidRPr="008675A3">
        <w:rPr>
          <w:b/>
          <w:bCs/>
          <w:lang w:val="sr-Latn-ME"/>
        </w:rPr>
        <w:t>4.4. Posebna upozorenja i m</w:t>
      </w:r>
      <w:r w:rsidR="001F6E94" w:rsidRPr="008675A3">
        <w:rPr>
          <w:b/>
          <w:bCs/>
          <w:lang w:val="sr-Latn-ME"/>
        </w:rPr>
        <w:t>j</w:t>
      </w:r>
      <w:r w:rsidRPr="008675A3">
        <w:rPr>
          <w:b/>
          <w:bCs/>
          <w:lang w:val="sr-Latn-ME"/>
        </w:rPr>
        <w:t>ere opreza pri upotrebi l</w:t>
      </w:r>
      <w:r w:rsidR="001F6E94" w:rsidRPr="008675A3">
        <w:rPr>
          <w:b/>
          <w:bCs/>
          <w:lang w:val="sr-Latn-ME"/>
        </w:rPr>
        <w:t>ij</w:t>
      </w:r>
      <w:r w:rsidRPr="008675A3">
        <w:rPr>
          <w:b/>
          <w:bCs/>
          <w:lang w:val="sr-Latn-ME"/>
        </w:rPr>
        <w:t>eka</w:t>
      </w:r>
    </w:p>
    <w:p w14:paraId="457B2C37" w14:textId="3B6D285B" w:rsidR="00C16A37" w:rsidRPr="008675A3" w:rsidRDefault="00C16A37" w:rsidP="000E7A0B">
      <w:pPr>
        <w:tabs>
          <w:tab w:val="clear" w:pos="284"/>
        </w:tabs>
        <w:spacing w:before="100" w:beforeAutospacing="1" w:after="100" w:afterAutospacing="1"/>
        <w:rPr>
          <w:lang w:val="sr-Latn-ME"/>
        </w:rPr>
      </w:pPr>
      <w:r w:rsidRPr="008675A3">
        <w:rPr>
          <w:lang w:val="sr-Latn-ME"/>
        </w:rPr>
        <w:t>Mikonazol se sistemski resorbuje i poznato je da inhibira CYP2C9 i CYP3A4 (vid</w:t>
      </w:r>
      <w:r w:rsidR="001F6E94" w:rsidRPr="008675A3">
        <w:rPr>
          <w:lang w:val="sr-Latn-ME"/>
        </w:rPr>
        <w:t>j</w:t>
      </w:r>
      <w:r w:rsidRPr="008675A3">
        <w:rPr>
          <w:lang w:val="sr-Latn-ME"/>
        </w:rPr>
        <w:t xml:space="preserve">eti </w:t>
      </w:r>
      <w:r w:rsidR="00665B19" w:rsidRPr="008675A3">
        <w:rPr>
          <w:lang w:val="sr-Latn-ME"/>
        </w:rPr>
        <w:t>dio</w:t>
      </w:r>
      <w:r w:rsidRPr="008675A3">
        <w:rPr>
          <w:lang w:val="sr-Latn-ME"/>
        </w:rPr>
        <w:t xml:space="preserve"> 5.2 Farmakokinetički podaci) što može da dovede do produženog dejstva varfarina. Zab</w:t>
      </w:r>
      <w:r w:rsidR="001F6E94" w:rsidRPr="008675A3">
        <w:rPr>
          <w:lang w:val="sr-Latn-ME"/>
        </w:rPr>
        <w:t>i</w:t>
      </w:r>
      <w:r w:rsidRPr="008675A3">
        <w:rPr>
          <w:lang w:val="sr-Latn-ME"/>
        </w:rPr>
        <w:t>l</w:t>
      </w:r>
      <w:r w:rsidR="001F6E94" w:rsidRPr="008675A3">
        <w:rPr>
          <w:lang w:val="sr-Latn-ME"/>
        </w:rPr>
        <w:t>j</w:t>
      </w:r>
      <w:r w:rsidRPr="008675A3">
        <w:rPr>
          <w:lang w:val="sr-Latn-ME"/>
        </w:rPr>
        <w:t>ežena je pojava krvarenja, neka su bila i sa smrtnim ishodom, kada su se istovremeno prim</w:t>
      </w:r>
      <w:r w:rsidR="001F6E94" w:rsidRPr="008675A3">
        <w:rPr>
          <w:lang w:val="sr-Latn-ME"/>
        </w:rPr>
        <w:t>j</w:t>
      </w:r>
      <w:r w:rsidRPr="008675A3">
        <w:rPr>
          <w:lang w:val="sr-Latn-ME"/>
        </w:rPr>
        <w:t>enjivali mikonazol oralni gel i varfarin (vid</w:t>
      </w:r>
      <w:r w:rsidR="001F6E94" w:rsidRPr="008675A3">
        <w:rPr>
          <w:lang w:val="sr-Latn-ME"/>
        </w:rPr>
        <w:t>j</w:t>
      </w:r>
      <w:r w:rsidRPr="008675A3">
        <w:rPr>
          <w:lang w:val="sr-Latn-ME"/>
        </w:rPr>
        <w:t xml:space="preserve">eti </w:t>
      </w:r>
      <w:r w:rsidR="00665B19" w:rsidRPr="008675A3">
        <w:rPr>
          <w:lang w:val="sr-Latn-ME"/>
        </w:rPr>
        <w:t>djelove</w:t>
      </w:r>
      <w:r w:rsidRPr="008675A3">
        <w:rPr>
          <w:lang w:val="sr-Latn-ME"/>
        </w:rPr>
        <w:t xml:space="preserve"> 4.5 Interakcije sa drugim l</w:t>
      </w:r>
      <w:r w:rsidR="001F6E94" w:rsidRPr="008675A3">
        <w:rPr>
          <w:lang w:val="sr-Latn-ME"/>
        </w:rPr>
        <w:t>j</w:t>
      </w:r>
      <w:r w:rsidRPr="008675A3">
        <w:rPr>
          <w:lang w:val="sr-Latn-ME"/>
        </w:rPr>
        <w:t>ekovima i druge vrste interakcija i 4.8 Neželjena dejstva). Ukoliko se razmatra istovremena prim</w:t>
      </w:r>
      <w:r w:rsidR="001F6E94" w:rsidRPr="008675A3">
        <w:rPr>
          <w:lang w:val="sr-Latn-ME"/>
        </w:rPr>
        <w:t>j</w:t>
      </w:r>
      <w:r w:rsidRPr="008675A3">
        <w:rPr>
          <w:lang w:val="sr-Latn-ME"/>
        </w:rPr>
        <w:t>ena l</w:t>
      </w:r>
      <w:r w:rsidR="001F6E94" w:rsidRPr="008675A3">
        <w:rPr>
          <w:lang w:val="sr-Latn-ME"/>
        </w:rPr>
        <w:t>ij</w:t>
      </w:r>
      <w:r w:rsidRPr="008675A3">
        <w:rPr>
          <w:lang w:val="sr-Latn-ME"/>
        </w:rPr>
        <w:t>eka Daktanol oralni gel i oralnog antikoagulansa kao što je varfarin, antikoagulantni efekat treba pažljivo pratiti i titrirati (vid</w:t>
      </w:r>
      <w:r w:rsidR="001F6E94" w:rsidRPr="008675A3">
        <w:rPr>
          <w:lang w:val="sr-Latn-ME"/>
        </w:rPr>
        <w:t>j</w:t>
      </w:r>
      <w:r w:rsidRPr="008675A3">
        <w:rPr>
          <w:lang w:val="sr-Latn-ME"/>
        </w:rPr>
        <w:t xml:space="preserve">eti </w:t>
      </w:r>
      <w:r w:rsidR="00665B19" w:rsidRPr="008675A3">
        <w:rPr>
          <w:lang w:val="sr-Latn-ME"/>
        </w:rPr>
        <w:t>diodio</w:t>
      </w:r>
      <w:r w:rsidRPr="008675A3">
        <w:rPr>
          <w:lang w:val="sr-Latn-ME"/>
        </w:rPr>
        <w:t xml:space="preserve"> 4.5).</w:t>
      </w:r>
    </w:p>
    <w:p w14:paraId="217C0571" w14:textId="65B1FA1B" w:rsidR="00B16116" w:rsidRPr="008675A3" w:rsidRDefault="00C16A37" w:rsidP="006D0100">
      <w:pPr>
        <w:tabs>
          <w:tab w:val="clear" w:pos="284"/>
        </w:tabs>
        <w:autoSpaceDE w:val="0"/>
        <w:autoSpaceDN w:val="0"/>
        <w:adjustRightInd w:val="0"/>
        <w:rPr>
          <w:u w:val="single"/>
          <w:lang w:val="sr-Latn-ME"/>
        </w:rPr>
      </w:pPr>
      <w:r w:rsidRPr="008675A3">
        <w:rPr>
          <w:u w:val="single"/>
          <w:lang w:val="sr-Latn-ME"/>
        </w:rPr>
        <w:t>Potrebno je sav</w:t>
      </w:r>
      <w:r w:rsidR="001F6E94" w:rsidRPr="008675A3">
        <w:rPr>
          <w:u w:val="single"/>
          <w:lang w:val="sr-Latn-ME"/>
        </w:rPr>
        <w:t>j</w:t>
      </w:r>
      <w:r w:rsidRPr="008675A3">
        <w:rPr>
          <w:u w:val="single"/>
          <w:lang w:val="sr-Latn-ME"/>
        </w:rPr>
        <w:t>etovati pacijenta da prekine prim</w:t>
      </w:r>
      <w:r w:rsidR="001F6E94" w:rsidRPr="008675A3">
        <w:rPr>
          <w:u w:val="single"/>
          <w:lang w:val="sr-Latn-ME"/>
        </w:rPr>
        <w:t>j</w:t>
      </w:r>
      <w:r w:rsidRPr="008675A3">
        <w:rPr>
          <w:u w:val="single"/>
          <w:lang w:val="sr-Latn-ME"/>
        </w:rPr>
        <w:t>enu mikonazola i potraži sav</w:t>
      </w:r>
      <w:r w:rsidR="001F6E94" w:rsidRPr="008675A3">
        <w:rPr>
          <w:u w:val="single"/>
          <w:lang w:val="sr-Latn-ME"/>
        </w:rPr>
        <w:t>j</w:t>
      </w:r>
      <w:r w:rsidRPr="008675A3">
        <w:rPr>
          <w:u w:val="single"/>
          <w:lang w:val="sr-Latn-ME"/>
        </w:rPr>
        <w:t>et l</w:t>
      </w:r>
      <w:r w:rsidR="00FE5DBC" w:rsidRPr="008675A3">
        <w:rPr>
          <w:u w:val="single"/>
          <w:lang w:val="sr-Latn-ME"/>
        </w:rPr>
        <w:t>j</w:t>
      </w:r>
      <w:r w:rsidRPr="008675A3">
        <w:rPr>
          <w:u w:val="single"/>
          <w:lang w:val="sr-Latn-ME"/>
        </w:rPr>
        <w:t>ekara ako prim</w:t>
      </w:r>
      <w:r w:rsidR="00FE5DBC" w:rsidRPr="008675A3">
        <w:rPr>
          <w:u w:val="single"/>
          <w:lang w:val="sr-Latn-ME"/>
        </w:rPr>
        <w:t>ij</w:t>
      </w:r>
      <w:r w:rsidRPr="008675A3">
        <w:rPr>
          <w:u w:val="single"/>
          <w:lang w:val="sr-Latn-ME"/>
        </w:rPr>
        <w:t xml:space="preserve">eti neočekivano krvarenje ili pojavu modrica, krvarenje iz nosa, iskašljavanje krvi, krv u mokraći, kao katran crnu stolicu ili povraćeni sadržaj koji izgleda kao talog crne kafe. </w:t>
      </w:r>
    </w:p>
    <w:p w14:paraId="105FC621" w14:textId="5D1FE6F8" w:rsidR="00C16A37" w:rsidRPr="008675A3" w:rsidRDefault="00C16A37" w:rsidP="006D0100">
      <w:pPr>
        <w:tabs>
          <w:tab w:val="clear" w:pos="284"/>
        </w:tabs>
        <w:autoSpaceDE w:val="0"/>
        <w:autoSpaceDN w:val="0"/>
        <w:adjustRightInd w:val="0"/>
        <w:rPr>
          <w:lang w:val="sr-Latn-ME"/>
        </w:rPr>
      </w:pPr>
      <w:r w:rsidRPr="008675A3">
        <w:rPr>
          <w:lang w:val="sr-Latn-ME"/>
        </w:rPr>
        <w:t>Teške reakcije preos</w:t>
      </w:r>
      <w:r w:rsidR="00FE5DBC" w:rsidRPr="008675A3">
        <w:rPr>
          <w:lang w:val="sr-Latn-ME"/>
        </w:rPr>
        <w:t>j</w:t>
      </w:r>
      <w:r w:rsidRPr="008675A3">
        <w:rPr>
          <w:lang w:val="sr-Latn-ME"/>
        </w:rPr>
        <w:t>etljivosti, uključujući anafilaksu i angioedem, zab</w:t>
      </w:r>
      <w:r w:rsidR="00FE5DBC" w:rsidRPr="008675A3">
        <w:rPr>
          <w:lang w:val="sr-Latn-ME"/>
        </w:rPr>
        <w:t>i</w:t>
      </w:r>
      <w:r w:rsidRPr="008675A3">
        <w:rPr>
          <w:lang w:val="sr-Latn-ME"/>
        </w:rPr>
        <w:t>l</w:t>
      </w:r>
      <w:r w:rsidR="00FE5DBC" w:rsidRPr="008675A3">
        <w:rPr>
          <w:lang w:val="sr-Latn-ME"/>
        </w:rPr>
        <w:t>j</w:t>
      </w:r>
      <w:r w:rsidRPr="008675A3">
        <w:rPr>
          <w:lang w:val="sr-Latn-ME"/>
        </w:rPr>
        <w:t>ežene su u toku terapije mikonazolom (vid</w:t>
      </w:r>
      <w:r w:rsidR="00FE5DBC" w:rsidRPr="008675A3">
        <w:rPr>
          <w:lang w:val="sr-Latn-ME"/>
        </w:rPr>
        <w:t>j</w:t>
      </w:r>
      <w:r w:rsidRPr="008675A3">
        <w:rPr>
          <w:lang w:val="sr-Latn-ME"/>
        </w:rPr>
        <w:t xml:space="preserve">eti </w:t>
      </w:r>
      <w:r w:rsidR="00665B19" w:rsidRPr="008675A3">
        <w:rPr>
          <w:lang w:val="sr-Latn-ME"/>
        </w:rPr>
        <w:t>dio</w:t>
      </w:r>
      <w:r w:rsidRPr="008675A3">
        <w:rPr>
          <w:lang w:val="sr-Latn-ME"/>
        </w:rPr>
        <w:t xml:space="preserve"> 4.8). Ako neka reakcija ukazuje na preos</w:t>
      </w:r>
      <w:r w:rsidR="00FE5DBC" w:rsidRPr="008675A3">
        <w:rPr>
          <w:lang w:val="sr-Latn-ME"/>
        </w:rPr>
        <w:t>j</w:t>
      </w:r>
      <w:r w:rsidRPr="008675A3">
        <w:rPr>
          <w:lang w:val="sr-Latn-ME"/>
        </w:rPr>
        <w:t>etljivost ili iritaciju, treba prekinuti terapiju mikonazolom.</w:t>
      </w:r>
    </w:p>
    <w:p w14:paraId="454088AD" w14:textId="77777777" w:rsidR="00C16A37" w:rsidRPr="008675A3" w:rsidRDefault="00C16A37" w:rsidP="006D0100">
      <w:pPr>
        <w:tabs>
          <w:tab w:val="clear" w:pos="284"/>
        </w:tabs>
        <w:spacing w:before="100" w:beforeAutospacing="1" w:after="100" w:afterAutospacing="1"/>
        <w:rPr>
          <w:lang w:val="sr-Latn-ME"/>
        </w:rPr>
      </w:pPr>
      <w:r w:rsidRPr="008675A3">
        <w:rPr>
          <w:lang w:val="sr-Latn-ME"/>
        </w:rPr>
        <w:t xml:space="preserve">Preporučljivo je pratiti koncentracije mikonazola i fenitoina u plazmi ukoliko se koriste istovremeno u terapiji. </w:t>
      </w:r>
    </w:p>
    <w:p w14:paraId="3394A00E" w14:textId="7C273F72" w:rsidR="00C16A37" w:rsidRPr="008675A3" w:rsidRDefault="00C16A37" w:rsidP="006D0100">
      <w:pPr>
        <w:pStyle w:val="Header"/>
        <w:tabs>
          <w:tab w:val="clear" w:pos="4536"/>
          <w:tab w:val="clear" w:pos="9072"/>
          <w:tab w:val="left" w:pos="284"/>
        </w:tabs>
        <w:rPr>
          <w:b/>
          <w:bCs/>
          <w:sz w:val="22"/>
          <w:szCs w:val="22"/>
          <w:lang w:val="sr-Latn-ME"/>
        </w:rPr>
      </w:pPr>
      <w:r w:rsidRPr="008675A3">
        <w:rPr>
          <w:lang w:val="sr-Latn-ME"/>
        </w:rPr>
        <w:t>Kod pacijenata koji uzimaju oralne antidijabetike (kao što su derivati sulfonilureje), istovremena terapija mikonazolom može pojačati terapijski efekat ovih l</w:t>
      </w:r>
      <w:r w:rsidR="00FE5DBC" w:rsidRPr="008675A3">
        <w:rPr>
          <w:lang w:val="sr-Latn-ME"/>
        </w:rPr>
        <w:t>j</w:t>
      </w:r>
      <w:r w:rsidRPr="008675A3">
        <w:rPr>
          <w:lang w:val="sr-Latn-ME"/>
        </w:rPr>
        <w:t>ekova i dovesti do neželjene hipoglikemije. Stoga treba razmotriti preduzimanje odgovarajućih m</w:t>
      </w:r>
      <w:r w:rsidR="00FE5DBC" w:rsidRPr="008675A3">
        <w:rPr>
          <w:lang w:val="sr-Latn-ME"/>
        </w:rPr>
        <w:t>j</w:t>
      </w:r>
      <w:r w:rsidRPr="008675A3">
        <w:rPr>
          <w:lang w:val="sr-Latn-ME"/>
        </w:rPr>
        <w:t xml:space="preserve">era koje su navedene u </w:t>
      </w:r>
      <w:r w:rsidR="00665B19" w:rsidRPr="008675A3">
        <w:rPr>
          <w:lang w:val="sr-Latn-ME"/>
        </w:rPr>
        <w:t>dijelu</w:t>
      </w:r>
      <w:r w:rsidRPr="008675A3">
        <w:rPr>
          <w:lang w:val="sr-Latn-ME"/>
        </w:rPr>
        <w:t xml:space="preserve"> 4.5  Interakcije sa drugim l</w:t>
      </w:r>
      <w:r w:rsidR="00FE5DBC" w:rsidRPr="008675A3">
        <w:rPr>
          <w:lang w:val="sr-Latn-ME"/>
        </w:rPr>
        <w:t>j</w:t>
      </w:r>
      <w:r w:rsidRPr="008675A3">
        <w:rPr>
          <w:lang w:val="sr-Latn-ME"/>
        </w:rPr>
        <w:t xml:space="preserve">ekovima i druge vrste interakcija. </w:t>
      </w:r>
    </w:p>
    <w:p w14:paraId="67CCF7B9" w14:textId="4A923953" w:rsidR="00C16A37" w:rsidRPr="008675A3" w:rsidRDefault="00C16A37" w:rsidP="006D32DF">
      <w:pPr>
        <w:pStyle w:val="Header"/>
        <w:tabs>
          <w:tab w:val="clear" w:pos="4536"/>
          <w:tab w:val="clear" w:pos="9072"/>
          <w:tab w:val="left" w:pos="284"/>
        </w:tabs>
        <w:outlineLvl w:val="0"/>
        <w:rPr>
          <w:b/>
          <w:bCs/>
          <w:sz w:val="22"/>
          <w:szCs w:val="22"/>
          <w:lang w:val="sr-Latn-ME"/>
        </w:rPr>
      </w:pPr>
      <w:r w:rsidRPr="008675A3">
        <w:rPr>
          <w:b/>
          <w:bCs/>
          <w:sz w:val="22"/>
          <w:szCs w:val="22"/>
          <w:lang w:val="sr-Latn-ME"/>
        </w:rPr>
        <w:lastRenderedPageBreak/>
        <w:t>Opasnost od gušenja kod odojčadi i male d</w:t>
      </w:r>
      <w:r w:rsidR="00FE5DBC" w:rsidRPr="008675A3">
        <w:rPr>
          <w:b/>
          <w:bCs/>
          <w:sz w:val="22"/>
          <w:szCs w:val="22"/>
          <w:lang w:val="sr-Latn-ME"/>
        </w:rPr>
        <w:t>j</w:t>
      </w:r>
      <w:r w:rsidRPr="008675A3">
        <w:rPr>
          <w:b/>
          <w:bCs/>
          <w:sz w:val="22"/>
          <w:szCs w:val="22"/>
          <w:lang w:val="sr-Latn-ME"/>
        </w:rPr>
        <w:t>ece</w:t>
      </w:r>
    </w:p>
    <w:p w14:paraId="3D486EB7" w14:textId="77777777" w:rsidR="00C16A37" w:rsidRPr="008675A3" w:rsidRDefault="00C16A37" w:rsidP="006D0100">
      <w:pPr>
        <w:pStyle w:val="Header"/>
        <w:tabs>
          <w:tab w:val="clear" w:pos="4536"/>
          <w:tab w:val="clear" w:pos="9072"/>
          <w:tab w:val="left" w:pos="284"/>
        </w:tabs>
        <w:rPr>
          <w:b/>
          <w:bCs/>
          <w:sz w:val="22"/>
          <w:szCs w:val="22"/>
          <w:lang w:val="sr-Latn-ME"/>
        </w:rPr>
      </w:pPr>
    </w:p>
    <w:p w14:paraId="1ECC3BA6" w14:textId="3A40CFB7"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Neophodan je poseban oprez kada se gel nanosi kod odojčadi i male d</w:t>
      </w:r>
      <w:r w:rsidR="00FE5DBC" w:rsidRPr="008675A3">
        <w:rPr>
          <w:sz w:val="22"/>
          <w:szCs w:val="22"/>
          <w:lang w:val="sr-Latn-ME"/>
        </w:rPr>
        <w:t>j</w:t>
      </w:r>
      <w:r w:rsidRPr="008675A3">
        <w:rPr>
          <w:sz w:val="22"/>
          <w:szCs w:val="22"/>
          <w:lang w:val="sr-Latn-ME"/>
        </w:rPr>
        <w:t>ece (uzrasta od 4 m</w:t>
      </w:r>
      <w:r w:rsidR="00FE5DBC" w:rsidRPr="008675A3">
        <w:rPr>
          <w:sz w:val="22"/>
          <w:szCs w:val="22"/>
          <w:lang w:val="sr-Latn-ME"/>
        </w:rPr>
        <w:t>j</w:t>
      </w:r>
      <w:r w:rsidRPr="008675A3">
        <w:rPr>
          <w:sz w:val="22"/>
          <w:szCs w:val="22"/>
          <w:lang w:val="sr-Latn-ME"/>
        </w:rPr>
        <w:t>eseca do 2 godine), jer može doći do opstrukcije grla gelom i gušenja. Iz tog razloga l</w:t>
      </w:r>
      <w:r w:rsidR="00FE5DBC" w:rsidRPr="008675A3">
        <w:rPr>
          <w:sz w:val="22"/>
          <w:szCs w:val="22"/>
          <w:lang w:val="sr-Latn-ME"/>
        </w:rPr>
        <w:t>ij</w:t>
      </w:r>
      <w:r w:rsidRPr="008675A3">
        <w:rPr>
          <w:sz w:val="22"/>
          <w:szCs w:val="22"/>
          <w:lang w:val="sr-Latn-ME"/>
        </w:rPr>
        <w:t>ek ne nanositi na zadnju stranu grla. Svaku dozu gela neophodno je pod</w:t>
      </w:r>
      <w:r w:rsidR="00FE5DBC" w:rsidRPr="008675A3">
        <w:rPr>
          <w:sz w:val="22"/>
          <w:szCs w:val="22"/>
          <w:lang w:val="sr-Latn-ME"/>
        </w:rPr>
        <w:t>ij</w:t>
      </w:r>
      <w:r w:rsidRPr="008675A3">
        <w:rPr>
          <w:sz w:val="22"/>
          <w:szCs w:val="22"/>
          <w:lang w:val="sr-Latn-ME"/>
        </w:rPr>
        <w:t>eliti u manje porcije i prim</w:t>
      </w:r>
      <w:r w:rsidR="00FE5DBC" w:rsidRPr="008675A3">
        <w:rPr>
          <w:sz w:val="22"/>
          <w:szCs w:val="22"/>
          <w:lang w:val="sr-Latn-ME"/>
        </w:rPr>
        <w:t>j</w:t>
      </w:r>
      <w:r w:rsidRPr="008675A3">
        <w:rPr>
          <w:sz w:val="22"/>
          <w:szCs w:val="22"/>
          <w:lang w:val="sr-Latn-ME"/>
        </w:rPr>
        <w:t>enjivati na zahvaćenu površinu/e čistim prstom. Nakon prim</w:t>
      </w:r>
      <w:r w:rsidR="00FE5DBC" w:rsidRPr="008675A3">
        <w:rPr>
          <w:sz w:val="22"/>
          <w:szCs w:val="22"/>
          <w:lang w:val="sr-Latn-ME"/>
        </w:rPr>
        <w:t>j</w:t>
      </w:r>
      <w:r w:rsidRPr="008675A3">
        <w:rPr>
          <w:sz w:val="22"/>
          <w:szCs w:val="22"/>
          <w:lang w:val="sr-Latn-ME"/>
        </w:rPr>
        <w:t>ene l</w:t>
      </w:r>
      <w:r w:rsidR="00FE5DBC" w:rsidRPr="008675A3">
        <w:rPr>
          <w:sz w:val="22"/>
          <w:szCs w:val="22"/>
          <w:lang w:val="sr-Latn-ME"/>
        </w:rPr>
        <w:t>ij</w:t>
      </w:r>
      <w:r w:rsidRPr="008675A3">
        <w:rPr>
          <w:sz w:val="22"/>
          <w:szCs w:val="22"/>
          <w:lang w:val="sr-Latn-ME"/>
        </w:rPr>
        <w:t>eka neko vr</w:t>
      </w:r>
      <w:r w:rsidR="00FE5DBC" w:rsidRPr="008675A3">
        <w:rPr>
          <w:sz w:val="22"/>
          <w:szCs w:val="22"/>
          <w:lang w:val="sr-Latn-ME"/>
        </w:rPr>
        <w:t>ij</w:t>
      </w:r>
      <w:r w:rsidRPr="008675A3">
        <w:rPr>
          <w:sz w:val="22"/>
          <w:szCs w:val="22"/>
          <w:lang w:val="sr-Latn-ME"/>
        </w:rPr>
        <w:t>eme posmatrati pacijenta zbog mogućeg gušenja. Takođe, zbog rizika od gušenja, gel se ne sm</w:t>
      </w:r>
      <w:r w:rsidR="00FE5DBC" w:rsidRPr="008675A3">
        <w:rPr>
          <w:sz w:val="22"/>
          <w:szCs w:val="22"/>
          <w:lang w:val="sr-Latn-ME"/>
        </w:rPr>
        <w:t>ij</w:t>
      </w:r>
      <w:r w:rsidRPr="008675A3">
        <w:rPr>
          <w:sz w:val="22"/>
          <w:szCs w:val="22"/>
          <w:lang w:val="sr-Latn-ME"/>
        </w:rPr>
        <w:t>e nanositi na bradavicu dojilje da bi se l</w:t>
      </w:r>
      <w:r w:rsidR="00FE5DBC" w:rsidRPr="008675A3">
        <w:rPr>
          <w:sz w:val="22"/>
          <w:szCs w:val="22"/>
          <w:lang w:val="sr-Latn-ME"/>
        </w:rPr>
        <w:t>ij</w:t>
      </w:r>
      <w:r w:rsidRPr="008675A3">
        <w:rPr>
          <w:sz w:val="22"/>
          <w:szCs w:val="22"/>
          <w:lang w:val="sr-Latn-ME"/>
        </w:rPr>
        <w:t>ek tako prim</w:t>
      </w:r>
      <w:r w:rsidR="00FE5DBC" w:rsidRPr="008675A3">
        <w:rPr>
          <w:sz w:val="22"/>
          <w:szCs w:val="22"/>
          <w:lang w:val="sr-Latn-ME"/>
        </w:rPr>
        <w:t>ij</w:t>
      </w:r>
      <w:r w:rsidRPr="008675A3">
        <w:rPr>
          <w:sz w:val="22"/>
          <w:szCs w:val="22"/>
          <w:lang w:val="sr-Latn-ME"/>
        </w:rPr>
        <w:t>enio kod odojčeta.</w:t>
      </w:r>
    </w:p>
    <w:p w14:paraId="1C1908A1" w14:textId="77777777" w:rsidR="00C16A37" w:rsidRPr="008675A3" w:rsidRDefault="00C16A37" w:rsidP="006D0100">
      <w:pPr>
        <w:pStyle w:val="Header"/>
        <w:tabs>
          <w:tab w:val="clear" w:pos="4536"/>
          <w:tab w:val="clear" w:pos="9072"/>
          <w:tab w:val="left" w:pos="284"/>
        </w:tabs>
        <w:rPr>
          <w:sz w:val="22"/>
          <w:szCs w:val="22"/>
          <w:lang w:val="sr-Latn-ME"/>
        </w:rPr>
      </w:pPr>
    </w:p>
    <w:p w14:paraId="7131A760" w14:textId="2DD82D4D"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Važno je uzeti u obzir razlike u sazr</w:t>
      </w:r>
      <w:r w:rsidR="00FE5DBC" w:rsidRPr="008675A3">
        <w:rPr>
          <w:sz w:val="22"/>
          <w:szCs w:val="22"/>
          <w:lang w:val="sr-Latn-ME"/>
        </w:rPr>
        <w:t>ij</w:t>
      </w:r>
      <w:r w:rsidRPr="008675A3">
        <w:rPr>
          <w:sz w:val="22"/>
          <w:szCs w:val="22"/>
          <w:lang w:val="sr-Latn-ME"/>
        </w:rPr>
        <w:t>evanju funkcije gutanja kod odojčadi, pogotovo kada se mikonazol gel prim</w:t>
      </w:r>
      <w:r w:rsidR="00FE5DBC" w:rsidRPr="008675A3">
        <w:rPr>
          <w:sz w:val="22"/>
          <w:szCs w:val="22"/>
          <w:lang w:val="sr-Latn-ME"/>
        </w:rPr>
        <w:t>j</w:t>
      </w:r>
      <w:r w:rsidRPr="008675A3">
        <w:rPr>
          <w:sz w:val="22"/>
          <w:szCs w:val="22"/>
          <w:lang w:val="sr-Latn-ME"/>
        </w:rPr>
        <w:t>enjuje kod odojčadi uzrasta 4 do 6 m</w:t>
      </w:r>
      <w:r w:rsidR="00FE5DBC" w:rsidRPr="008675A3">
        <w:rPr>
          <w:sz w:val="22"/>
          <w:szCs w:val="22"/>
          <w:lang w:val="sr-Latn-ME"/>
        </w:rPr>
        <w:t>j</w:t>
      </w:r>
      <w:r w:rsidRPr="008675A3">
        <w:rPr>
          <w:sz w:val="22"/>
          <w:szCs w:val="22"/>
          <w:lang w:val="sr-Latn-ME"/>
        </w:rPr>
        <w:t>eseci. Donju starosnu granicu treba pom</w:t>
      </w:r>
      <w:r w:rsidR="00FE5DBC" w:rsidRPr="008675A3">
        <w:rPr>
          <w:sz w:val="22"/>
          <w:szCs w:val="22"/>
          <w:lang w:val="sr-Latn-ME"/>
        </w:rPr>
        <w:t>j</w:t>
      </w:r>
      <w:r w:rsidRPr="008675A3">
        <w:rPr>
          <w:sz w:val="22"/>
          <w:szCs w:val="22"/>
          <w:lang w:val="sr-Latn-ME"/>
        </w:rPr>
        <w:t>eriti na 5-6 m</w:t>
      </w:r>
      <w:r w:rsidR="00FE5DBC" w:rsidRPr="008675A3">
        <w:rPr>
          <w:sz w:val="22"/>
          <w:szCs w:val="22"/>
          <w:lang w:val="sr-Latn-ME"/>
        </w:rPr>
        <w:t>j</w:t>
      </w:r>
      <w:r w:rsidRPr="008675A3">
        <w:rPr>
          <w:sz w:val="22"/>
          <w:szCs w:val="22"/>
          <w:lang w:val="sr-Latn-ME"/>
        </w:rPr>
        <w:t>eseci za pr</w:t>
      </w:r>
      <w:r w:rsidR="00FE5DBC" w:rsidRPr="008675A3">
        <w:rPr>
          <w:sz w:val="22"/>
          <w:szCs w:val="22"/>
          <w:lang w:val="sr-Latn-ME"/>
        </w:rPr>
        <w:t>ij</w:t>
      </w:r>
      <w:r w:rsidRPr="008675A3">
        <w:rPr>
          <w:sz w:val="22"/>
          <w:szCs w:val="22"/>
          <w:lang w:val="sr-Latn-ME"/>
        </w:rPr>
        <w:t>evremeno rođenu d</w:t>
      </w:r>
      <w:r w:rsidR="00FE5DBC" w:rsidRPr="008675A3">
        <w:rPr>
          <w:sz w:val="22"/>
          <w:szCs w:val="22"/>
          <w:lang w:val="sr-Latn-ME"/>
        </w:rPr>
        <w:t>j</w:t>
      </w:r>
      <w:r w:rsidRPr="008675A3">
        <w:rPr>
          <w:sz w:val="22"/>
          <w:szCs w:val="22"/>
          <w:lang w:val="sr-Latn-ME"/>
        </w:rPr>
        <w:t xml:space="preserve">ecu ili kod odojčadi koja imaju sporiji neuromuskulatorni razvoj. </w:t>
      </w:r>
    </w:p>
    <w:p w14:paraId="18EEF953" w14:textId="77777777" w:rsidR="00C16A37" w:rsidRPr="008675A3" w:rsidRDefault="00C16A37" w:rsidP="006D0100">
      <w:pPr>
        <w:pStyle w:val="Header"/>
        <w:tabs>
          <w:tab w:val="clear" w:pos="4536"/>
          <w:tab w:val="clear" w:pos="9072"/>
          <w:tab w:val="left" w:pos="284"/>
        </w:tabs>
        <w:rPr>
          <w:sz w:val="22"/>
          <w:szCs w:val="22"/>
          <w:lang w:val="sr-Latn-ME"/>
        </w:rPr>
      </w:pPr>
    </w:p>
    <w:p w14:paraId="22DFAAEA" w14:textId="393CE918"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 xml:space="preserve">Ozbiljne reakcije na koži (npr.toksična epidermalna nekroliza i </w:t>
      </w:r>
      <w:r w:rsidRPr="008675A3">
        <w:rPr>
          <w:i/>
          <w:sz w:val="22"/>
          <w:szCs w:val="22"/>
          <w:lang w:val="sr-Latn-ME"/>
        </w:rPr>
        <w:t>Stevens-Johnson</w:t>
      </w:r>
      <w:r w:rsidRPr="008675A3">
        <w:rPr>
          <w:sz w:val="22"/>
          <w:szCs w:val="22"/>
          <w:lang w:val="sr-Latn-ME"/>
        </w:rPr>
        <w:t>-ov sindrom) zab</w:t>
      </w:r>
      <w:r w:rsidR="00FE5DBC" w:rsidRPr="008675A3">
        <w:rPr>
          <w:sz w:val="22"/>
          <w:szCs w:val="22"/>
          <w:lang w:val="sr-Latn-ME"/>
        </w:rPr>
        <w:t>i</w:t>
      </w:r>
      <w:r w:rsidRPr="008675A3">
        <w:rPr>
          <w:sz w:val="22"/>
          <w:szCs w:val="22"/>
          <w:lang w:val="sr-Latn-ME"/>
        </w:rPr>
        <w:t>l</w:t>
      </w:r>
      <w:r w:rsidR="00FE5DBC" w:rsidRPr="008675A3">
        <w:rPr>
          <w:sz w:val="22"/>
          <w:szCs w:val="22"/>
          <w:lang w:val="sr-Latn-ME"/>
        </w:rPr>
        <w:t>j</w:t>
      </w:r>
      <w:r w:rsidRPr="008675A3">
        <w:rPr>
          <w:sz w:val="22"/>
          <w:szCs w:val="22"/>
          <w:lang w:val="sr-Latn-ME"/>
        </w:rPr>
        <w:t>ežene su kod pacijenata koji su primali mikonazol oralni gel (vid</w:t>
      </w:r>
      <w:r w:rsidR="00FE5DBC" w:rsidRPr="008675A3">
        <w:rPr>
          <w:sz w:val="22"/>
          <w:szCs w:val="22"/>
          <w:lang w:val="sr-Latn-ME"/>
        </w:rPr>
        <w:t>j</w:t>
      </w:r>
      <w:r w:rsidRPr="008675A3">
        <w:rPr>
          <w:sz w:val="22"/>
          <w:szCs w:val="22"/>
          <w:lang w:val="sr-Latn-ME"/>
        </w:rPr>
        <w:t xml:space="preserve">eti </w:t>
      </w:r>
      <w:r w:rsidR="00665B19" w:rsidRPr="008675A3">
        <w:rPr>
          <w:sz w:val="22"/>
          <w:szCs w:val="22"/>
          <w:lang w:val="sr-Latn-ME"/>
        </w:rPr>
        <w:t>dio</w:t>
      </w:r>
      <w:r w:rsidRPr="008675A3">
        <w:rPr>
          <w:sz w:val="22"/>
          <w:szCs w:val="22"/>
          <w:lang w:val="sr-Latn-ME"/>
        </w:rPr>
        <w:t xml:space="preserve"> 4.8). Preporučuje se da se pacijenti informišu o znacima ozbiljnih kožnih reakcija i da se sa prim</w:t>
      </w:r>
      <w:r w:rsidR="00FE5DBC" w:rsidRPr="008675A3">
        <w:rPr>
          <w:sz w:val="22"/>
          <w:szCs w:val="22"/>
          <w:lang w:val="sr-Latn-ME"/>
        </w:rPr>
        <w:t>j</w:t>
      </w:r>
      <w:r w:rsidRPr="008675A3">
        <w:rPr>
          <w:sz w:val="22"/>
          <w:szCs w:val="22"/>
          <w:lang w:val="sr-Latn-ME"/>
        </w:rPr>
        <w:t>enom Daktanol oralnog gela prekine odmah ukoliko se prim</w:t>
      </w:r>
      <w:r w:rsidR="00FE5DBC" w:rsidRPr="008675A3">
        <w:rPr>
          <w:sz w:val="22"/>
          <w:szCs w:val="22"/>
          <w:lang w:val="sr-Latn-ME"/>
        </w:rPr>
        <w:t>ij</w:t>
      </w:r>
      <w:r w:rsidRPr="008675A3">
        <w:rPr>
          <w:sz w:val="22"/>
          <w:szCs w:val="22"/>
          <w:lang w:val="sr-Latn-ME"/>
        </w:rPr>
        <w:t>eti osip na koži.</w:t>
      </w:r>
    </w:p>
    <w:p w14:paraId="79AC8A9A" w14:textId="77777777" w:rsidR="00C16A37" w:rsidRPr="008675A3" w:rsidRDefault="00C16A37" w:rsidP="00FD4A33">
      <w:pPr>
        <w:pStyle w:val="Header"/>
        <w:tabs>
          <w:tab w:val="clear" w:pos="4536"/>
          <w:tab w:val="clear" w:pos="9072"/>
          <w:tab w:val="left" w:pos="284"/>
        </w:tabs>
        <w:rPr>
          <w:sz w:val="22"/>
          <w:szCs w:val="22"/>
          <w:lang w:val="sr-Latn-ME"/>
        </w:rPr>
      </w:pPr>
    </w:p>
    <w:p w14:paraId="6B4E2D9A" w14:textId="7103D564" w:rsidR="00C16A37" w:rsidRPr="008675A3" w:rsidRDefault="00C16A37" w:rsidP="00FD4A33">
      <w:pPr>
        <w:pStyle w:val="Header"/>
        <w:tabs>
          <w:tab w:val="clear" w:pos="4536"/>
          <w:tab w:val="clear" w:pos="9072"/>
          <w:tab w:val="left" w:pos="284"/>
        </w:tabs>
        <w:rPr>
          <w:sz w:val="22"/>
          <w:szCs w:val="22"/>
          <w:lang w:val="sr-Latn-ME"/>
        </w:rPr>
      </w:pPr>
      <w:r w:rsidRPr="008675A3">
        <w:rPr>
          <w:sz w:val="22"/>
          <w:szCs w:val="22"/>
          <w:lang w:val="sr-Latn-ME"/>
        </w:rPr>
        <w:t>Ovaj l</w:t>
      </w:r>
      <w:r w:rsidR="00FE5DBC" w:rsidRPr="008675A3">
        <w:rPr>
          <w:sz w:val="22"/>
          <w:szCs w:val="22"/>
          <w:lang w:val="sr-Latn-ME"/>
        </w:rPr>
        <w:t>ij</w:t>
      </w:r>
      <w:r w:rsidRPr="008675A3">
        <w:rPr>
          <w:sz w:val="22"/>
          <w:szCs w:val="22"/>
          <w:lang w:val="sr-Latn-ME"/>
        </w:rPr>
        <w:t>ek sadrži manje količine etanola (alkohola), manje od 100 mg po dozi.</w:t>
      </w:r>
    </w:p>
    <w:p w14:paraId="3138704C" w14:textId="45FF7655" w:rsidR="00C16A37" w:rsidRPr="008675A3" w:rsidRDefault="00C16A37" w:rsidP="006D0100">
      <w:pPr>
        <w:rPr>
          <w:lang w:val="sr-Latn-ME"/>
        </w:rPr>
      </w:pPr>
      <w:r w:rsidRPr="008675A3">
        <w:rPr>
          <w:lang w:val="sr-Latn-ME"/>
        </w:rPr>
        <w:t>Ovaj l</w:t>
      </w:r>
      <w:r w:rsidR="00FE5DBC" w:rsidRPr="008675A3">
        <w:rPr>
          <w:lang w:val="sr-Latn-ME"/>
        </w:rPr>
        <w:t>ij</w:t>
      </w:r>
      <w:r w:rsidR="00B70351">
        <w:rPr>
          <w:lang w:val="sr-Latn-ME"/>
        </w:rPr>
        <w:t>ek sadrži benzo</w:t>
      </w:r>
      <w:r w:rsidRPr="008675A3">
        <w:rPr>
          <w:lang w:val="sr-Latn-ME"/>
        </w:rPr>
        <w:t>evu kiselinu. Blag iritant kože, očiju i mukoznih membrana.</w:t>
      </w:r>
    </w:p>
    <w:p w14:paraId="5D38D71E" w14:textId="77777777" w:rsidR="00C16A37" w:rsidRPr="008675A3" w:rsidRDefault="00C16A37" w:rsidP="006D0100">
      <w:pPr>
        <w:rPr>
          <w:lang w:val="sr-Latn-ME"/>
        </w:rPr>
      </w:pPr>
    </w:p>
    <w:p w14:paraId="68A18CFC" w14:textId="4D5DFC89" w:rsidR="00C16A37" w:rsidRPr="008675A3" w:rsidRDefault="00C16A37" w:rsidP="006D32DF">
      <w:pPr>
        <w:outlineLvl w:val="0"/>
        <w:rPr>
          <w:b/>
          <w:bCs/>
          <w:lang w:val="sr-Latn-ME"/>
        </w:rPr>
      </w:pPr>
      <w:r w:rsidRPr="008675A3">
        <w:rPr>
          <w:b/>
          <w:bCs/>
          <w:lang w:val="sr-Latn-ME"/>
        </w:rPr>
        <w:t>4.5. Interakcije sa drugim l</w:t>
      </w:r>
      <w:r w:rsidR="00FE5DBC" w:rsidRPr="008675A3">
        <w:rPr>
          <w:b/>
          <w:bCs/>
          <w:lang w:val="sr-Latn-ME"/>
        </w:rPr>
        <w:t>j</w:t>
      </w:r>
      <w:r w:rsidRPr="008675A3">
        <w:rPr>
          <w:b/>
          <w:bCs/>
          <w:lang w:val="sr-Latn-ME"/>
        </w:rPr>
        <w:t>ekovima i druge vrste interakcija</w:t>
      </w:r>
    </w:p>
    <w:p w14:paraId="18AA9FC0" w14:textId="77777777" w:rsidR="00C16A37" w:rsidRPr="008675A3" w:rsidRDefault="00C16A37" w:rsidP="006D0100">
      <w:pPr>
        <w:rPr>
          <w:lang w:val="sr-Latn-ME"/>
        </w:rPr>
      </w:pPr>
    </w:p>
    <w:p w14:paraId="64BF5A6C" w14:textId="40E6E208"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Kada se bilo koji l</w:t>
      </w:r>
      <w:r w:rsidR="00FE5DBC" w:rsidRPr="008675A3">
        <w:rPr>
          <w:sz w:val="22"/>
          <w:szCs w:val="22"/>
          <w:lang w:val="sr-Latn-ME"/>
        </w:rPr>
        <w:t>j</w:t>
      </w:r>
      <w:r w:rsidRPr="008675A3">
        <w:rPr>
          <w:sz w:val="22"/>
          <w:szCs w:val="22"/>
          <w:lang w:val="sr-Latn-ME"/>
        </w:rPr>
        <w:t>ekovi koriste istovremeno, potrebno je u odgovarajućim uputstvima pronaći informaciju o njihovom metabolisanju. Mikonazol može da inhibira metabolizam l</w:t>
      </w:r>
      <w:r w:rsidR="002B6F36" w:rsidRPr="008675A3">
        <w:rPr>
          <w:sz w:val="22"/>
          <w:szCs w:val="22"/>
          <w:lang w:val="sr-Latn-ME"/>
        </w:rPr>
        <w:t>j</w:t>
      </w:r>
      <w:r w:rsidRPr="008675A3">
        <w:rPr>
          <w:sz w:val="22"/>
          <w:szCs w:val="22"/>
          <w:lang w:val="sr-Latn-ME"/>
        </w:rPr>
        <w:t xml:space="preserve">ekova koji se metabolišu pomoću CYP3A4 i CYP2C9 enzima. Ovo može da dovede do povećanja efekta i/ili prolongiranja njihovog dejstva, kao i povećane mogućnosti neželjenih reakcija. </w:t>
      </w:r>
    </w:p>
    <w:p w14:paraId="1BFCBAA0" w14:textId="77777777" w:rsidR="00C16A37" w:rsidRPr="008675A3" w:rsidRDefault="00C16A37" w:rsidP="006D0100">
      <w:pPr>
        <w:pStyle w:val="Header"/>
        <w:tabs>
          <w:tab w:val="clear" w:pos="4536"/>
          <w:tab w:val="clear" w:pos="9072"/>
          <w:tab w:val="left" w:pos="284"/>
        </w:tabs>
        <w:rPr>
          <w:sz w:val="22"/>
          <w:szCs w:val="22"/>
          <w:lang w:val="sr-Latn-ME"/>
        </w:rPr>
      </w:pPr>
    </w:p>
    <w:p w14:paraId="49905A5A" w14:textId="2FEB62DB" w:rsidR="00C16A37" w:rsidRPr="008675A3" w:rsidRDefault="00C16A37" w:rsidP="001379F3">
      <w:pPr>
        <w:pStyle w:val="Header"/>
        <w:tabs>
          <w:tab w:val="clear" w:pos="4536"/>
          <w:tab w:val="clear" w:pos="9072"/>
          <w:tab w:val="left" w:pos="0"/>
        </w:tabs>
        <w:rPr>
          <w:sz w:val="22"/>
          <w:szCs w:val="22"/>
          <w:lang w:val="sr-Latn-ME"/>
        </w:rPr>
      </w:pPr>
      <w:r w:rsidRPr="008675A3">
        <w:rPr>
          <w:sz w:val="22"/>
          <w:szCs w:val="22"/>
          <w:lang w:val="sr-Latn-ME"/>
        </w:rPr>
        <w:t>Kontraindikovana je istovremena oralna prim</w:t>
      </w:r>
      <w:r w:rsidR="002B6F36" w:rsidRPr="008675A3">
        <w:rPr>
          <w:sz w:val="22"/>
          <w:szCs w:val="22"/>
          <w:lang w:val="sr-Latn-ME"/>
        </w:rPr>
        <w:t>j</w:t>
      </w:r>
      <w:r w:rsidRPr="008675A3">
        <w:rPr>
          <w:sz w:val="22"/>
          <w:szCs w:val="22"/>
          <w:lang w:val="sr-Latn-ME"/>
        </w:rPr>
        <w:t>ena mikonazola kod osoba koje koriste u terapiji l</w:t>
      </w:r>
      <w:r w:rsidR="002B6F36" w:rsidRPr="008675A3">
        <w:rPr>
          <w:sz w:val="22"/>
          <w:szCs w:val="22"/>
          <w:lang w:val="sr-Latn-ME"/>
        </w:rPr>
        <w:t>j</w:t>
      </w:r>
      <w:r w:rsidRPr="008675A3">
        <w:rPr>
          <w:sz w:val="22"/>
          <w:szCs w:val="22"/>
          <w:lang w:val="sr-Latn-ME"/>
        </w:rPr>
        <w:t>ekove koji podl</w:t>
      </w:r>
      <w:r w:rsidR="002B6F36" w:rsidRPr="008675A3">
        <w:rPr>
          <w:sz w:val="22"/>
          <w:szCs w:val="22"/>
          <w:lang w:val="sr-Latn-ME"/>
        </w:rPr>
        <w:t>ij</w:t>
      </w:r>
      <w:r w:rsidRPr="008675A3">
        <w:rPr>
          <w:sz w:val="22"/>
          <w:szCs w:val="22"/>
          <w:lang w:val="sr-Latn-ME"/>
        </w:rPr>
        <w:t>ežu metabolizmu posredstvom enzima CYP3A4 (vid</w:t>
      </w:r>
      <w:r w:rsidR="002B6F36" w:rsidRPr="008675A3">
        <w:rPr>
          <w:sz w:val="22"/>
          <w:szCs w:val="22"/>
          <w:lang w:val="sr-Latn-ME"/>
        </w:rPr>
        <w:t>j</w:t>
      </w:r>
      <w:r w:rsidRPr="008675A3">
        <w:rPr>
          <w:sz w:val="22"/>
          <w:szCs w:val="22"/>
          <w:lang w:val="sr-Latn-ME"/>
        </w:rPr>
        <w:t xml:space="preserve">eti </w:t>
      </w:r>
      <w:r w:rsidR="00665B19" w:rsidRPr="008675A3">
        <w:rPr>
          <w:sz w:val="22"/>
          <w:szCs w:val="22"/>
          <w:lang w:val="sr-Latn-ME"/>
        </w:rPr>
        <w:t>dio</w:t>
      </w:r>
      <w:r w:rsidRPr="008675A3">
        <w:rPr>
          <w:sz w:val="22"/>
          <w:szCs w:val="22"/>
          <w:lang w:val="sr-Latn-ME"/>
        </w:rPr>
        <w:t xml:space="preserve"> 4.3 Kontraindikacije):</w:t>
      </w:r>
    </w:p>
    <w:p w14:paraId="41E6FA73" w14:textId="77777777" w:rsidR="00C16A37" w:rsidRPr="008675A3" w:rsidRDefault="00C16A37" w:rsidP="001379F3">
      <w:pPr>
        <w:pStyle w:val="Header"/>
        <w:tabs>
          <w:tab w:val="clear" w:pos="4536"/>
          <w:tab w:val="clear" w:pos="9072"/>
          <w:tab w:val="left" w:pos="0"/>
        </w:tabs>
        <w:rPr>
          <w:sz w:val="22"/>
          <w:szCs w:val="22"/>
          <w:lang w:val="sr-Latn-ME"/>
        </w:rPr>
      </w:pPr>
    </w:p>
    <w:p w14:paraId="5522D9C1" w14:textId="743C3609" w:rsidR="00C16A37" w:rsidRPr="008675A3" w:rsidRDefault="00C16A37" w:rsidP="003D08E3">
      <w:pPr>
        <w:numPr>
          <w:ilvl w:val="0"/>
          <w:numId w:val="4"/>
        </w:numPr>
        <w:tabs>
          <w:tab w:val="clear" w:pos="284"/>
          <w:tab w:val="left" w:pos="0"/>
        </w:tabs>
        <w:rPr>
          <w:lang w:val="sr-Latn-ME"/>
        </w:rPr>
      </w:pPr>
      <w:r w:rsidRPr="008675A3">
        <w:rPr>
          <w:lang w:val="sr-Latn-ME"/>
        </w:rPr>
        <w:t>l</w:t>
      </w:r>
      <w:r w:rsidR="002B6F36" w:rsidRPr="008675A3">
        <w:rPr>
          <w:lang w:val="sr-Latn-ME"/>
        </w:rPr>
        <w:t>j</w:t>
      </w:r>
      <w:r w:rsidRPr="008675A3">
        <w:rPr>
          <w:lang w:val="sr-Latn-ME"/>
        </w:rPr>
        <w:t xml:space="preserve">ekovi koji produžavaju QT-interval (astemizol, cisaprid, dofetilid, mizolastin, pimozid, </w:t>
      </w:r>
      <w:r w:rsidR="00665B19" w:rsidRPr="008675A3">
        <w:rPr>
          <w:lang w:val="sr-Latn-ME"/>
        </w:rPr>
        <w:t>h</w:t>
      </w:r>
      <w:r w:rsidRPr="008675A3">
        <w:rPr>
          <w:lang w:val="sr-Latn-ME"/>
        </w:rPr>
        <w:t xml:space="preserve">inidin, sertindol, terfenadin); </w:t>
      </w:r>
    </w:p>
    <w:p w14:paraId="3508A1FF" w14:textId="77777777" w:rsidR="00C16A37" w:rsidRPr="008675A3" w:rsidRDefault="00C16A37" w:rsidP="003D08E3">
      <w:pPr>
        <w:numPr>
          <w:ilvl w:val="0"/>
          <w:numId w:val="4"/>
        </w:numPr>
        <w:tabs>
          <w:tab w:val="clear" w:pos="284"/>
          <w:tab w:val="left" w:pos="0"/>
        </w:tabs>
        <w:rPr>
          <w:lang w:val="sr-Latn-ME"/>
        </w:rPr>
      </w:pPr>
      <w:r w:rsidRPr="008675A3">
        <w:rPr>
          <w:lang w:val="sr-Latn-ME"/>
        </w:rPr>
        <w:t>ergot alkaloidi;</w:t>
      </w:r>
    </w:p>
    <w:p w14:paraId="273B8828" w14:textId="77777777" w:rsidR="00C16A37" w:rsidRPr="008675A3" w:rsidRDefault="00C16A37" w:rsidP="003D08E3">
      <w:pPr>
        <w:numPr>
          <w:ilvl w:val="0"/>
          <w:numId w:val="4"/>
        </w:numPr>
        <w:tabs>
          <w:tab w:val="clear" w:pos="284"/>
          <w:tab w:val="left" w:pos="0"/>
        </w:tabs>
        <w:rPr>
          <w:lang w:val="sr-Latn-ME"/>
        </w:rPr>
      </w:pPr>
      <w:r w:rsidRPr="008675A3">
        <w:rPr>
          <w:lang w:val="sr-Latn-ME"/>
        </w:rPr>
        <w:t xml:space="preserve">inhibitori HMG-CoA reduktaze (simvastatin i lovastatin); </w:t>
      </w:r>
    </w:p>
    <w:p w14:paraId="31E33C2D" w14:textId="77777777" w:rsidR="00C16A37" w:rsidRPr="008675A3" w:rsidRDefault="00C16A37" w:rsidP="003D08E3">
      <w:pPr>
        <w:numPr>
          <w:ilvl w:val="0"/>
          <w:numId w:val="4"/>
        </w:numPr>
        <w:tabs>
          <w:tab w:val="clear" w:pos="284"/>
          <w:tab w:val="left" w:pos="0"/>
        </w:tabs>
        <w:rPr>
          <w:lang w:val="sr-Latn-ME"/>
        </w:rPr>
      </w:pPr>
      <w:r w:rsidRPr="008675A3">
        <w:rPr>
          <w:lang w:val="sr-Latn-ME"/>
        </w:rPr>
        <w:t>triazolam i oralni midazolam.</w:t>
      </w:r>
    </w:p>
    <w:p w14:paraId="7588556C" w14:textId="77777777" w:rsidR="00C16A37" w:rsidRPr="008675A3" w:rsidRDefault="00C16A37" w:rsidP="006D0100">
      <w:pPr>
        <w:pStyle w:val="Header"/>
        <w:tabs>
          <w:tab w:val="clear" w:pos="4536"/>
          <w:tab w:val="clear" w:pos="9072"/>
          <w:tab w:val="left" w:pos="284"/>
        </w:tabs>
        <w:rPr>
          <w:sz w:val="22"/>
          <w:szCs w:val="22"/>
          <w:lang w:val="sr-Latn-ME"/>
        </w:rPr>
      </w:pPr>
    </w:p>
    <w:p w14:paraId="0A421097" w14:textId="088AECE6"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Ukoliko se mikonazol prim</w:t>
      </w:r>
      <w:r w:rsidR="002B6F36" w:rsidRPr="008675A3">
        <w:rPr>
          <w:sz w:val="22"/>
          <w:szCs w:val="22"/>
          <w:lang w:val="sr-Latn-ME"/>
        </w:rPr>
        <w:t>j</w:t>
      </w:r>
      <w:r w:rsidRPr="008675A3">
        <w:rPr>
          <w:sz w:val="22"/>
          <w:szCs w:val="22"/>
          <w:lang w:val="sr-Latn-ME"/>
        </w:rPr>
        <w:t>enjuje oralno istovremeno sa nekim od l</w:t>
      </w:r>
      <w:r w:rsidR="002B6F36" w:rsidRPr="008675A3">
        <w:rPr>
          <w:sz w:val="22"/>
          <w:szCs w:val="22"/>
          <w:lang w:val="sr-Latn-ME"/>
        </w:rPr>
        <w:t>j</w:t>
      </w:r>
      <w:r w:rsidRPr="008675A3">
        <w:rPr>
          <w:sz w:val="22"/>
          <w:szCs w:val="22"/>
          <w:lang w:val="sr-Latn-ME"/>
        </w:rPr>
        <w:t>ekova sa dol</w:t>
      </w:r>
      <w:r w:rsidR="002B6F36" w:rsidRPr="008675A3">
        <w:rPr>
          <w:sz w:val="22"/>
          <w:szCs w:val="22"/>
          <w:lang w:val="sr-Latn-ME"/>
        </w:rPr>
        <w:t>j</w:t>
      </w:r>
      <w:r w:rsidRPr="008675A3">
        <w:rPr>
          <w:sz w:val="22"/>
          <w:szCs w:val="22"/>
          <w:lang w:val="sr-Latn-ME"/>
        </w:rPr>
        <w:t>e navedene liste, neophodan je oprez usl</w:t>
      </w:r>
      <w:r w:rsidR="002B6F36" w:rsidRPr="008675A3">
        <w:rPr>
          <w:sz w:val="22"/>
          <w:szCs w:val="22"/>
          <w:lang w:val="sr-Latn-ME"/>
        </w:rPr>
        <w:t>j</w:t>
      </w:r>
      <w:r w:rsidRPr="008675A3">
        <w:rPr>
          <w:sz w:val="22"/>
          <w:szCs w:val="22"/>
          <w:lang w:val="sr-Latn-ME"/>
        </w:rPr>
        <w:t>ed mogućnosti pojačanog ili produženog terapijskog efekta i/ili neželjenih dejstava ovih l</w:t>
      </w:r>
      <w:r w:rsidR="002B6F36" w:rsidRPr="008675A3">
        <w:rPr>
          <w:sz w:val="22"/>
          <w:szCs w:val="22"/>
          <w:lang w:val="sr-Latn-ME"/>
        </w:rPr>
        <w:t>j</w:t>
      </w:r>
      <w:r w:rsidRPr="008675A3">
        <w:rPr>
          <w:sz w:val="22"/>
          <w:szCs w:val="22"/>
          <w:lang w:val="sr-Latn-ME"/>
        </w:rPr>
        <w:t>ekova. Ako je neophodno, treba redukovati dozu i, ukoliko je moguće, pratiti njihovu koncentraciju u plazmi:</w:t>
      </w:r>
    </w:p>
    <w:p w14:paraId="23832A2D" w14:textId="77777777" w:rsidR="00C16A37" w:rsidRPr="008675A3" w:rsidRDefault="00C16A37" w:rsidP="006D0100">
      <w:pPr>
        <w:pStyle w:val="Header"/>
        <w:tabs>
          <w:tab w:val="clear" w:pos="4536"/>
          <w:tab w:val="clear" w:pos="9072"/>
          <w:tab w:val="left" w:pos="284"/>
        </w:tabs>
        <w:rPr>
          <w:sz w:val="22"/>
          <w:szCs w:val="22"/>
          <w:lang w:val="sr-Latn-ME"/>
        </w:rPr>
      </w:pPr>
    </w:p>
    <w:p w14:paraId="79F5D876" w14:textId="4B19A6E9" w:rsidR="00C16A37" w:rsidRPr="008675A3" w:rsidRDefault="00C16A37" w:rsidP="001379F3">
      <w:pPr>
        <w:rPr>
          <w:iCs/>
          <w:lang w:val="sr-Latn-ME"/>
        </w:rPr>
      </w:pPr>
      <w:r w:rsidRPr="008675A3">
        <w:rPr>
          <w:i/>
          <w:iCs/>
          <w:lang w:val="sr-Latn-ME"/>
        </w:rPr>
        <w:t>L</w:t>
      </w:r>
      <w:r w:rsidR="002B6F36" w:rsidRPr="008675A3">
        <w:rPr>
          <w:i/>
          <w:iCs/>
          <w:lang w:val="sr-Latn-ME"/>
        </w:rPr>
        <w:t>j</w:t>
      </w:r>
      <w:r w:rsidRPr="008675A3">
        <w:rPr>
          <w:i/>
          <w:iCs/>
          <w:lang w:val="sr-Latn-ME"/>
        </w:rPr>
        <w:t>ekovi koji podl</w:t>
      </w:r>
      <w:r w:rsidR="002B6F36" w:rsidRPr="008675A3">
        <w:rPr>
          <w:i/>
          <w:iCs/>
          <w:lang w:val="sr-Latn-ME"/>
        </w:rPr>
        <w:t>ij</w:t>
      </w:r>
      <w:r w:rsidRPr="008675A3">
        <w:rPr>
          <w:i/>
          <w:iCs/>
          <w:lang w:val="sr-Latn-ME"/>
        </w:rPr>
        <w:t xml:space="preserve">ežu metabolizmu od strane enzimskog sistema CYP2C9 </w:t>
      </w:r>
      <w:r w:rsidRPr="008675A3">
        <w:rPr>
          <w:bCs/>
          <w:lang w:val="sr-Latn-ME"/>
        </w:rPr>
        <w:t>(vid</w:t>
      </w:r>
      <w:r w:rsidR="002B6F36" w:rsidRPr="008675A3">
        <w:rPr>
          <w:bCs/>
          <w:lang w:val="sr-Latn-ME"/>
        </w:rPr>
        <w:t>j</w:t>
      </w:r>
      <w:r w:rsidRPr="008675A3">
        <w:rPr>
          <w:bCs/>
          <w:lang w:val="sr-Latn-ME"/>
        </w:rPr>
        <w:t xml:space="preserve">eti </w:t>
      </w:r>
      <w:r w:rsidR="00665B19" w:rsidRPr="008675A3">
        <w:rPr>
          <w:bCs/>
          <w:lang w:val="sr-Latn-ME"/>
        </w:rPr>
        <w:t>dio</w:t>
      </w:r>
      <w:r w:rsidRPr="008675A3">
        <w:rPr>
          <w:bCs/>
          <w:lang w:val="sr-Latn-ME"/>
        </w:rPr>
        <w:t xml:space="preserve"> 4.4. Posebna upozorenja i m</w:t>
      </w:r>
      <w:r w:rsidR="002B6F36" w:rsidRPr="008675A3">
        <w:rPr>
          <w:bCs/>
          <w:lang w:val="sr-Latn-ME"/>
        </w:rPr>
        <w:t>j</w:t>
      </w:r>
      <w:r w:rsidRPr="008675A3">
        <w:rPr>
          <w:bCs/>
          <w:lang w:val="sr-Latn-ME"/>
        </w:rPr>
        <w:t>ere opreza pri upotrebi l</w:t>
      </w:r>
      <w:r w:rsidR="002B6F36" w:rsidRPr="008675A3">
        <w:rPr>
          <w:bCs/>
          <w:lang w:val="sr-Latn-ME"/>
        </w:rPr>
        <w:t>ij</w:t>
      </w:r>
      <w:r w:rsidRPr="008675A3">
        <w:rPr>
          <w:bCs/>
          <w:lang w:val="sr-Latn-ME"/>
        </w:rPr>
        <w:t>eka)</w:t>
      </w:r>
      <w:r w:rsidRPr="008675A3">
        <w:rPr>
          <w:iCs/>
          <w:lang w:val="sr-Latn-ME"/>
        </w:rPr>
        <w:t>:</w:t>
      </w:r>
    </w:p>
    <w:p w14:paraId="677E1815" w14:textId="08B9F22D" w:rsidR="00C16A37" w:rsidRPr="008675A3" w:rsidRDefault="00C16A37" w:rsidP="008675A3">
      <w:pPr>
        <w:pStyle w:val="Header"/>
        <w:numPr>
          <w:ilvl w:val="0"/>
          <w:numId w:val="5"/>
        </w:numPr>
        <w:tabs>
          <w:tab w:val="clear" w:pos="4536"/>
          <w:tab w:val="clear" w:pos="9072"/>
          <w:tab w:val="left" w:pos="284"/>
        </w:tabs>
        <w:rPr>
          <w:sz w:val="22"/>
          <w:szCs w:val="22"/>
          <w:lang w:val="sr-Latn-ME"/>
        </w:rPr>
      </w:pPr>
      <w:r w:rsidRPr="008675A3">
        <w:rPr>
          <w:sz w:val="22"/>
          <w:szCs w:val="22"/>
          <w:lang w:val="sr-Latn-ME"/>
        </w:rPr>
        <w:t>oralni antikoagulansi (varfarin);</w:t>
      </w:r>
    </w:p>
    <w:p w14:paraId="6B6EC926" w14:textId="608C6244" w:rsidR="00C16A37" w:rsidRPr="008675A3" w:rsidRDefault="00C16A37" w:rsidP="008675A3">
      <w:pPr>
        <w:pStyle w:val="Header"/>
        <w:numPr>
          <w:ilvl w:val="0"/>
          <w:numId w:val="5"/>
        </w:numPr>
        <w:tabs>
          <w:tab w:val="clear" w:pos="4536"/>
          <w:tab w:val="clear" w:pos="9072"/>
          <w:tab w:val="left" w:pos="284"/>
        </w:tabs>
        <w:rPr>
          <w:sz w:val="22"/>
          <w:szCs w:val="22"/>
          <w:lang w:val="sr-Latn-ME"/>
        </w:rPr>
      </w:pPr>
      <w:r w:rsidRPr="008675A3">
        <w:rPr>
          <w:sz w:val="22"/>
          <w:szCs w:val="22"/>
          <w:lang w:val="sr-Latn-ME"/>
        </w:rPr>
        <w:t>oralni antidijabetici (derivati sulfonilureje);</w:t>
      </w:r>
    </w:p>
    <w:p w14:paraId="1427A9BF" w14:textId="04A2B435" w:rsidR="00C16A37" w:rsidRPr="008675A3" w:rsidRDefault="00C16A37" w:rsidP="008675A3">
      <w:pPr>
        <w:pStyle w:val="Header"/>
        <w:numPr>
          <w:ilvl w:val="0"/>
          <w:numId w:val="5"/>
        </w:numPr>
        <w:tabs>
          <w:tab w:val="clear" w:pos="4536"/>
          <w:tab w:val="clear" w:pos="9072"/>
          <w:tab w:val="left" w:pos="284"/>
        </w:tabs>
        <w:rPr>
          <w:sz w:val="22"/>
          <w:szCs w:val="22"/>
          <w:lang w:val="sr-Latn-ME"/>
        </w:rPr>
      </w:pPr>
      <w:r w:rsidRPr="008675A3">
        <w:rPr>
          <w:sz w:val="22"/>
          <w:szCs w:val="22"/>
          <w:lang w:val="sr-Latn-ME"/>
        </w:rPr>
        <w:t>fenitoin.</w:t>
      </w:r>
    </w:p>
    <w:p w14:paraId="50A7D070" w14:textId="77777777" w:rsidR="00C16A37" w:rsidRPr="008675A3" w:rsidRDefault="00C16A37" w:rsidP="006D0100">
      <w:pPr>
        <w:pStyle w:val="Header"/>
        <w:tabs>
          <w:tab w:val="clear" w:pos="4536"/>
          <w:tab w:val="clear" w:pos="9072"/>
          <w:tab w:val="left" w:pos="284"/>
        </w:tabs>
        <w:rPr>
          <w:sz w:val="22"/>
          <w:szCs w:val="22"/>
          <w:lang w:val="sr-Latn-ME"/>
        </w:rPr>
      </w:pPr>
    </w:p>
    <w:p w14:paraId="50F4408A" w14:textId="4799E87D" w:rsidR="00C16A37" w:rsidRPr="008675A3" w:rsidRDefault="00C16A37" w:rsidP="006D0100">
      <w:pPr>
        <w:pStyle w:val="Header"/>
        <w:tabs>
          <w:tab w:val="clear" w:pos="4536"/>
          <w:tab w:val="clear" w:pos="9072"/>
          <w:tab w:val="left" w:pos="284"/>
        </w:tabs>
        <w:rPr>
          <w:i/>
          <w:iCs/>
          <w:sz w:val="22"/>
          <w:szCs w:val="22"/>
          <w:lang w:val="sr-Latn-ME"/>
        </w:rPr>
      </w:pPr>
      <w:r w:rsidRPr="008675A3">
        <w:rPr>
          <w:i/>
          <w:iCs/>
          <w:sz w:val="22"/>
          <w:szCs w:val="22"/>
          <w:lang w:val="sr-Latn-ME"/>
        </w:rPr>
        <w:t>Ostali l</w:t>
      </w:r>
      <w:r w:rsidR="002B6F36" w:rsidRPr="008675A3">
        <w:rPr>
          <w:i/>
          <w:iCs/>
          <w:sz w:val="22"/>
          <w:szCs w:val="22"/>
          <w:lang w:val="sr-Latn-ME"/>
        </w:rPr>
        <w:t>j</w:t>
      </w:r>
      <w:r w:rsidRPr="008675A3">
        <w:rPr>
          <w:i/>
          <w:iCs/>
          <w:sz w:val="22"/>
          <w:szCs w:val="22"/>
          <w:lang w:val="sr-Latn-ME"/>
        </w:rPr>
        <w:t>ekovi koji podl</w:t>
      </w:r>
      <w:r w:rsidR="002B6F36" w:rsidRPr="008675A3">
        <w:rPr>
          <w:i/>
          <w:iCs/>
          <w:sz w:val="22"/>
          <w:szCs w:val="22"/>
          <w:lang w:val="sr-Latn-ME"/>
        </w:rPr>
        <w:t>ij</w:t>
      </w:r>
      <w:r w:rsidRPr="008675A3">
        <w:rPr>
          <w:i/>
          <w:iCs/>
          <w:sz w:val="22"/>
          <w:szCs w:val="22"/>
          <w:lang w:val="sr-Latn-ME"/>
        </w:rPr>
        <w:t>ežu metabolizmu od strane enzimskog sistema CYP3A4:</w:t>
      </w:r>
    </w:p>
    <w:p w14:paraId="455CBE88" w14:textId="70E7FF23" w:rsidR="00C16A37" w:rsidRPr="008675A3" w:rsidRDefault="00C16A37" w:rsidP="008675A3">
      <w:pPr>
        <w:pStyle w:val="Header"/>
        <w:numPr>
          <w:ilvl w:val="0"/>
          <w:numId w:val="6"/>
        </w:numPr>
        <w:tabs>
          <w:tab w:val="clear" w:pos="4536"/>
          <w:tab w:val="clear" w:pos="9072"/>
          <w:tab w:val="left" w:pos="284"/>
        </w:tabs>
        <w:rPr>
          <w:sz w:val="22"/>
          <w:szCs w:val="22"/>
          <w:lang w:val="sr-Latn-ME"/>
        </w:rPr>
      </w:pPr>
      <w:r w:rsidRPr="008675A3">
        <w:rPr>
          <w:sz w:val="22"/>
          <w:szCs w:val="22"/>
          <w:lang w:val="sr-Latn-ME"/>
        </w:rPr>
        <w:t>inhibitori HIV proteaze (sakvinavir);</w:t>
      </w:r>
    </w:p>
    <w:p w14:paraId="12063D6D" w14:textId="0F33D02A" w:rsidR="00C16A37" w:rsidRPr="008675A3" w:rsidRDefault="00C16A37" w:rsidP="008675A3">
      <w:pPr>
        <w:pStyle w:val="Header"/>
        <w:numPr>
          <w:ilvl w:val="0"/>
          <w:numId w:val="6"/>
        </w:numPr>
        <w:tabs>
          <w:tab w:val="clear" w:pos="4536"/>
          <w:tab w:val="clear" w:pos="9072"/>
          <w:tab w:val="left" w:pos="284"/>
        </w:tabs>
        <w:rPr>
          <w:sz w:val="22"/>
          <w:szCs w:val="22"/>
          <w:lang w:val="sr-Latn-ME"/>
        </w:rPr>
      </w:pPr>
      <w:r w:rsidRPr="008675A3">
        <w:rPr>
          <w:sz w:val="22"/>
          <w:szCs w:val="22"/>
          <w:lang w:val="sr-Latn-ME"/>
        </w:rPr>
        <w:t>antineoplastici (</w:t>
      </w:r>
      <w:r w:rsidRPr="008675A3">
        <w:rPr>
          <w:i/>
          <w:iCs/>
          <w:sz w:val="22"/>
          <w:szCs w:val="22"/>
          <w:lang w:val="sr-Latn-ME"/>
        </w:rPr>
        <w:t>vinca</w:t>
      </w:r>
      <w:r w:rsidRPr="008675A3">
        <w:rPr>
          <w:sz w:val="22"/>
          <w:szCs w:val="22"/>
          <w:lang w:val="sr-Latn-ME"/>
        </w:rPr>
        <w:t xml:space="preserve"> alkaloidi, busulfan i docetaksel);</w:t>
      </w:r>
    </w:p>
    <w:p w14:paraId="146F4628" w14:textId="51C584D8" w:rsidR="00C16A37" w:rsidRPr="008675A3" w:rsidRDefault="00C16A37" w:rsidP="008675A3">
      <w:pPr>
        <w:pStyle w:val="Header"/>
        <w:numPr>
          <w:ilvl w:val="0"/>
          <w:numId w:val="6"/>
        </w:numPr>
        <w:tabs>
          <w:tab w:val="clear" w:pos="4536"/>
          <w:tab w:val="clear" w:pos="9072"/>
          <w:tab w:val="left" w:pos="284"/>
        </w:tabs>
        <w:rPr>
          <w:sz w:val="22"/>
          <w:szCs w:val="22"/>
          <w:lang w:val="sr-Latn-ME"/>
        </w:rPr>
      </w:pPr>
      <w:r w:rsidRPr="008675A3">
        <w:rPr>
          <w:sz w:val="22"/>
          <w:szCs w:val="22"/>
          <w:lang w:val="sr-Latn-ME"/>
        </w:rPr>
        <w:t>neki blokatori kalcijumovih kanala (dihidropiridini, verapamil);</w:t>
      </w:r>
    </w:p>
    <w:p w14:paraId="0BE331EB" w14:textId="2186250B" w:rsidR="00C16A37" w:rsidRPr="008675A3" w:rsidRDefault="00C16A37" w:rsidP="008675A3">
      <w:pPr>
        <w:pStyle w:val="Header"/>
        <w:numPr>
          <w:ilvl w:val="0"/>
          <w:numId w:val="6"/>
        </w:numPr>
        <w:tabs>
          <w:tab w:val="clear" w:pos="4536"/>
          <w:tab w:val="clear" w:pos="9072"/>
          <w:tab w:val="left" w:pos="284"/>
        </w:tabs>
        <w:rPr>
          <w:sz w:val="22"/>
          <w:szCs w:val="22"/>
          <w:lang w:val="sr-Latn-ME"/>
        </w:rPr>
      </w:pPr>
      <w:r w:rsidRPr="008675A3">
        <w:rPr>
          <w:sz w:val="22"/>
          <w:szCs w:val="22"/>
          <w:lang w:val="sr-Latn-ME"/>
        </w:rPr>
        <w:t>neki imunosupresivi (ciklosporin, takrolimus, sirolimus (= rapamicin));</w:t>
      </w:r>
    </w:p>
    <w:p w14:paraId="25FEBF7E" w14:textId="3247D0EB" w:rsidR="00C16A37" w:rsidRPr="008675A3" w:rsidRDefault="00C16A37" w:rsidP="008675A3">
      <w:pPr>
        <w:pStyle w:val="Header"/>
        <w:numPr>
          <w:ilvl w:val="0"/>
          <w:numId w:val="6"/>
        </w:numPr>
        <w:tabs>
          <w:tab w:val="clear" w:pos="4536"/>
          <w:tab w:val="clear" w:pos="9072"/>
          <w:tab w:val="left" w:pos="270"/>
        </w:tabs>
        <w:jc w:val="left"/>
        <w:rPr>
          <w:sz w:val="22"/>
          <w:szCs w:val="22"/>
          <w:lang w:val="sr-Latn-ME"/>
        </w:rPr>
      </w:pPr>
      <w:r w:rsidRPr="008675A3">
        <w:rPr>
          <w:sz w:val="22"/>
          <w:szCs w:val="22"/>
          <w:lang w:val="sr-Latn-ME"/>
        </w:rPr>
        <w:lastRenderedPageBreak/>
        <w:t>ostali l</w:t>
      </w:r>
      <w:r w:rsidR="002B6F36" w:rsidRPr="008675A3">
        <w:rPr>
          <w:sz w:val="22"/>
          <w:szCs w:val="22"/>
          <w:lang w:val="sr-Latn-ME"/>
        </w:rPr>
        <w:t>j</w:t>
      </w:r>
      <w:r w:rsidRPr="008675A3">
        <w:rPr>
          <w:sz w:val="22"/>
          <w:szCs w:val="22"/>
          <w:lang w:val="sr-Latn-ME"/>
        </w:rPr>
        <w:t>ekovi: karbamazepin, cilostazol, dizopiramid, buspiron, alfentanil, sildenafil, alprazolam, brotizolam, midazolam IV, rifabutin, metilprednizolon, trimetreksat, ebastin i reboksetin.</w:t>
      </w:r>
    </w:p>
    <w:p w14:paraId="39050450" w14:textId="77777777" w:rsidR="00C16A37" w:rsidRPr="008675A3" w:rsidRDefault="00C16A37" w:rsidP="006D0100">
      <w:pPr>
        <w:rPr>
          <w:lang w:val="sr-Latn-ME"/>
        </w:rPr>
      </w:pPr>
    </w:p>
    <w:p w14:paraId="10834C1B" w14:textId="77777777" w:rsidR="00C16A37" w:rsidRPr="008675A3" w:rsidRDefault="00C16A37" w:rsidP="006D32DF">
      <w:pPr>
        <w:outlineLvl w:val="0"/>
        <w:rPr>
          <w:b/>
          <w:bCs/>
          <w:lang w:val="sr-Latn-ME"/>
        </w:rPr>
      </w:pPr>
      <w:r w:rsidRPr="008675A3">
        <w:rPr>
          <w:b/>
          <w:bCs/>
          <w:lang w:val="sr-Latn-ME"/>
        </w:rPr>
        <w:t>4.6. Plodnost, trudnoća i dojenje</w:t>
      </w:r>
    </w:p>
    <w:p w14:paraId="180B4F86" w14:textId="77777777" w:rsidR="00C16A37" w:rsidRPr="008675A3" w:rsidRDefault="00C16A37" w:rsidP="006D0100">
      <w:pPr>
        <w:rPr>
          <w:lang w:val="sr-Latn-ME"/>
        </w:rPr>
      </w:pPr>
    </w:p>
    <w:p w14:paraId="04F68580" w14:textId="77777777"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Studije na eksperimentalnim životinjama su pokazale da mikonazol nema teratogeni efekat, ali se fetalna toksičnost ispoljava pri visokim oralnim dozama. Značaj ovoga kod ljudi nije poznat.</w:t>
      </w:r>
    </w:p>
    <w:p w14:paraId="006C2D5C" w14:textId="77777777" w:rsidR="00C16A37" w:rsidRPr="008675A3" w:rsidRDefault="00C16A37" w:rsidP="006D0100">
      <w:pPr>
        <w:pStyle w:val="Header"/>
        <w:tabs>
          <w:tab w:val="clear" w:pos="4536"/>
          <w:tab w:val="clear" w:pos="9072"/>
          <w:tab w:val="left" w:pos="284"/>
        </w:tabs>
        <w:rPr>
          <w:sz w:val="22"/>
          <w:szCs w:val="22"/>
          <w:lang w:val="sr-Latn-ME"/>
        </w:rPr>
      </w:pPr>
    </w:p>
    <w:p w14:paraId="5114DC31" w14:textId="55A7352C"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Prim</w:t>
      </w:r>
      <w:r w:rsidR="002B6F36" w:rsidRPr="008675A3">
        <w:rPr>
          <w:sz w:val="22"/>
          <w:szCs w:val="22"/>
          <w:lang w:val="sr-Latn-ME"/>
        </w:rPr>
        <w:t>j</w:t>
      </w:r>
      <w:r w:rsidRPr="008675A3">
        <w:rPr>
          <w:sz w:val="22"/>
          <w:szCs w:val="22"/>
          <w:lang w:val="sr-Latn-ME"/>
        </w:rPr>
        <w:t xml:space="preserve">enu mikonazol oralnog gela, kao i </w:t>
      </w:r>
      <w:r w:rsidR="007C47A1" w:rsidRPr="008675A3">
        <w:rPr>
          <w:sz w:val="22"/>
          <w:szCs w:val="22"/>
          <w:lang w:val="sr-Latn-ME"/>
        </w:rPr>
        <w:t xml:space="preserve">primjenu </w:t>
      </w:r>
      <w:r w:rsidRPr="008675A3">
        <w:rPr>
          <w:sz w:val="22"/>
          <w:szCs w:val="22"/>
          <w:lang w:val="sr-Latn-ME"/>
        </w:rPr>
        <w:t>ostal</w:t>
      </w:r>
      <w:r w:rsidR="007C47A1" w:rsidRPr="008675A3">
        <w:rPr>
          <w:sz w:val="22"/>
          <w:szCs w:val="22"/>
          <w:lang w:val="sr-Latn-ME"/>
        </w:rPr>
        <w:t>ih</w:t>
      </w:r>
      <w:r w:rsidRPr="008675A3">
        <w:rPr>
          <w:sz w:val="22"/>
          <w:szCs w:val="22"/>
          <w:lang w:val="sr-Latn-ME"/>
        </w:rPr>
        <w:t xml:space="preserve"> antimikotik</w:t>
      </w:r>
      <w:r w:rsidR="007C47A1" w:rsidRPr="008675A3">
        <w:rPr>
          <w:sz w:val="22"/>
          <w:szCs w:val="22"/>
          <w:lang w:val="sr-Latn-ME"/>
        </w:rPr>
        <w:t>a</w:t>
      </w:r>
      <w:r w:rsidRPr="008675A3">
        <w:rPr>
          <w:sz w:val="22"/>
          <w:szCs w:val="22"/>
          <w:lang w:val="sr-Latn-ME"/>
        </w:rPr>
        <w:t xml:space="preserve"> iz grupe imidazola, treba izb</w:t>
      </w:r>
      <w:r w:rsidR="002B6F36" w:rsidRPr="008675A3">
        <w:rPr>
          <w:sz w:val="22"/>
          <w:szCs w:val="22"/>
          <w:lang w:val="sr-Latn-ME"/>
        </w:rPr>
        <w:t>j</w:t>
      </w:r>
      <w:r w:rsidRPr="008675A3">
        <w:rPr>
          <w:sz w:val="22"/>
          <w:szCs w:val="22"/>
          <w:lang w:val="sr-Latn-ME"/>
        </w:rPr>
        <w:t>egavati tokom trudnoće ukoliko je moguće. Neophodno je izbalansirati potencijalni rizik u odnosu na korist prim</w:t>
      </w:r>
      <w:r w:rsidR="002B6F36" w:rsidRPr="008675A3">
        <w:rPr>
          <w:sz w:val="22"/>
          <w:szCs w:val="22"/>
          <w:lang w:val="sr-Latn-ME"/>
        </w:rPr>
        <w:t>j</w:t>
      </w:r>
      <w:r w:rsidRPr="008675A3">
        <w:rPr>
          <w:sz w:val="22"/>
          <w:szCs w:val="22"/>
          <w:lang w:val="sr-Latn-ME"/>
        </w:rPr>
        <w:t>ene l</w:t>
      </w:r>
      <w:r w:rsidR="002B6F36" w:rsidRPr="008675A3">
        <w:rPr>
          <w:sz w:val="22"/>
          <w:szCs w:val="22"/>
          <w:lang w:val="sr-Latn-ME"/>
        </w:rPr>
        <w:t>ij</w:t>
      </w:r>
      <w:r w:rsidRPr="008675A3">
        <w:rPr>
          <w:sz w:val="22"/>
          <w:szCs w:val="22"/>
          <w:lang w:val="sr-Latn-ME"/>
        </w:rPr>
        <w:t>eka.</w:t>
      </w:r>
    </w:p>
    <w:p w14:paraId="28501F5E" w14:textId="77777777" w:rsidR="00C16A37" w:rsidRPr="008675A3" w:rsidRDefault="00C16A37" w:rsidP="006D0100">
      <w:pPr>
        <w:pStyle w:val="Header"/>
        <w:tabs>
          <w:tab w:val="clear" w:pos="4536"/>
          <w:tab w:val="clear" w:pos="9072"/>
          <w:tab w:val="left" w:pos="284"/>
        </w:tabs>
        <w:rPr>
          <w:sz w:val="22"/>
          <w:szCs w:val="22"/>
          <w:lang w:val="sr-Latn-ME"/>
        </w:rPr>
      </w:pPr>
    </w:p>
    <w:p w14:paraId="24D016BE" w14:textId="0AAFB6F3" w:rsidR="00C16A37" w:rsidRPr="008675A3" w:rsidRDefault="00C16A37" w:rsidP="00BB51BE">
      <w:pPr>
        <w:rPr>
          <w:lang w:val="sr-Latn-ME"/>
        </w:rPr>
      </w:pPr>
      <w:r w:rsidRPr="008675A3">
        <w:rPr>
          <w:lang w:val="sr-Latn-ME"/>
        </w:rPr>
        <w:t xml:space="preserve">Nije poznato da li se mikonazol izlučujeu majčino </w:t>
      </w:r>
      <w:r w:rsidR="00633641" w:rsidRPr="008675A3">
        <w:rPr>
          <w:lang w:val="sr-Latn-ME"/>
        </w:rPr>
        <w:t>ml</w:t>
      </w:r>
      <w:r w:rsidR="002B6F36" w:rsidRPr="008675A3">
        <w:rPr>
          <w:lang w:val="sr-Latn-ME"/>
        </w:rPr>
        <w:t>ij</w:t>
      </w:r>
      <w:r w:rsidRPr="008675A3">
        <w:rPr>
          <w:lang w:val="sr-Latn-ME"/>
        </w:rPr>
        <w:t>eko. Potreban je oprez prilikom propisivanja Daktanol, oralnog gela ženama koje doje.</w:t>
      </w:r>
    </w:p>
    <w:p w14:paraId="5E053656" w14:textId="77777777" w:rsidR="00C16A37" w:rsidRPr="008675A3" w:rsidRDefault="00C16A37" w:rsidP="006D0100">
      <w:pPr>
        <w:rPr>
          <w:lang w:val="sr-Latn-ME"/>
        </w:rPr>
      </w:pPr>
    </w:p>
    <w:p w14:paraId="09026DBE" w14:textId="2E4A41C7" w:rsidR="00C16A37" w:rsidRPr="008675A3" w:rsidRDefault="00C16A37" w:rsidP="006D32DF">
      <w:pPr>
        <w:outlineLvl w:val="0"/>
        <w:rPr>
          <w:b/>
          <w:bCs/>
          <w:spacing w:val="-8"/>
          <w:lang w:val="sr-Latn-ME"/>
        </w:rPr>
      </w:pPr>
      <w:r w:rsidRPr="008675A3">
        <w:rPr>
          <w:b/>
          <w:bCs/>
          <w:spacing w:val="-8"/>
          <w:lang w:val="sr-Latn-ME"/>
        </w:rPr>
        <w:t>4.7. Uticaj na sposobnost upravljanja vozilima i rukovanja mašinama</w:t>
      </w:r>
    </w:p>
    <w:p w14:paraId="3D38C619" w14:textId="77777777" w:rsidR="00C16A37" w:rsidRPr="008675A3" w:rsidRDefault="00C16A37" w:rsidP="006D0100">
      <w:pPr>
        <w:rPr>
          <w:lang w:val="sr-Latn-ME"/>
        </w:rPr>
      </w:pPr>
    </w:p>
    <w:p w14:paraId="46149023" w14:textId="74737C6A" w:rsidR="00C16A37" w:rsidRPr="008675A3" w:rsidRDefault="00C16A37" w:rsidP="006D32DF">
      <w:pPr>
        <w:pStyle w:val="Header"/>
        <w:tabs>
          <w:tab w:val="clear" w:pos="4536"/>
          <w:tab w:val="clear" w:pos="9072"/>
          <w:tab w:val="left" w:pos="284"/>
        </w:tabs>
        <w:spacing w:before="40" w:after="40"/>
        <w:outlineLvl w:val="0"/>
        <w:rPr>
          <w:sz w:val="22"/>
          <w:szCs w:val="22"/>
          <w:lang w:val="sr-Latn-ME"/>
        </w:rPr>
      </w:pPr>
      <w:r w:rsidRPr="008675A3">
        <w:rPr>
          <w:sz w:val="22"/>
          <w:szCs w:val="22"/>
          <w:lang w:val="sr-Latn-ME"/>
        </w:rPr>
        <w:t>L</w:t>
      </w:r>
      <w:r w:rsidR="002B6F36" w:rsidRPr="008675A3">
        <w:rPr>
          <w:sz w:val="22"/>
          <w:szCs w:val="22"/>
          <w:lang w:val="sr-Latn-ME"/>
        </w:rPr>
        <w:t>ij</w:t>
      </w:r>
      <w:r w:rsidRPr="008675A3">
        <w:rPr>
          <w:sz w:val="22"/>
          <w:szCs w:val="22"/>
          <w:lang w:val="sr-Latn-ME"/>
        </w:rPr>
        <w:t>ek ne utiče na psihofizičke sposobnosti prilikom upravljanja vozilima i rukovanja mašinama.</w:t>
      </w:r>
    </w:p>
    <w:p w14:paraId="1DEA6D80" w14:textId="77777777" w:rsidR="00C16A37" w:rsidRPr="008675A3" w:rsidRDefault="00C16A37" w:rsidP="006D0100">
      <w:pPr>
        <w:rPr>
          <w:lang w:val="sr-Latn-ME"/>
        </w:rPr>
      </w:pPr>
    </w:p>
    <w:p w14:paraId="41139F15" w14:textId="120A3337" w:rsidR="00B16116" w:rsidRPr="008675A3" w:rsidRDefault="00C16A37">
      <w:pPr>
        <w:outlineLvl w:val="0"/>
        <w:rPr>
          <w:b/>
          <w:bCs/>
          <w:lang w:val="sr-Latn-ME"/>
        </w:rPr>
      </w:pPr>
      <w:r w:rsidRPr="008675A3">
        <w:rPr>
          <w:b/>
          <w:bCs/>
          <w:lang w:val="sr-Latn-ME"/>
        </w:rPr>
        <w:t>4.8. Neželjena dejstva</w:t>
      </w:r>
    </w:p>
    <w:p w14:paraId="182AC727" w14:textId="197E033E" w:rsidR="00C16A37" w:rsidRPr="008675A3" w:rsidRDefault="00C16A37" w:rsidP="006D0100">
      <w:pPr>
        <w:tabs>
          <w:tab w:val="clear" w:pos="284"/>
        </w:tabs>
        <w:spacing w:before="100" w:beforeAutospacing="1" w:after="100" w:afterAutospacing="1"/>
        <w:rPr>
          <w:lang w:val="sr-Latn-ME"/>
        </w:rPr>
      </w:pPr>
      <w:r w:rsidRPr="008675A3">
        <w:rPr>
          <w:lang w:val="sr-Latn-ME"/>
        </w:rPr>
        <w:t>Bezb</w:t>
      </w:r>
      <w:r w:rsidR="002B6F36" w:rsidRPr="008675A3">
        <w:rPr>
          <w:lang w:val="sr-Latn-ME"/>
        </w:rPr>
        <w:t>j</w:t>
      </w:r>
      <w:r w:rsidRPr="008675A3">
        <w:rPr>
          <w:lang w:val="sr-Latn-ME"/>
        </w:rPr>
        <w:t>ednost mikonazola u obliku oralnog gela je ispitivana kod 111 pacijenata sa oralnom kandidijazom ili mikozom, koji su učestvovali u pet kliničkih studija. Od 111 pacijenata, odraslih sa oralnom kandidijazom ili mikozom je bilo 88. Oni su učestvovali u jednoj randomizovanoj, aktivno kontrolisanoj, dvostruko sl</w:t>
      </w:r>
      <w:r w:rsidR="002B6F36" w:rsidRPr="008675A3">
        <w:rPr>
          <w:lang w:val="sr-Latn-ME"/>
        </w:rPr>
        <w:t>ij</w:t>
      </w:r>
      <w:r w:rsidRPr="008675A3">
        <w:rPr>
          <w:lang w:val="sr-Latn-ME"/>
        </w:rPr>
        <w:t>epoj kliničkoj studiji i u tri otvorene kliničke studije. Preostala 23 pacijenta su bila d</w:t>
      </w:r>
      <w:r w:rsidR="002B6F36" w:rsidRPr="008675A3">
        <w:rPr>
          <w:lang w:val="sr-Latn-ME"/>
        </w:rPr>
        <w:t>j</w:t>
      </w:r>
      <w:r w:rsidRPr="008675A3">
        <w:rPr>
          <w:lang w:val="sr-Latn-ME"/>
        </w:rPr>
        <w:t>eca sa oralnom kandidijazom koja su učestvovala u jednoj randomizovanoj, kontrolisanoj, otvorenoj kliničkoj studiji (novorođenčad, odojčad i d</w:t>
      </w:r>
      <w:r w:rsidR="002B6F36" w:rsidRPr="008675A3">
        <w:rPr>
          <w:lang w:val="sr-Latn-ME"/>
        </w:rPr>
        <w:t>j</w:t>
      </w:r>
      <w:r w:rsidRPr="008675A3">
        <w:rPr>
          <w:lang w:val="sr-Latn-ME"/>
        </w:rPr>
        <w:t xml:space="preserve">eca uzrasta </w:t>
      </w:r>
      <w:r w:rsidRPr="008675A3">
        <w:rPr>
          <w:lang w:val="sr-Latn-ME"/>
        </w:rPr>
        <w:sym w:font="Symbol" w:char="F0A3"/>
      </w:r>
      <w:r w:rsidRPr="008675A3">
        <w:rPr>
          <w:lang w:val="sr-Latn-ME"/>
        </w:rPr>
        <w:t xml:space="preserve"> 1 m</w:t>
      </w:r>
      <w:r w:rsidR="002B6F36" w:rsidRPr="008675A3">
        <w:rPr>
          <w:lang w:val="sr-Latn-ME"/>
        </w:rPr>
        <w:t>j</w:t>
      </w:r>
      <w:r w:rsidRPr="008675A3">
        <w:rPr>
          <w:lang w:val="sr-Latn-ME"/>
        </w:rPr>
        <w:t>esec do 10,7 godina). Ovi pacijenti su uzeli najmanje jednu dozu mikonazola u obliku oralnog gela i dali podatke o bezb</w:t>
      </w:r>
      <w:r w:rsidR="002B6F36" w:rsidRPr="008675A3">
        <w:rPr>
          <w:lang w:val="sr-Latn-ME"/>
        </w:rPr>
        <w:t>j</w:t>
      </w:r>
      <w:r w:rsidRPr="008675A3">
        <w:rPr>
          <w:lang w:val="sr-Latn-ME"/>
        </w:rPr>
        <w:t>ednosti.</w:t>
      </w:r>
    </w:p>
    <w:p w14:paraId="3C26E3C2" w14:textId="4F190D19" w:rsidR="00C16A37" w:rsidRPr="008675A3" w:rsidRDefault="00C16A37" w:rsidP="006D0100">
      <w:pPr>
        <w:tabs>
          <w:tab w:val="clear" w:pos="284"/>
        </w:tabs>
        <w:spacing w:before="100" w:beforeAutospacing="1" w:after="100" w:afterAutospacing="1"/>
        <w:rPr>
          <w:lang w:val="sr-Latn-ME"/>
        </w:rPr>
      </w:pPr>
      <w:r w:rsidRPr="008675A3">
        <w:rPr>
          <w:lang w:val="sr-Latn-ME"/>
        </w:rPr>
        <w:t>Na osnovu prikupljenih podataka o bezb</w:t>
      </w:r>
      <w:r w:rsidR="002B6F36" w:rsidRPr="008675A3">
        <w:rPr>
          <w:lang w:val="sr-Latn-ME"/>
        </w:rPr>
        <w:t>j</w:t>
      </w:r>
      <w:r w:rsidRPr="008675A3">
        <w:rPr>
          <w:lang w:val="sr-Latn-ME"/>
        </w:rPr>
        <w:t>ednosti iz ovih 5 kliničkih studija (odrasli i pedijatrijski pacijenti), najčešće prijavljena neželjena reakcija (incidenca ≥ 1%) je bila nauzeja (6,3%), neobičan ukus l</w:t>
      </w:r>
      <w:r w:rsidR="002B6F36" w:rsidRPr="008675A3">
        <w:rPr>
          <w:lang w:val="sr-Latn-ME"/>
        </w:rPr>
        <w:t>ij</w:t>
      </w:r>
      <w:r w:rsidRPr="008675A3">
        <w:rPr>
          <w:lang w:val="sr-Latn-ME"/>
        </w:rPr>
        <w:t>eka (3,6%), povraćanje (3,6%), neprijatan os</w:t>
      </w:r>
      <w:r w:rsidR="002B6F36" w:rsidRPr="008675A3">
        <w:rPr>
          <w:lang w:val="sr-Latn-ME"/>
        </w:rPr>
        <w:t>j</w:t>
      </w:r>
      <w:r w:rsidRPr="008675A3">
        <w:rPr>
          <w:lang w:val="sr-Latn-ME"/>
        </w:rPr>
        <w:t>ećaj u ustima (2,7%), regurgitacija (1,8%) i suva usta (1,8%). Disgeuzija je prijavljena kod 0,9% pacijenata.</w:t>
      </w:r>
    </w:p>
    <w:p w14:paraId="3AFC52FB" w14:textId="77777777" w:rsidR="00C16A37" w:rsidRPr="008675A3" w:rsidRDefault="00C16A37" w:rsidP="006D32DF">
      <w:pPr>
        <w:tabs>
          <w:tab w:val="clear" w:pos="284"/>
        </w:tabs>
        <w:spacing w:before="100" w:beforeAutospacing="1" w:after="100" w:afterAutospacing="1"/>
        <w:outlineLvl w:val="0"/>
        <w:rPr>
          <w:lang w:val="sr-Latn-ME"/>
        </w:rPr>
      </w:pPr>
      <w:r w:rsidRPr="008675A3">
        <w:rPr>
          <w:u w:val="single"/>
          <w:lang w:val="sr-Latn-ME"/>
        </w:rPr>
        <w:t>Odrasli pacijenti</w:t>
      </w:r>
    </w:p>
    <w:p w14:paraId="7D08484A" w14:textId="68A3E840" w:rsidR="00C16A37" w:rsidRPr="008675A3" w:rsidRDefault="00C16A37" w:rsidP="006D0100">
      <w:pPr>
        <w:tabs>
          <w:tab w:val="clear" w:pos="284"/>
        </w:tabs>
        <w:spacing w:before="100" w:beforeAutospacing="1" w:after="100" w:afterAutospacing="1"/>
        <w:rPr>
          <w:lang w:val="sr-Latn-ME"/>
        </w:rPr>
      </w:pPr>
      <w:r w:rsidRPr="008675A3">
        <w:rPr>
          <w:lang w:val="sr-Latn-ME"/>
        </w:rPr>
        <w:t>Na osnovu podataka o bezb</w:t>
      </w:r>
      <w:r w:rsidR="002B6F36" w:rsidRPr="008675A3">
        <w:rPr>
          <w:lang w:val="sr-Latn-ME"/>
        </w:rPr>
        <w:t>j</w:t>
      </w:r>
      <w:r w:rsidRPr="008675A3">
        <w:rPr>
          <w:lang w:val="sr-Latn-ME"/>
        </w:rPr>
        <w:t>ednosti mikonazola oralnog gela iz 4 kliničke studije, česta neželjena dejstva uključuju nauzeju (4,5%), neobičan ukus l</w:t>
      </w:r>
      <w:r w:rsidR="002B6F36" w:rsidRPr="008675A3">
        <w:rPr>
          <w:lang w:val="sr-Latn-ME"/>
        </w:rPr>
        <w:t>ij</w:t>
      </w:r>
      <w:r w:rsidRPr="008675A3">
        <w:rPr>
          <w:lang w:val="sr-Latn-ME"/>
        </w:rPr>
        <w:t>eka (4,5%), neprijatan os</w:t>
      </w:r>
      <w:r w:rsidR="002B6F36" w:rsidRPr="008675A3">
        <w:rPr>
          <w:lang w:val="sr-Latn-ME"/>
        </w:rPr>
        <w:t>j</w:t>
      </w:r>
      <w:r w:rsidRPr="008675A3">
        <w:rPr>
          <w:lang w:val="sr-Latn-ME"/>
        </w:rPr>
        <w:t xml:space="preserve">ećaj u ustima (3,4%), suva usta (2,3%), disgeuziju (1,1%) i povraćanje (1,1%). </w:t>
      </w:r>
    </w:p>
    <w:p w14:paraId="41CA284F" w14:textId="77777777" w:rsidR="00C16A37" w:rsidRPr="008675A3" w:rsidRDefault="00C16A37" w:rsidP="006D32DF">
      <w:pPr>
        <w:tabs>
          <w:tab w:val="clear" w:pos="284"/>
        </w:tabs>
        <w:spacing w:before="100" w:beforeAutospacing="1" w:after="100" w:afterAutospacing="1"/>
        <w:outlineLvl w:val="0"/>
        <w:rPr>
          <w:lang w:val="sr-Latn-ME"/>
        </w:rPr>
      </w:pPr>
      <w:r w:rsidRPr="008675A3">
        <w:rPr>
          <w:u w:val="single"/>
          <w:lang w:val="sr-Latn-ME"/>
        </w:rPr>
        <w:t>Pedijatrijski pacijenti</w:t>
      </w:r>
    </w:p>
    <w:p w14:paraId="6307216A" w14:textId="08268A83" w:rsidR="00A778B9" w:rsidRDefault="00C16A37" w:rsidP="008675A3">
      <w:pPr>
        <w:tabs>
          <w:tab w:val="clear" w:pos="284"/>
        </w:tabs>
        <w:spacing w:before="100" w:beforeAutospacing="1" w:after="100" w:afterAutospacing="1"/>
        <w:rPr>
          <w:lang w:val="sr-Latn-ME"/>
        </w:rPr>
      </w:pPr>
      <w:r w:rsidRPr="008675A3">
        <w:rPr>
          <w:lang w:val="sr-Latn-ME"/>
        </w:rPr>
        <w:t>U jednoj kliničkoj studiji kod pedijatrijske populacije, učestalost pojave nauzeje (13,0%) kao i povraćanja (13,0%) je bila veoma česta, dok se regurgitacija javljala često (8,7%). Na osnovu postmarketinškog iskustva, gušenje se može javiti kod odojčadi i male d</w:t>
      </w:r>
      <w:r w:rsidR="002B6F36" w:rsidRPr="008675A3">
        <w:rPr>
          <w:lang w:val="sr-Latn-ME"/>
        </w:rPr>
        <w:t>j</w:t>
      </w:r>
      <w:r w:rsidRPr="008675A3">
        <w:rPr>
          <w:lang w:val="sr-Latn-ME"/>
        </w:rPr>
        <w:t>ece (vid</w:t>
      </w:r>
      <w:r w:rsidR="002B6F36" w:rsidRPr="008675A3">
        <w:rPr>
          <w:lang w:val="sr-Latn-ME"/>
        </w:rPr>
        <w:t>j</w:t>
      </w:r>
      <w:r w:rsidRPr="008675A3">
        <w:rPr>
          <w:lang w:val="sr-Latn-ME"/>
        </w:rPr>
        <w:t xml:space="preserve">eti </w:t>
      </w:r>
      <w:r w:rsidR="00665B19" w:rsidRPr="008675A3">
        <w:rPr>
          <w:lang w:val="sr-Latn-ME"/>
        </w:rPr>
        <w:t>dio</w:t>
      </w:r>
      <w:r w:rsidRPr="008675A3">
        <w:rPr>
          <w:lang w:val="sr-Latn-ME"/>
        </w:rPr>
        <w:t xml:space="preserve"> 4.3 Kontraindikacije i </w:t>
      </w:r>
      <w:r w:rsidR="00665B19" w:rsidRPr="008675A3">
        <w:rPr>
          <w:lang w:val="sr-Latn-ME"/>
        </w:rPr>
        <w:t>dio</w:t>
      </w:r>
      <w:r w:rsidRPr="008675A3">
        <w:rPr>
          <w:lang w:val="sr-Latn-ME"/>
        </w:rPr>
        <w:t xml:space="preserve"> 4.4 Posebna upozorenja i m</w:t>
      </w:r>
      <w:r w:rsidR="002B6F36" w:rsidRPr="008675A3">
        <w:rPr>
          <w:lang w:val="sr-Latn-ME"/>
        </w:rPr>
        <w:t>j</w:t>
      </w:r>
      <w:r w:rsidRPr="008675A3">
        <w:rPr>
          <w:lang w:val="sr-Latn-ME"/>
        </w:rPr>
        <w:t>ere opreza pri upotrebi l</w:t>
      </w:r>
      <w:r w:rsidR="002B6F36" w:rsidRPr="008675A3">
        <w:rPr>
          <w:lang w:val="sr-Latn-ME"/>
        </w:rPr>
        <w:t>ij</w:t>
      </w:r>
      <w:r w:rsidRPr="008675A3">
        <w:rPr>
          <w:lang w:val="sr-Latn-ME"/>
        </w:rPr>
        <w:t>eka). Očekuje se da učestalost, vrsta i težina ostalih neželjenih dejstava koja se javljaju kod d</w:t>
      </w:r>
      <w:r w:rsidR="002B6F36" w:rsidRPr="008675A3">
        <w:rPr>
          <w:lang w:val="sr-Latn-ME"/>
        </w:rPr>
        <w:t>j</w:t>
      </w:r>
      <w:r w:rsidRPr="008675A3">
        <w:rPr>
          <w:lang w:val="sr-Latn-ME"/>
        </w:rPr>
        <w:t xml:space="preserve">ece budu slična kao kod odraslih. </w:t>
      </w:r>
    </w:p>
    <w:p w14:paraId="0F5D2625" w14:textId="77777777" w:rsidR="00B905D4" w:rsidRDefault="00B905D4" w:rsidP="006D0100">
      <w:pPr>
        <w:tabs>
          <w:tab w:val="clear" w:pos="284"/>
        </w:tabs>
        <w:autoSpaceDE w:val="0"/>
        <w:autoSpaceDN w:val="0"/>
        <w:adjustRightInd w:val="0"/>
        <w:rPr>
          <w:lang w:val="sr-Latn-ME"/>
        </w:rPr>
      </w:pPr>
    </w:p>
    <w:p w14:paraId="3FC2A939" w14:textId="77777777" w:rsidR="00B905D4" w:rsidRDefault="00B905D4" w:rsidP="006D0100">
      <w:pPr>
        <w:tabs>
          <w:tab w:val="clear" w:pos="284"/>
        </w:tabs>
        <w:autoSpaceDE w:val="0"/>
        <w:autoSpaceDN w:val="0"/>
        <w:adjustRightInd w:val="0"/>
        <w:rPr>
          <w:lang w:val="sr-Latn-ME"/>
        </w:rPr>
      </w:pPr>
    </w:p>
    <w:p w14:paraId="069E312C" w14:textId="74536E7D" w:rsidR="00B16116" w:rsidRPr="008675A3" w:rsidRDefault="00C16A37" w:rsidP="006D0100">
      <w:pPr>
        <w:tabs>
          <w:tab w:val="clear" w:pos="284"/>
        </w:tabs>
        <w:autoSpaceDE w:val="0"/>
        <w:autoSpaceDN w:val="0"/>
        <w:adjustRightInd w:val="0"/>
        <w:rPr>
          <w:lang w:val="sr-Latn-ME"/>
        </w:rPr>
      </w:pPr>
      <w:r w:rsidRPr="008675A3">
        <w:rPr>
          <w:lang w:val="sr-Latn-ME"/>
        </w:rPr>
        <w:lastRenderedPageBreak/>
        <w:t>Opis odabranih neželjenih reakcija</w:t>
      </w:r>
    </w:p>
    <w:p w14:paraId="1F2FF822" w14:textId="77777777" w:rsidR="007C47A1" w:rsidRPr="008675A3" w:rsidRDefault="007C47A1">
      <w:pPr>
        <w:tabs>
          <w:tab w:val="clear" w:pos="284"/>
        </w:tabs>
        <w:autoSpaceDE w:val="0"/>
        <w:autoSpaceDN w:val="0"/>
        <w:adjustRightInd w:val="0"/>
        <w:rPr>
          <w:lang w:val="sr-Latn-ME"/>
        </w:rPr>
      </w:pPr>
    </w:p>
    <w:p w14:paraId="57E039B0" w14:textId="6C79F025" w:rsidR="00C16A37" w:rsidRPr="008675A3" w:rsidDel="007C47A1" w:rsidRDefault="00C16A37" w:rsidP="006D0100">
      <w:pPr>
        <w:tabs>
          <w:tab w:val="clear" w:pos="284"/>
        </w:tabs>
        <w:autoSpaceDE w:val="0"/>
        <w:autoSpaceDN w:val="0"/>
        <w:adjustRightInd w:val="0"/>
        <w:rPr>
          <w:lang w:val="sr-Latn-ME"/>
        </w:rPr>
      </w:pPr>
      <w:r w:rsidRPr="008675A3" w:rsidDel="007C47A1">
        <w:rPr>
          <w:lang w:val="sr-Latn-ME"/>
        </w:rPr>
        <w:t>Kod pacijenata koji su istovremeno sa mikonazol oralnim gelom koristili oralne antikoagulanse kao što je varfarin, zab</w:t>
      </w:r>
      <w:r w:rsidR="002B6F36" w:rsidRPr="008675A3" w:rsidDel="007C47A1">
        <w:rPr>
          <w:lang w:val="sr-Latn-ME"/>
        </w:rPr>
        <w:t>i</w:t>
      </w:r>
      <w:r w:rsidRPr="008675A3" w:rsidDel="007C47A1">
        <w:rPr>
          <w:lang w:val="sr-Latn-ME"/>
        </w:rPr>
        <w:t>l</w:t>
      </w:r>
      <w:r w:rsidR="002B6F36" w:rsidRPr="008675A3" w:rsidDel="007C47A1">
        <w:rPr>
          <w:lang w:val="sr-Latn-ME"/>
        </w:rPr>
        <w:t>j</w:t>
      </w:r>
      <w:r w:rsidRPr="008675A3" w:rsidDel="007C47A1">
        <w:rPr>
          <w:lang w:val="sr-Latn-ME"/>
        </w:rPr>
        <w:t>eženo je povećanje vr</w:t>
      </w:r>
      <w:r w:rsidR="002B6F36" w:rsidRPr="008675A3" w:rsidDel="007C47A1">
        <w:rPr>
          <w:lang w:val="sr-Latn-ME"/>
        </w:rPr>
        <w:t>ij</w:t>
      </w:r>
      <w:r w:rsidRPr="008675A3" w:rsidDel="007C47A1">
        <w:rPr>
          <w:lang w:val="sr-Latn-ME"/>
        </w:rPr>
        <w:t>ednosti INR-a i krvarenja kao što su epistaksa, kontuzija, hematurija, melena, hematemeza, hematomi i hemoragije (vid</w:t>
      </w:r>
      <w:r w:rsidR="002B6F36" w:rsidRPr="008675A3" w:rsidDel="007C47A1">
        <w:rPr>
          <w:lang w:val="sr-Latn-ME"/>
        </w:rPr>
        <w:t>j</w:t>
      </w:r>
      <w:r w:rsidRPr="008675A3" w:rsidDel="007C47A1">
        <w:rPr>
          <w:lang w:val="sr-Latn-ME"/>
        </w:rPr>
        <w:t>eti od</w:t>
      </w:r>
      <w:r w:rsidR="002B6F36" w:rsidRPr="008675A3" w:rsidDel="007C47A1">
        <w:rPr>
          <w:lang w:val="sr-Latn-ME"/>
        </w:rPr>
        <w:t>j</w:t>
      </w:r>
      <w:r w:rsidRPr="008675A3" w:rsidDel="007C47A1">
        <w:rPr>
          <w:lang w:val="sr-Latn-ME"/>
        </w:rPr>
        <w:t xml:space="preserve">eljke 4.4 i 4.5). Neki neželjeni događaji su se završili smrtnim ishodom. </w:t>
      </w:r>
    </w:p>
    <w:p w14:paraId="5011E82F" w14:textId="77777777" w:rsidR="00C16A37" w:rsidRPr="008675A3" w:rsidRDefault="00C16A37" w:rsidP="00DF784C">
      <w:pPr>
        <w:tabs>
          <w:tab w:val="clear" w:pos="284"/>
        </w:tabs>
        <w:autoSpaceDE w:val="0"/>
        <w:autoSpaceDN w:val="0"/>
        <w:adjustRightInd w:val="0"/>
        <w:rPr>
          <w:lang w:val="sr-Latn-ME"/>
        </w:rPr>
      </w:pPr>
    </w:p>
    <w:p w14:paraId="5A052558" w14:textId="35547523" w:rsidR="00C16A37" w:rsidRPr="008675A3" w:rsidRDefault="00C16A37" w:rsidP="006D0100">
      <w:pPr>
        <w:tabs>
          <w:tab w:val="clear" w:pos="284"/>
        </w:tabs>
        <w:autoSpaceDE w:val="0"/>
        <w:autoSpaceDN w:val="0"/>
        <w:adjustRightInd w:val="0"/>
        <w:rPr>
          <w:lang w:val="sr-Latn-ME"/>
        </w:rPr>
      </w:pPr>
      <w:r w:rsidRPr="008675A3">
        <w:rPr>
          <w:lang w:val="sr-Latn-ME"/>
        </w:rPr>
        <w:t>Tabela A uključuje sve identifikovane neželjene reakcije, uključujući i one koje su zab</w:t>
      </w:r>
      <w:r w:rsidR="002B6F36" w:rsidRPr="008675A3">
        <w:rPr>
          <w:lang w:val="sr-Latn-ME"/>
        </w:rPr>
        <w:t>i</w:t>
      </w:r>
      <w:r w:rsidRPr="008675A3">
        <w:rPr>
          <w:lang w:val="sr-Latn-ME"/>
        </w:rPr>
        <w:t>l</w:t>
      </w:r>
      <w:r w:rsidR="002B6F36" w:rsidRPr="008675A3">
        <w:rPr>
          <w:lang w:val="sr-Latn-ME"/>
        </w:rPr>
        <w:t>j</w:t>
      </w:r>
      <w:r w:rsidRPr="008675A3">
        <w:rPr>
          <w:lang w:val="sr-Latn-ME"/>
        </w:rPr>
        <w:t>ežene u postmarketinškom periodu.</w:t>
      </w:r>
    </w:p>
    <w:p w14:paraId="12768BBF" w14:textId="70BF162C" w:rsidR="00C16A37" w:rsidRPr="008675A3" w:rsidRDefault="00C16A37" w:rsidP="006D0100">
      <w:pPr>
        <w:tabs>
          <w:tab w:val="clear" w:pos="284"/>
        </w:tabs>
        <w:spacing w:before="100" w:beforeAutospacing="1" w:after="100" w:afterAutospacing="1"/>
        <w:rPr>
          <w:lang w:val="sr-Latn-ME"/>
        </w:rPr>
      </w:pPr>
      <w:r w:rsidRPr="008675A3">
        <w:rPr>
          <w:lang w:val="sr-Latn-ME"/>
        </w:rPr>
        <w:t>Učestalost pojave neželjenih dejstava je prikazana u skladu sa sl</w:t>
      </w:r>
      <w:r w:rsidR="002B6F36" w:rsidRPr="008675A3">
        <w:rPr>
          <w:lang w:val="sr-Latn-ME"/>
        </w:rPr>
        <w:t>j</w:t>
      </w:r>
      <w:r w:rsidRPr="008675A3">
        <w:rPr>
          <w:lang w:val="sr-Latn-ME"/>
        </w:rPr>
        <w:t>edećom konvencijom: veoma često (≥1/10); često (≥1/100 do &lt;1/10); povremeno (≥1/1000 do &lt;1/100); r</w:t>
      </w:r>
      <w:r w:rsidR="002B6F36" w:rsidRPr="008675A3">
        <w:rPr>
          <w:lang w:val="sr-Latn-ME"/>
        </w:rPr>
        <w:t>ij</w:t>
      </w:r>
      <w:r w:rsidRPr="008675A3">
        <w:rPr>
          <w:lang w:val="sr-Latn-ME"/>
        </w:rPr>
        <w:t>etko (≥1/10000 do &lt;1/1000); veoma r</w:t>
      </w:r>
      <w:r w:rsidR="002B6F36" w:rsidRPr="008675A3">
        <w:rPr>
          <w:lang w:val="sr-Latn-ME"/>
        </w:rPr>
        <w:t>ij</w:t>
      </w:r>
      <w:r w:rsidRPr="008675A3">
        <w:rPr>
          <w:lang w:val="sr-Latn-ME"/>
        </w:rPr>
        <w:t>etko (&lt;1/10000); nepoznata učestalost (ne može se proc</w:t>
      </w:r>
      <w:r w:rsidR="002B6F36" w:rsidRPr="008675A3">
        <w:rPr>
          <w:lang w:val="sr-Latn-ME"/>
        </w:rPr>
        <w:t>ij</w:t>
      </w:r>
      <w:r w:rsidRPr="008675A3">
        <w:rPr>
          <w:lang w:val="sr-Latn-ME"/>
        </w:rPr>
        <w:t>eniti na osnovu dostupnih podataka).</w:t>
      </w:r>
    </w:p>
    <w:p w14:paraId="68DBCBA4" w14:textId="5BD7CEE4" w:rsidR="00C16A37" w:rsidRPr="008675A3" w:rsidRDefault="00C16A37" w:rsidP="00A41ACC">
      <w:pPr>
        <w:tabs>
          <w:tab w:val="clear" w:pos="284"/>
        </w:tabs>
        <w:spacing w:before="100" w:beforeAutospacing="1" w:after="100" w:afterAutospacing="1"/>
        <w:jc w:val="left"/>
        <w:rPr>
          <w:lang w:val="sr-Latn-ME"/>
        </w:rPr>
      </w:pPr>
      <w:r w:rsidRPr="008675A3">
        <w:rPr>
          <w:lang w:val="sr-Latn-ME"/>
        </w:rPr>
        <w:t>Tabela A: Neželjene reakcije kod pacijenata l</w:t>
      </w:r>
      <w:r w:rsidR="002B6F36" w:rsidRPr="008675A3">
        <w:rPr>
          <w:lang w:val="sr-Latn-ME"/>
        </w:rPr>
        <w:t>ij</w:t>
      </w:r>
      <w:r w:rsidRPr="008675A3">
        <w:rPr>
          <w:lang w:val="sr-Latn-ME"/>
        </w:rPr>
        <w:t>ečenih mikonazolom u obliku oralnog gela</w:t>
      </w:r>
    </w:p>
    <w:tbl>
      <w:tblPr>
        <w:tblW w:w="4927" w:type="pct"/>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402"/>
        <w:gridCol w:w="2340"/>
        <w:gridCol w:w="2442"/>
        <w:gridCol w:w="2444"/>
      </w:tblGrid>
      <w:tr w:rsidR="00C16A37" w:rsidRPr="006F3369" w14:paraId="61D5FC16" w14:textId="77777777" w:rsidTr="00BA6769">
        <w:trPr>
          <w:tblCellSpacing w:w="0" w:type="dxa"/>
        </w:trPr>
        <w:tc>
          <w:tcPr>
            <w:tcW w:w="1248" w:type="pct"/>
            <w:vMerge w:val="restart"/>
            <w:vAlign w:val="center"/>
          </w:tcPr>
          <w:p w14:paraId="532047B1" w14:textId="77777777" w:rsidR="00C16A37" w:rsidRPr="008675A3" w:rsidRDefault="00C16A37" w:rsidP="006A504F">
            <w:pPr>
              <w:tabs>
                <w:tab w:val="clear" w:pos="284"/>
              </w:tabs>
              <w:spacing w:before="100" w:beforeAutospacing="1" w:after="100" w:afterAutospacing="1"/>
              <w:jc w:val="left"/>
              <w:rPr>
                <w:b/>
                <w:lang w:val="sr-Latn-ME"/>
              </w:rPr>
            </w:pPr>
            <w:r w:rsidRPr="008675A3">
              <w:rPr>
                <w:b/>
                <w:lang w:val="sr-Latn-ME"/>
              </w:rPr>
              <w:t>Klasa sistema organa</w:t>
            </w:r>
          </w:p>
        </w:tc>
        <w:tc>
          <w:tcPr>
            <w:tcW w:w="3752" w:type="pct"/>
            <w:gridSpan w:val="3"/>
          </w:tcPr>
          <w:p w14:paraId="186B2779" w14:textId="1A8FBECF" w:rsidR="00C16A37" w:rsidRPr="008675A3" w:rsidRDefault="00C16A37" w:rsidP="008559DD">
            <w:pPr>
              <w:tabs>
                <w:tab w:val="clear" w:pos="284"/>
              </w:tabs>
              <w:jc w:val="center"/>
              <w:rPr>
                <w:b/>
                <w:lang w:val="sr-Latn-ME"/>
              </w:rPr>
            </w:pPr>
            <w:r w:rsidRPr="008675A3">
              <w:rPr>
                <w:b/>
                <w:lang w:val="sr-Latn-ME"/>
              </w:rPr>
              <w:t>Neželjene reakcije na l</w:t>
            </w:r>
            <w:r w:rsidR="002B6F36" w:rsidRPr="008675A3">
              <w:rPr>
                <w:b/>
                <w:lang w:val="sr-Latn-ME"/>
              </w:rPr>
              <w:t>ij</w:t>
            </w:r>
            <w:r w:rsidRPr="008675A3">
              <w:rPr>
                <w:b/>
                <w:lang w:val="sr-Latn-ME"/>
              </w:rPr>
              <w:t>ek</w:t>
            </w:r>
          </w:p>
        </w:tc>
      </w:tr>
      <w:tr w:rsidR="00C16A37" w:rsidRPr="006F3369" w14:paraId="3FE4CA02" w14:textId="77777777" w:rsidTr="00BA6769">
        <w:trPr>
          <w:tblCellSpacing w:w="0" w:type="dxa"/>
        </w:trPr>
        <w:tc>
          <w:tcPr>
            <w:tcW w:w="1248" w:type="pct"/>
            <w:vMerge/>
            <w:vAlign w:val="center"/>
          </w:tcPr>
          <w:p w14:paraId="6934BB7F" w14:textId="77777777" w:rsidR="00C16A37" w:rsidRPr="008675A3" w:rsidRDefault="00C16A37" w:rsidP="006A504F">
            <w:pPr>
              <w:tabs>
                <w:tab w:val="clear" w:pos="284"/>
              </w:tabs>
              <w:spacing w:before="100" w:beforeAutospacing="1" w:after="100" w:afterAutospacing="1"/>
              <w:jc w:val="left"/>
              <w:rPr>
                <w:lang w:val="sr-Latn-ME"/>
              </w:rPr>
            </w:pPr>
          </w:p>
        </w:tc>
        <w:tc>
          <w:tcPr>
            <w:tcW w:w="3752" w:type="pct"/>
            <w:gridSpan w:val="3"/>
          </w:tcPr>
          <w:p w14:paraId="2709D95F" w14:textId="77777777" w:rsidR="00C16A37" w:rsidRPr="008675A3" w:rsidRDefault="00C16A37" w:rsidP="008559DD">
            <w:pPr>
              <w:tabs>
                <w:tab w:val="clear" w:pos="284"/>
              </w:tabs>
              <w:jc w:val="center"/>
              <w:rPr>
                <w:b/>
                <w:lang w:val="sr-Latn-ME"/>
              </w:rPr>
            </w:pPr>
            <w:r w:rsidRPr="008675A3">
              <w:rPr>
                <w:b/>
                <w:lang w:val="sr-Latn-ME"/>
              </w:rPr>
              <w:t>Učestalost</w:t>
            </w:r>
          </w:p>
        </w:tc>
      </w:tr>
      <w:tr w:rsidR="00C16A37" w:rsidRPr="006F3369" w14:paraId="5918AB02" w14:textId="77777777" w:rsidTr="00BA6769">
        <w:trPr>
          <w:tblCellSpacing w:w="0" w:type="dxa"/>
        </w:trPr>
        <w:tc>
          <w:tcPr>
            <w:tcW w:w="1248" w:type="pct"/>
            <w:vAlign w:val="center"/>
          </w:tcPr>
          <w:p w14:paraId="472686EB" w14:textId="77777777" w:rsidR="00C16A37" w:rsidRPr="008675A3" w:rsidRDefault="00C16A37" w:rsidP="006A504F">
            <w:pPr>
              <w:tabs>
                <w:tab w:val="clear" w:pos="284"/>
              </w:tabs>
              <w:spacing w:before="100" w:beforeAutospacing="1" w:after="100" w:afterAutospacing="1"/>
              <w:jc w:val="left"/>
              <w:rPr>
                <w:lang w:val="sr-Latn-ME"/>
              </w:rPr>
            </w:pPr>
          </w:p>
        </w:tc>
        <w:tc>
          <w:tcPr>
            <w:tcW w:w="1215" w:type="pct"/>
          </w:tcPr>
          <w:p w14:paraId="2C12B732" w14:textId="77777777" w:rsidR="00C16A37" w:rsidRPr="008675A3" w:rsidRDefault="00C16A37" w:rsidP="006A504F">
            <w:pPr>
              <w:tabs>
                <w:tab w:val="clear" w:pos="284"/>
              </w:tabs>
              <w:spacing w:line="360" w:lineRule="auto"/>
              <w:jc w:val="center"/>
              <w:rPr>
                <w:b/>
                <w:lang w:val="sr-Latn-ME"/>
              </w:rPr>
            </w:pPr>
            <w:r w:rsidRPr="008675A3">
              <w:rPr>
                <w:b/>
                <w:lang w:val="sr-Latn-ME"/>
              </w:rPr>
              <w:t>Često</w:t>
            </w:r>
          </w:p>
          <w:p w14:paraId="650ABA20" w14:textId="77777777" w:rsidR="00C16A37" w:rsidRPr="008675A3" w:rsidRDefault="00C16A37" w:rsidP="006A504F">
            <w:pPr>
              <w:tabs>
                <w:tab w:val="clear" w:pos="284"/>
              </w:tabs>
              <w:spacing w:line="360" w:lineRule="auto"/>
              <w:jc w:val="center"/>
              <w:rPr>
                <w:lang w:val="sr-Latn-ME"/>
              </w:rPr>
            </w:pPr>
            <w:r w:rsidRPr="008675A3">
              <w:rPr>
                <w:lang w:val="sr-Latn-ME"/>
              </w:rPr>
              <w:t>(≥1/100 do &lt;1/10)</w:t>
            </w:r>
          </w:p>
        </w:tc>
        <w:tc>
          <w:tcPr>
            <w:tcW w:w="1268" w:type="pct"/>
          </w:tcPr>
          <w:p w14:paraId="679349F8" w14:textId="77777777" w:rsidR="00C16A37" w:rsidRPr="008675A3" w:rsidRDefault="00C16A37" w:rsidP="006A504F">
            <w:pPr>
              <w:tabs>
                <w:tab w:val="clear" w:pos="284"/>
              </w:tabs>
              <w:spacing w:line="360" w:lineRule="auto"/>
              <w:jc w:val="center"/>
              <w:rPr>
                <w:b/>
                <w:lang w:val="sr-Latn-ME"/>
              </w:rPr>
            </w:pPr>
            <w:r w:rsidRPr="008675A3">
              <w:rPr>
                <w:b/>
                <w:lang w:val="sr-Latn-ME"/>
              </w:rPr>
              <w:t>Povremeno</w:t>
            </w:r>
          </w:p>
          <w:p w14:paraId="1889A1F6" w14:textId="77777777" w:rsidR="00C16A37" w:rsidRPr="008675A3" w:rsidRDefault="00C16A37" w:rsidP="006A504F">
            <w:pPr>
              <w:tabs>
                <w:tab w:val="clear" w:pos="284"/>
              </w:tabs>
              <w:spacing w:line="360" w:lineRule="auto"/>
              <w:jc w:val="center"/>
              <w:rPr>
                <w:lang w:val="sr-Latn-ME"/>
              </w:rPr>
            </w:pPr>
            <w:r w:rsidRPr="008675A3">
              <w:rPr>
                <w:lang w:val="sr-Latn-ME"/>
              </w:rPr>
              <w:t>(≥1/1000 do &lt;1/100)</w:t>
            </w:r>
          </w:p>
        </w:tc>
        <w:tc>
          <w:tcPr>
            <w:tcW w:w="1269" w:type="pct"/>
          </w:tcPr>
          <w:p w14:paraId="73171F4C" w14:textId="77777777" w:rsidR="00C16A37" w:rsidRPr="008675A3" w:rsidRDefault="00C16A37" w:rsidP="006A504F">
            <w:pPr>
              <w:tabs>
                <w:tab w:val="clear" w:pos="284"/>
              </w:tabs>
              <w:spacing w:line="360" w:lineRule="auto"/>
              <w:jc w:val="center"/>
              <w:rPr>
                <w:b/>
                <w:lang w:val="sr-Latn-ME"/>
              </w:rPr>
            </w:pPr>
            <w:r w:rsidRPr="008675A3">
              <w:rPr>
                <w:b/>
                <w:lang w:val="sr-Latn-ME"/>
              </w:rPr>
              <w:t>Nepoznata</w:t>
            </w:r>
          </w:p>
        </w:tc>
      </w:tr>
      <w:tr w:rsidR="00C16A37" w:rsidRPr="006F3369" w14:paraId="020E9DB3" w14:textId="77777777" w:rsidTr="00BA6769">
        <w:trPr>
          <w:trHeight w:val="560"/>
          <w:tblCellSpacing w:w="0" w:type="dxa"/>
        </w:trPr>
        <w:tc>
          <w:tcPr>
            <w:tcW w:w="1248" w:type="pct"/>
            <w:vAlign w:val="center"/>
          </w:tcPr>
          <w:p w14:paraId="22654412" w14:textId="615A220B" w:rsidR="00C16A37" w:rsidRPr="008675A3" w:rsidRDefault="00C16A37" w:rsidP="006A504F">
            <w:pPr>
              <w:tabs>
                <w:tab w:val="clear" w:pos="284"/>
              </w:tabs>
              <w:spacing w:before="100" w:beforeAutospacing="1" w:after="100" w:afterAutospacing="1"/>
              <w:jc w:val="left"/>
              <w:rPr>
                <w:lang w:val="sr-Latn-ME"/>
              </w:rPr>
            </w:pPr>
            <w:r w:rsidRPr="008675A3">
              <w:rPr>
                <w:lang w:val="sr-Latn-ME"/>
              </w:rPr>
              <w:t>Poremećaji imunog sistema</w:t>
            </w:r>
          </w:p>
        </w:tc>
        <w:tc>
          <w:tcPr>
            <w:tcW w:w="1215" w:type="pct"/>
          </w:tcPr>
          <w:p w14:paraId="21F11FF0" w14:textId="77777777" w:rsidR="00C16A37" w:rsidRPr="008675A3" w:rsidRDefault="00C16A37" w:rsidP="006A504F">
            <w:pPr>
              <w:tabs>
                <w:tab w:val="clear" w:pos="284"/>
              </w:tabs>
              <w:jc w:val="center"/>
              <w:rPr>
                <w:lang w:val="sr-Latn-ME"/>
              </w:rPr>
            </w:pPr>
          </w:p>
        </w:tc>
        <w:tc>
          <w:tcPr>
            <w:tcW w:w="1268" w:type="pct"/>
          </w:tcPr>
          <w:p w14:paraId="3A62F2E9" w14:textId="77777777" w:rsidR="00C16A37" w:rsidRPr="008675A3" w:rsidRDefault="00C16A37" w:rsidP="006A504F">
            <w:pPr>
              <w:tabs>
                <w:tab w:val="clear" w:pos="284"/>
              </w:tabs>
              <w:spacing w:before="100" w:beforeAutospacing="1" w:after="100" w:afterAutospacing="1"/>
              <w:jc w:val="center"/>
              <w:rPr>
                <w:lang w:val="sr-Latn-ME"/>
              </w:rPr>
            </w:pPr>
          </w:p>
        </w:tc>
        <w:tc>
          <w:tcPr>
            <w:tcW w:w="1269" w:type="pct"/>
          </w:tcPr>
          <w:p w14:paraId="010D9B62" w14:textId="77777777" w:rsidR="00C16A37" w:rsidRPr="008675A3" w:rsidRDefault="00C16A37" w:rsidP="006A504F">
            <w:pPr>
              <w:tabs>
                <w:tab w:val="clear" w:pos="284"/>
              </w:tabs>
              <w:jc w:val="center"/>
              <w:rPr>
                <w:lang w:val="sr-Latn-ME"/>
              </w:rPr>
            </w:pPr>
            <w:r w:rsidRPr="008675A3">
              <w:rPr>
                <w:lang w:val="sr-Latn-ME"/>
              </w:rPr>
              <w:t>Anafilaktička reakcija,  hipersenzitivnost</w:t>
            </w:r>
          </w:p>
        </w:tc>
      </w:tr>
      <w:tr w:rsidR="00C16A37" w:rsidRPr="006F3369" w14:paraId="4A47F6E9" w14:textId="77777777" w:rsidTr="00BA6769">
        <w:trPr>
          <w:tblCellSpacing w:w="0" w:type="dxa"/>
        </w:trPr>
        <w:tc>
          <w:tcPr>
            <w:tcW w:w="1248" w:type="pct"/>
            <w:vAlign w:val="center"/>
          </w:tcPr>
          <w:p w14:paraId="05C49E1F" w14:textId="77777777" w:rsidR="00C16A37" w:rsidRPr="008675A3" w:rsidRDefault="00C16A37" w:rsidP="006A504F">
            <w:pPr>
              <w:tabs>
                <w:tab w:val="clear" w:pos="284"/>
              </w:tabs>
              <w:spacing w:before="100" w:beforeAutospacing="1" w:after="100" w:afterAutospacing="1"/>
              <w:jc w:val="left"/>
              <w:rPr>
                <w:lang w:val="sr-Latn-ME"/>
              </w:rPr>
            </w:pPr>
            <w:r w:rsidRPr="008675A3">
              <w:rPr>
                <w:lang w:val="sr-Latn-ME"/>
              </w:rPr>
              <w:t>Poremećaji nervnog sistema</w:t>
            </w:r>
          </w:p>
        </w:tc>
        <w:tc>
          <w:tcPr>
            <w:tcW w:w="1215" w:type="pct"/>
          </w:tcPr>
          <w:p w14:paraId="62F2ABD0" w14:textId="77777777" w:rsidR="00C16A37" w:rsidRPr="008675A3" w:rsidRDefault="00C16A37" w:rsidP="006A504F">
            <w:pPr>
              <w:tabs>
                <w:tab w:val="clear" w:pos="284"/>
              </w:tabs>
              <w:jc w:val="center"/>
              <w:rPr>
                <w:lang w:val="sr-Latn-ME"/>
              </w:rPr>
            </w:pPr>
          </w:p>
        </w:tc>
        <w:tc>
          <w:tcPr>
            <w:tcW w:w="1268" w:type="pct"/>
          </w:tcPr>
          <w:p w14:paraId="12B643FF" w14:textId="77777777" w:rsidR="00C16A37" w:rsidRPr="008675A3" w:rsidRDefault="00C16A37" w:rsidP="006A504F">
            <w:pPr>
              <w:tabs>
                <w:tab w:val="clear" w:pos="284"/>
              </w:tabs>
              <w:spacing w:before="100" w:beforeAutospacing="1" w:after="100" w:afterAutospacing="1"/>
              <w:jc w:val="center"/>
              <w:rPr>
                <w:lang w:val="sr-Latn-ME"/>
              </w:rPr>
            </w:pPr>
            <w:r w:rsidRPr="008675A3">
              <w:rPr>
                <w:lang w:val="sr-Latn-ME"/>
              </w:rPr>
              <w:t>Disgeuzija</w:t>
            </w:r>
          </w:p>
        </w:tc>
        <w:tc>
          <w:tcPr>
            <w:tcW w:w="1269" w:type="pct"/>
          </w:tcPr>
          <w:p w14:paraId="755B4A8D" w14:textId="77777777" w:rsidR="00C16A37" w:rsidRPr="008675A3" w:rsidRDefault="00C16A37" w:rsidP="006A504F">
            <w:pPr>
              <w:tabs>
                <w:tab w:val="clear" w:pos="284"/>
              </w:tabs>
              <w:jc w:val="center"/>
              <w:rPr>
                <w:lang w:val="sr-Latn-ME"/>
              </w:rPr>
            </w:pPr>
          </w:p>
        </w:tc>
      </w:tr>
      <w:tr w:rsidR="00C16A37" w:rsidRPr="006F3369" w14:paraId="48BB9418" w14:textId="77777777" w:rsidTr="00BA6769">
        <w:trPr>
          <w:trHeight w:val="749"/>
          <w:tblCellSpacing w:w="0" w:type="dxa"/>
        </w:trPr>
        <w:tc>
          <w:tcPr>
            <w:tcW w:w="1248" w:type="pct"/>
            <w:vAlign w:val="center"/>
          </w:tcPr>
          <w:p w14:paraId="45D833DE" w14:textId="77777777" w:rsidR="00C16A37" w:rsidRPr="008675A3" w:rsidRDefault="00C16A37" w:rsidP="006A504F">
            <w:pPr>
              <w:tabs>
                <w:tab w:val="clear" w:pos="284"/>
              </w:tabs>
              <w:spacing w:before="100" w:beforeAutospacing="1" w:after="100" w:afterAutospacing="1"/>
              <w:jc w:val="left"/>
              <w:rPr>
                <w:lang w:val="sr-Latn-ME"/>
              </w:rPr>
            </w:pPr>
            <w:r w:rsidRPr="008675A3">
              <w:rPr>
                <w:lang w:val="sr-Latn-ME"/>
              </w:rPr>
              <w:t>Respiratorni, torakalni i medijastinalni poremećaji</w:t>
            </w:r>
          </w:p>
        </w:tc>
        <w:tc>
          <w:tcPr>
            <w:tcW w:w="1215" w:type="pct"/>
          </w:tcPr>
          <w:p w14:paraId="124AA2B8" w14:textId="77777777" w:rsidR="00C16A37" w:rsidRPr="008675A3" w:rsidRDefault="00C16A37" w:rsidP="006A504F">
            <w:pPr>
              <w:tabs>
                <w:tab w:val="clear" w:pos="284"/>
              </w:tabs>
              <w:jc w:val="center"/>
              <w:rPr>
                <w:lang w:val="sr-Latn-ME"/>
              </w:rPr>
            </w:pPr>
          </w:p>
        </w:tc>
        <w:tc>
          <w:tcPr>
            <w:tcW w:w="1268" w:type="pct"/>
          </w:tcPr>
          <w:p w14:paraId="545122DE" w14:textId="77777777" w:rsidR="00C16A37" w:rsidRPr="008675A3" w:rsidRDefault="00C16A37" w:rsidP="006A504F">
            <w:pPr>
              <w:tabs>
                <w:tab w:val="clear" w:pos="284"/>
              </w:tabs>
              <w:jc w:val="center"/>
              <w:rPr>
                <w:lang w:val="sr-Latn-ME"/>
              </w:rPr>
            </w:pPr>
          </w:p>
        </w:tc>
        <w:tc>
          <w:tcPr>
            <w:tcW w:w="1269" w:type="pct"/>
          </w:tcPr>
          <w:p w14:paraId="47B37710" w14:textId="77777777" w:rsidR="00C16A37" w:rsidRPr="008675A3" w:rsidRDefault="00C16A37" w:rsidP="00BA6769">
            <w:pPr>
              <w:tabs>
                <w:tab w:val="clear" w:pos="284"/>
              </w:tabs>
              <w:jc w:val="center"/>
              <w:rPr>
                <w:lang w:val="sr-Latn-ME"/>
              </w:rPr>
            </w:pPr>
          </w:p>
          <w:p w14:paraId="4AEB878A" w14:textId="77777777" w:rsidR="00C16A37" w:rsidRPr="008675A3" w:rsidRDefault="00C16A37" w:rsidP="00BA6769">
            <w:pPr>
              <w:tabs>
                <w:tab w:val="clear" w:pos="284"/>
              </w:tabs>
              <w:jc w:val="center"/>
              <w:rPr>
                <w:lang w:val="sr-Latn-ME"/>
              </w:rPr>
            </w:pPr>
            <w:r w:rsidRPr="008675A3">
              <w:rPr>
                <w:lang w:val="sr-Latn-ME"/>
              </w:rPr>
              <w:t>Gušenje</w:t>
            </w:r>
          </w:p>
        </w:tc>
      </w:tr>
      <w:tr w:rsidR="00C16A37" w:rsidRPr="006F3369" w14:paraId="2B22F4E1" w14:textId="77777777" w:rsidTr="00BA6769">
        <w:trPr>
          <w:tblCellSpacing w:w="0" w:type="dxa"/>
        </w:trPr>
        <w:tc>
          <w:tcPr>
            <w:tcW w:w="1248" w:type="pct"/>
            <w:vAlign w:val="center"/>
          </w:tcPr>
          <w:p w14:paraId="5F2D4A30" w14:textId="77777777" w:rsidR="00C16A37" w:rsidRPr="008675A3" w:rsidRDefault="00C16A37" w:rsidP="006A504F">
            <w:pPr>
              <w:tabs>
                <w:tab w:val="clear" w:pos="284"/>
              </w:tabs>
              <w:spacing w:before="100" w:beforeAutospacing="1" w:after="100" w:afterAutospacing="1"/>
              <w:jc w:val="left"/>
              <w:rPr>
                <w:lang w:val="sr-Latn-ME"/>
              </w:rPr>
            </w:pPr>
            <w:r w:rsidRPr="008675A3">
              <w:rPr>
                <w:lang w:val="sr-Latn-ME"/>
              </w:rPr>
              <w:t>Gastrointestinalni poremećaji</w:t>
            </w:r>
          </w:p>
        </w:tc>
        <w:tc>
          <w:tcPr>
            <w:tcW w:w="1215" w:type="pct"/>
          </w:tcPr>
          <w:p w14:paraId="6783FBBC" w14:textId="1797C8DF" w:rsidR="00C16A37" w:rsidRPr="008675A3" w:rsidRDefault="00C16A37" w:rsidP="006A504F">
            <w:pPr>
              <w:tabs>
                <w:tab w:val="clear" w:pos="284"/>
              </w:tabs>
              <w:spacing w:before="100" w:beforeAutospacing="1" w:after="100" w:afterAutospacing="1"/>
              <w:jc w:val="center"/>
              <w:rPr>
                <w:lang w:val="sr-Latn-ME"/>
              </w:rPr>
            </w:pPr>
            <w:r w:rsidRPr="008675A3">
              <w:rPr>
                <w:lang w:val="sr-Latn-ME"/>
              </w:rPr>
              <w:t>Suva usta, nauzeja, neprijatan os</w:t>
            </w:r>
            <w:r w:rsidR="002B6F36" w:rsidRPr="008675A3">
              <w:rPr>
                <w:lang w:val="sr-Latn-ME"/>
              </w:rPr>
              <w:t>j</w:t>
            </w:r>
            <w:r w:rsidRPr="008675A3">
              <w:rPr>
                <w:lang w:val="sr-Latn-ME"/>
              </w:rPr>
              <w:t>ećaj u ustima, povraćanje, regurgitacija</w:t>
            </w:r>
          </w:p>
        </w:tc>
        <w:tc>
          <w:tcPr>
            <w:tcW w:w="1268" w:type="pct"/>
          </w:tcPr>
          <w:p w14:paraId="4D5D5581" w14:textId="77777777" w:rsidR="00C16A37" w:rsidRPr="008675A3" w:rsidRDefault="00C16A37" w:rsidP="006A504F">
            <w:pPr>
              <w:tabs>
                <w:tab w:val="clear" w:pos="284"/>
              </w:tabs>
              <w:jc w:val="center"/>
              <w:rPr>
                <w:lang w:val="sr-Latn-ME"/>
              </w:rPr>
            </w:pPr>
          </w:p>
        </w:tc>
        <w:tc>
          <w:tcPr>
            <w:tcW w:w="1269" w:type="pct"/>
          </w:tcPr>
          <w:p w14:paraId="10A61985" w14:textId="77777777" w:rsidR="00C16A37" w:rsidRPr="008675A3" w:rsidRDefault="00C16A37" w:rsidP="00BA6769">
            <w:pPr>
              <w:tabs>
                <w:tab w:val="clear" w:pos="284"/>
              </w:tabs>
              <w:jc w:val="center"/>
              <w:rPr>
                <w:lang w:val="sr-Latn-ME"/>
              </w:rPr>
            </w:pPr>
          </w:p>
          <w:p w14:paraId="4F2DCD1F" w14:textId="77777777" w:rsidR="00C16A37" w:rsidRPr="008675A3" w:rsidRDefault="00C16A37" w:rsidP="00BA6769">
            <w:pPr>
              <w:tabs>
                <w:tab w:val="clear" w:pos="284"/>
              </w:tabs>
              <w:jc w:val="center"/>
              <w:rPr>
                <w:lang w:val="sr-Latn-ME"/>
              </w:rPr>
            </w:pPr>
            <w:r w:rsidRPr="008675A3">
              <w:rPr>
                <w:lang w:val="sr-Latn-ME"/>
              </w:rPr>
              <w:t>Dijareja, stomatitis, diskoloracija jezika</w:t>
            </w:r>
          </w:p>
        </w:tc>
      </w:tr>
      <w:tr w:rsidR="00C16A37" w:rsidRPr="006F3369" w14:paraId="69FA53E1" w14:textId="77777777" w:rsidTr="00BA6769">
        <w:trPr>
          <w:tblCellSpacing w:w="0" w:type="dxa"/>
        </w:trPr>
        <w:tc>
          <w:tcPr>
            <w:tcW w:w="1248" w:type="pct"/>
            <w:vAlign w:val="center"/>
          </w:tcPr>
          <w:p w14:paraId="771934AD" w14:textId="77777777" w:rsidR="00C16A37" w:rsidRPr="008675A3" w:rsidRDefault="00C16A37" w:rsidP="006A504F">
            <w:pPr>
              <w:tabs>
                <w:tab w:val="clear" w:pos="284"/>
              </w:tabs>
              <w:spacing w:before="100" w:beforeAutospacing="1" w:after="100" w:afterAutospacing="1"/>
              <w:jc w:val="left"/>
              <w:rPr>
                <w:lang w:val="sr-Latn-ME"/>
              </w:rPr>
            </w:pPr>
            <w:r w:rsidRPr="008675A3">
              <w:rPr>
                <w:lang w:val="sr-Latn-ME"/>
              </w:rPr>
              <w:t>Hepatobilijarni poremećaji</w:t>
            </w:r>
          </w:p>
        </w:tc>
        <w:tc>
          <w:tcPr>
            <w:tcW w:w="1215" w:type="pct"/>
          </w:tcPr>
          <w:p w14:paraId="1D06C1FE" w14:textId="77777777" w:rsidR="00C16A37" w:rsidRPr="008675A3" w:rsidRDefault="00C16A37" w:rsidP="006A504F">
            <w:pPr>
              <w:tabs>
                <w:tab w:val="clear" w:pos="284"/>
              </w:tabs>
              <w:jc w:val="center"/>
              <w:rPr>
                <w:lang w:val="sr-Latn-ME"/>
              </w:rPr>
            </w:pPr>
          </w:p>
        </w:tc>
        <w:tc>
          <w:tcPr>
            <w:tcW w:w="1268" w:type="pct"/>
          </w:tcPr>
          <w:p w14:paraId="274CEB8A" w14:textId="77777777" w:rsidR="00C16A37" w:rsidRPr="008675A3" w:rsidRDefault="00C16A37" w:rsidP="006A504F">
            <w:pPr>
              <w:tabs>
                <w:tab w:val="clear" w:pos="284"/>
              </w:tabs>
              <w:jc w:val="center"/>
              <w:rPr>
                <w:lang w:val="sr-Latn-ME"/>
              </w:rPr>
            </w:pPr>
          </w:p>
        </w:tc>
        <w:tc>
          <w:tcPr>
            <w:tcW w:w="1269" w:type="pct"/>
            <w:vAlign w:val="center"/>
          </w:tcPr>
          <w:p w14:paraId="4CF4E4CC" w14:textId="77777777" w:rsidR="00C16A37" w:rsidRPr="008675A3" w:rsidRDefault="00C16A37" w:rsidP="00BA6769">
            <w:pPr>
              <w:tabs>
                <w:tab w:val="clear" w:pos="284"/>
              </w:tabs>
              <w:jc w:val="center"/>
              <w:rPr>
                <w:lang w:val="sr-Latn-ME"/>
              </w:rPr>
            </w:pPr>
            <w:r w:rsidRPr="008675A3">
              <w:rPr>
                <w:lang w:val="sr-Latn-ME"/>
              </w:rPr>
              <w:t>Hepatitis</w:t>
            </w:r>
          </w:p>
        </w:tc>
      </w:tr>
      <w:tr w:rsidR="00C16A37" w:rsidRPr="006F3369" w14:paraId="256B2229" w14:textId="77777777" w:rsidTr="00BA6769">
        <w:trPr>
          <w:tblCellSpacing w:w="0" w:type="dxa"/>
        </w:trPr>
        <w:tc>
          <w:tcPr>
            <w:tcW w:w="1248" w:type="pct"/>
            <w:vAlign w:val="center"/>
          </w:tcPr>
          <w:p w14:paraId="4370BC8C" w14:textId="77777777" w:rsidR="00C16A37" w:rsidRPr="008675A3" w:rsidRDefault="00C16A37" w:rsidP="006A504F">
            <w:pPr>
              <w:tabs>
                <w:tab w:val="clear" w:pos="284"/>
              </w:tabs>
              <w:spacing w:before="100" w:beforeAutospacing="1" w:after="100" w:afterAutospacing="1"/>
              <w:jc w:val="left"/>
              <w:rPr>
                <w:lang w:val="sr-Latn-ME"/>
              </w:rPr>
            </w:pPr>
            <w:r w:rsidRPr="008675A3">
              <w:rPr>
                <w:lang w:val="sr-Latn-ME"/>
              </w:rPr>
              <w:t>Poremećaji kože i potkožnog tkiva</w:t>
            </w:r>
          </w:p>
        </w:tc>
        <w:tc>
          <w:tcPr>
            <w:tcW w:w="1215" w:type="pct"/>
          </w:tcPr>
          <w:p w14:paraId="56FE3095" w14:textId="77777777" w:rsidR="00C16A37" w:rsidRPr="008675A3" w:rsidRDefault="00C16A37" w:rsidP="006A504F">
            <w:pPr>
              <w:tabs>
                <w:tab w:val="clear" w:pos="284"/>
              </w:tabs>
              <w:jc w:val="center"/>
              <w:rPr>
                <w:lang w:val="sr-Latn-ME"/>
              </w:rPr>
            </w:pPr>
          </w:p>
        </w:tc>
        <w:tc>
          <w:tcPr>
            <w:tcW w:w="1268" w:type="pct"/>
          </w:tcPr>
          <w:p w14:paraId="709AA948" w14:textId="77777777" w:rsidR="00C16A37" w:rsidRPr="008675A3" w:rsidRDefault="00C16A37" w:rsidP="006A504F">
            <w:pPr>
              <w:tabs>
                <w:tab w:val="clear" w:pos="284"/>
              </w:tabs>
              <w:jc w:val="center"/>
              <w:rPr>
                <w:lang w:val="sr-Latn-ME"/>
              </w:rPr>
            </w:pPr>
          </w:p>
        </w:tc>
        <w:tc>
          <w:tcPr>
            <w:tcW w:w="1269" w:type="pct"/>
          </w:tcPr>
          <w:p w14:paraId="785D113C" w14:textId="1EF378FD" w:rsidR="00C16A37" w:rsidRPr="008675A3" w:rsidRDefault="00C16A37" w:rsidP="00BA6769">
            <w:pPr>
              <w:tabs>
                <w:tab w:val="clear" w:pos="284"/>
              </w:tabs>
              <w:spacing w:before="100" w:beforeAutospacing="1" w:after="100" w:afterAutospacing="1"/>
              <w:jc w:val="center"/>
              <w:rPr>
                <w:lang w:val="sr-Latn-ME"/>
              </w:rPr>
            </w:pPr>
            <w:r w:rsidRPr="008675A3">
              <w:rPr>
                <w:lang w:val="sr-Latn-ME"/>
              </w:rPr>
              <w:t xml:space="preserve">Angioedem, toksična epidermalna nekroliza, </w:t>
            </w:r>
            <w:r w:rsidRPr="008675A3">
              <w:rPr>
                <w:i/>
                <w:lang w:val="sr-Latn-ME"/>
              </w:rPr>
              <w:t>Stevens-Johnson</w:t>
            </w:r>
            <w:r w:rsidRPr="008675A3">
              <w:rPr>
                <w:lang w:val="sr-Latn-ME"/>
              </w:rPr>
              <w:t xml:space="preserve"> sindrom, urtikarija, osip, akutna generalizovana egzantematozna pustuloza, reakcija na l</w:t>
            </w:r>
            <w:r w:rsidR="002B6F36" w:rsidRPr="008675A3">
              <w:rPr>
                <w:lang w:val="sr-Latn-ME"/>
              </w:rPr>
              <w:t>ij</w:t>
            </w:r>
            <w:r w:rsidRPr="008675A3">
              <w:rPr>
                <w:lang w:val="sr-Latn-ME"/>
              </w:rPr>
              <w:t>ek sa eozinofilijom i sistemskim simptomima</w:t>
            </w:r>
          </w:p>
        </w:tc>
      </w:tr>
      <w:tr w:rsidR="00C16A37" w:rsidRPr="006F3369" w14:paraId="16A4C46B" w14:textId="77777777" w:rsidTr="00BA6769">
        <w:trPr>
          <w:tblCellSpacing w:w="0" w:type="dxa"/>
        </w:trPr>
        <w:tc>
          <w:tcPr>
            <w:tcW w:w="1248" w:type="pct"/>
            <w:vAlign w:val="center"/>
          </w:tcPr>
          <w:p w14:paraId="1A0A4003" w14:textId="14C3163F" w:rsidR="00C16A37" w:rsidRPr="008675A3" w:rsidRDefault="00C16A37" w:rsidP="006A504F">
            <w:pPr>
              <w:tabs>
                <w:tab w:val="clear" w:pos="284"/>
              </w:tabs>
              <w:spacing w:before="100" w:beforeAutospacing="1" w:after="100" w:afterAutospacing="1"/>
              <w:jc w:val="left"/>
              <w:rPr>
                <w:lang w:val="sr-Latn-ME"/>
              </w:rPr>
            </w:pPr>
            <w:r w:rsidRPr="008675A3">
              <w:rPr>
                <w:lang w:val="sr-Latn-ME"/>
              </w:rPr>
              <w:lastRenderedPageBreak/>
              <w:t>Opšti poremećaji i reakcije na m</w:t>
            </w:r>
            <w:r w:rsidR="002B6F36" w:rsidRPr="008675A3">
              <w:rPr>
                <w:lang w:val="sr-Latn-ME"/>
              </w:rPr>
              <w:t>j</w:t>
            </w:r>
            <w:r w:rsidRPr="008675A3">
              <w:rPr>
                <w:lang w:val="sr-Latn-ME"/>
              </w:rPr>
              <w:t>estu prim</w:t>
            </w:r>
            <w:r w:rsidR="002B6F36" w:rsidRPr="008675A3">
              <w:rPr>
                <w:lang w:val="sr-Latn-ME"/>
              </w:rPr>
              <w:t>j</w:t>
            </w:r>
            <w:r w:rsidRPr="008675A3">
              <w:rPr>
                <w:lang w:val="sr-Latn-ME"/>
              </w:rPr>
              <w:t>ene</w:t>
            </w:r>
          </w:p>
        </w:tc>
        <w:tc>
          <w:tcPr>
            <w:tcW w:w="1215" w:type="pct"/>
            <w:vAlign w:val="center"/>
          </w:tcPr>
          <w:p w14:paraId="164660A6" w14:textId="7CCDBA16" w:rsidR="00C16A37" w:rsidRPr="008675A3" w:rsidRDefault="00C16A37" w:rsidP="00BA6769">
            <w:pPr>
              <w:tabs>
                <w:tab w:val="clear" w:pos="284"/>
              </w:tabs>
              <w:jc w:val="center"/>
              <w:rPr>
                <w:lang w:val="sr-Latn-ME"/>
              </w:rPr>
            </w:pPr>
            <w:r w:rsidRPr="008675A3">
              <w:rPr>
                <w:lang w:val="sr-Latn-ME"/>
              </w:rPr>
              <w:t>Neobičan ukus l</w:t>
            </w:r>
            <w:r w:rsidR="002B6F36" w:rsidRPr="008675A3">
              <w:rPr>
                <w:lang w:val="sr-Latn-ME"/>
              </w:rPr>
              <w:t>ij</w:t>
            </w:r>
            <w:r w:rsidRPr="008675A3">
              <w:rPr>
                <w:lang w:val="sr-Latn-ME"/>
              </w:rPr>
              <w:t>eka</w:t>
            </w:r>
          </w:p>
        </w:tc>
        <w:tc>
          <w:tcPr>
            <w:tcW w:w="1268" w:type="pct"/>
          </w:tcPr>
          <w:p w14:paraId="24F68491" w14:textId="77777777" w:rsidR="00C16A37" w:rsidRPr="008675A3" w:rsidRDefault="00C16A37" w:rsidP="006A504F">
            <w:pPr>
              <w:tabs>
                <w:tab w:val="clear" w:pos="284"/>
              </w:tabs>
              <w:jc w:val="center"/>
              <w:rPr>
                <w:lang w:val="sr-Latn-ME"/>
              </w:rPr>
            </w:pPr>
          </w:p>
        </w:tc>
        <w:tc>
          <w:tcPr>
            <w:tcW w:w="1269" w:type="pct"/>
          </w:tcPr>
          <w:p w14:paraId="2048745D" w14:textId="77777777" w:rsidR="00C16A37" w:rsidRPr="008675A3" w:rsidRDefault="00C16A37" w:rsidP="006A504F">
            <w:pPr>
              <w:tabs>
                <w:tab w:val="clear" w:pos="284"/>
              </w:tabs>
              <w:jc w:val="center"/>
              <w:rPr>
                <w:lang w:val="sr-Latn-ME"/>
              </w:rPr>
            </w:pPr>
          </w:p>
        </w:tc>
      </w:tr>
    </w:tbl>
    <w:p w14:paraId="4A0FEBED" w14:textId="77777777" w:rsidR="00C16A37" w:rsidRPr="008675A3" w:rsidRDefault="00C16A37" w:rsidP="00923865">
      <w:pPr>
        <w:rPr>
          <w:noProof/>
          <w:u w:val="single"/>
          <w:lang w:val="sr-Latn-ME"/>
        </w:rPr>
      </w:pPr>
    </w:p>
    <w:p w14:paraId="654CDFFC" w14:textId="77777777" w:rsidR="00295FD3" w:rsidRPr="008675A3" w:rsidRDefault="00295FD3" w:rsidP="00295FD3">
      <w:pPr>
        <w:tabs>
          <w:tab w:val="clear" w:pos="284"/>
        </w:tabs>
        <w:spacing w:after="200" w:line="276" w:lineRule="auto"/>
        <w:jc w:val="left"/>
        <w:rPr>
          <w:rFonts w:eastAsia="Calibri"/>
          <w:u w:val="single"/>
          <w:lang w:val="sr-Latn-ME"/>
        </w:rPr>
      </w:pPr>
      <w:r w:rsidRPr="008675A3">
        <w:rPr>
          <w:rFonts w:eastAsia="Calibri"/>
          <w:u w:val="single"/>
          <w:lang w:val="sr-Latn-ME"/>
        </w:rPr>
        <w:t>Prijavljivanje sumnji na neželjena dejstva</w:t>
      </w:r>
    </w:p>
    <w:p w14:paraId="5139B238" w14:textId="77777777" w:rsidR="00295FD3" w:rsidRPr="008675A3" w:rsidRDefault="00295FD3" w:rsidP="00295FD3">
      <w:pPr>
        <w:tabs>
          <w:tab w:val="clear" w:pos="284"/>
        </w:tabs>
        <w:spacing w:after="200"/>
        <w:rPr>
          <w:rFonts w:eastAsia="Calibri"/>
          <w:lang w:val="sr-Latn-ME"/>
        </w:rPr>
      </w:pPr>
      <w:r w:rsidRPr="008675A3">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D76E8DC" w14:textId="77777777" w:rsidR="00295FD3" w:rsidRPr="008675A3" w:rsidRDefault="00295FD3" w:rsidP="00295FD3">
      <w:pPr>
        <w:tabs>
          <w:tab w:val="clear" w:pos="284"/>
        </w:tabs>
        <w:rPr>
          <w:rFonts w:eastAsia="Calibri"/>
          <w:lang w:val="sr-Latn-ME"/>
        </w:rPr>
      </w:pPr>
      <w:r w:rsidRPr="008675A3">
        <w:rPr>
          <w:rFonts w:eastAsia="Calibri"/>
          <w:lang w:val="sr-Latn-ME"/>
        </w:rPr>
        <w:t xml:space="preserve">Institut za ljekove i medicinska sredstva </w:t>
      </w:r>
    </w:p>
    <w:p w14:paraId="45D00395" w14:textId="77777777" w:rsidR="00295FD3" w:rsidRPr="008675A3" w:rsidRDefault="00295FD3" w:rsidP="00295FD3">
      <w:pPr>
        <w:tabs>
          <w:tab w:val="clear" w:pos="284"/>
        </w:tabs>
        <w:rPr>
          <w:rFonts w:eastAsia="Calibri"/>
          <w:lang w:val="sr-Latn-ME"/>
        </w:rPr>
      </w:pPr>
      <w:r w:rsidRPr="008675A3">
        <w:rPr>
          <w:rFonts w:eastAsia="Calibri"/>
          <w:lang w:val="sr-Latn-ME"/>
        </w:rPr>
        <w:t>Odjeljenje za farmakovigilancu</w:t>
      </w:r>
    </w:p>
    <w:p w14:paraId="582645CA" w14:textId="77777777" w:rsidR="00295FD3" w:rsidRPr="008675A3" w:rsidRDefault="00295FD3" w:rsidP="00295FD3">
      <w:pPr>
        <w:tabs>
          <w:tab w:val="clear" w:pos="284"/>
        </w:tabs>
        <w:rPr>
          <w:rFonts w:eastAsia="Calibri"/>
          <w:lang w:val="sr-Latn-ME"/>
        </w:rPr>
      </w:pPr>
      <w:r w:rsidRPr="008675A3">
        <w:rPr>
          <w:rFonts w:eastAsia="Calibri"/>
          <w:lang w:val="sr-Latn-ME"/>
        </w:rPr>
        <w:t>Bulevar Ivana Crnojevića 64a, 81000 Podgorica</w:t>
      </w:r>
    </w:p>
    <w:p w14:paraId="4F504E58" w14:textId="77777777" w:rsidR="00295FD3" w:rsidRPr="008675A3" w:rsidRDefault="00295FD3" w:rsidP="00295FD3">
      <w:pPr>
        <w:tabs>
          <w:tab w:val="clear" w:pos="284"/>
        </w:tabs>
        <w:jc w:val="left"/>
        <w:rPr>
          <w:rFonts w:eastAsia="Calibri"/>
          <w:lang w:val="sr-Latn-ME"/>
        </w:rPr>
      </w:pPr>
    </w:p>
    <w:p w14:paraId="56DA5864" w14:textId="77777777" w:rsidR="00295FD3" w:rsidRPr="008675A3" w:rsidRDefault="00295FD3" w:rsidP="00295FD3">
      <w:pPr>
        <w:tabs>
          <w:tab w:val="clear" w:pos="284"/>
        </w:tabs>
        <w:rPr>
          <w:rFonts w:eastAsia="Calibri"/>
          <w:lang w:val="sr-Latn-ME"/>
        </w:rPr>
      </w:pPr>
      <w:r w:rsidRPr="008675A3">
        <w:rPr>
          <w:rFonts w:eastAsia="Calibri"/>
          <w:lang w:val="sr-Latn-ME"/>
        </w:rPr>
        <w:t>tel: +382 (0) 20 310 280</w:t>
      </w:r>
    </w:p>
    <w:p w14:paraId="117DC6AD" w14:textId="77777777" w:rsidR="00295FD3" w:rsidRPr="008675A3" w:rsidRDefault="00295FD3" w:rsidP="00295FD3">
      <w:pPr>
        <w:tabs>
          <w:tab w:val="clear" w:pos="284"/>
          <w:tab w:val="left" w:pos="6720"/>
        </w:tabs>
        <w:rPr>
          <w:rFonts w:eastAsia="Calibri"/>
          <w:lang w:val="sr-Latn-ME"/>
        </w:rPr>
      </w:pPr>
      <w:r w:rsidRPr="008675A3">
        <w:rPr>
          <w:rFonts w:eastAsia="Calibri"/>
          <w:lang w:val="sr-Latn-ME"/>
        </w:rPr>
        <w:t>fax: +382 (0) 20 310 581</w:t>
      </w:r>
      <w:r w:rsidRPr="008675A3">
        <w:rPr>
          <w:rFonts w:eastAsia="Calibri"/>
          <w:lang w:val="sr-Latn-ME"/>
        </w:rPr>
        <w:tab/>
      </w:r>
    </w:p>
    <w:p w14:paraId="213BA63A" w14:textId="77777777" w:rsidR="00295FD3" w:rsidRPr="008675A3" w:rsidRDefault="007C5F7F" w:rsidP="00295FD3">
      <w:pPr>
        <w:tabs>
          <w:tab w:val="clear" w:pos="284"/>
        </w:tabs>
        <w:rPr>
          <w:rFonts w:eastAsia="Calibri"/>
          <w:lang w:val="sr-Latn-ME"/>
        </w:rPr>
      </w:pPr>
      <w:hyperlink r:id="rId7" w:history="1">
        <w:r w:rsidR="00295FD3" w:rsidRPr="008675A3">
          <w:rPr>
            <w:rFonts w:eastAsia="Calibri"/>
            <w:color w:val="0563C1"/>
            <w:u w:val="single"/>
            <w:lang w:val="sr-Latn-ME"/>
          </w:rPr>
          <w:t>www.cinmed.me</w:t>
        </w:r>
      </w:hyperlink>
    </w:p>
    <w:p w14:paraId="0864CE93" w14:textId="77777777" w:rsidR="00295FD3" w:rsidRPr="008675A3" w:rsidRDefault="007C5F7F" w:rsidP="00295FD3">
      <w:pPr>
        <w:tabs>
          <w:tab w:val="clear" w:pos="284"/>
        </w:tabs>
        <w:rPr>
          <w:rFonts w:eastAsia="Calibri"/>
          <w:color w:val="0000FF"/>
          <w:u w:val="single"/>
          <w:lang w:val="sr-Latn-ME"/>
        </w:rPr>
      </w:pPr>
      <w:hyperlink r:id="rId8" w:history="1">
        <w:r w:rsidR="00295FD3" w:rsidRPr="008675A3">
          <w:rPr>
            <w:rFonts w:eastAsia="Calibri"/>
            <w:color w:val="0563C1"/>
            <w:u w:val="single"/>
            <w:lang w:val="sr-Latn-ME"/>
          </w:rPr>
          <w:t>nezeljenadejstva@cinmed.me</w:t>
        </w:r>
      </w:hyperlink>
    </w:p>
    <w:p w14:paraId="1E55862A" w14:textId="77777777" w:rsidR="00295FD3" w:rsidRPr="008675A3" w:rsidRDefault="00295FD3" w:rsidP="00295FD3">
      <w:pPr>
        <w:tabs>
          <w:tab w:val="clear" w:pos="284"/>
        </w:tabs>
        <w:rPr>
          <w:rFonts w:eastAsia="Calibri"/>
          <w:lang w:val="sr-Latn-ME"/>
        </w:rPr>
      </w:pPr>
      <w:r w:rsidRPr="008675A3">
        <w:rPr>
          <w:rFonts w:eastAsia="Calibri"/>
          <w:lang w:val="sr-Latn-ME"/>
        </w:rPr>
        <w:t>putem IS zdravstvene zaštite</w:t>
      </w:r>
    </w:p>
    <w:p w14:paraId="5208CBE7" w14:textId="77777777" w:rsidR="00295FD3" w:rsidRPr="008675A3" w:rsidRDefault="00295FD3" w:rsidP="00295FD3">
      <w:pPr>
        <w:tabs>
          <w:tab w:val="clear" w:pos="284"/>
        </w:tabs>
        <w:rPr>
          <w:rFonts w:eastAsia="Calibri"/>
          <w:lang w:val="sr-Latn-ME"/>
        </w:rPr>
      </w:pPr>
      <w:r w:rsidRPr="008675A3">
        <w:rPr>
          <w:rFonts w:eastAsia="Calibri"/>
          <w:lang w:val="sr-Latn-ME"/>
        </w:rPr>
        <w:t>QR kod za online prijavu sumnje na neželjeno dejstvo lijeka:</w:t>
      </w:r>
    </w:p>
    <w:p w14:paraId="3683442C" w14:textId="77777777" w:rsidR="00295FD3" w:rsidRPr="008675A3" w:rsidRDefault="00295FD3" w:rsidP="00295FD3">
      <w:pPr>
        <w:tabs>
          <w:tab w:val="clear" w:pos="284"/>
        </w:tabs>
        <w:rPr>
          <w:rFonts w:eastAsia="Calibri"/>
          <w:lang w:val="sr-Latn-ME"/>
        </w:rPr>
      </w:pPr>
    </w:p>
    <w:p w14:paraId="64DB0AFF" w14:textId="1A756939" w:rsidR="00295FD3" w:rsidRPr="008675A3" w:rsidRDefault="00DC1C80" w:rsidP="00295FD3">
      <w:pPr>
        <w:tabs>
          <w:tab w:val="clear" w:pos="284"/>
        </w:tabs>
        <w:jc w:val="left"/>
        <w:rPr>
          <w:rFonts w:eastAsia="Calibri"/>
          <w:lang w:val="sr-Latn-ME"/>
        </w:rPr>
      </w:pPr>
      <w:r w:rsidRPr="008675A3">
        <w:rPr>
          <w:noProof/>
        </w:rPr>
        <w:drawing>
          <wp:inline distT="0" distB="0" distL="0" distR="0" wp14:anchorId="5F936EB2" wp14:editId="703E2098">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85D2133" w14:textId="77777777" w:rsidR="00C16A37" w:rsidRPr="008675A3" w:rsidRDefault="00C16A37" w:rsidP="006D0100">
      <w:pPr>
        <w:rPr>
          <w:lang w:val="sr-Latn-ME"/>
        </w:rPr>
      </w:pPr>
    </w:p>
    <w:p w14:paraId="27CF8EB3" w14:textId="77777777" w:rsidR="00C16A37" w:rsidRPr="008675A3" w:rsidRDefault="00C16A37" w:rsidP="006D32DF">
      <w:pPr>
        <w:outlineLvl w:val="0"/>
        <w:rPr>
          <w:b/>
          <w:bCs/>
          <w:lang w:val="sr-Latn-ME"/>
        </w:rPr>
      </w:pPr>
      <w:r w:rsidRPr="008675A3">
        <w:rPr>
          <w:b/>
          <w:bCs/>
          <w:lang w:val="sr-Latn-ME"/>
        </w:rPr>
        <w:t>4.9. Predoziranje</w:t>
      </w:r>
    </w:p>
    <w:p w14:paraId="60A23587" w14:textId="77777777" w:rsidR="00C16A37" w:rsidRPr="008675A3" w:rsidRDefault="00C16A37" w:rsidP="006D0100">
      <w:pPr>
        <w:rPr>
          <w:lang w:val="sr-Latn-ME"/>
        </w:rPr>
      </w:pPr>
    </w:p>
    <w:p w14:paraId="49EC6757" w14:textId="77777777" w:rsidR="00C16A37" w:rsidRPr="008675A3" w:rsidRDefault="00C16A37" w:rsidP="006D32DF">
      <w:pPr>
        <w:tabs>
          <w:tab w:val="clear" w:pos="284"/>
        </w:tabs>
        <w:outlineLvl w:val="0"/>
        <w:rPr>
          <w:lang w:val="sr-Latn-ME"/>
        </w:rPr>
      </w:pPr>
      <w:r w:rsidRPr="008675A3">
        <w:rPr>
          <w:u w:val="single"/>
          <w:lang w:val="sr-Latn-ME"/>
        </w:rPr>
        <w:t>Simptomi</w:t>
      </w:r>
    </w:p>
    <w:p w14:paraId="0D4552A5" w14:textId="59D8F40F" w:rsidR="00C16A37" w:rsidRPr="008675A3" w:rsidRDefault="00C16A37" w:rsidP="006D32DF">
      <w:pPr>
        <w:tabs>
          <w:tab w:val="clear" w:pos="284"/>
        </w:tabs>
        <w:outlineLvl w:val="0"/>
        <w:rPr>
          <w:u w:val="single"/>
          <w:lang w:val="sr-Latn-ME"/>
        </w:rPr>
      </w:pPr>
      <w:r w:rsidRPr="008675A3">
        <w:rPr>
          <w:lang w:val="sr-Latn-ME"/>
        </w:rPr>
        <w:t xml:space="preserve">Ukoliko dođe do </w:t>
      </w:r>
      <w:r w:rsidR="007C47A1" w:rsidRPr="008675A3">
        <w:rPr>
          <w:lang w:val="sr-Latn-ME"/>
        </w:rPr>
        <w:t>slučajn</w:t>
      </w:r>
      <w:r w:rsidRPr="008675A3">
        <w:rPr>
          <w:lang w:val="sr-Latn-ME"/>
        </w:rPr>
        <w:t>e ingestije veće količine l</w:t>
      </w:r>
      <w:r w:rsidR="002B6F36" w:rsidRPr="008675A3">
        <w:rPr>
          <w:lang w:val="sr-Latn-ME"/>
        </w:rPr>
        <w:t>ij</w:t>
      </w:r>
      <w:r w:rsidRPr="008675A3">
        <w:rPr>
          <w:lang w:val="sr-Latn-ME"/>
        </w:rPr>
        <w:t>eka, može se javiti povraćanje i dijareja.</w:t>
      </w:r>
    </w:p>
    <w:p w14:paraId="378035D8" w14:textId="77777777" w:rsidR="00C16A37" w:rsidRPr="008675A3" w:rsidRDefault="00C16A37" w:rsidP="006A504F">
      <w:pPr>
        <w:tabs>
          <w:tab w:val="clear" w:pos="284"/>
        </w:tabs>
        <w:rPr>
          <w:u w:val="single"/>
          <w:lang w:val="sr-Latn-ME"/>
        </w:rPr>
      </w:pPr>
    </w:p>
    <w:p w14:paraId="4C9E7842" w14:textId="77777777" w:rsidR="00C16A37" w:rsidRPr="008675A3" w:rsidRDefault="00C16A37" w:rsidP="006D32DF">
      <w:pPr>
        <w:tabs>
          <w:tab w:val="clear" w:pos="284"/>
        </w:tabs>
        <w:outlineLvl w:val="0"/>
        <w:rPr>
          <w:u w:val="single"/>
          <w:lang w:val="sr-Latn-ME"/>
        </w:rPr>
      </w:pPr>
      <w:r w:rsidRPr="008675A3">
        <w:rPr>
          <w:u w:val="single"/>
          <w:lang w:val="sr-Latn-ME"/>
        </w:rPr>
        <w:t xml:space="preserve">Terapija </w:t>
      </w:r>
    </w:p>
    <w:p w14:paraId="76785F2E" w14:textId="77777777" w:rsidR="00C16A37" w:rsidRPr="008675A3" w:rsidRDefault="00C16A37" w:rsidP="006D32DF">
      <w:pPr>
        <w:tabs>
          <w:tab w:val="clear" w:pos="284"/>
        </w:tabs>
        <w:outlineLvl w:val="0"/>
        <w:rPr>
          <w:u w:val="single"/>
          <w:lang w:val="sr-Latn-ME"/>
        </w:rPr>
      </w:pPr>
      <w:r w:rsidRPr="008675A3">
        <w:rPr>
          <w:lang w:val="sr-Latn-ME"/>
        </w:rPr>
        <w:t>Terapija je simptomatska i suportivna. Nema specifičnog antidota.</w:t>
      </w:r>
    </w:p>
    <w:p w14:paraId="02E85470" w14:textId="77777777" w:rsidR="00C16A37" w:rsidRPr="008675A3" w:rsidRDefault="00C16A37" w:rsidP="006D0100">
      <w:pPr>
        <w:rPr>
          <w:lang w:val="sr-Latn-ME"/>
        </w:rPr>
      </w:pPr>
    </w:p>
    <w:p w14:paraId="25FBEF62" w14:textId="733F0613" w:rsidR="00C16A37" w:rsidRPr="008675A3" w:rsidRDefault="00C16A37" w:rsidP="006D32DF">
      <w:pPr>
        <w:pStyle w:val="NASLOV123"/>
        <w:jc w:val="both"/>
        <w:outlineLvl w:val="0"/>
        <w:rPr>
          <w:lang w:val="sr-Latn-ME"/>
        </w:rPr>
      </w:pPr>
      <w:r w:rsidRPr="008675A3">
        <w:rPr>
          <w:lang w:val="sr-Latn-ME"/>
        </w:rPr>
        <w:t>5.</w:t>
      </w:r>
      <w:r w:rsidR="00936834">
        <w:rPr>
          <w:lang w:val="sr-Latn-ME"/>
        </w:rPr>
        <w:tab/>
      </w:r>
      <w:r w:rsidRPr="008675A3">
        <w:rPr>
          <w:lang w:val="sr-Latn-ME"/>
        </w:rPr>
        <w:t xml:space="preserve"> FARMAKOLOŠKI PODACI</w:t>
      </w:r>
    </w:p>
    <w:p w14:paraId="4D1B39E7" w14:textId="77777777" w:rsidR="00C16A37" w:rsidRPr="008675A3" w:rsidRDefault="00C16A37" w:rsidP="006D32DF">
      <w:pPr>
        <w:outlineLvl w:val="0"/>
        <w:rPr>
          <w:b/>
          <w:bCs/>
          <w:lang w:val="sr-Latn-ME"/>
        </w:rPr>
      </w:pPr>
      <w:r w:rsidRPr="008675A3">
        <w:rPr>
          <w:b/>
          <w:bCs/>
          <w:lang w:val="sr-Latn-ME"/>
        </w:rPr>
        <w:t>5.1. Farmakodinamski podaci</w:t>
      </w:r>
    </w:p>
    <w:p w14:paraId="28891F59" w14:textId="77777777" w:rsidR="00C16A37" w:rsidRPr="008675A3" w:rsidRDefault="00C16A37" w:rsidP="006D0100">
      <w:pPr>
        <w:pStyle w:val="Header"/>
        <w:tabs>
          <w:tab w:val="clear" w:pos="4536"/>
          <w:tab w:val="clear" w:pos="9072"/>
          <w:tab w:val="left" w:pos="284"/>
        </w:tabs>
        <w:rPr>
          <w:b/>
          <w:bCs/>
          <w:sz w:val="22"/>
          <w:szCs w:val="22"/>
          <w:lang w:val="sr-Latn-ME"/>
        </w:rPr>
      </w:pPr>
    </w:p>
    <w:p w14:paraId="2F84574D" w14:textId="77777777" w:rsidR="00C16A37" w:rsidRPr="008675A3" w:rsidRDefault="00C16A37" w:rsidP="000A4366">
      <w:pPr>
        <w:pStyle w:val="Header"/>
        <w:tabs>
          <w:tab w:val="clear" w:pos="4536"/>
          <w:tab w:val="clear" w:pos="9072"/>
          <w:tab w:val="left" w:pos="284"/>
        </w:tabs>
        <w:outlineLvl w:val="0"/>
        <w:rPr>
          <w:sz w:val="22"/>
          <w:szCs w:val="22"/>
          <w:lang w:val="sr-Latn-ME"/>
        </w:rPr>
      </w:pPr>
      <w:r w:rsidRPr="008675A3">
        <w:rPr>
          <w:sz w:val="22"/>
          <w:szCs w:val="22"/>
          <w:lang w:val="sr-Latn-ME"/>
        </w:rPr>
        <w:t>Farmakoterapijska grupa:</w:t>
      </w:r>
    </w:p>
    <w:p w14:paraId="0315E0C5" w14:textId="77777777" w:rsidR="00C16A37" w:rsidRPr="008675A3" w:rsidRDefault="00C16A37" w:rsidP="006D0100">
      <w:pPr>
        <w:rPr>
          <w:lang w:val="sr-Latn-ME"/>
        </w:rPr>
      </w:pPr>
    </w:p>
    <w:p w14:paraId="795C9717" w14:textId="507429BD" w:rsidR="00C16A37" w:rsidRPr="008675A3" w:rsidRDefault="00C16A37" w:rsidP="006D32DF">
      <w:pPr>
        <w:outlineLvl w:val="0"/>
        <w:rPr>
          <w:lang w:val="sr-Latn-ME"/>
        </w:rPr>
      </w:pPr>
      <w:r w:rsidRPr="008675A3">
        <w:rPr>
          <w:lang w:val="sr-Latn-ME"/>
        </w:rPr>
        <w:t>Antidijaroici, intestinalni antiinflamatorni/antiinfektivni l</w:t>
      </w:r>
      <w:r w:rsidR="004E3B45" w:rsidRPr="008675A3">
        <w:rPr>
          <w:lang w:val="sr-Latn-ME"/>
        </w:rPr>
        <w:t>j</w:t>
      </w:r>
      <w:r w:rsidRPr="008675A3">
        <w:rPr>
          <w:lang w:val="sr-Latn-ME"/>
        </w:rPr>
        <w:t xml:space="preserve">ekovi </w:t>
      </w:r>
    </w:p>
    <w:p w14:paraId="701D5008" w14:textId="13720763" w:rsidR="00C16A37" w:rsidRPr="008675A3" w:rsidRDefault="00C16A37" w:rsidP="003D59F3">
      <w:pPr>
        <w:pStyle w:val="Header"/>
        <w:tabs>
          <w:tab w:val="clear" w:pos="4536"/>
          <w:tab w:val="clear" w:pos="9072"/>
          <w:tab w:val="left" w:pos="284"/>
        </w:tabs>
        <w:rPr>
          <w:sz w:val="22"/>
          <w:szCs w:val="22"/>
          <w:lang w:val="sr-Latn-ME"/>
        </w:rPr>
      </w:pPr>
      <w:r w:rsidRPr="008675A3">
        <w:rPr>
          <w:sz w:val="22"/>
          <w:szCs w:val="22"/>
          <w:lang w:val="sr-Latn-ME"/>
        </w:rPr>
        <w:t>Stomatološki preparati; Antiinfektivi i antiseptici za lokalno-oralnu prim</w:t>
      </w:r>
      <w:r w:rsidR="004E3B45" w:rsidRPr="008675A3">
        <w:rPr>
          <w:sz w:val="22"/>
          <w:szCs w:val="22"/>
          <w:lang w:val="sr-Latn-ME"/>
        </w:rPr>
        <w:t>j</w:t>
      </w:r>
      <w:r w:rsidRPr="008675A3">
        <w:rPr>
          <w:sz w:val="22"/>
          <w:szCs w:val="22"/>
          <w:lang w:val="sr-Latn-ME"/>
        </w:rPr>
        <w:t>enu</w:t>
      </w:r>
    </w:p>
    <w:p w14:paraId="2F942B6F" w14:textId="77777777" w:rsidR="00C16A37" w:rsidRPr="008675A3" w:rsidRDefault="00C16A37" w:rsidP="006D0100">
      <w:pPr>
        <w:rPr>
          <w:lang w:val="sr-Latn-ME"/>
        </w:rPr>
      </w:pPr>
    </w:p>
    <w:p w14:paraId="625303C9" w14:textId="731A7F52" w:rsidR="00C16A37" w:rsidRPr="008675A3" w:rsidRDefault="00C16A37" w:rsidP="006D32DF">
      <w:pPr>
        <w:outlineLvl w:val="0"/>
        <w:rPr>
          <w:b/>
          <w:bCs/>
          <w:lang w:val="sr-Latn-ME"/>
        </w:rPr>
      </w:pPr>
      <w:r w:rsidRPr="008675A3">
        <w:rPr>
          <w:lang w:val="sr-Latn-ME"/>
        </w:rPr>
        <w:t xml:space="preserve">ATC </w:t>
      </w:r>
      <w:r w:rsidR="002B6F36" w:rsidRPr="008675A3">
        <w:rPr>
          <w:lang w:val="sr-Latn-ME"/>
        </w:rPr>
        <w:t>kod</w:t>
      </w:r>
      <w:r w:rsidRPr="008675A3">
        <w:rPr>
          <w:lang w:val="sr-Latn-ME"/>
        </w:rPr>
        <w:t xml:space="preserve">: A07AC01 i A01AB09 </w:t>
      </w:r>
    </w:p>
    <w:p w14:paraId="25C51448" w14:textId="77777777" w:rsidR="00C16A37" w:rsidRPr="008675A3" w:rsidRDefault="00C16A37" w:rsidP="006D0100">
      <w:pPr>
        <w:pStyle w:val="Header"/>
        <w:tabs>
          <w:tab w:val="clear" w:pos="4536"/>
          <w:tab w:val="clear" w:pos="9072"/>
          <w:tab w:val="left" w:pos="284"/>
        </w:tabs>
        <w:rPr>
          <w:sz w:val="22"/>
          <w:szCs w:val="22"/>
          <w:lang w:val="sr-Latn-ME"/>
        </w:rPr>
      </w:pPr>
    </w:p>
    <w:p w14:paraId="14A7D4F7" w14:textId="04BC8CDA"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Mikonazol pos</w:t>
      </w:r>
      <w:r w:rsidR="004E3B45" w:rsidRPr="008675A3">
        <w:rPr>
          <w:sz w:val="22"/>
          <w:szCs w:val="22"/>
          <w:lang w:val="sr-Latn-ME"/>
        </w:rPr>
        <w:t>j</w:t>
      </w:r>
      <w:r w:rsidRPr="008675A3">
        <w:rPr>
          <w:sz w:val="22"/>
          <w:szCs w:val="22"/>
          <w:lang w:val="sr-Latn-ME"/>
        </w:rPr>
        <w:t>eduje antifungalnu aktivnost protiv najčešćih dermatofita i kvasnica, kao i antibakterijsku aktivnost protiv gram-pozitivnih bacila i koka.</w:t>
      </w:r>
    </w:p>
    <w:p w14:paraId="05A1D429" w14:textId="77777777" w:rsidR="00C16A37" w:rsidRPr="008675A3" w:rsidRDefault="00C16A37" w:rsidP="006D0100">
      <w:pPr>
        <w:pStyle w:val="Header"/>
        <w:tabs>
          <w:tab w:val="clear" w:pos="4536"/>
          <w:tab w:val="clear" w:pos="9072"/>
          <w:tab w:val="left" w:pos="284"/>
        </w:tabs>
        <w:rPr>
          <w:sz w:val="22"/>
          <w:szCs w:val="22"/>
          <w:lang w:val="sr-Latn-ME"/>
        </w:rPr>
      </w:pPr>
    </w:p>
    <w:p w14:paraId="2C54E6DD" w14:textId="38ADF323"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lastRenderedPageBreak/>
        <w:t>Mikonazol inhibira biosintezu ergosterola u gljivicama i m</w:t>
      </w:r>
      <w:r w:rsidR="004E3B45" w:rsidRPr="008675A3">
        <w:rPr>
          <w:sz w:val="22"/>
          <w:szCs w:val="22"/>
          <w:lang w:val="sr-Latn-ME"/>
        </w:rPr>
        <w:t>ij</w:t>
      </w:r>
      <w:r w:rsidRPr="008675A3">
        <w:rPr>
          <w:sz w:val="22"/>
          <w:szCs w:val="22"/>
          <w:lang w:val="sr-Latn-ME"/>
        </w:rPr>
        <w:t>enja sastav lipidnih komponenti membrane, što dovodi do nekroze gljivične ćelije.</w:t>
      </w:r>
    </w:p>
    <w:p w14:paraId="50296814" w14:textId="77777777" w:rsidR="00C16A37" w:rsidRPr="008675A3" w:rsidRDefault="00C16A37" w:rsidP="006D0100">
      <w:pPr>
        <w:rPr>
          <w:lang w:val="sr-Latn-ME"/>
        </w:rPr>
      </w:pPr>
    </w:p>
    <w:p w14:paraId="5F8A9F28" w14:textId="77777777" w:rsidR="00C16A37" w:rsidRPr="008675A3" w:rsidRDefault="00C16A37" w:rsidP="006D32DF">
      <w:pPr>
        <w:outlineLvl w:val="0"/>
        <w:rPr>
          <w:b/>
          <w:bCs/>
          <w:lang w:val="sr-Latn-ME"/>
        </w:rPr>
      </w:pPr>
      <w:r w:rsidRPr="008675A3">
        <w:rPr>
          <w:b/>
          <w:bCs/>
          <w:lang w:val="sr-Latn-ME"/>
        </w:rPr>
        <w:t>5.2. Farmakokinetički podaci</w:t>
      </w:r>
    </w:p>
    <w:p w14:paraId="64089DD7" w14:textId="77777777" w:rsidR="00C16A37" w:rsidRPr="008675A3" w:rsidRDefault="00C16A37" w:rsidP="006D0100">
      <w:pPr>
        <w:rPr>
          <w:b/>
          <w:bCs/>
          <w:lang w:val="sr-Latn-ME"/>
        </w:rPr>
      </w:pPr>
    </w:p>
    <w:p w14:paraId="399C38EB" w14:textId="77777777" w:rsidR="00C16A37" w:rsidRPr="008675A3" w:rsidRDefault="00C16A37" w:rsidP="006D32DF">
      <w:pPr>
        <w:pStyle w:val="Header"/>
        <w:tabs>
          <w:tab w:val="clear" w:pos="4536"/>
          <w:tab w:val="clear" w:pos="9072"/>
          <w:tab w:val="left" w:pos="284"/>
        </w:tabs>
        <w:outlineLvl w:val="0"/>
        <w:rPr>
          <w:sz w:val="22"/>
          <w:szCs w:val="22"/>
          <w:lang w:val="sr-Latn-ME"/>
        </w:rPr>
      </w:pPr>
      <w:r w:rsidRPr="008675A3">
        <w:rPr>
          <w:sz w:val="22"/>
          <w:szCs w:val="22"/>
          <w:u w:val="single"/>
          <w:lang w:val="sr-Latn-ME"/>
        </w:rPr>
        <w:t>Resorpcija</w:t>
      </w:r>
    </w:p>
    <w:p w14:paraId="394053DB" w14:textId="7317CB26"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Nakon oralne prim</w:t>
      </w:r>
      <w:r w:rsidR="004E3B45" w:rsidRPr="008675A3">
        <w:rPr>
          <w:sz w:val="22"/>
          <w:szCs w:val="22"/>
          <w:lang w:val="sr-Latn-ME"/>
        </w:rPr>
        <w:t>j</w:t>
      </w:r>
      <w:r w:rsidRPr="008675A3">
        <w:rPr>
          <w:sz w:val="22"/>
          <w:szCs w:val="22"/>
          <w:lang w:val="sr-Latn-ME"/>
        </w:rPr>
        <w:t>ene oralnog gela mikonazol se sistemski resorbuje. Posl</w:t>
      </w:r>
      <w:r w:rsidR="004E3B45" w:rsidRPr="008675A3">
        <w:rPr>
          <w:sz w:val="22"/>
          <w:szCs w:val="22"/>
          <w:lang w:val="sr-Latn-ME"/>
        </w:rPr>
        <w:t>ij</w:t>
      </w:r>
      <w:r w:rsidRPr="008675A3">
        <w:rPr>
          <w:sz w:val="22"/>
          <w:szCs w:val="22"/>
          <w:lang w:val="sr-Latn-ME"/>
        </w:rPr>
        <w:t>e prim</w:t>
      </w:r>
      <w:r w:rsidR="004E3B45" w:rsidRPr="008675A3">
        <w:rPr>
          <w:sz w:val="22"/>
          <w:szCs w:val="22"/>
          <w:lang w:val="sr-Latn-ME"/>
        </w:rPr>
        <w:t>j</w:t>
      </w:r>
      <w:r w:rsidRPr="008675A3">
        <w:rPr>
          <w:sz w:val="22"/>
          <w:szCs w:val="22"/>
          <w:lang w:val="sr-Latn-ME"/>
        </w:rPr>
        <w:t>ene oralnog gela u dozi od 60 mg, maksimalna koncentracija u plazmi se postiže posl</w:t>
      </w:r>
      <w:r w:rsidR="004E3B45" w:rsidRPr="008675A3">
        <w:rPr>
          <w:sz w:val="22"/>
          <w:szCs w:val="22"/>
          <w:lang w:val="sr-Latn-ME"/>
        </w:rPr>
        <w:t>ij</w:t>
      </w:r>
      <w:r w:rsidRPr="008675A3">
        <w:rPr>
          <w:sz w:val="22"/>
          <w:szCs w:val="22"/>
          <w:lang w:val="sr-Latn-ME"/>
        </w:rPr>
        <w:t>e dva sata i iznosi 31 do 49 nanograma/</w:t>
      </w:r>
      <w:r w:rsidR="00633641" w:rsidRPr="008675A3">
        <w:rPr>
          <w:sz w:val="22"/>
          <w:szCs w:val="22"/>
          <w:lang w:val="sr-Latn-ME"/>
        </w:rPr>
        <w:t>ml</w:t>
      </w:r>
      <w:r w:rsidRPr="008675A3">
        <w:rPr>
          <w:sz w:val="22"/>
          <w:szCs w:val="22"/>
          <w:lang w:val="sr-Latn-ME"/>
        </w:rPr>
        <w:t xml:space="preserve">. </w:t>
      </w:r>
    </w:p>
    <w:p w14:paraId="73DDD325" w14:textId="77777777" w:rsidR="00C16A37" w:rsidRPr="008675A3" w:rsidRDefault="00C16A37" w:rsidP="006D0100">
      <w:pPr>
        <w:pStyle w:val="Header"/>
        <w:tabs>
          <w:tab w:val="clear" w:pos="4536"/>
          <w:tab w:val="clear" w:pos="9072"/>
          <w:tab w:val="left" w:pos="284"/>
        </w:tabs>
        <w:rPr>
          <w:sz w:val="22"/>
          <w:szCs w:val="22"/>
          <w:lang w:val="sr-Latn-ME"/>
        </w:rPr>
      </w:pPr>
    </w:p>
    <w:p w14:paraId="1FFA2370" w14:textId="77777777" w:rsidR="00C16A37" w:rsidRPr="008675A3" w:rsidRDefault="00C16A37" w:rsidP="006D32DF">
      <w:pPr>
        <w:pStyle w:val="Header"/>
        <w:tabs>
          <w:tab w:val="clear" w:pos="4536"/>
          <w:tab w:val="clear" w:pos="9072"/>
          <w:tab w:val="left" w:pos="284"/>
        </w:tabs>
        <w:outlineLvl w:val="0"/>
        <w:rPr>
          <w:sz w:val="22"/>
          <w:szCs w:val="22"/>
          <w:lang w:val="sr-Latn-ME"/>
        </w:rPr>
      </w:pPr>
      <w:r w:rsidRPr="008675A3">
        <w:rPr>
          <w:sz w:val="22"/>
          <w:szCs w:val="22"/>
          <w:u w:val="single"/>
          <w:lang w:val="sr-Latn-ME"/>
        </w:rPr>
        <w:t>Distribucija</w:t>
      </w:r>
    </w:p>
    <w:p w14:paraId="5A2E2FDD" w14:textId="5BBD2533"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Resorbovani l</w:t>
      </w:r>
      <w:r w:rsidR="004E3B45" w:rsidRPr="008675A3">
        <w:rPr>
          <w:sz w:val="22"/>
          <w:szCs w:val="22"/>
          <w:lang w:val="sr-Latn-ME"/>
        </w:rPr>
        <w:t>ij</w:t>
      </w:r>
      <w:r w:rsidRPr="008675A3">
        <w:rPr>
          <w:sz w:val="22"/>
          <w:szCs w:val="22"/>
          <w:lang w:val="sr-Latn-ME"/>
        </w:rPr>
        <w:t xml:space="preserve">ek se u visokom procentu (88,2%) vezuje za proteine plazme (primarno albumine) i za eritrocite (10,6%). </w:t>
      </w:r>
    </w:p>
    <w:p w14:paraId="38EF299F" w14:textId="77777777" w:rsidR="00C16A37" w:rsidRPr="008675A3" w:rsidRDefault="00C16A37" w:rsidP="006D0100">
      <w:pPr>
        <w:pStyle w:val="Header"/>
        <w:tabs>
          <w:tab w:val="clear" w:pos="4536"/>
          <w:tab w:val="clear" w:pos="9072"/>
          <w:tab w:val="left" w:pos="284"/>
        </w:tabs>
        <w:rPr>
          <w:sz w:val="22"/>
          <w:szCs w:val="22"/>
          <w:lang w:val="sr-Latn-ME"/>
        </w:rPr>
      </w:pPr>
    </w:p>
    <w:p w14:paraId="4A1C87A9" w14:textId="77777777" w:rsidR="00C16A37" w:rsidRPr="008675A3" w:rsidRDefault="00C16A37" w:rsidP="006D32DF">
      <w:pPr>
        <w:pStyle w:val="Header"/>
        <w:tabs>
          <w:tab w:val="clear" w:pos="4536"/>
          <w:tab w:val="clear" w:pos="9072"/>
          <w:tab w:val="left" w:pos="284"/>
        </w:tabs>
        <w:outlineLvl w:val="0"/>
        <w:rPr>
          <w:sz w:val="22"/>
          <w:szCs w:val="22"/>
          <w:lang w:val="sr-Latn-ME"/>
        </w:rPr>
      </w:pPr>
      <w:r w:rsidRPr="008675A3">
        <w:rPr>
          <w:sz w:val="22"/>
          <w:szCs w:val="22"/>
          <w:u w:val="single"/>
          <w:lang w:val="sr-Latn-ME"/>
        </w:rPr>
        <w:t>Biotransformacija i eliminacija</w:t>
      </w:r>
    </w:p>
    <w:p w14:paraId="438D4280" w14:textId="72D959A0" w:rsidR="00C16A37" w:rsidRPr="008675A3" w:rsidRDefault="00C16A37" w:rsidP="006D0100">
      <w:pPr>
        <w:pStyle w:val="Header"/>
        <w:tabs>
          <w:tab w:val="clear" w:pos="4536"/>
          <w:tab w:val="clear" w:pos="9072"/>
          <w:tab w:val="left" w:pos="284"/>
        </w:tabs>
        <w:rPr>
          <w:sz w:val="22"/>
          <w:szCs w:val="22"/>
          <w:lang w:val="sr-Latn-ME"/>
        </w:rPr>
      </w:pPr>
      <w:r w:rsidRPr="008675A3">
        <w:rPr>
          <w:sz w:val="22"/>
          <w:szCs w:val="22"/>
          <w:lang w:val="sr-Latn-ME"/>
        </w:rPr>
        <w:t>Resorbovani mikonazol se opsežno metaboliše. Manje od 1% prim</w:t>
      </w:r>
      <w:r w:rsidR="004E3B45" w:rsidRPr="008675A3">
        <w:rPr>
          <w:sz w:val="22"/>
          <w:szCs w:val="22"/>
          <w:lang w:val="sr-Latn-ME"/>
        </w:rPr>
        <w:t>ij</w:t>
      </w:r>
      <w:r w:rsidRPr="008675A3">
        <w:rPr>
          <w:sz w:val="22"/>
          <w:szCs w:val="22"/>
          <w:lang w:val="sr-Latn-ME"/>
        </w:rPr>
        <w:t>enjene doze neprom</w:t>
      </w:r>
      <w:r w:rsidR="004E3B45" w:rsidRPr="008675A3">
        <w:rPr>
          <w:sz w:val="22"/>
          <w:szCs w:val="22"/>
          <w:lang w:val="sr-Latn-ME"/>
        </w:rPr>
        <w:t>ij</w:t>
      </w:r>
      <w:r w:rsidRPr="008675A3">
        <w:rPr>
          <w:sz w:val="22"/>
          <w:szCs w:val="22"/>
          <w:lang w:val="sr-Latn-ME"/>
        </w:rPr>
        <w:t>enjeno se izlučuje urinom. Poluvr</w:t>
      </w:r>
      <w:r w:rsidR="004E3B45" w:rsidRPr="008675A3">
        <w:rPr>
          <w:sz w:val="22"/>
          <w:szCs w:val="22"/>
          <w:lang w:val="sr-Latn-ME"/>
        </w:rPr>
        <w:t>ij</w:t>
      </w:r>
      <w:r w:rsidRPr="008675A3">
        <w:rPr>
          <w:sz w:val="22"/>
          <w:szCs w:val="22"/>
          <w:lang w:val="sr-Latn-ME"/>
        </w:rPr>
        <w:t>eme eliminacije iznosi 20 do 25 sati kod većine pacijenata, takođe i kod onih sa oštećenjem renalne funkcije. Koncentracija mikonazola u plazmi um</w:t>
      </w:r>
      <w:r w:rsidR="004E3B45" w:rsidRPr="008675A3">
        <w:rPr>
          <w:sz w:val="22"/>
          <w:szCs w:val="22"/>
          <w:lang w:val="sr-Latn-ME"/>
        </w:rPr>
        <w:t>j</w:t>
      </w:r>
      <w:r w:rsidRPr="008675A3">
        <w:rPr>
          <w:sz w:val="22"/>
          <w:szCs w:val="22"/>
          <w:lang w:val="sr-Latn-ME"/>
        </w:rPr>
        <w:t>ereno se može smanjiti za oko 50% hemodijalizom. Oko 50% oralne doze mikonazola se eliminiše prvenstveno fecesom d</w:t>
      </w:r>
      <w:r w:rsidR="004E3B45" w:rsidRPr="008675A3">
        <w:rPr>
          <w:sz w:val="22"/>
          <w:szCs w:val="22"/>
          <w:lang w:val="sr-Latn-ME"/>
        </w:rPr>
        <w:t>ij</w:t>
      </w:r>
      <w:r w:rsidRPr="008675A3">
        <w:rPr>
          <w:sz w:val="22"/>
          <w:szCs w:val="22"/>
          <w:lang w:val="sr-Latn-ME"/>
        </w:rPr>
        <w:t>elom u neprom</w:t>
      </w:r>
      <w:r w:rsidR="004E3B45" w:rsidRPr="008675A3">
        <w:rPr>
          <w:sz w:val="22"/>
          <w:szCs w:val="22"/>
          <w:lang w:val="sr-Latn-ME"/>
        </w:rPr>
        <w:t>ij</w:t>
      </w:r>
      <w:r w:rsidRPr="008675A3">
        <w:rPr>
          <w:sz w:val="22"/>
          <w:szCs w:val="22"/>
          <w:lang w:val="sr-Latn-ME"/>
        </w:rPr>
        <w:t>enjenom obliku, a d</w:t>
      </w:r>
      <w:r w:rsidR="004E3B45" w:rsidRPr="008675A3">
        <w:rPr>
          <w:sz w:val="22"/>
          <w:szCs w:val="22"/>
          <w:lang w:val="sr-Latn-ME"/>
        </w:rPr>
        <w:t>j</w:t>
      </w:r>
      <w:r w:rsidRPr="008675A3">
        <w:rPr>
          <w:sz w:val="22"/>
          <w:szCs w:val="22"/>
          <w:lang w:val="sr-Latn-ME"/>
        </w:rPr>
        <w:t>elimično u obliku metabolita.</w:t>
      </w:r>
    </w:p>
    <w:p w14:paraId="1D3CF5C1" w14:textId="77777777" w:rsidR="00C16A37" w:rsidRPr="008675A3" w:rsidRDefault="00C16A37" w:rsidP="006D0100">
      <w:pPr>
        <w:rPr>
          <w:lang w:val="sr-Latn-ME"/>
        </w:rPr>
      </w:pPr>
    </w:p>
    <w:p w14:paraId="46ACAB01" w14:textId="33482836" w:rsidR="00C16A37" w:rsidRPr="008675A3" w:rsidRDefault="00C16A37" w:rsidP="006D32DF">
      <w:pPr>
        <w:outlineLvl w:val="0"/>
        <w:rPr>
          <w:b/>
          <w:bCs/>
          <w:lang w:val="sr-Latn-ME"/>
        </w:rPr>
      </w:pPr>
      <w:r w:rsidRPr="008675A3">
        <w:rPr>
          <w:b/>
          <w:bCs/>
          <w:lang w:val="sr-Latn-ME"/>
        </w:rPr>
        <w:t>5.3. Pretklinički podaci o bezb</w:t>
      </w:r>
      <w:r w:rsidR="004E3B45" w:rsidRPr="008675A3">
        <w:rPr>
          <w:b/>
          <w:bCs/>
          <w:lang w:val="sr-Latn-ME"/>
        </w:rPr>
        <w:t>j</w:t>
      </w:r>
      <w:r w:rsidRPr="008675A3">
        <w:rPr>
          <w:b/>
          <w:bCs/>
          <w:lang w:val="sr-Latn-ME"/>
        </w:rPr>
        <w:t>ednosti</w:t>
      </w:r>
    </w:p>
    <w:p w14:paraId="6929208C" w14:textId="77777777" w:rsidR="00C16A37" w:rsidRPr="008675A3" w:rsidRDefault="00C16A37" w:rsidP="006D0100">
      <w:pPr>
        <w:rPr>
          <w:lang w:val="sr-Latn-ME"/>
        </w:rPr>
      </w:pPr>
    </w:p>
    <w:p w14:paraId="69D29D3B" w14:textId="403C47EF" w:rsidR="00C16A37" w:rsidRDefault="00C16A37" w:rsidP="006D0100">
      <w:pPr>
        <w:pStyle w:val="Header"/>
        <w:tabs>
          <w:tab w:val="clear" w:pos="4536"/>
          <w:tab w:val="clear" w:pos="9072"/>
          <w:tab w:val="left" w:pos="284"/>
        </w:tabs>
        <w:rPr>
          <w:sz w:val="22"/>
          <w:szCs w:val="22"/>
          <w:lang w:val="sr-Latn-ME"/>
        </w:rPr>
      </w:pPr>
      <w:r w:rsidRPr="008675A3">
        <w:rPr>
          <w:sz w:val="22"/>
          <w:szCs w:val="22"/>
          <w:lang w:val="sr-Latn-ME"/>
        </w:rPr>
        <w:t>Pretklinički podaci dobijeni na osnovu konvencionalnih studija lokalne iritacije, toksičnosti pojedinačnih i ponavljanih doza, genotoksičnosti i reproduktivne toksičnosti, ne ukazuju na posebne rizike pri prim</w:t>
      </w:r>
      <w:r w:rsidR="004E3B45" w:rsidRPr="008675A3">
        <w:rPr>
          <w:sz w:val="22"/>
          <w:szCs w:val="22"/>
          <w:lang w:val="sr-Latn-ME"/>
        </w:rPr>
        <w:t>j</w:t>
      </w:r>
      <w:r w:rsidRPr="008675A3">
        <w:rPr>
          <w:sz w:val="22"/>
          <w:szCs w:val="22"/>
          <w:lang w:val="sr-Latn-ME"/>
        </w:rPr>
        <w:t>eni l</w:t>
      </w:r>
      <w:r w:rsidR="004E3B45" w:rsidRPr="008675A3">
        <w:rPr>
          <w:sz w:val="22"/>
          <w:szCs w:val="22"/>
          <w:lang w:val="sr-Latn-ME"/>
        </w:rPr>
        <w:t>ij</w:t>
      </w:r>
      <w:r w:rsidRPr="008675A3">
        <w:rPr>
          <w:sz w:val="22"/>
          <w:szCs w:val="22"/>
          <w:lang w:val="sr-Latn-ME"/>
        </w:rPr>
        <w:t>eka kod ljudi.</w:t>
      </w:r>
    </w:p>
    <w:p w14:paraId="63A08565" w14:textId="77777777" w:rsidR="00A778B9" w:rsidRPr="008675A3" w:rsidRDefault="00A778B9" w:rsidP="006D0100">
      <w:pPr>
        <w:pStyle w:val="Header"/>
        <w:tabs>
          <w:tab w:val="clear" w:pos="4536"/>
          <w:tab w:val="clear" w:pos="9072"/>
          <w:tab w:val="left" w:pos="284"/>
        </w:tabs>
        <w:rPr>
          <w:sz w:val="22"/>
          <w:szCs w:val="22"/>
          <w:lang w:val="sr-Latn-ME"/>
        </w:rPr>
      </w:pPr>
    </w:p>
    <w:p w14:paraId="4FE6E2BC" w14:textId="04C0D7CF" w:rsidR="00C16A37" w:rsidRPr="008675A3" w:rsidRDefault="00C16A37" w:rsidP="006D32DF">
      <w:pPr>
        <w:pStyle w:val="NASLOV123"/>
        <w:outlineLvl w:val="0"/>
        <w:rPr>
          <w:lang w:val="sr-Latn-ME"/>
        </w:rPr>
      </w:pPr>
      <w:r w:rsidRPr="008675A3">
        <w:rPr>
          <w:lang w:val="sr-Latn-ME"/>
        </w:rPr>
        <w:t>6.</w:t>
      </w:r>
      <w:r w:rsidR="00936834">
        <w:rPr>
          <w:lang w:val="sr-Latn-ME"/>
        </w:rPr>
        <w:tab/>
      </w:r>
      <w:r w:rsidRPr="008675A3">
        <w:rPr>
          <w:lang w:val="sr-Latn-ME"/>
        </w:rPr>
        <w:t xml:space="preserve"> FARMACEUTSKI PODACI</w:t>
      </w:r>
    </w:p>
    <w:p w14:paraId="67951B43" w14:textId="1B11A8C4" w:rsidR="00C16A37" w:rsidRPr="008675A3" w:rsidRDefault="00C16A37" w:rsidP="006D32DF">
      <w:pPr>
        <w:outlineLvl w:val="0"/>
        <w:rPr>
          <w:b/>
          <w:bCs/>
          <w:lang w:val="sr-Latn-ME"/>
        </w:rPr>
      </w:pPr>
      <w:r w:rsidRPr="008675A3">
        <w:rPr>
          <w:b/>
          <w:bCs/>
          <w:lang w:val="sr-Latn-ME"/>
        </w:rPr>
        <w:t>6.1. Lista pomoćnih supstanci</w:t>
      </w:r>
      <w:r w:rsidR="004E3B45" w:rsidRPr="008675A3">
        <w:rPr>
          <w:b/>
          <w:bCs/>
          <w:lang w:val="sr-Latn-ME"/>
        </w:rPr>
        <w:t xml:space="preserve"> (ekscipijenasa)</w:t>
      </w:r>
    </w:p>
    <w:p w14:paraId="5E43D8CB" w14:textId="77777777" w:rsidR="00C16A37" w:rsidRPr="008675A3" w:rsidRDefault="00C16A37" w:rsidP="00A41ACC">
      <w:pPr>
        <w:pStyle w:val="Header"/>
        <w:tabs>
          <w:tab w:val="clear" w:pos="4536"/>
          <w:tab w:val="clear" w:pos="9072"/>
          <w:tab w:val="left" w:pos="284"/>
        </w:tabs>
        <w:jc w:val="left"/>
        <w:rPr>
          <w:sz w:val="22"/>
          <w:szCs w:val="22"/>
          <w:lang w:val="sr-Latn-ME"/>
        </w:rPr>
      </w:pPr>
    </w:p>
    <w:p w14:paraId="6BE0BC75" w14:textId="77777777"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karbomer 934 P;</w:t>
      </w:r>
    </w:p>
    <w:p w14:paraId="27AAD71B" w14:textId="175053D3"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saharin</w:t>
      </w:r>
      <w:r w:rsidR="00691E4D" w:rsidRPr="008675A3">
        <w:rPr>
          <w:sz w:val="22"/>
          <w:szCs w:val="22"/>
          <w:lang w:val="sr-Latn-ME"/>
        </w:rPr>
        <w:t xml:space="preserve"> </w:t>
      </w:r>
      <w:r w:rsidRPr="008675A3">
        <w:rPr>
          <w:sz w:val="22"/>
          <w:szCs w:val="22"/>
          <w:lang w:val="sr-Latn-ME"/>
        </w:rPr>
        <w:t>natrijum;</w:t>
      </w:r>
    </w:p>
    <w:p w14:paraId="600AF15C" w14:textId="7FAC9380"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dinatrijum</w:t>
      </w:r>
      <w:r w:rsidR="00691E4D" w:rsidRPr="008675A3">
        <w:rPr>
          <w:sz w:val="22"/>
          <w:szCs w:val="22"/>
          <w:lang w:val="sr-Latn-ME"/>
        </w:rPr>
        <w:t xml:space="preserve"> </w:t>
      </w:r>
      <w:r w:rsidRPr="008675A3">
        <w:rPr>
          <w:sz w:val="22"/>
          <w:szCs w:val="22"/>
          <w:lang w:val="sr-Latn-ME"/>
        </w:rPr>
        <w:t>edetat;</w:t>
      </w:r>
    </w:p>
    <w:p w14:paraId="1EDA4C5D" w14:textId="73518AA0" w:rsidR="00C16A37" w:rsidRPr="008675A3" w:rsidRDefault="00B70351" w:rsidP="00A41ACC">
      <w:pPr>
        <w:pStyle w:val="Header"/>
        <w:tabs>
          <w:tab w:val="clear" w:pos="4536"/>
          <w:tab w:val="clear" w:pos="9072"/>
          <w:tab w:val="left" w:pos="284"/>
        </w:tabs>
        <w:jc w:val="left"/>
        <w:rPr>
          <w:sz w:val="22"/>
          <w:szCs w:val="22"/>
          <w:lang w:val="sr-Latn-ME"/>
        </w:rPr>
      </w:pPr>
      <w:r>
        <w:rPr>
          <w:sz w:val="22"/>
          <w:szCs w:val="22"/>
          <w:lang w:val="sr-Latn-ME"/>
        </w:rPr>
        <w:t>benzo</w:t>
      </w:r>
      <w:bookmarkStart w:id="0" w:name="_GoBack"/>
      <w:bookmarkEnd w:id="0"/>
      <w:r w:rsidR="00C16A37" w:rsidRPr="008675A3">
        <w:rPr>
          <w:sz w:val="22"/>
          <w:szCs w:val="22"/>
          <w:lang w:val="sr-Latn-ME"/>
        </w:rPr>
        <w:t>eva kiselina (E 210);</w:t>
      </w:r>
    </w:p>
    <w:p w14:paraId="37B03B84" w14:textId="77777777"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 xml:space="preserve">glicerol; </w:t>
      </w:r>
    </w:p>
    <w:p w14:paraId="7EE80579" w14:textId="77777777"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 xml:space="preserve">trolamin; </w:t>
      </w:r>
    </w:p>
    <w:p w14:paraId="262700F3" w14:textId="77777777"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etanol 96%;</w:t>
      </w:r>
    </w:p>
    <w:p w14:paraId="415C25D8" w14:textId="77777777"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esencija oranž 05096;</w:t>
      </w:r>
    </w:p>
    <w:p w14:paraId="0724B8D2" w14:textId="77777777"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voda, prečišćena.</w:t>
      </w:r>
    </w:p>
    <w:p w14:paraId="0A7D6E46" w14:textId="77777777" w:rsidR="00C16A37" w:rsidRPr="008675A3" w:rsidRDefault="00C16A37" w:rsidP="00923865">
      <w:pPr>
        <w:rPr>
          <w:lang w:val="sr-Latn-ME"/>
        </w:rPr>
      </w:pPr>
    </w:p>
    <w:p w14:paraId="08FC1C1F" w14:textId="49A3B1E9" w:rsidR="00C16A37" w:rsidRPr="008675A3" w:rsidRDefault="00C16A37" w:rsidP="006D32DF">
      <w:pPr>
        <w:outlineLvl w:val="0"/>
        <w:rPr>
          <w:b/>
          <w:bCs/>
          <w:lang w:val="sr-Latn-ME"/>
        </w:rPr>
      </w:pPr>
      <w:r w:rsidRPr="008675A3">
        <w:rPr>
          <w:b/>
          <w:bCs/>
          <w:lang w:val="sr-Latn-ME"/>
        </w:rPr>
        <w:t>6.2. Inkompatibilnost</w:t>
      </w:r>
      <w:r w:rsidR="004E3B45" w:rsidRPr="008675A3">
        <w:rPr>
          <w:b/>
          <w:bCs/>
          <w:lang w:val="sr-Latn-ME"/>
        </w:rPr>
        <w:t>i</w:t>
      </w:r>
    </w:p>
    <w:p w14:paraId="4ACF7693" w14:textId="77777777" w:rsidR="00C16A37" w:rsidRPr="008675A3" w:rsidRDefault="00C16A37" w:rsidP="00923865">
      <w:pPr>
        <w:rPr>
          <w:lang w:val="sr-Latn-ME"/>
        </w:rPr>
      </w:pPr>
    </w:p>
    <w:p w14:paraId="1404D0C7" w14:textId="27ED1A67" w:rsidR="00C16A37" w:rsidRPr="008675A3" w:rsidRDefault="00C16A37" w:rsidP="006D32DF">
      <w:pPr>
        <w:outlineLvl w:val="0"/>
        <w:rPr>
          <w:lang w:val="sr-Latn-ME"/>
        </w:rPr>
      </w:pPr>
      <w:r w:rsidRPr="008675A3">
        <w:rPr>
          <w:lang w:val="sr-Latn-ME"/>
        </w:rPr>
        <w:t>Nije prim</w:t>
      </w:r>
      <w:r w:rsidR="004E3B45" w:rsidRPr="008675A3">
        <w:rPr>
          <w:lang w:val="sr-Latn-ME"/>
        </w:rPr>
        <w:t>j</w:t>
      </w:r>
      <w:r w:rsidRPr="008675A3">
        <w:rPr>
          <w:lang w:val="sr-Latn-ME"/>
        </w:rPr>
        <w:t>enljivo.</w:t>
      </w:r>
    </w:p>
    <w:p w14:paraId="17CA20F0" w14:textId="77777777" w:rsidR="00C16A37" w:rsidRPr="008675A3" w:rsidRDefault="00C16A37" w:rsidP="00923865">
      <w:pPr>
        <w:rPr>
          <w:b/>
          <w:bCs/>
          <w:lang w:val="sr-Latn-ME"/>
        </w:rPr>
      </w:pPr>
    </w:p>
    <w:p w14:paraId="405E44F8" w14:textId="77777777" w:rsidR="00C16A37" w:rsidRPr="008675A3" w:rsidRDefault="00C16A37" w:rsidP="006D32DF">
      <w:pPr>
        <w:outlineLvl w:val="0"/>
        <w:rPr>
          <w:b/>
          <w:bCs/>
          <w:lang w:val="sr-Latn-ME"/>
        </w:rPr>
      </w:pPr>
      <w:r w:rsidRPr="008675A3">
        <w:rPr>
          <w:b/>
          <w:bCs/>
          <w:lang w:val="sr-Latn-ME"/>
        </w:rPr>
        <w:t>6.3. Rok upotrebe</w:t>
      </w:r>
    </w:p>
    <w:p w14:paraId="7B88B741" w14:textId="77777777" w:rsidR="00C16A37" w:rsidRPr="008675A3" w:rsidRDefault="00C16A37" w:rsidP="00923865">
      <w:pPr>
        <w:rPr>
          <w:lang w:val="sr-Latn-ME"/>
        </w:rPr>
      </w:pPr>
    </w:p>
    <w:p w14:paraId="46EB3EA9" w14:textId="77777777" w:rsidR="00C16A37" w:rsidRPr="008675A3" w:rsidRDefault="00C16A37" w:rsidP="00A41ACC">
      <w:pPr>
        <w:rPr>
          <w:lang w:val="sr-Latn-ME"/>
        </w:rPr>
      </w:pPr>
      <w:r w:rsidRPr="008675A3">
        <w:rPr>
          <w:lang w:val="sr-Latn-ME"/>
        </w:rPr>
        <w:t>3 godine</w:t>
      </w:r>
    </w:p>
    <w:p w14:paraId="712DC43C" w14:textId="77777777" w:rsidR="00691E4D" w:rsidRPr="008675A3" w:rsidRDefault="00691E4D" w:rsidP="00A41ACC">
      <w:pPr>
        <w:rPr>
          <w:lang w:val="sr-Latn-ME"/>
        </w:rPr>
      </w:pPr>
    </w:p>
    <w:p w14:paraId="49CFB196" w14:textId="652FADDC" w:rsidR="00C16A37" w:rsidRPr="008675A3" w:rsidRDefault="00C16A37" w:rsidP="00A41ACC">
      <w:pPr>
        <w:rPr>
          <w:lang w:val="sr-Latn-ME"/>
        </w:rPr>
      </w:pPr>
      <w:r w:rsidRPr="008675A3">
        <w:rPr>
          <w:lang w:val="sr-Latn-ME"/>
        </w:rPr>
        <w:t>Posl</w:t>
      </w:r>
      <w:r w:rsidR="004E3B45" w:rsidRPr="008675A3">
        <w:rPr>
          <w:lang w:val="sr-Latn-ME"/>
        </w:rPr>
        <w:t>ij</w:t>
      </w:r>
      <w:r w:rsidRPr="008675A3">
        <w:rPr>
          <w:lang w:val="sr-Latn-ME"/>
        </w:rPr>
        <w:t>e prvog otvaranja čuvati na temperaturi do 25</w:t>
      </w:r>
      <w:r w:rsidRPr="008675A3">
        <w:rPr>
          <w:vertAlign w:val="superscript"/>
          <w:lang w:val="sr-Latn-ME"/>
        </w:rPr>
        <w:t>o</w:t>
      </w:r>
      <w:r w:rsidRPr="008675A3">
        <w:rPr>
          <w:lang w:val="sr-Latn-ME"/>
        </w:rPr>
        <w:t>C, u originalnom pakovanju, najduže 28 dana.</w:t>
      </w:r>
    </w:p>
    <w:p w14:paraId="3FDC9950" w14:textId="77777777" w:rsidR="00C16A37" w:rsidRPr="008675A3" w:rsidRDefault="00C16A37" w:rsidP="00A41ACC">
      <w:pPr>
        <w:rPr>
          <w:lang w:val="sr-Latn-ME"/>
        </w:rPr>
      </w:pPr>
    </w:p>
    <w:p w14:paraId="07FC9425" w14:textId="77777777" w:rsidR="00A778B9" w:rsidRDefault="00A778B9" w:rsidP="006D32DF">
      <w:pPr>
        <w:outlineLvl w:val="0"/>
        <w:rPr>
          <w:b/>
          <w:bCs/>
          <w:lang w:val="sr-Latn-ME"/>
        </w:rPr>
      </w:pPr>
    </w:p>
    <w:p w14:paraId="0CF27964" w14:textId="35F4B626" w:rsidR="00C16A37" w:rsidRPr="008675A3" w:rsidRDefault="00C16A37" w:rsidP="006D32DF">
      <w:pPr>
        <w:outlineLvl w:val="0"/>
        <w:rPr>
          <w:b/>
          <w:bCs/>
          <w:lang w:val="sr-Latn-ME"/>
        </w:rPr>
      </w:pPr>
      <w:r w:rsidRPr="008675A3">
        <w:rPr>
          <w:b/>
          <w:bCs/>
          <w:lang w:val="sr-Latn-ME"/>
        </w:rPr>
        <w:lastRenderedPageBreak/>
        <w:t>6.4. Posebne mere opreza pri čuvanju</w:t>
      </w:r>
      <w:r w:rsidR="004E3B45" w:rsidRPr="008675A3">
        <w:rPr>
          <w:b/>
          <w:bCs/>
          <w:lang w:val="sr-Latn-ME"/>
        </w:rPr>
        <w:t xml:space="preserve"> lijeka</w:t>
      </w:r>
    </w:p>
    <w:p w14:paraId="4D27B750" w14:textId="77777777" w:rsidR="00C16A37" w:rsidRPr="008675A3" w:rsidRDefault="00C16A37" w:rsidP="00923865">
      <w:pPr>
        <w:rPr>
          <w:lang w:val="sr-Latn-ME"/>
        </w:rPr>
      </w:pPr>
    </w:p>
    <w:p w14:paraId="07B04491" w14:textId="01579ACA"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Čuvati u originalnom pakovanju, radi zaštite od sv</w:t>
      </w:r>
      <w:r w:rsidR="004E3B45" w:rsidRPr="008675A3">
        <w:rPr>
          <w:sz w:val="22"/>
          <w:szCs w:val="22"/>
          <w:lang w:val="sr-Latn-ME"/>
        </w:rPr>
        <w:t>j</w:t>
      </w:r>
      <w:r w:rsidRPr="008675A3">
        <w:rPr>
          <w:sz w:val="22"/>
          <w:szCs w:val="22"/>
          <w:lang w:val="sr-Latn-ME"/>
        </w:rPr>
        <w:t>etlosti i vlage.</w:t>
      </w:r>
    </w:p>
    <w:p w14:paraId="1043339D" w14:textId="6F93DD1B"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L</w:t>
      </w:r>
      <w:r w:rsidR="004E3B45" w:rsidRPr="008675A3">
        <w:rPr>
          <w:sz w:val="22"/>
          <w:szCs w:val="22"/>
          <w:lang w:val="sr-Latn-ME"/>
        </w:rPr>
        <w:t>ij</w:t>
      </w:r>
      <w:r w:rsidRPr="008675A3">
        <w:rPr>
          <w:sz w:val="22"/>
          <w:szCs w:val="22"/>
          <w:lang w:val="sr-Latn-ME"/>
        </w:rPr>
        <w:t>ek ne zaht</w:t>
      </w:r>
      <w:r w:rsidR="004E3B45" w:rsidRPr="008675A3">
        <w:rPr>
          <w:sz w:val="22"/>
          <w:szCs w:val="22"/>
          <w:lang w:val="sr-Latn-ME"/>
        </w:rPr>
        <w:t>ij</w:t>
      </w:r>
      <w:r w:rsidRPr="008675A3">
        <w:rPr>
          <w:sz w:val="22"/>
          <w:szCs w:val="22"/>
          <w:lang w:val="sr-Latn-ME"/>
        </w:rPr>
        <w:t>eva posebne temperaturne uslove čuvanja.</w:t>
      </w:r>
    </w:p>
    <w:p w14:paraId="7D1FC5B4" w14:textId="499C6D79" w:rsidR="00C16A37" w:rsidRPr="008675A3" w:rsidRDefault="00C16A37" w:rsidP="00A41ACC">
      <w:pPr>
        <w:pStyle w:val="Header"/>
        <w:tabs>
          <w:tab w:val="clear" w:pos="4536"/>
          <w:tab w:val="clear" w:pos="9072"/>
          <w:tab w:val="left" w:pos="284"/>
        </w:tabs>
        <w:jc w:val="left"/>
        <w:rPr>
          <w:sz w:val="22"/>
          <w:szCs w:val="22"/>
          <w:lang w:val="sr-Latn-ME"/>
        </w:rPr>
      </w:pPr>
      <w:r w:rsidRPr="008675A3">
        <w:rPr>
          <w:sz w:val="22"/>
          <w:szCs w:val="22"/>
          <w:lang w:val="sr-Latn-ME"/>
        </w:rPr>
        <w:t>Za uslove čuvanja posl</w:t>
      </w:r>
      <w:r w:rsidR="004E3B45" w:rsidRPr="008675A3">
        <w:rPr>
          <w:sz w:val="22"/>
          <w:szCs w:val="22"/>
          <w:lang w:val="sr-Latn-ME"/>
        </w:rPr>
        <w:t>ij</w:t>
      </w:r>
      <w:r w:rsidRPr="008675A3">
        <w:rPr>
          <w:sz w:val="22"/>
          <w:szCs w:val="22"/>
          <w:lang w:val="sr-Latn-ME"/>
        </w:rPr>
        <w:t>e prvog otvaranja vid</w:t>
      </w:r>
      <w:r w:rsidR="004E3B45" w:rsidRPr="008675A3">
        <w:rPr>
          <w:sz w:val="22"/>
          <w:szCs w:val="22"/>
          <w:lang w:val="sr-Latn-ME"/>
        </w:rPr>
        <w:t>j</w:t>
      </w:r>
      <w:r w:rsidRPr="008675A3">
        <w:rPr>
          <w:sz w:val="22"/>
          <w:szCs w:val="22"/>
          <w:lang w:val="sr-Latn-ME"/>
        </w:rPr>
        <w:t xml:space="preserve">eti </w:t>
      </w:r>
      <w:r w:rsidR="00665B19" w:rsidRPr="008675A3">
        <w:rPr>
          <w:sz w:val="22"/>
          <w:szCs w:val="22"/>
          <w:lang w:val="sr-Latn-ME"/>
        </w:rPr>
        <w:t>dio</w:t>
      </w:r>
      <w:r w:rsidR="00691E4D" w:rsidRPr="008675A3">
        <w:rPr>
          <w:sz w:val="22"/>
          <w:szCs w:val="22"/>
          <w:lang w:val="sr-Latn-ME"/>
        </w:rPr>
        <w:t xml:space="preserve"> </w:t>
      </w:r>
      <w:r w:rsidRPr="008675A3">
        <w:rPr>
          <w:sz w:val="22"/>
          <w:szCs w:val="22"/>
          <w:lang w:val="sr-Latn-ME"/>
        </w:rPr>
        <w:t>6.3.</w:t>
      </w:r>
    </w:p>
    <w:p w14:paraId="46F08905" w14:textId="77777777" w:rsidR="00C16A37" w:rsidRPr="008675A3" w:rsidRDefault="00C16A37" w:rsidP="00923865">
      <w:pPr>
        <w:rPr>
          <w:lang w:val="sr-Latn-ME"/>
        </w:rPr>
      </w:pPr>
    </w:p>
    <w:p w14:paraId="14C55DC2" w14:textId="524173E3" w:rsidR="00C16A37" w:rsidRPr="008675A3" w:rsidRDefault="00C16A37" w:rsidP="006D32DF">
      <w:pPr>
        <w:outlineLvl w:val="0"/>
        <w:rPr>
          <w:b/>
          <w:bCs/>
          <w:lang w:val="sr-Latn-ME"/>
        </w:rPr>
      </w:pPr>
      <w:r w:rsidRPr="008675A3">
        <w:rPr>
          <w:b/>
          <w:bCs/>
          <w:lang w:val="sr-Latn-ME"/>
        </w:rPr>
        <w:t xml:space="preserve">6.5. </w:t>
      </w:r>
      <w:r w:rsidR="004E3B45" w:rsidRPr="008675A3">
        <w:rPr>
          <w:b/>
          <w:bCs/>
          <w:lang w:val="sr-Latn-ME"/>
        </w:rPr>
        <w:t>Vrsta</w:t>
      </w:r>
      <w:r w:rsidRPr="008675A3">
        <w:rPr>
          <w:b/>
          <w:bCs/>
          <w:lang w:val="sr-Latn-ME"/>
        </w:rPr>
        <w:t xml:space="preserve"> i sadržaj pakovanja </w:t>
      </w:r>
    </w:p>
    <w:p w14:paraId="72AAA641" w14:textId="77777777" w:rsidR="00C16A37" w:rsidRPr="008675A3" w:rsidRDefault="00C16A37" w:rsidP="00923865">
      <w:pPr>
        <w:rPr>
          <w:lang w:val="sr-Latn-ME"/>
        </w:rPr>
      </w:pPr>
    </w:p>
    <w:p w14:paraId="17B8F018" w14:textId="247D2897" w:rsidR="00C16A37" w:rsidRPr="008675A3" w:rsidRDefault="00C16A37" w:rsidP="00816B02">
      <w:pPr>
        <w:pStyle w:val="Header"/>
        <w:tabs>
          <w:tab w:val="clear" w:pos="4536"/>
          <w:tab w:val="clear" w:pos="9072"/>
          <w:tab w:val="left" w:pos="284"/>
        </w:tabs>
        <w:rPr>
          <w:sz w:val="22"/>
          <w:szCs w:val="22"/>
          <w:lang w:val="sr-Latn-ME"/>
        </w:rPr>
      </w:pPr>
      <w:r w:rsidRPr="008675A3">
        <w:rPr>
          <w:sz w:val="22"/>
          <w:szCs w:val="22"/>
          <w:lang w:val="sr-Latn-ME"/>
        </w:rPr>
        <w:t>Unutrašnje pakovanje je dvostruko lakirana aluminijumska tuba sa gumiranim prstenom na otvoru plašta, zatvorenog grla sa plastičnim zatvaračem od polietilena b</w:t>
      </w:r>
      <w:r w:rsidR="004E3B45" w:rsidRPr="008675A3">
        <w:rPr>
          <w:sz w:val="22"/>
          <w:szCs w:val="22"/>
          <w:lang w:val="sr-Latn-ME"/>
        </w:rPr>
        <w:t>ij</w:t>
      </w:r>
      <w:r w:rsidRPr="008675A3">
        <w:rPr>
          <w:sz w:val="22"/>
          <w:szCs w:val="22"/>
          <w:lang w:val="sr-Latn-ME"/>
        </w:rPr>
        <w:t>ele boje sa trnom i navojima.</w:t>
      </w:r>
    </w:p>
    <w:p w14:paraId="2CDF9286" w14:textId="1D7AD4CA" w:rsidR="00C16A37" w:rsidRPr="008675A3" w:rsidRDefault="00C16A37" w:rsidP="00816B02">
      <w:pPr>
        <w:rPr>
          <w:lang w:val="sr-Latn-ME"/>
        </w:rPr>
      </w:pPr>
      <w:r w:rsidRPr="008675A3">
        <w:rPr>
          <w:lang w:val="sr-Latn-ME"/>
        </w:rPr>
        <w:t>Spoljnje pakovanje je složiva kartonska kutija u kojoj se nalazi jedna tuba sa 40 g oralnog gela i Uputstvo za l</w:t>
      </w:r>
      <w:r w:rsidR="004E3B45" w:rsidRPr="008675A3">
        <w:rPr>
          <w:lang w:val="sr-Latn-ME"/>
        </w:rPr>
        <w:t>ij</w:t>
      </w:r>
      <w:r w:rsidRPr="008675A3">
        <w:rPr>
          <w:lang w:val="sr-Latn-ME"/>
        </w:rPr>
        <w:t>ek.</w:t>
      </w:r>
    </w:p>
    <w:p w14:paraId="1804F54D" w14:textId="77777777" w:rsidR="00C16A37" w:rsidRPr="008675A3" w:rsidRDefault="00C16A37" w:rsidP="00923865">
      <w:pPr>
        <w:rPr>
          <w:lang w:val="sr-Latn-ME"/>
        </w:rPr>
      </w:pPr>
    </w:p>
    <w:p w14:paraId="11433D8D" w14:textId="1FA7FE2B" w:rsidR="00C16A37" w:rsidRDefault="00C16A37" w:rsidP="006D32DF">
      <w:pPr>
        <w:outlineLvl w:val="0"/>
        <w:rPr>
          <w:b/>
          <w:bCs/>
          <w:lang w:val="sr-Latn-ME"/>
        </w:rPr>
      </w:pPr>
      <w:r w:rsidRPr="008675A3">
        <w:rPr>
          <w:b/>
          <w:bCs/>
          <w:lang w:val="sr-Latn-ME"/>
        </w:rPr>
        <w:t>6.6. Posebne m</w:t>
      </w:r>
      <w:r w:rsidR="004E3B45" w:rsidRPr="008675A3">
        <w:rPr>
          <w:b/>
          <w:bCs/>
          <w:lang w:val="sr-Latn-ME"/>
        </w:rPr>
        <w:t>j</w:t>
      </w:r>
      <w:r w:rsidRPr="008675A3">
        <w:rPr>
          <w:b/>
          <w:bCs/>
          <w:lang w:val="sr-Latn-ME"/>
        </w:rPr>
        <w:t>ere opreza pri odlaganju materijala koji treba odbaciti nakon prim</w:t>
      </w:r>
      <w:r w:rsidR="004E3B45" w:rsidRPr="008675A3">
        <w:rPr>
          <w:b/>
          <w:bCs/>
          <w:lang w:val="sr-Latn-ME"/>
        </w:rPr>
        <w:t>j</w:t>
      </w:r>
      <w:r w:rsidRPr="008675A3">
        <w:rPr>
          <w:b/>
          <w:bCs/>
          <w:lang w:val="sr-Latn-ME"/>
        </w:rPr>
        <w:t>ene l</w:t>
      </w:r>
      <w:r w:rsidR="004E3B45" w:rsidRPr="008675A3">
        <w:rPr>
          <w:b/>
          <w:bCs/>
          <w:lang w:val="sr-Latn-ME"/>
        </w:rPr>
        <w:t>ij</w:t>
      </w:r>
      <w:r w:rsidRPr="008675A3">
        <w:rPr>
          <w:b/>
          <w:bCs/>
          <w:lang w:val="sr-Latn-ME"/>
        </w:rPr>
        <w:t>eka (i druga uputstva za rukovanje l</w:t>
      </w:r>
      <w:r w:rsidR="004E3B45" w:rsidRPr="008675A3">
        <w:rPr>
          <w:b/>
          <w:bCs/>
          <w:lang w:val="sr-Latn-ME"/>
        </w:rPr>
        <w:t>ij</w:t>
      </w:r>
      <w:r w:rsidRPr="008675A3">
        <w:rPr>
          <w:b/>
          <w:bCs/>
          <w:lang w:val="sr-Latn-ME"/>
        </w:rPr>
        <w:t>ekom)</w:t>
      </w:r>
    </w:p>
    <w:p w14:paraId="0ACE6867" w14:textId="77777777" w:rsidR="005E1004" w:rsidRPr="008675A3" w:rsidRDefault="005E1004" w:rsidP="006D32DF">
      <w:pPr>
        <w:outlineLvl w:val="0"/>
        <w:rPr>
          <w:b/>
          <w:bCs/>
          <w:lang w:val="sr-Latn-ME"/>
        </w:rPr>
      </w:pPr>
    </w:p>
    <w:p w14:paraId="5B9D1500" w14:textId="094F40FF" w:rsidR="00C16A37" w:rsidRPr="008675A3" w:rsidRDefault="00C16A37" w:rsidP="008675A3">
      <w:pPr>
        <w:pStyle w:val="NASLOV123"/>
        <w:spacing w:before="0" w:after="0"/>
        <w:jc w:val="both"/>
        <w:rPr>
          <w:b w:val="0"/>
          <w:lang w:val="sr-Latn-ME"/>
        </w:rPr>
      </w:pPr>
      <w:r w:rsidRPr="008675A3">
        <w:rPr>
          <w:b w:val="0"/>
          <w:lang w:val="sr-Latn-ME"/>
        </w:rPr>
        <w:t>Svu neiskorišćenu količinu l</w:t>
      </w:r>
      <w:r w:rsidR="004E3B45" w:rsidRPr="008675A3">
        <w:rPr>
          <w:b w:val="0"/>
          <w:lang w:val="sr-Latn-ME"/>
        </w:rPr>
        <w:t>ij</w:t>
      </w:r>
      <w:r w:rsidRPr="008675A3">
        <w:rPr>
          <w:b w:val="0"/>
          <w:lang w:val="sr-Latn-ME"/>
        </w:rPr>
        <w:t>eka i ili otpadnog materijala nakon njegove upotrebe treba ukloniti, u skladu sa važećim propisima.</w:t>
      </w:r>
    </w:p>
    <w:p w14:paraId="76477A0B" w14:textId="266DECF6" w:rsidR="004F6C13" w:rsidRPr="008675A3" w:rsidRDefault="004F6C13" w:rsidP="008675A3">
      <w:pPr>
        <w:pStyle w:val="NASLOV123"/>
        <w:spacing w:before="0" w:after="0"/>
        <w:jc w:val="both"/>
        <w:rPr>
          <w:b w:val="0"/>
          <w:lang w:val="sr-Latn-ME"/>
        </w:rPr>
      </w:pPr>
    </w:p>
    <w:p w14:paraId="343B857B" w14:textId="5EF2DDCE" w:rsidR="00C16A37" w:rsidRPr="008675A3" w:rsidRDefault="00C16A37" w:rsidP="006D32DF">
      <w:pPr>
        <w:pStyle w:val="NASLOV123"/>
        <w:outlineLvl w:val="0"/>
        <w:rPr>
          <w:lang w:val="sr-Latn-ME"/>
        </w:rPr>
      </w:pPr>
      <w:r w:rsidRPr="008675A3">
        <w:rPr>
          <w:lang w:val="sr-Latn-ME"/>
        </w:rPr>
        <w:t>7.</w:t>
      </w:r>
      <w:r w:rsidR="00936834">
        <w:rPr>
          <w:lang w:val="sr-Latn-ME"/>
        </w:rPr>
        <w:tab/>
      </w:r>
      <w:r w:rsidRPr="008675A3">
        <w:rPr>
          <w:lang w:val="sr-Latn-ME"/>
        </w:rPr>
        <w:t xml:space="preserve"> NOSILAC DOZVOLE </w:t>
      </w:r>
    </w:p>
    <w:p w14:paraId="04162E23" w14:textId="77777777" w:rsidR="00F8563E" w:rsidRDefault="00F8563E" w:rsidP="006D32DF">
      <w:pPr>
        <w:pStyle w:val="Header"/>
        <w:tabs>
          <w:tab w:val="clear" w:pos="4536"/>
          <w:tab w:val="clear" w:pos="9072"/>
          <w:tab w:val="left" w:pos="284"/>
        </w:tabs>
        <w:jc w:val="left"/>
        <w:rPr>
          <w:lang w:val="sr-Latn-ME"/>
        </w:rPr>
      </w:pPr>
      <w:r w:rsidRPr="00F8563E">
        <w:rPr>
          <w:lang w:val="sr-Latn-ME"/>
        </w:rPr>
        <w:t>GLK pharma d.o.o. Podgorica, ul. Svetozara Markovića br. 46, 81000 Podgorica, Crna Gora</w:t>
      </w:r>
    </w:p>
    <w:p w14:paraId="38D0E1EE" w14:textId="77777777" w:rsidR="004F6C13" w:rsidRPr="008675A3" w:rsidRDefault="004F6C13" w:rsidP="006D32DF">
      <w:pPr>
        <w:pStyle w:val="Header"/>
        <w:tabs>
          <w:tab w:val="clear" w:pos="4536"/>
          <w:tab w:val="clear" w:pos="9072"/>
          <w:tab w:val="left" w:pos="284"/>
        </w:tabs>
        <w:jc w:val="left"/>
        <w:rPr>
          <w:sz w:val="22"/>
          <w:szCs w:val="22"/>
          <w:lang w:val="sr-Latn-ME"/>
        </w:rPr>
      </w:pPr>
    </w:p>
    <w:p w14:paraId="6333A43E" w14:textId="5A4D6522" w:rsidR="00906CE5" w:rsidRPr="00AC7C9C" w:rsidRDefault="00C16A37" w:rsidP="006D32DF">
      <w:pPr>
        <w:pStyle w:val="NASLOV123"/>
        <w:outlineLvl w:val="0"/>
        <w:rPr>
          <w:bCs w:val="0"/>
          <w:lang w:val="sr-Latn-ME"/>
        </w:rPr>
      </w:pPr>
      <w:r w:rsidRPr="00AC7C9C">
        <w:rPr>
          <w:bCs w:val="0"/>
          <w:lang w:val="sr-Latn-ME"/>
        </w:rPr>
        <w:t>8.</w:t>
      </w:r>
      <w:r w:rsidR="00936834" w:rsidRPr="00AC7C9C">
        <w:rPr>
          <w:lang w:val="sr-Latn-ME"/>
        </w:rPr>
        <w:tab/>
      </w:r>
      <w:r w:rsidRPr="00AC7C9C">
        <w:rPr>
          <w:bCs w:val="0"/>
          <w:lang w:val="sr-Latn-ME"/>
        </w:rPr>
        <w:t xml:space="preserve"> BROJ DOZVOLE ZA STAVLJANJE L</w:t>
      </w:r>
      <w:r w:rsidR="004E3B45" w:rsidRPr="00AC7C9C">
        <w:rPr>
          <w:bCs w:val="0"/>
          <w:lang w:val="sr-Latn-ME"/>
        </w:rPr>
        <w:t>IJ</w:t>
      </w:r>
      <w:r w:rsidRPr="00AC7C9C">
        <w:rPr>
          <w:bCs w:val="0"/>
          <w:lang w:val="sr-Latn-ME"/>
        </w:rPr>
        <w:t>EKA U PROMET</w:t>
      </w:r>
    </w:p>
    <w:p w14:paraId="2F648EB5" w14:textId="1B1A56B5" w:rsidR="004F6C13" w:rsidRDefault="00AC7C9C" w:rsidP="00AC7C9C">
      <w:pPr>
        <w:pStyle w:val="NASLOV123"/>
        <w:spacing w:before="0" w:after="0"/>
        <w:outlineLvl w:val="0"/>
        <w:rPr>
          <w:b w:val="0"/>
          <w:bCs w:val="0"/>
          <w:lang w:val="sr-Latn-ME"/>
        </w:rPr>
      </w:pPr>
      <w:r w:rsidRPr="00AC7C9C">
        <w:rPr>
          <w:b w:val="0"/>
          <w:bCs w:val="0"/>
          <w:lang w:val="sr-Latn-ME"/>
        </w:rPr>
        <w:t xml:space="preserve">2030/24/2092 </w:t>
      </w:r>
      <w:r>
        <w:rPr>
          <w:b w:val="0"/>
          <w:bCs w:val="0"/>
          <w:lang w:val="sr-Latn-ME"/>
        </w:rPr>
        <w:t>-</w:t>
      </w:r>
      <w:r w:rsidRPr="00AC7C9C">
        <w:rPr>
          <w:b w:val="0"/>
          <w:bCs w:val="0"/>
          <w:lang w:val="sr-Latn-ME"/>
        </w:rPr>
        <w:t xml:space="preserve"> 7317</w:t>
      </w:r>
      <w:r>
        <w:rPr>
          <w:b w:val="0"/>
          <w:bCs w:val="0"/>
          <w:lang w:val="sr-Latn-ME"/>
        </w:rPr>
        <w:t xml:space="preserve"> </w:t>
      </w:r>
    </w:p>
    <w:p w14:paraId="33AC90CF" w14:textId="4B2095B9" w:rsidR="00AC7C9C" w:rsidRDefault="00AC7C9C" w:rsidP="00AC7C9C">
      <w:pPr>
        <w:pStyle w:val="NASLOV123"/>
        <w:spacing w:before="0" w:after="0"/>
        <w:outlineLvl w:val="0"/>
        <w:rPr>
          <w:b w:val="0"/>
          <w:bCs w:val="0"/>
          <w:lang w:val="sr-Latn-ME"/>
        </w:rPr>
      </w:pPr>
    </w:p>
    <w:p w14:paraId="3C1CAC2E" w14:textId="77777777" w:rsidR="00AC7C9C" w:rsidRPr="008675A3" w:rsidRDefault="00AC7C9C" w:rsidP="00AC7C9C">
      <w:pPr>
        <w:pStyle w:val="NASLOV123"/>
        <w:spacing w:before="0" w:after="0"/>
        <w:outlineLvl w:val="0"/>
        <w:rPr>
          <w:b w:val="0"/>
          <w:bCs w:val="0"/>
          <w:lang w:val="sr-Latn-ME"/>
        </w:rPr>
      </w:pPr>
    </w:p>
    <w:p w14:paraId="32223A89" w14:textId="79945E7B" w:rsidR="00C16A37" w:rsidRDefault="00C16A37" w:rsidP="00AC7C9C">
      <w:pPr>
        <w:pStyle w:val="NASLOV123"/>
        <w:spacing w:before="0" w:after="0"/>
        <w:jc w:val="both"/>
        <w:outlineLvl w:val="0"/>
        <w:rPr>
          <w:lang w:val="sr-Latn-ME"/>
        </w:rPr>
      </w:pPr>
      <w:r w:rsidRPr="008675A3">
        <w:rPr>
          <w:lang w:val="sr-Latn-ME"/>
        </w:rPr>
        <w:t>9.</w:t>
      </w:r>
      <w:r w:rsidR="00936834">
        <w:rPr>
          <w:lang w:val="sr-Latn-ME"/>
        </w:rPr>
        <w:tab/>
      </w:r>
      <w:r w:rsidRPr="008675A3">
        <w:rPr>
          <w:lang w:val="sr-Latn-ME"/>
        </w:rPr>
        <w:t xml:space="preserve"> DATUM PRVE DOZVOLE</w:t>
      </w:r>
      <w:r w:rsidR="004E3B45" w:rsidRPr="008675A3">
        <w:rPr>
          <w:lang w:val="sr-Latn-ME"/>
        </w:rPr>
        <w:t>/</w:t>
      </w:r>
      <w:r w:rsidRPr="008675A3">
        <w:rPr>
          <w:lang w:val="sr-Latn-ME"/>
        </w:rPr>
        <w:t>OBNOVE DOZVOLE</w:t>
      </w:r>
      <w:r w:rsidR="004E3B45" w:rsidRPr="008675A3">
        <w:rPr>
          <w:lang w:val="sr-Latn-ME"/>
        </w:rPr>
        <w:t xml:space="preserve"> </w:t>
      </w:r>
      <w:r w:rsidRPr="008675A3">
        <w:rPr>
          <w:lang w:val="sr-Latn-ME"/>
        </w:rPr>
        <w:t>ZA STAVLJANJE L</w:t>
      </w:r>
      <w:r w:rsidR="004E3B45" w:rsidRPr="008675A3">
        <w:rPr>
          <w:lang w:val="sr-Latn-ME"/>
        </w:rPr>
        <w:t>IJ</w:t>
      </w:r>
      <w:r w:rsidRPr="008675A3">
        <w:rPr>
          <w:lang w:val="sr-Latn-ME"/>
        </w:rPr>
        <w:t>EKA U PROMET</w:t>
      </w:r>
    </w:p>
    <w:p w14:paraId="4BF991E3" w14:textId="77777777" w:rsidR="00AC7C9C" w:rsidRPr="008675A3" w:rsidRDefault="00AC7C9C" w:rsidP="00AC7C9C">
      <w:pPr>
        <w:pStyle w:val="NASLOV123"/>
        <w:spacing w:before="0" w:after="0"/>
        <w:jc w:val="both"/>
        <w:outlineLvl w:val="0"/>
        <w:rPr>
          <w:lang w:val="sr-Latn-ME"/>
        </w:rPr>
      </w:pPr>
    </w:p>
    <w:p w14:paraId="7EC94620" w14:textId="680814A8" w:rsidR="005E1004" w:rsidRDefault="005E1004" w:rsidP="008675A3">
      <w:pPr>
        <w:pStyle w:val="NASLOV123"/>
        <w:spacing w:before="0" w:after="0"/>
        <w:jc w:val="both"/>
        <w:outlineLvl w:val="0"/>
        <w:rPr>
          <w:b w:val="0"/>
          <w:bCs w:val="0"/>
          <w:lang w:val="sr-Latn-ME"/>
        </w:rPr>
      </w:pPr>
      <w:r w:rsidRPr="005E1004">
        <w:rPr>
          <w:b w:val="0"/>
          <w:bCs w:val="0"/>
          <w:lang w:val="sr-Latn-ME"/>
        </w:rPr>
        <w:t xml:space="preserve">Datum prve dozvole: </w:t>
      </w:r>
      <w:r w:rsidR="0061462A" w:rsidRPr="0061462A">
        <w:rPr>
          <w:b w:val="0"/>
          <w:bCs w:val="0"/>
          <w:lang w:val="sr-Latn-ME"/>
        </w:rPr>
        <w:t>15.06.2012. godine</w:t>
      </w:r>
    </w:p>
    <w:p w14:paraId="1940A37E" w14:textId="321FC77A" w:rsidR="004F6C13" w:rsidRDefault="005E1004" w:rsidP="00AC7C9C">
      <w:pPr>
        <w:pStyle w:val="NASLOV123"/>
        <w:spacing w:after="0"/>
        <w:jc w:val="both"/>
        <w:outlineLvl w:val="0"/>
        <w:rPr>
          <w:b w:val="0"/>
          <w:bCs w:val="0"/>
          <w:lang w:val="sr-Latn-ME"/>
        </w:rPr>
      </w:pPr>
      <w:r w:rsidRPr="005E1004">
        <w:rPr>
          <w:b w:val="0"/>
          <w:bCs w:val="0"/>
          <w:lang w:val="sr-Latn-ME"/>
        </w:rPr>
        <w:t xml:space="preserve">Datum poslednje obnove dozvole: </w:t>
      </w:r>
      <w:r w:rsidR="00AC7C9C" w:rsidRPr="00AC7C9C">
        <w:rPr>
          <w:b w:val="0"/>
          <w:bCs w:val="0"/>
          <w:lang w:val="sr-Latn-ME"/>
        </w:rPr>
        <w:t>11.04.2024. godine</w:t>
      </w:r>
    </w:p>
    <w:p w14:paraId="08346898" w14:textId="77777777" w:rsidR="0061462A" w:rsidRDefault="0061462A" w:rsidP="0061462A">
      <w:pPr>
        <w:pStyle w:val="NASLOV123"/>
        <w:spacing w:before="0" w:after="0"/>
        <w:jc w:val="both"/>
        <w:outlineLvl w:val="0"/>
        <w:rPr>
          <w:b w:val="0"/>
          <w:bCs w:val="0"/>
          <w:lang w:val="sr-Latn-ME"/>
        </w:rPr>
      </w:pPr>
    </w:p>
    <w:p w14:paraId="32236F79" w14:textId="77777777" w:rsidR="00AC7C9C" w:rsidRPr="008675A3" w:rsidRDefault="00AC7C9C" w:rsidP="0061462A">
      <w:pPr>
        <w:pStyle w:val="NASLOV123"/>
        <w:spacing w:before="0" w:after="0"/>
        <w:jc w:val="both"/>
        <w:outlineLvl w:val="0"/>
        <w:rPr>
          <w:b w:val="0"/>
          <w:bCs w:val="0"/>
          <w:lang w:val="sr-Latn-ME"/>
        </w:rPr>
      </w:pPr>
    </w:p>
    <w:p w14:paraId="662C63CC" w14:textId="1245B4ED" w:rsidR="00C16A37" w:rsidRDefault="00C16A37" w:rsidP="0061462A">
      <w:pPr>
        <w:pStyle w:val="NASLOV123"/>
        <w:spacing w:before="0"/>
        <w:outlineLvl w:val="0"/>
        <w:rPr>
          <w:lang w:val="sr-Latn-ME"/>
        </w:rPr>
      </w:pPr>
      <w:r w:rsidRPr="008675A3">
        <w:rPr>
          <w:lang w:val="sr-Latn-ME"/>
        </w:rPr>
        <w:t>10.</w:t>
      </w:r>
      <w:r w:rsidR="00936834">
        <w:rPr>
          <w:lang w:val="sr-Latn-ME"/>
        </w:rPr>
        <w:tab/>
      </w:r>
      <w:r w:rsidRPr="008675A3">
        <w:rPr>
          <w:lang w:val="sr-Latn-ME"/>
        </w:rPr>
        <w:t xml:space="preserve"> </w:t>
      </w:r>
      <w:r w:rsidR="00936834">
        <w:rPr>
          <w:lang w:val="sr-Latn-ME"/>
        </w:rPr>
        <w:t xml:space="preserve"> </w:t>
      </w:r>
      <w:r w:rsidRPr="008675A3">
        <w:rPr>
          <w:lang w:val="sr-Latn-ME"/>
        </w:rPr>
        <w:t>DATUM REVIZIJE TEKSTA</w:t>
      </w:r>
    </w:p>
    <w:p w14:paraId="173A9AD4" w14:textId="43BF0FD7" w:rsidR="00AC7C9C" w:rsidRPr="00AC7C9C" w:rsidRDefault="00AC7C9C" w:rsidP="006D32DF">
      <w:pPr>
        <w:pStyle w:val="NASLOV123"/>
        <w:outlineLvl w:val="0"/>
        <w:rPr>
          <w:b w:val="0"/>
          <w:lang w:val="sr-Latn-ME"/>
        </w:rPr>
      </w:pPr>
      <w:r w:rsidRPr="00AC7C9C">
        <w:rPr>
          <w:b w:val="0"/>
          <w:lang w:val="sr-Latn-ME"/>
        </w:rPr>
        <w:t>April, 2024. godine</w:t>
      </w:r>
    </w:p>
    <w:p w14:paraId="4FFD74A1" w14:textId="20276A92" w:rsidR="00C16A37" w:rsidRPr="008675A3" w:rsidRDefault="00C16A37" w:rsidP="00923865">
      <w:pPr>
        <w:rPr>
          <w:lang w:val="sr-Latn-ME"/>
        </w:rPr>
      </w:pPr>
    </w:p>
    <w:sectPr w:rsidR="00C16A37" w:rsidRPr="008675A3" w:rsidSect="002A3B25">
      <w:footerReference w:type="default" r:id="rId11"/>
      <w:pgSz w:w="12240" w:h="15840"/>
      <w:pgMar w:top="993" w:right="1041" w:bottom="1440"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45A65" w14:textId="77777777" w:rsidR="007C5F7F" w:rsidRDefault="007C5F7F">
      <w:r>
        <w:separator/>
      </w:r>
    </w:p>
  </w:endnote>
  <w:endnote w:type="continuationSeparator" w:id="0">
    <w:p w14:paraId="50658715" w14:textId="77777777" w:rsidR="007C5F7F" w:rsidRDefault="007C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5" w:usb1="00000000" w:usb2="00000000" w:usb3="00000000" w:csb0="00000006"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6D86" w14:textId="10297145" w:rsidR="00C16A37" w:rsidRPr="008675A3" w:rsidRDefault="00C16A37" w:rsidP="003018B3">
    <w:pPr>
      <w:pStyle w:val="Footer"/>
      <w:tabs>
        <w:tab w:val="center" w:pos="4320"/>
        <w:tab w:val="left" w:pos="5310"/>
        <w:tab w:val="left" w:pos="5448"/>
      </w:tabs>
      <w:spacing w:before="360"/>
      <w:jc w:val="left"/>
      <w:rPr>
        <w:rFonts w:ascii="Times New Roman" w:hAnsi="Times New Roman"/>
        <w:sz w:val="22"/>
        <w:szCs w:val="22"/>
      </w:rPr>
    </w:pPr>
    <w:r w:rsidRPr="003018B3">
      <w:rPr>
        <w:rFonts w:ascii="Times New Roman" w:hAnsi="Times New Roman"/>
        <w:sz w:val="20"/>
        <w:szCs w:val="20"/>
      </w:rPr>
      <w:tab/>
    </w:r>
    <w:r w:rsidRPr="008675A3">
      <w:rPr>
        <w:rFonts w:ascii="Times New Roman" w:hAnsi="Times New Roman"/>
        <w:sz w:val="22"/>
        <w:szCs w:val="22"/>
      </w:rPr>
      <w:fldChar w:fldCharType="begin"/>
    </w:r>
    <w:r w:rsidRPr="008675A3">
      <w:rPr>
        <w:rFonts w:ascii="Times New Roman" w:hAnsi="Times New Roman"/>
        <w:sz w:val="22"/>
        <w:szCs w:val="22"/>
      </w:rPr>
      <w:instrText xml:space="preserve"> PAGE </w:instrText>
    </w:r>
    <w:r w:rsidRPr="008675A3">
      <w:rPr>
        <w:rFonts w:ascii="Times New Roman" w:hAnsi="Times New Roman"/>
        <w:sz w:val="22"/>
        <w:szCs w:val="22"/>
      </w:rPr>
      <w:fldChar w:fldCharType="separate"/>
    </w:r>
    <w:r w:rsidR="00B70351">
      <w:rPr>
        <w:rFonts w:ascii="Times New Roman" w:hAnsi="Times New Roman"/>
        <w:noProof/>
        <w:sz w:val="22"/>
        <w:szCs w:val="22"/>
      </w:rPr>
      <w:t>8</w:t>
    </w:r>
    <w:r w:rsidRPr="008675A3">
      <w:rPr>
        <w:rFonts w:ascii="Times New Roman" w:hAnsi="Times New Roman"/>
        <w:sz w:val="22"/>
        <w:szCs w:val="22"/>
      </w:rPr>
      <w:fldChar w:fldCharType="end"/>
    </w:r>
    <w:r w:rsidRPr="008675A3">
      <w:rPr>
        <w:rFonts w:ascii="Times New Roman" w:hAnsi="Times New Roman"/>
        <w:sz w:val="22"/>
        <w:szCs w:val="22"/>
      </w:rPr>
      <w:t xml:space="preserve"> </w:t>
    </w:r>
    <w:r w:rsidR="004F6C13" w:rsidRPr="008675A3">
      <w:rPr>
        <w:rFonts w:ascii="Times New Roman" w:hAnsi="Times New Roman"/>
        <w:sz w:val="22"/>
        <w:szCs w:val="22"/>
      </w:rPr>
      <w:t xml:space="preserve">/ </w:t>
    </w:r>
    <w:r w:rsidRPr="008675A3">
      <w:rPr>
        <w:rFonts w:ascii="Times New Roman" w:hAnsi="Times New Roman"/>
        <w:sz w:val="22"/>
        <w:szCs w:val="22"/>
      </w:rPr>
      <w:fldChar w:fldCharType="begin"/>
    </w:r>
    <w:r w:rsidRPr="008675A3">
      <w:rPr>
        <w:rFonts w:ascii="Times New Roman" w:hAnsi="Times New Roman"/>
        <w:sz w:val="22"/>
        <w:szCs w:val="22"/>
      </w:rPr>
      <w:instrText xml:space="preserve"> NUMPAGES  </w:instrText>
    </w:r>
    <w:r w:rsidRPr="008675A3">
      <w:rPr>
        <w:rFonts w:ascii="Times New Roman" w:hAnsi="Times New Roman"/>
        <w:sz w:val="22"/>
        <w:szCs w:val="22"/>
      </w:rPr>
      <w:fldChar w:fldCharType="separate"/>
    </w:r>
    <w:r w:rsidR="00B70351">
      <w:rPr>
        <w:rFonts w:ascii="Times New Roman" w:hAnsi="Times New Roman"/>
        <w:noProof/>
        <w:sz w:val="22"/>
        <w:szCs w:val="22"/>
      </w:rPr>
      <w:t>8</w:t>
    </w:r>
    <w:r w:rsidRPr="008675A3">
      <w:rPr>
        <w:rFonts w:ascii="Times New Roman" w:hAnsi="Times New Roman"/>
        <w:sz w:val="22"/>
        <w:szCs w:val="22"/>
      </w:rPr>
      <w:fldChar w:fldCharType="end"/>
    </w:r>
    <w:r w:rsidRPr="008675A3">
      <w:rPr>
        <w:rFonts w:ascii="Times New Roman" w:hAnsi="Times New Roman"/>
        <w:sz w:val="22"/>
        <w:szCs w:val="22"/>
      </w:rPr>
      <w:tab/>
    </w:r>
  </w:p>
  <w:p w14:paraId="491B96F4" w14:textId="77777777" w:rsidR="00C16A37" w:rsidRPr="00C536C2" w:rsidRDefault="00C16A37"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2BDCC" w14:textId="77777777" w:rsidR="007C5F7F" w:rsidRDefault="007C5F7F">
      <w:r>
        <w:separator/>
      </w:r>
    </w:p>
  </w:footnote>
  <w:footnote w:type="continuationSeparator" w:id="0">
    <w:p w14:paraId="6A481860" w14:textId="77777777" w:rsidR="007C5F7F" w:rsidRDefault="007C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iCs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CC3189F"/>
    <w:multiLevelType w:val="hybridMultilevel"/>
    <w:tmpl w:val="1C9CFE38"/>
    <w:lvl w:ilvl="0" w:tplc="D0828B5E">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7773F"/>
    <w:multiLevelType w:val="hybridMultilevel"/>
    <w:tmpl w:val="D9A42C92"/>
    <w:lvl w:ilvl="0" w:tplc="D0828B5E">
      <w:start w:val="5"/>
      <w:numFmt w:val="bullet"/>
      <w:lvlText w:val="-"/>
      <w:lvlJc w:val="left"/>
      <w:pPr>
        <w:ind w:left="644" w:hanging="360"/>
      </w:pPr>
      <w:rPr>
        <w:rFonts w:ascii="Times New Roman" w:eastAsia="Times New Roman" w:hAnsi="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287596F"/>
    <w:multiLevelType w:val="hybridMultilevel"/>
    <w:tmpl w:val="78EA324A"/>
    <w:lvl w:ilvl="0" w:tplc="D0828B5E">
      <w:start w:val="5"/>
      <w:numFmt w:val="bullet"/>
      <w:lvlText w:val="-"/>
      <w:lvlJc w:val="left"/>
      <w:pPr>
        <w:ind w:left="644" w:hanging="360"/>
      </w:pPr>
      <w:rPr>
        <w:rFonts w:ascii="Times New Roman" w:eastAsia="Times New Roman" w:hAnsi="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112F"/>
    <w:rsid w:val="00017801"/>
    <w:rsid w:val="00046B25"/>
    <w:rsid w:val="000572DC"/>
    <w:rsid w:val="0005798D"/>
    <w:rsid w:val="00064273"/>
    <w:rsid w:val="000667F3"/>
    <w:rsid w:val="00067B9D"/>
    <w:rsid w:val="00070E84"/>
    <w:rsid w:val="00071905"/>
    <w:rsid w:val="00083BE0"/>
    <w:rsid w:val="00095FB6"/>
    <w:rsid w:val="0009758B"/>
    <w:rsid w:val="000A0F4A"/>
    <w:rsid w:val="000A4366"/>
    <w:rsid w:val="000A623B"/>
    <w:rsid w:val="000B57B8"/>
    <w:rsid w:val="000C473E"/>
    <w:rsid w:val="000D022E"/>
    <w:rsid w:val="000D5631"/>
    <w:rsid w:val="000E75C0"/>
    <w:rsid w:val="000E7A0B"/>
    <w:rsid w:val="0011742D"/>
    <w:rsid w:val="00126336"/>
    <w:rsid w:val="00126C2B"/>
    <w:rsid w:val="001379F3"/>
    <w:rsid w:val="00141639"/>
    <w:rsid w:val="0014180A"/>
    <w:rsid w:val="0014723A"/>
    <w:rsid w:val="00165764"/>
    <w:rsid w:val="00173D18"/>
    <w:rsid w:val="00175772"/>
    <w:rsid w:val="00175A7E"/>
    <w:rsid w:val="00176D94"/>
    <w:rsid w:val="0018601D"/>
    <w:rsid w:val="00190F9B"/>
    <w:rsid w:val="001A242C"/>
    <w:rsid w:val="001B706A"/>
    <w:rsid w:val="001C180A"/>
    <w:rsid w:val="001C6F97"/>
    <w:rsid w:val="001D10C9"/>
    <w:rsid w:val="001E0A07"/>
    <w:rsid w:val="001E6145"/>
    <w:rsid w:val="001F2D4E"/>
    <w:rsid w:val="001F39B6"/>
    <w:rsid w:val="001F6E94"/>
    <w:rsid w:val="00210916"/>
    <w:rsid w:val="0022071B"/>
    <w:rsid w:val="0022218E"/>
    <w:rsid w:val="0022223A"/>
    <w:rsid w:val="002275CF"/>
    <w:rsid w:val="0024132F"/>
    <w:rsid w:val="00242DCD"/>
    <w:rsid w:val="00247C5C"/>
    <w:rsid w:val="00250983"/>
    <w:rsid w:val="00273BE0"/>
    <w:rsid w:val="0027754B"/>
    <w:rsid w:val="0028247D"/>
    <w:rsid w:val="002944A2"/>
    <w:rsid w:val="002947B8"/>
    <w:rsid w:val="00295AFC"/>
    <w:rsid w:val="00295FD3"/>
    <w:rsid w:val="002A3B25"/>
    <w:rsid w:val="002B6F36"/>
    <w:rsid w:val="002B6F6A"/>
    <w:rsid w:val="002C0FBF"/>
    <w:rsid w:val="002C7E35"/>
    <w:rsid w:val="002D5718"/>
    <w:rsid w:val="002E47AE"/>
    <w:rsid w:val="002F4248"/>
    <w:rsid w:val="002F5E2F"/>
    <w:rsid w:val="00301023"/>
    <w:rsid w:val="003018B3"/>
    <w:rsid w:val="00303784"/>
    <w:rsid w:val="00316FC0"/>
    <w:rsid w:val="00335DB0"/>
    <w:rsid w:val="00340054"/>
    <w:rsid w:val="003452C0"/>
    <w:rsid w:val="003459D3"/>
    <w:rsid w:val="00354756"/>
    <w:rsid w:val="003601B2"/>
    <w:rsid w:val="00375E25"/>
    <w:rsid w:val="00381821"/>
    <w:rsid w:val="00383195"/>
    <w:rsid w:val="00383940"/>
    <w:rsid w:val="00385AF8"/>
    <w:rsid w:val="003A2DF8"/>
    <w:rsid w:val="003A566C"/>
    <w:rsid w:val="003B2082"/>
    <w:rsid w:val="003B582A"/>
    <w:rsid w:val="003B66E6"/>
    <w:rsid w:val="003C18A4"/>
    <w:rsid w:val="003D08E3"/>
    <w:rsid w:val="003D59F3"/>
    <w:rsid w:val="003E3EC7"/>
    <w:rsid w:val="003E7A75"/>
    <w:rsid w:val="003F22AF"/>
    <w:rsid w:val="003F783C"/>
    <w:rsid w:val="00400C44"/>
    <w:rsid w:val="004123CD"/>
    <w:rsid w:val="004234ED"/>
    <w:rsid w:val="00427D41"/>
    <w:rsid w:val="00433195"/>
    <w:rsid w:val="00444E64"/>
    <w:rsid w:val="004464E5"/>
    <w:rsid w:val="004574E0"/>
    <w:rsid w:val="00462C33"/>
    <w:rsid w:val="004702D1"/>
    <w:rsid w:val="00492248"/>
    <w:rsid w:val="00494291"/>
    <w:rsid w:val="00497648"/>
    <w:rsid w:val="004A78FC"/>
    <w:rsid w:val="004B4D2D"/>
    <w:rsid w:val="004B5A11"/>
    <w:rsid w:val="004B7A50"/>
    <w:rsid w:val="004C0807"/>
    <w:rsid w:val="004D230F"/>
    <w:rsid w:val="004E3B45"/>
    <w:rsid w:val="004F6C13"/>
    <w:rsid w:val="00503974"/>
    <w:rsid w:val="0052230B"/>
    <w:rsid w:val="00525A8A"/>
    <w:rsid w:val="005276F0"/>
    <w:rsid w:val="00530909"/>
    <w:rsid w:val="00541E79"/>
    <w:rsid w:val="00542D91"/>
    <w:rsid w:val="00542ECB"/>
    <w:rsid w:val="00564BA6"/>
    <w:rsid w:val="0056550A"/>
    <w:rsid w:val="0057719C"/>
    <w:rsid w:val="005812F8"/>
    <w:rsid w:val="00590E36"/>
    <w:rsid w:val="005A4234"/>
    <w:rsid w:val="005B3388"/>
    <w:rsid w:val="005C3F73"/>
    <w:rsid w:val="005C7891"/>
    <w:rsid w:val="005D0C6D"/>
    <w:rsid w:val="005D3A76"/>
    <w:rsid w:val="005D642A"/>
    <w:rsid w:val="005E1004"/>
    <w:rsid w:val="005F3312"/>
    <w:rsid w:val="00601BF7"/>
    <w:rsid w:val="00602708"/>
    <w:rsid w:val="00603302"/>
    <w:rsid w:val="00604E4F"/>
    <w:rsid w:val="006054EE"/>
    <w:rsid w:val="00607167"/>
    <w:rsid w:val="006118B6"/>
    <w:rsid w:val="0061462A"/>
    <w:rsid w:val="00622A7F"/>
    <w:rsid w:val="006270C0"/>
    <w:rsid w:val="00630195"/>
    <w:rsid w:val="00633641"/>
    <w:rsid w:val="006559AF"/>
    <w:rsid w:val="00660734"/>
    <w:rsid w:val="00660ED5"/>
    <w:rsid w:val="00661569"/>
    <w:rsid w:val="00663B18"/>
    <w:rsid w:val="00665B19"/>
    <w:rsid w:val="0067080B"/>
    <w:rsid w:val="00673276"/>
    <w:rsid w:val="00684106"/>
    <w:rsid w:val="00691E4D"/>
    <w:rsid w:val="00692B15"/>
    <w:rsid w:val="00693874"/>
    <w:rsid w:val="00693F46"/>
    <w:rsid w:val="006A504F"/>
    <w:rsid w:val="006B18E8"/>
    <w:rsid w:val="006B200D"/>
    <w:rsid w:val="006B79D8"/>
    <w:rsid w:val="006C21F0"/>
    <w:rsid w:val="006D0100"/>
    <w:rsid w:val="006D32DF"/>
    <w:rsid w:val="006E0FE3"/>
    <w:rsid w:val="006E26E1"/>
    <w:rsid w:val="006F158F"/>
    <w:rsid w:val="006F3369"/>
    <w:rsid w:val="006F6600"/>
    <w:rsid w:val="00707DA8"/>
    <w:rsid w:val="00711EAC"/>
    <w:rsid w:val="00734C74"/>
    <w:rsid w:val="007403A0"/>
    <w:rsid w:val="007523D8"/>
    <w:rsid w:val="007524B0"/>
    <w:rsid w:val="00764648"/>
    <w:rsid w:val="007672F3"/>
    <w:rsid w:val="007923A9"/>
    <w:rsid w:val="007959CA"/>
    <w:rsid w:val="0079713D"/>
    <w:rsid w:val="007A2F55"/>
    <w:rsid w:val="007A5560"/>
    <w:rsid w:val="007B03FA"/>
    <w:rsid w:val="007B16C4"/>
    <w:rsid w:val="007B1BA1"/>
    <w:rsid w:val="007C2D7E"/>
    <w:rsid w:val="007C47A1"/>
    <w:rsid w:val="007C5F7F"/>
    <w:rsid w:val="007D17FD"/>
    <w:rsid w:val="007D2C52"/>
    <w:rsid w:val="007D48C5"/>
    <w:rsid w:val="007E06F0"/>
    <w:rsid w:val="00800735"/>
    <w:rsid w:val="00802DFC"/>
    <w:rsid w:val="00811824"/>
    <w:rsid w:val="008123AA"/>
    <w:rsid w:val="00814781"/>
    <w:rsid w:val="008150A4"/>
    <w:rsid w:val="00816B02"/>
    <w:rsid w:val="00820F05"/>
    <w:rsid w:val="00826861"/>
    <w:rsid w:val="00834DBB"/>
    <w:rsid w:val="0084157C"/>
    <w:rsid w:val="00842FFB"/>
    <w:rsid w:val="008559DD"/>
    <w:rsid w:val="0086351A"/>
    <w:rsid w:val="008675A3"/>
    <w:rsid w:val="00873DFC"/>
    <w:rsid w:val="00874B61"/>
    <w:rsid w:val="00875CAC"/>
    <w:rsid w:val="0088033F"/>
    <w:rsid w:val="00882419"/>
    <w:rsid w:val="008A1C77"/>
    <w:rsid w:val="008A48B7"/>
    <w:rsid w:val="008B1E41"/>
    <w:rsid w:val="008B3EB5"/>
    <w:rsid w:val="008C202E"/>
    <w:rsid w:val="008C5809"/>
    <w:rsid w:val="008D1A48"/>
    <w:rsid w:val="008D78C9"/>
    <w:rsid w:val="008E0FC9"/>
    <w:rsid w:val="008E46A6"/>
    <w:rsid w:val="008F4AA9"/>
    <w:rsid w:val="00906CE5"/>
    <w:rsid w:val="00913684"/>
    <w:rsid w:val="00923865"/>
    <w:rsid w:val="0093016E"/>
    <w:rsid w:val="00934B4D"/>
    <w:rsid w:val="00935EE2"/>
    <w:rsid w:val="00936834"/>
    <w:rsid w:val="0094259C"/>
    <w:rsid w:val="00946040"/>
    <w:rsid w:val="00955C75"/>
    <w:rsid w:val="009619B3"/>
    <w:rsid w:val="009677DF"/>
    <w:rsid w:val="00972F05"/>
    <w:rsid w:val="0098491D"/>
    <w:rsid w:val="00987604"/>
    <w:rsid w:val="00987677"/>
    <w:rsid w:val="009946F8"/>
    <w:rsid w:val="00996E6B"/>
    <w:rsid w:val="009A0DF5"/>
    <w:rsid w:val="009A1D64"/>
    <w:rsid w:val="009B1292"/>
    <w:rsid w:val="009B21F2"/>
    <w:rsid w:val="009B2430"/>
    <w:rsid w:val="009B338B"/>
    <w:rsid w:val="009B58AD"/>
    <w:rsid w:val="009B7935"/>
    <w:rsid w:val="009C7BA2"/>
    <w:rsid w:val="009D1161"/>
    <w:rsid w:val="009D667B"/>
    <w:rsid w:val="009E10E4"/>
    <w:rsid w:val="009F4449"/>
    <w:rsid w:val="009F6B64"/>
    <w:rsid w:val="00A02252"/>
    <w:rsid w:val="00A127F1"/>
    <w:rsid w:val="00A27130"/>
    <w:rsid w:val="00A41ACC"/>
    <w:rsid w:val="00A61E5F"/>
    <w:rsid w:val="00A65D7B"/>
    <w:rsid w:val="00A7147C"/>
    <w:rsid w:val="00A7660B"/>
    <w:rsid w:val="00A778B9"/>
    <w:rsid w:val="00A81B47"/>
    <w:rsid w:val="00A85F50"/>
    <w:rsid w:val="00A86897"/>
    <w:rsid w:val="00A95733"/>
    <w:rsid w:val="00AB5465"/>
    <w:rsid w:val="00AC4F2D"/>
    <w:rsid w:val="00AC7C9C"/>
    <w:rsid w:val="00AF4507"/>
    <w:rsid w:val="00B02E92"/>
    <w:rsid w:val="00B16116"/>
    <w:rsid w:val="00B20AFA"/>
    <w:rsid w:val="00B26FAC"/>
    <w:rsid w:val="00B31AA2"/>
    <w:rsid w:val="00B33656"/>
    <w:rsid w:val="00B33C72"/>
    <w:rsid w:val="00B41023"/>
    <w:rsid w:val="00B50A1B"/>
    <w:rsid w:val="00B70351"/>
    <w:rsid w:val="00B70E2D"/>
    <w:rsid w:val="00B74C0B"/>
    <w:rsid w:val="00B8035A"/>
    <w:rsid w:val="00B8400D"/>
    <w:rsid w:val="00B905D4"/>
    <w:rsid w:val="00B93A37"/>
    <w:rsid w:val="00BA1819"/>
    <w:rsid w:val="00BA5016"/>
    <w:rsid w:val="00BA5A22"/>
    <w:rsid w:val="00BA6769"/>
    <w:rsid w:val="00BB51BE"/>
    <w:rsid w:val="00BB55E5"/>
    <w:rsid w:val="00BD4F88"/>
    <w:rsid w:val="00BD725A"/>
    <w:rsid w:val="00BE7B8C"/>
    <w:rsid w:val="00BF1767"/>
    <w:rsid w:val="00BF194F"/>
    <w:rsid w:val="00BF3750"/>
    <w:rsid w:val="00C06187"/>
    <w:rsid w:val="00C06244"/>
    <w:rsid w:val="00C07FD9"/>
    <w:rsid w:val="00C11EF0"/>
    <w:rsid w:val="00C16A37"/>
    <w:rsid w:val="00C343E8"/>
    <w:rsid w:val="00C536C2"/>
    <w:rsid w:val="00C55F47"/>
    <w:rsid w:val="00C56E2E"/>
    <w:rsid w:val="00C618EE"/>
    <w:rsid w:val="00C64A31"/>
    <w:rsid w:val="00C708F1"/>
    <w:rsid w:val="00C75B3B"/>
    <w:rsid w:val="00C82E8B"/>
    <w:rsid w:val="00C86BBF"/>
    <w:rsid w:val="00C9270F"/>
    <w:rsid w:val="00CA78A2"/>
    <w:rsid w:val="00CB7CD3"/>
    <w:rsid w:val="00CC21FD"/>
    <w:rsid w:val="00CC4C88"/>
    <w:rsid w:val="00CD0277"/>
    <w:rsid w:val="00CD0B1F"/>
    <w:rsid w:val="00CD3F96"/>
    <w:rsid w:val="00CE09F3"/>
    <w:rsid w:val="00CE22D9"/>
    <w:rsid w:val="00CE57A2"/>
    <w:rsid w:val="00CE76DA"/>
    <w:rsid w:val="00D06ADF"/>
    <w:rsid w:val="00D07071"/>
    <w:rsid w:val="00D11E94"/>
    <w:rsid w:val="00D13293"/>
    <w:rsid w:val="00D20390"/>
    <w:rsid w:val="00D30389"/>
    <w:rsid w:val="00D32C3D"/>
    <w:rsid w:val="00D337F6"/>
    <w:rsid w:val="00D40802"/>
    <w:rsid w:val="00D52CDB"/>
    <w:rsid w:val="00D61710"/>
    <w:rsid w:val="00D638D1"/>
    <w:rsid w:val="00D6611E"/>
    <w:rsid w:val="00D80AED"/>
    <w:rsid w:val="00D85F37"/>
    <w:rsid w:val="00DA3F5E"/>
    <w:rsid w:val="00DB4534"/>
    <w:rsid w:val="00DB7AE7"/>
    <w:rsid w:val="00DC0A41"/>
    <w:rsid w:val="00DC1C80"/>
    <w:rsid w:val="00DC58D6"/>
    <w:rsid w:val="00DD0B13"/>
    <w:rsid w:val="00DD0CB5"/>
    <w:rsid w:val="00DD0D0C"/>
    <w:rsid w:val="00DD2A82"/>
    <w:rsid w:val="00DD6785"/>
    <w:rsid w:val="00DE51C7"/>
    <w:rsid w:val="00DE5799"/>
    <w:rsid w:val="00DF46E4"/>
    <w:rsid w:val="00DF784C"/>
    <w:rsid w:val="00E00041"/>
    <w:rsid w:val="00E04856"/>
    <w:rsid w:val="00E2065B"/>
    <w:rsid w:val="00E50CD3"/>
    <w:rsid w:val="00E56089"/>
    <w:rsid w:val="00E6542C"/>
    <w:rsid w:val="00E86379"/>
    <w:rsid w:val="00E87BE1"/>
    <w:rsid w:val="00EA020F"/>
    <w:rsid w:val="00EA1F85"/>
    <w:rsid w:val="00EB16F1"/>
    <w:rsid w:val="00EC386D"/>
    <w:rsid w:val="00EC4409"/>
    <w:rsid w:val="00ED0C25"/>
    <w:rsid w:val="00ED3EC9"/>
    <w:rsid w:val="00ED4585"/>
    <w:rsid w:val="00ED735F"/>
    <w:rsid w:val="00EE0790"/>
    <w:rsid w:val="00EF1081"/>
    <w:rsid w:val="00EF2BC8"/>
    <w:rsid w:val="00F25807"/>
    <w:rsid w:val="00F42610"/>
    <w:rsid w:val="00F44F94"/>
    <w:rsid w:val="00F53232"/>
    <w:rsid w:val="00F55258"/>
    <w:rsid w:val="00F5775F"/>
    <w:rsid w:val="00F628EB"/>
    <w:rsid w:val="00F63F24"/>
    <w:rsid w:val="00F64E53"/>
    <w:rsid w:val="00F65070"/>
    <w:rsid w:val="00F8029A"/>
    <w:rsid w:val="00F819D2"/>
    <w:rsid w:val="00F8563E"/>
    <w:rsid w:val="00FA1F73"/>
    <w:rsid w:val="00FA463F"/>
    <w:rsid w:val="00FB6E07"/>
    <w:rsid w:val="00FD4A33"/>
    <w:rsid w:val="00FE5DBC"/>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E1C34B"/>
  <w15:docId w15:val="{AC1F5A6B-1F7F-48B8-9C85-1423DA7F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369"/>
    <w:pPr>
      <w:tabs>
        <w:tab w:val="left" w:pos="284"/>
      </w:tabs>
      <w:jc w:val="both"/>
    </w:pPr>
    <w:rPr>
      <w:sz w:val="22"/>
      <w:szCs w:val="22"/>
    </w:rPr>
  </w:style>
  <w:style w:type="paragraph" w:styleId="Heading1">
    <w:name w:val="heading 1"/>
    <w:basedOn w:val="Normal"/>
    <w:next w:val="Normal"/>
    <w:link w:val="Heading1Char"/>
    <w:uiPriority w:val="99"/>
    <w:qFormat/>
    <w:rsid w:val="00175A7E"/>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75A7E"/>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175A7E"/>
    <w:pPr>
      <w:keepNext/>
      <w:ind w:right="265"/>
      <w:jc w:val="righ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035A"/>
    <w:rPr>
      <w:rFonts w:ascii="Cambria" w:hAnsi="Cambria" w:cs="Times New Roman"/>
      <w:b/>
      <w:kern w:val="32"/>
      <w:sz w:val="32"/>
    </w:rPr>
  </w:style>
  <w:style w:type="character" w:customStyle="1" w:styleId="Heading2Char">
    <w:name w:val="Heading 2 Char"/>
    <w:link w:val="Heading2"/>
    <w:uiPriority w:val="99"/>
    <w:semiHidden/>
    <w:locked/>
    <w:rsid w:val="00B8035A"/>
    <w:rPr>
      <w:rFonts w:ascii="Cambria" w:hAnsi="Cambria" w:cs="Times New Roman"/>
      <w:b/>
      <w:i/>
      <w:sz w:val="28"/>
    </w:rPr>
  </w:style>
  <w:style w:type="character" w:customStyle="1" w:styleId="Heading3Char">
    <w:name w:val="Heading 3 Char"/>
    <w:link w:val="Heading3"/>
    <w:uiPriority w:val="99"/>
    <w:semiHidden/>
    <w:locked/>
    <w:rsid w:val="00B8035A"/>
    <w:rPr>
      <w:rFonts w:ascii="Cambria" w:hAnsi="Cambria" w:cs="Times New Roman"/>
      <w:b/>
      <w:sz w:val="26"/>
    </w:rPr>
  </w:style>
  <w:style w:type="character" w:customStyle="1" w:styleId="Heading4Char">
    <w:name w:val="Heading 4 Char"/>
    <w:link w:val="Heading4"/>
    <w:uiPriority w:val="99"/>
    <w:semiHidden/>
    <w:locked/>
    <w:rsid w:val="00B8035A"/>
    <w:rPr>
      <w:rFonts w:ascii="Calibri" w:hAnsi="Calibri" w:cs="Times New Roman"/>
      <w:b/>
      <w:sz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Char Char1, Char,Char"/>
    <w:basedOn w:val="Normal"/>
    <w:link w:val="HeaderChar"/>
    <w:rsid w:val="00175A7E"/>
    <w:pPr>
      <w:tabs>
        <w:tab w:val="clear" w:pos="284"/>
        <w:tab w:val="center" w:pos="4536"/>
        <w:tab w:val="right" w:pos="9072"/>
      </w:tabs>
    </w:pPr>
    <w:rPr>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 Char1, Char Char"/>
    <w:link w:val="Header"/>
    <w:locked/>
    <w:rsid w:val="00B8035A"/>
    <w:rPr>
      <w:rFonts w:cs="Times New Roman"/>
      <w:sz w:val="24"/>
    </w:rPr>
  </w:style>
  <w:style w:type="paragraph" w:styleId="Footer">
    <w:name w:val="footer"/>
    <w:basedOn w:val="Normal"/>
    <w:link w:val="FooterChar"/>
    <w:uiPriority w:val="99"/>
    <w:rsid w:val="00175A7E"/>
    <w:pPr>
      <w:tabs>
        <w:tab w:val="clear" w:pos="284"/>
        <w:tab w:val="center" w:pos="4536"/>
        <w:tab w:val="right" w:pos="9072"/>
      </w:tabs>
    </w:pPr>
    <w:rPr>
      <w:rFonts w:ascii="Humanist777" w:hAnsi="Humanist777"/>
      <w:sz w:val="24"/>
      <w:szCs w:val="24"/>
    </w:rPr>
  </w:style>
  <w:style w:type="character" w:customStyle="1" w:styleId="FooterChar">
    <w:name w:val="Footer Char"/>
    <w:link w:val="Footer"/>
    <w:uiPriority w:val="99"/>
    <w:locked/>
    <w:rsid w:val="00C536C2"/>
    <w:rPr>
      <w:rFonts w:ascii="Humanist777" w:hAnsi="Humanist777" w:cs="Times New Roman"/>
      <w:sz w:val="24"/>
    </w:rPr>
  </w:style>
  <w:style w:type="character" w:styleId="PageNumber">
    <w:name w:val="page number"/>
    <w:uiPriority w:val="99"/>
    <w:rsid w:val="00175A7E"/>
    <w:rPr>
      <w:rFonts w:cs="Times New Roman"/>
    </w:rPr>
  </w:style>
  <w:style w:type="character" w:styleId="CommentReference">
    <w:name w:val="annotation reference"/>
    <w:uiPriority w:val="99"/>
    <w:semiHidden/>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B8035A"/>
    <w:rPr>
      <w:rFonts w:cs="Times New Roman"/>
      <w:sz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B8035A"/>
    <w:rPr>
      <w:rFonts w:cs="Times New Roman"/>
      <w:b/>
      <w:sz w:val="20"/>
    </w:rPr>
  </w:style>
  <w:style w:type="paragraph" w:styleId="BalloonText">
    <w:name w:val="Balloon Text"/>
    <w:basedOn w:val="Normal"/>
    <w:link w:val="BalloonTextChar"/>
    <w:uiPriority w:val="99"/>
    <w:semiHidden/>
    <w:rsid w:val="006F3369"/>
    <w:rPr>
      <w:sz w:val="16"/>
      <w:szCs w:val="2"/>
    </w:rPr>
  </w:style>
  <w:style w:type="character" w:customStyle="1" w:styleId="BalloonTextChar">
    <w:name w:val="Balloon Text Char"/>
    <w:link w:val="BalloonText"/>
    <w:uiPriority w:val="99"/>
    <w:semiHidden/>
    <w:locked/>
    <w:rsid w:val="006F3369"/>
    <w:rPr>
      <w:sz w:val="16"/>
      <w:szCs w:val="2"/>
    </w:rPr>
  </w:style>
  <w:style w:type="paragraph" w:customStyle="1" w:styleId="NASLOV123">
    <w:name w:val="NASLOV 123"/>
    <w:basedOn w:val="Normal"/>
    <w:uiPriority w:val="99"/>
    <w:rsid w:val="00923865"/>
    <w:pPr>
      <w:spacing w:before="200" w:after="200"/>
      <w:jc w:val="left"/>
    </w:pPr>
    <w:rPr>
      <w:b/>
      <w:bCs/>
    </w:rPr>
  </w:style>
  <w:style w:type="character" w:customStyle="1" w:styleId="CharChar7">
    <w:name w:val="Char Char7"/>
    <w:uiPriority w:val="99"/>
    <w:semiHidden/>
    <w:locked/>
    <w:rsid w:val="00DC58D6"/>
    <w:rPr>
      <w:rFonts w:ascii="Humanist777" w:hAnsi="Humanist777"/>
      <w:sz w:val="24"/>
      <w:lang w:val="en-US" w:eastAsia="en-US"/>
    </w:rPr>
  </w:style>
  <w:style w:type="paragraph" w:styleId="DocumentMap">
    <w:name w:val="Document Map"/>
    <w:basedOn w:val="Normal"/>
    <w:link w:val="DocumentMapChar"/>
    <w:uiPriority w:val="99"/>
    <w:semiHidden/>
    <w:rsid w:val="006D32DF"/>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165764"/>
    <w:rPr>
      <w:rFonts w:cs="Times New Roman"/>
      <w:sz w:val="2"/>
    </w:rPr>
  </w:style>
  <w:style w:type="paragraph" w:styleId="Revision">
    <w:name w:val="Revision"/>
    <w:hidden/>
    <w:uiPriority w:val="99"/>
    <w:semiHidden/>
    <w:rsid w:val="00EC44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08130">
      <w:bodyDiv w:val="1"/>
      <w:marLeft w:val="0"/>
      <w:marRight w:val="0"/>
      <w:marTop w:val="0"/>
      <w:marBottom w:val="0"/>
      <w:divBdr>
        <w:top w:val="none" w:sz="0" w:space="0" w:color="auto"/>
        <w:left w:val="none" w:sz="0" w:space="0" w:color="auto"/>
        <w:bottom w:val="none" w:sz="0" w:space="0" w:color="auto"/>
        <w:right w:val="none" w:sz="0" w:space="0" w:color="auto"/>
      </w:divBdr>
    </w:div>
    <w:div w:id="1391538378">
      <w:bodyDiv w:val="1"/>
      <w:marLeft w:val="0"/>
      <w:marRight w:val="0"/>
      <w:marTop w:val="0"/>
      <w:marBottom w:val="0"/>
      <w:divBdr>
        <w:top w:val="none" w:sz="0" w:space="0" w:color="auto"/>
        <w:left w:val="none" w:sz="0" w:space="0" w:color="auto"/>
        <w:bottom w:val="none" w:sz="0" w:space="0" w:color="auto"/>
        <w:right w:val="none" w:sz="0" w:space="0" w:color="auto"/>
      </w:divBdr>
    </w:div>
    <w:div w:id="1537427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3</cp:revision>
  <cp:lastPrinted>2019-02-20T07:37:00Z</cp:lastPrinted>
  <dcterms:created xsi:type="dcterms:W3CDTF">2024-04-11T08:22:00Z</dcterms:created>
  <dcterms:modified xsi:type="dcterms:W3CDTF">2024-04-11T09:54:00Z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2023-08-15T09:10:05Z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d8d1aa6e-47e6-4746-b781-59a357c7004f</vt:lpwstr>
  </property>
  <property fmtid="{D5CDD505-2E9C-101B-9397-08002B2CF9AE}" pid="8" name="MSIP_Label_80e91ba7-203e-4ac0-a045-4c37ad0b383b_ContentBits">
    <vt:lpwstr>1</vt:lpwstr>
  </property>
</Properties>
</file>