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F875D" w14:textId="2A0AB226" w:rsidR="00F91C7B" w:rsidRDefault="00F91C7B" w:rsidP="001A5518">
      <w:pPr>
        <w:rPr>
          <w:b/>
          <w:bCs/>
          <w:i/>
          <w:iCs/>
          <w:sz w:val="22"/>
          <w:szCs w:val="22"/>
          <w:u w:val="single"/>
        </w:rPr>
      </w:pPr>
    </w:p>
    <w:p w14:paraId="77611E6A" w14:textId="77777777" w:rsidR="00A92A26" w:rsidRPr="00F66F27" w:rsidRDefault="00A92A26" w:rsidP="001A5518">
      <w:pPr>
        <w:rPr>
          <w:b/>
          <w:bCs/>
          <w:i/>
          <w:iCs/>
          <w:sz w:val="22"/>
          <w:szCs w:val="22"/>
          <w:u w:val="single"/>
          <w:lang w:val="sr-Latn-RS"/>
        </w:rPr>
      </w:pPr>
      <w:bookmarkStart w:id="0" w:name="_GoBack"/>
    </w:p>
    <w:p w14:paraId="0D38CB30" w14:textId="77777777" w:rsidR="002510A5" w:rsidRPr="00F66F27" w:rsidRDefault="002510A5" w:rsidP="002510A5">
      <w:pPr>
        <w:jc w:val="center"/>
        <w:rPr>
          <w:b/>
          <w:bCs/>
          <w:iCs/>
          <w:sz w:val="22"/>
          <w:szCs w:val="22"/>
          <w:u w:val="single"/>
          <w:lang w:val="sr-Latn-RS"/>
        </w:rPr>
      </w:pPr>
      <w:r w:rsidRPr="00F66F27">
        <w:rPr>
          <w:b/>
          <w:bCs/>
          <w:iCs/>
          <w:sz w:val="22"/>
          <w:szCs w:val="22"/>
          <w:u w:val="single"/>
          <w:lang w:val="sr-Latn-RS"/>
        </w:rPr>
        <w:t>SAŽETAK KARAKTERISTIKA LIJEKA</w:t>
      </w:r>
    </w:p>
    <w:p w14:paraId="56D7A017" w14:textId="77777777" w:rsidR="002510A5" w:rsidRPr="00F66F27" w:rsidRDefault="002510A5" w:rsidP="002510A5">
      <w:pPr>
        <w:rPr>
          <w:b/>
          <w:bCs/>
          <w:i/>
          <w:iCs/>
          <w:sz w:val="22"/>
          <w:szCs w:val="22"/>
          <w:u w:val="single"/>
          <w:lang w:val="sr-Latn-RS"/>
        </w:rPr>
      </w:pPr>
    </w:p>
    <w:p w14:paraId="29258047" w14:textId="77777777" w:rsidR="003C17AB" w:rsidRPr="00F66F27" w:rsidRDefault="003C17AB" w:rsidP="00CA1FEB">
      <w:pPr>
        <w:rPr>
          <w:sz w:val="22"/>
          <w:szCs w:val="22"/>
          <w:lang w:val="sr-Latn-RS"/>
        </w:rPr>
      </w:pPr>
    </w:p>
    <w:p w14:paraId="060B386A" w14:textId="77777777" w:rsidR="00411B4B" w:rsidRPr="00F66F27" w:rsidRDefault="00411B4B" w:rsidP="004321FB">
      <w:pPr>
        <w:tabs>
          <w:tab w:val="left" w:pos="540"/>
          <w:tab w:val="left" w:pos="569"/>
        </w:tabs>
        <w:jc w:val="both"/>
        <w:rPr>
          <w:b/>
          <w:bCs/>
          <w:sz w:val="22"/>
          <w:szCs w:val="22"/>
          <w:lang w:val="sr-Latn-RS"/>
        </w:rPr>
      </w:pPr>
      <w:r w:rsidRPr="00F66F27">
        <w:rPr>
          <w:b/>
          <w:bCs/>
          <w:sz w:val="22"/>
          <w:szCs w:val="22"/>
          <w:lang w:val="sr-Latn-RS"/>
        </w:rPr>
        <w:t>1.</w:t>
      </w:r>
      <w:r w:rsidR="00F5167F" w:rsidRPr="00F66F27">
        <w:rPr>
          <w:b/>
          <w:bCs/>
          <w:sz w:val="22"/>
          <w:szCs w:val="22"/>
          <w:lang w:val="sr-Latn-RS"/>
        </w:rPr>
        <w:tab/>
      </w:r>
      <w:r w:rsidR="002846DB" w:rsidRPr="00F66F27">
        <w:rPr>
          <w:b/>
          <w:bCs/>
          <w:sz w:val="22"/>
          <w:szCs w:val="22"/>
          <w:lang w:val="sr-Latn-RS"/>
        </w:rPr>
        <w:t xml:space="preserve">NAZIV </w:t>
      </w:r>
      <w:r w:rsidRPr="00F66F27">
        <w:rPr>
          <w:b/>
          <w:bCs/>
          <w:sz w:val="22"/>
          <w:szCs w:val="22"/>
          <w:lang w:val="sr-Latn-RS"/>
        </w:rPr>
        <w:t>LIJEKA</w:t>
      </w:r>
    </w:p>
    <w:p w14:paraId="777FE237" w14:textId="77777777" w:rsidR="00EC2532" w:rsidRPr="00F66F27" w:rsidRDefault="00EC2532" w:rsidP="004321FB">
      <w:pPr>
        <w:jc w:val="both"/>
        <w:rPr>
          <w:sz w:val="22"/>
          <w:szCs w:val="22"/>
          <w:lang w:val="sr-Latn-RS"/>
        </w:rPr>
      </w:pPr>
    </w:p>
    <w:p w14:paraId="6C4B07B2" w14:textId="3DAD79F6" w:rsidR="00A047E8" w:rsidRPr="00F66F27" w:rsidRDefault="00A047E8" w:rsidP="004321FB">
      <w:pPr>
        <w:jc w:val="both"/>
        <w:rPr>
          <w:sz w:val="22"/>
          <w:szCs w:val="22"/>
          <w:lang w:val="sr-Latn-RS"/>
        </w:rPr>
      </w:pPr>
      <w:r w:rsidRPr="00F66F27">
        <w:rPr>
          <w:sz w:val="22"/>
          <w:szCs w:val="22"/>
          <w:lang w:val="sr-Latn-RS"/>
        </w:rPr>
        <w:t>Aloxi, 250 mikrograma/5 m</w:t>
      </w:r>
      <w:r w:rsidR="00F62272" w:rsidRPr="00F66F27">
        <w:rPr>
          <w:sz w:val="22"/>
          <w:szCs w:val="22"/>
          <w:lang w:val="sr-Latn-RS"/>
        </w:rPr>
        <w:t>l</w:t>
      </w:r>
      <w:r w:rsidRPr="00F66F27">
        <w:rPr>
          <w:sz w:val="22"/>
          <w:szCs w:val="22"/>
          <w:lang w:val="sr-Latn-RS"/>
        </w:rPr>
        <w:t>, rastvor za injekciju</w:t>
      </w:r>
    </w:p>
    <w:p w14:paraId="157335FF" w14:textId="77777777" w:rsidR="00A047E8" w:rsidRPr="00F66F27" w:rsidRDefault="00A047E8" w:rsidP="004321FB">
      <w:pPr>
        <w:jc w:val="both"/>
        <w:rPr>
          <w:sz w:val="22"/>
          <w:szCs w:val="22"/>
          <w:lang w:val="sr-Latn-RS"/>
        </w:rPr>
      </w:pPr>
    </w:p>
    <w:p w14:paraId="63A8602D" w14:textId="7D51B8A6" w:rsidR="006D20A5" w:rsidRPr="00F66F27" w:rsidRDefault="00A047E8" w:rsidP="004321FB">
      <w:pPr>
        <w:jc w:val="both"/>
        <w:rPr>
          <w:sz w:val="22"/>
          <w:szCs w:val="22"/>
          <w:lang w:val="sr-Latn-RS"/>
        </w:rPr>
      </w:pPr>
      <w:r w:rsidRPr="00F66F27">
        <w:rPr>
          <w:sz w:val="22"/>
          <w:szCs w:val="22"/>
          <w:lang w:val="sr-Latn-RS"/>
        </w:rPr>
        <w:t>INN: palonosetron</w:t>
      </w:r>
    </w:p>
    <w:p w14:paraId="4D7E8766" w14:textId="6C9C50BA" w:rsidR="00530BD7" w:rsidRPr="00F66F27" w:rsidRDefault="00530BD7" w:rsidP="004321FB">
      <w:pPr>
        <w:jc w:val="both"/>
        <w:rPr>
          <w:bCs/>
          <w:sz w:val="22"/>
          <w:szCs w:val="22"/>
          <w:lang w:val="sr-Latn-RS"/>
        </w:rPr>
      </w:pPr>
    </w:p>
    <w:p w14:paraId="43D1EC2D" w14:textId="77777777" w:rsidR="00F62272" w:rsidRPr="00F66F27" w:rsidRDefault="00F62272" w:rsidP="004321FB">
      <w:pPr>
        <w:jc w:val="both"/>
        <w:rPr>
          <w:bCs/>
          <w:sz w:val="22"/>
          <w:szCs w:val="22"/>
          <w:lang w:val="sr-Latn-RS"/>
        </w:rPr>
      </w:pPr>
    </w:p>
    <w:p w14:paraId="0A1D20DC" w14:textId="77777777" w:rsidR="00411B4B" w:rsidRPr="00F66F27" w:rsidRDefault="00411B4B" w:rsidP="004321FB">
      <w:pPr>
        <w:tabs>
          <w:tab w:val="left" w:pos="540"/>
          <w:tab w:val="left" w:pos="569"/>
        </w:tabs>
        <w:jc w:val="both"/>
        <w:rPr>
          <w:b/>
          <w:bCs/>
          <w:sz w:val="22"/>
          <w:szCs w:val="22"/>
          <w:lang w:val="sr-Latn-RS"/>
        </w:rPr>
      </w:pPr>
      <w:r w:rsidRPr="00F66F27">
        <w:rPr>
          <w:b/>
          <w:bCs/>
          <w:sz w:val="22"/>
          <w:szCs w:val="22"/>
          <w:lang w:val="sr-Latn-RS"/>
        </w:rPr>
        <w:t xml:space="preserve">2. </w:t>
      </w:r>
      <w:r w:rsidR="00F5167F" w:rsidRPr="00F66F27">
        <w:rPr>
          <w:b/>
          <w:bCs/>
          <w:sz w:val="22"/>
          <w:szCs w:val="22"/>
          <w:lang w:val="sr-Latn-RS"/>
        </w:rPr>
        <w:tab/>
      </w:r>
      <w:r w:rsidRPr="00F66F27">
        <w:rPr>
          <w:b/>
          <w:bCs/>
          <w:sz w:val="22"/>
          <w:szCs w:val="22"/>
          <w:lang w:val="sr-Latn-RS"/>
        </w:rPr>
        <w:t>KVALITATIVNI I KVANTITATIVNI SASTAV</w:t>
      </w:r>
    </w:p>
    <w:p w14:paraId="1A82525E" w14:textId="77777777" w:rsidR="005A0B2E" w:rsidRPr="00F66F27" w:rsidRDefault="005A0B2E" w:rsidP="004321FB">
      <w:pPr>
        <w:jc w:val="both"/>
        <w:rPr>
          <w:sz w:val="22"/>
          <w:szCs w:val="22"/>
          <w:lang w:val="sr-Latn-RS"/>
        </w:rPr>
      </w:pPr>
    </w:p>
    <w:p w14:paraId="35CBC591" w14:textId="10CD18A1" w:rsidR="00A047E8" w:rsidRPr="00F66F27" w:rsidRDefault="00A047E8" w:rsidP="004321FB">
      <w:pPr>
        <w:jc w:val="both"/>
        <w:rPr>
          <w:sz w:val="22"/>
          <w:szCs w:val="22"/>
          <w:lang w:val="sr-Latn-RS"/>
        </w:rPr>
      </w:pPr>
      <w:r w:rsidRPr="00F66F27">
        <w:rPr>
          <w:sz w:val="22"/>
          <w:szCs w:val="22"/>
          <w:lang w:val="sr-Latn-RS"/>
        </w:rPr>
        <w:t>1 m</w:t>
      </w:r>
      <w:r w:rsidR="00F62272" w:rsidRPr="00F66F27">
        <w:rPr>
          <w:sz w:val="22"/>
          <w:szCs w:val="22"/>
          <w:lang w:val="sr-Latn-RS"/>
        </w:rPr>
        <w:t>l</w:t>
      </w:r>
      <w:r w:rsidRPr="00F66F27">
        <w:rPr>
          <w:sz w:val="22"/>
          <w:szCs w:val="22"/>
          <w:lang w:val="sr-Latn-RS"/>
        </w:rPr>
        <w:t xml:space="preserve"> rastvora za injekciju sadrži 50 mikrograma palonosetron hidrohlorida.</w:t>
      </w:r>
    </w:p>
    <w:p w14:paraId="65671AF3" w14:textId="4486EA21" w:rsidR="00A047E8" w:rsidRPr="00F66F27" w:rsidRDefault="00A047E8" w:rsidP="004321FB">
      <w:pPr>
        <w:jc w:val="both"/>
        <w:rPr>
          <w:sz w:val="22"/>
          <w:szCs w:val="22"/>
          <w:lang w:val="sr-Latn-RS"/>
        </w:rPr>
      </w:pPr>
      <w:r w:rsidRPr="00F66F27">
        <w:rPr>
          <w:sz w:val="22"/>
          <w:szCs w:val="22"/>
          <w:lang w:val="sr-Latn-RS"/>
        </w:rPr>
        <w:t>1 bočica sa 5m</w:t>
      </w:r>
      <w:r w:rsidR="00F62272" w:rsidRPr="00F66F27">
        <w:rPr>
          <w:sz w:val="22"/>
          <w:szCs w:val="22"/>
          <w:lang w:val="sr-Latn-RS"/>
        </w:rPr>
        <w:t>l</w:t>
      </w:r>
      <w:r w:rsidRPr="00F66F27">
        <w:rPr>
          <w:sz w:val="22"/>
          <w:szCs w:val="22"/>
          <w:lang w:val="sr-Latn-RS"/>
        </w:rPr>
        <w:t xml:space="preserve"> rastvora za injekciju sadrži 250 mikrograma palonosetron hidrohlorida.</w:t>
      </w:r>
    </w:p>
    <w:p w14:paraId="456B8773" w14:textId="4D3975E5" w:rsidR="00C37FD7" w:rsidRPr="00F66F27" w:rsidRDefault="005727C2" w:rsidP="004321FB">
      <w:pPr>
        <w:jc w:val="both"/>
        <w:rPr>
          <w:sz w:val="22"/>
          <w:szCs w:val="22"/>
          <w:lang w:val="sr-Latn-RS"/>
        </w:rPr>
      </w:pPr>
      <w:r w:rsidRPr="00F66F27">
        <w:rPr>
          <w:sz w:val="22"/>
          <w:szCs w:val="22"/>
          <w:lang w:val="sr-Latn-RS"/>
        </w:rPr>
        <w:t>Za spisak svih ekscipijenasa, pogledati dio 6.1.</w:t>
      </w:r>
    </w:p>
    <w:p w14:paraId="306CB7F2" w14:textId="1FE8495E" w:rsidR="005727C2" w:rsidRPr="00F66F27" w:rsidRDefault="005727C2" w:rsidP="004321FB">
      <w:pPr>
        <w:jc w:val="both"/>
        <w:rPr>
          <w:sz w:val="22"/>
          <w:szCs w:val="22"/>
          <w:lang w:val="sr-Latn-RS"/>
        </w:rPr>
      </w:pPr>
    </w:p>
    <w:p w14:paraId="2D536B2C" w14:textId="77777777" w:rsidR="00F62272" w:rsidRPr="00F66F27" w:rsidRDefault="00F62272" w:rsidP="004321FB">
      <w:pPr>
        <w:jc w:val="both"/>
        <w:rPr>
          <w:sz w:val="22"/>
          <w:szCs w:val="22"/>
          <w:lang w:val="sr-Latn-RS"/>
        </w:rPr>
      </w:pPr>
    </w:p>
    <w:p w14:paraId="4938244A" w14:textId="77777777" w:rsidR="00411B4B" w:rsidRPr="00F66F27" w:rsidRDefault="00411B4B" w:rsidP="004321FB">
      <w:pPr>
        <w:tabs>
          <w:tab w:val="left" w:pos="540"/>
          <w:tab w:val="left" w:pos="569"/>
        </w:tabs>
        <w:jc w:val="both"/>
        <w:rPr>
          <w:b/>
          <w:bCs/>
          <w:sz w:val="22"/>
          <w:szCs w:val="22"/>
          <w:lang w:val="sr-Latn-RS"/>
        </w:rPr>
      </w:pPr>
      <w:r w:rsidRPr="00F66F27">
        <w:rPr>
          <w:b/>
          <w:bCs/>
          <w:sz w:val="22"/>
          <w:szCs w:val="22"/>
          <w:lang w:val="sr-Latn-RS"/>
        </w:rPr>
        <w:t xml:space="preserve">3. </w:t>
      </w:r>
      <w:r w:rsidR="00F5167F" w:rsidRPr="00F66F27">
        <w:rPr>
          <w:b/>
          <w:bCs/>
          <w:sz w:val="22"/>
          <w:szCs w:val="22"/>
          <w:lang w:val="sr-Latn-RS"/>
        </w:rPr>
        <w:tab/>
      </w:r>
      <w:r w:rsidRPr="00F66F27">
        <w:rPr>
          <w:b/>
          <w:bCs/>
          <w:sz w:val="22"/>
          <w:szCs w:val="22"/>
          <w:lang w:val="sr-Latn-RS"/>
        </w:rPr>
        <w:t>FARMACEUTSKI OBLIK</w:t>
      </w:r>
      <w:r w:rsidR="009F2D23" w:rsidRPr="00F66F27">
        <w:rPr>
          <w:b/>
          <w:bCs/>
          <w:sz w:val="22"/>
          <w:szCs w:val="22"/>
          <w:lang w:val="sr-Latn-RS"/>
        </w:rPr>
        <w:t xml:space="preserve"> </w:t>
      </w:r>
    </w:p>
    <w:p w14:paraId="677897D2" w14:textId="77777777" w:rsidR="00A047E8" w:rsidRPr="00F66F27" w:rsidRDefault="00A047E8" w:rsidP="004321FB">
      <w:pPr>
        <w:jc w:val="both"/>
        <w:rPr>
          <w:bCs/>
          <w:sz w:val="22"/>
          <w:szCs w:val="22"/>
          <w:lang w:val="sr-Latn-RS"/>
        </w:rPr>
      </w:pPr>
    </w:p>
    <w:p w14:paraId="79F91FB2" w14:textId="2AC1CA3F" w:rsidR="00A047E8" w:rsidRPr="00F66F27" w:rsidRDefault="00A047E8" w:rsidP="004321FB">
      <w:pPr>
        <w:jc w:val="both"/>
        <w:rPr>
          <w:bCs/>
          <w:sz w:val="22"/>
          <w:szCs w:val="22"/>
          <w:lang w:val="sr-Latn-RS"/>
        </w:rPr>
      </w:pPr>
      <w:r w:rsidRPr="00F66F27">
        <w:rPr>
          <w:bCs/>
          <w:sz w:val="22"/>
          <w:szCs w:val="22"/>
          <w:lang w:val="sr-Latn-RS"/>
        </w:rPr>
        <w:t>Rastvor za injekciju.</w:t>
      </w:r>
    </w:p>
    <w:p w14:paraId="6E7DF806" w14:textId="2B5334D3" w:rsidR="00A047E8" w:rsidRPr="00F66F27" w:rsidRDefault="00A047E8" w:rsidP="004321FB">
      <w:pPr>
        <w:jc w:val="both"/>
        <w:rPr>
          <w:bCs/>
          <w:sz w:val="22"/>
          <w:szCs w:val="22"/>
          <w:lang w:val="sr-Latn-RS"/>
        </w:rPr>
      </w:pPr>
      <w:r w:rsidRPr="00F66F27">
        <w:rPr>
          <w:bCs/>
          <w:sz w:val="22"/>
          <w:szCs w:val="22"/>
          <w:lang w:val="sr-Latn-RS"/>
        </w:rPr>
        <w:t>Bistar,</w:t>
      </w:r>
      <w:r w:rsidR="00D960C0" w:rsidRPr="00F66F27">
        <w:rPr>
          <w:bCs/>
          <w:sz w:val="22"/>
          <w:szCs w:val="22"/>
          <w:lang w:val="sr-Latn-RS"/>
        </w:rPr>
        <w:t xml:space="preserve"> </w:t>
      </w:r>
      <w:r w:rsidRPr="00F66F27">
        <w:rPr>
          <w:bCs/>
          <w:sz w:val="22"/>
          <w:szCs w:val="22"/>
          <w:lang w:val="sr-Latn-RS"/>
        </w:rPr>
        <w:t xml:space="preserve">bezbojan rastvor bez vidljivih mehaničkih onečišćenja. </w:t>
      </w:r>
    </w:p>
    <w:p w14:paraId="4A571392" w14:textId="0CB0BC24" w:rsidR="00EC2532" w:rsidRPr="00F66F27" w:rsidRDefault="00EC2532" w:rsidP="004321FB">
      <w:pPr>
        <w:jc w:val="both"/>
        <w:rPr>
          <w:bCs/>
          <w:sz w:val="22"/>
          <w:szCs w:val="22"/>
          <w:lang w:val="sr-Latn-RS"/>
        </w:rPr>
      </w:pPr>
    </w:p>
    <w:p w14:paraId="732E5CC2" w14:textId="77777777" w:rsidR="00F62272" w:rsidRPr="00F66F27" w:rsidRDefault="00F62272" w:rsidP="004321FB">
      <w:pPr>
        <w:jc w:val="both"/>
        <w:rPr>
          <w:bCs/>
          <w:sz w:val="22"/>
          <w:szCs w:val="22"/>
          <w:lang w:val="sr-Latn-RS"/>
        </w:rPr>
      </w:pPr>
    </w:p>
    <w:p w14:paraId="0996A8A0" w14:textId="77777777" w:rsidR="00411B4B" w:rsidRPr="00F66F27" w:rsidRDefault="00411B4B" w:rsidP="00567DB0">
      <w:pPr>
        <w:tabs>
          <w:tab w:val="left" w:pos="540"/>
          <w:tab w:val="left" w:pos="569"/>
        </w:tabs>
        <w:jc w:val="both"/>
        <w:rPr>
          <w:b/>
          <w:bCs/>
          <w:sz w:val="22"/>
          <w:szCs w:val="22"/>
          <w:lang w:val="sr-Latn-RS"/>
        </w:rPr>
      </w:pPr>
      <w:r w:rsidRPr="00F66F27">
        <w:rPr>
          <w:b/>
          <w:bCs/>
          <w:sz w:val="22"/>
          <w:szCs w:val="22"/>
          <w:lang w:val="sr-Latn-RS"/>
        </w:rPr>
        <w:t xml:space="preserve">4. </w:t>
      </w:r>
      <w:r w:rsidR="00480FB1" w:rsidRPr="00F66F27">
        <w:rPr>
          <w:b/>
          <w:bCs/>
          <w:sz w:val="22"/>
          <w:szCs w:val="22"/>
          <w:lang w:val="sr-Latn-RS"/>
        </w:rPr>
        <w:tab/>
      </w:r>
      <w:r w:rsidRPr="00F66F27">
        <w:rPr>
          <w:b/>
          <w:bCs/>
          <w:sz w:val="22"/>
          <w:szCs w:val="22"/>
          <w:lang w:val="sr-Latn-RS"/>
        </w:rPr>
        <w:t>KLINIČKI PODACI</w:t>
      </w:r>
    </w:p>
    <w:p w14:paraId="73CFBAC5" w14:textId="77777777" w:rsidR="00CD6F02" w:rsidRPr="00F66F27" w:rsidRDefault="00CD6F02" w:rsidP="00567DB0">
      <w:pPr>
        <w:tabs>
          <w:tab w:val="left" w:pos="540"/>
          <w:tab w:val="left" w:pos="569"/>
        </w:tabs>
        <w:jc w:val="both"/>
        <w:rPr>
          <w:bCs/>
          <w:sz w:val="22"/>
          <w:szCs w:val="22"/>
          <w:lang w:val="sr-Latn-RS"/>
        </w:rPr>
      </w:pPr>
    </w:p>
    <w:p w14:paraId="033CFDB3" w14:textId="7613B4DF" w:rsidR="00411B4B" w:rsidRPr="00F66F27" w:rsidRDefault="00411B4B" w:rsidP="00567DB0">
      <w:pPr>
        <w:tabs>
          <w:tab w:val="left" w:pos="540"/>
          <w:tab w:val="left" w:pos="569"/>
        </w:tabs>
        <w:jc w:val="both"/>
        <w:rPr>
          <w:b/>
          <w:bCs/>
          <w:sz w:val="22"/>
          <w:szCs w:val="22"/>
          <w:lang w:val="sr-Latn-RS"/>
        </w:rPr>
      </w:pPr>
      <w:r w:rsidRPr="00F66F27">
        <w:rPr>
          <w:b/>
          <w:bCs/>
          <w:sz w:val="22"/>
          <w:szCs w:val="22"/>
          <w:lang w:val="sr-Latn-RS"/>
        </w:rPr>
        <w:t xml:space="preserve">4.1. </w:t>
      </w:r>
      <w:r w:rsidR="00480FB1" w:rsidRPr="00F66F27">
        <w:rPr>
          <w:b/>
          <w:bCs/>
          <w:sz w:val="22"/>
          <w:szCs w:val="22"/>
          <w:lang w:val="sr-Latn-RS"/>
        </w:rPr>
        <w:tab/>
      </w:r>
      <w:r w:rsidRPr="00F66F27">
        <w:rPr>
          <w:b/>
          <w:bCs/>
          <w:sz w:val="22"/>
          <w:szCs w:val="22"/>
          <w:lang w:val="sr-Latn-RS"/>
        </w:rPr>
        <w:t>Terapijske indikacije</w:t>
      </w:r>
    </w:p>
    <w:p w14:paraId="6D0ED91A" w14:textId="6DABB1A7" w:rsidR="00A047E8" w:rsidRPr="00F66F27" w:rsidRDefault="00A047E8" w:rsidP="00567DB0">
      <w:pPr>
        <w:tabs>
          <w:tab w:val="left" w:pos="540"/>
          <w:tab w:val="left" w:pos="569"/>
        </w:tabs>
        <w:jc w:val="both"/>
        <w:rPr>
          <w:b/>
          <w:bCs/>
          <w:sz w:val="22"/>
          <w:szCs w:val="22"/>
          <w:lang w:val="sr-Latn-RS"/>
        </w:rPr>
      </w:pPr>
    </w:p>
    <w:p w14:paraId="4A167A66" w14:textId="4B26CE11" w:rsidR="00A047E8" w:rsidRPr="00F66F27" w:rsidRDefault="00567DB0" w:rsidP="00567DB0">
      <w:pPr>
        <w:tabs>
          <w:tab w:val="left" w:pos="540"/>
          <w:tab w:val="left" w:pos="569"/>
        </w:tabs>
        <w:jc w:val="both"/>
        <w:rPr>
          <w:bCs/>
          <w:sz w:val="22"/>
          <w:szCs w:val="22"/>
          <w:lang w:val="sr-Latn-RS"/>
        </w:rPr>
      </w:pPr>
      <w:r w:rsidRPr="00F66F27">
        <w:rPr>
          <w:bCs/>
          <w:sz w:val="22"/>
          <w:szCs w:val="22"/>
          <w:lang w:val="sr-Latn-RS"/>
        </w:rPr>
        <w:t xml:space="preserve">Lijek </w:t>
      </w:r>
      <w:r w:rsidR="00A047E8" w:rsidRPr="00F66F27">
        <w:rPr>
          <w:bCs/>
          <w:sz w:val="22"/>
          <w:szCs w:val="22"/>
          <w:lang w:val="sr-Latn-RS"/>
        </w:rPr>
        <w:t>Aloxi je indikovan za primjenu kod odraslih osoba za:</w:t>
      </w:r>
    </w:p>
    <w:p w14:paraId="5B6282AE" w14:textId="77777777" w:rsidR="00A047E8" w:rsidRPr="00F66F27" w:rsidRDefault="00A047E8" w:rsidP="00567DB0">
      <w:pPr>
        <w:numPr>
          <w:ilvl w:val="0"/>
          <w:numId w:val="12"/>
        </w:numPr>
        <w:tabs>
          <w:tab w:val="left" w:pos="540"/>
          <w:tab w:val="left" w:pos="569"/>
        </w:tabs>
        <w:jc w:val="both"/>
        <w:rPr>
          <w:bCs/>
          <w:sz w:val="22"/>
          <w:szCs w:val="22"/>
          <w:lang w:val="sr-Latn-RS"/>
        </w:rPr>
      </w:pPr>
      <w:r w:rsidRPr="00F66F27">
        <w:rPr>
          <w:bCs/>
          <w:sz w:val="22"/>
          <w:szCs w:val="22"/>
          <w:lang w:val="sr-Latn-RS"/>
        </w:rPr>
        <w:t>prevenciju akutne mučnine i povraćanja usljed primjene visoko emetogene hemioterapije malignih neoplazmi,</w:t>
      </w:r>
    </w:p>
    <w:p w14:paraId="6D3C2F11" w14:textId="77777777" w:rsidR="00A047E8" w:rsidRPr="00F66F27" w:rsidRDefault="00A047E8" w:rsidP="00567DB0">
      <w:pPr>
        <w:numPr>
          <w:ilvl w:val="0"/>
          <w:numId w:val="12"/>
        </w:numPr>
        <w:tabs>
          <w:tab w:val="left" w:pos="540"/>
          <w:tab w:val="left" w:pos="569"/>
        </w:tabs>
        <w:jc w:val="both"/>
        <w:rPr>
          <w:bCs/>
          <w:sz w:val="22"/>
          <w:szCs w:val="22"/>
          <w:lang w:val="sr-Latn-RS"/>
        </w:rPr>
      </w:pPr>
      <w:r w:rsidRPr="00F66F27">
        <w:rPr>
          <w:bCs/>
          <w:sz w:val="22"/>
          <w:szCs w:val="22"/>
          <w:lang w:val="sr-Latn-RS"/>
        </w:rPr>
        <w:t>prevenciju mučnine i povraćanja usljed primjene umjereno emetogene hemioterapije malignih neoplazmi.</w:t>
      </w:r>
    </w:p>
    <w:p w14:paraId="38E6818F" w14:textId="77777777" w:rsidR="00A047E8" w:rsidRPr="00F66F27" w:rsidRDefault="00A047E8" w:rsidP="00567DB0">
      <w:pPr>
        <w:tabs>
          <w:tab w:val="left" w:pos="540"/>
          <w:tab w:val="left" w:pos="569"/>
        </w:tabs>
        <w:ind w:left="130"/>
        <w:jc w:val="both"/>
        <w:rPr>
          <w:bCs/>
          <w:sz w:val="22"/>
          <w:szCs w:val="22"/>
          <w:lang w:val="sr-Latn-RS"/>
        </w:rPr>
      </w:pPr>
    </w:p>
    <w:p w14:paraId="7E051174" w14:textId="59A5FBE2" w:rsidR="00A047E8" w:rsidRPr="00F66F27" w:rsidRDefault="00567DB0" w:rsidP="00567DB0">
      <w:pPr>
        <w:tabs>
          <w:tab w:val="left" w:pos="540"/>
          <w:tab w:val="left" w:pos="569"/>
        </w:tabs>
        <w:jc w:val="both"/>
        <w:rPr>
          <w:bCs/>
          <w:sz w:val="22"/>
          <w:szCs w:val="22"/>
          <w:lang w:val="sr-Latn-RS"/>
        </w:rPr>
      </w:pPr>
      <w:r w:rsidRPr="00F66F27">
        <w:rPr>
          <w:bCs/>
          <w:sz w:val="22"/>
          <w:szCs w:val="22"/>
          <w:lang w:val="sr-Latn-RS"/>
        </w:rPr>
        <w:t xml:space="preserve">Lijek </w:t>
      </w:r>
      <w:r w:rsidR="00A047E8" w:rsidRPr="00F66F27">
        <w:rPr>
          <w:bCs/>
          <w:sz w:val="22"/>
          <w:szCs w:val="22"/>
          <w:lang w:val="sr-Latn-RS"/>
        </w:rPr>
        <w:t>Aloxi je indikovan za primjenu kod pedijatrijskih pacijenata uzrasta od 1 mjeseca i starijih za:</w:t>
      </w:r>
    </w:p>
    <w:p w14:paraId="6ECB5391" w14:textId="19E118A1" w:rsidR="00A047E8" w:rsidRPr="00F66F27" w:rsidRDefault="00A047E8" w:rsidP="00567DB0">
      <w:pPr>
        <w:numPr>
          <w:ilvl w:val="0"/>
          <w:numId w:val="12"/>
        </w:numPr>
        <w:tabs>
          <w:tab w:val="left" w:pos="540"/>
          <w:tab w:val="left" w:pos="569"/>
        </w:tabs>
        <w:jc w:val="both"/>
        <w:rPr>
          <w:bCs/>
          <w:sz w:val="22"/>
          <w:szCs w:val="22"/>
          <w:lang w:val="sr-Latn-RS"/>
        </w:rPr>
      </w:pPr>
      <w:r w:rsidRPr="00F66F27">
        <w:rPr>
          <w:bCs/>
          <w:sz w:val="22"/>
          <w:szCs w:val="22"/>
          <w:lang w:val="sr-Latn-RS"/>
        </w:rPr>
        <w:t>prevenciju akutne mučnine i povraćanja usljed primjene visoko emetogene hemioterapije malignih neoplazmi i prevenciju mučnine i povraćanja usljed primjene umjereno emetogene hemioterapije malignih neoplazmi.</w:t>
      </w:r>
    </w:p>
    <w:p w14:paraId="55DD5F51" w14:textId="77777777" w:rsidR="00411B4B" w:rsidRPr="00F66F27" w:rsidRDefault="00411B4B" w:rsidP="00567DB0">
      <w:pPr>
        <w:tabs>
          <w:tab w:val="left" w:pos="540"/>
          <w:tab w:val="left" w:pos="569"/>
        </w:tabs>
        <w:jc w:val="both"/>
        <w:rPr>
          <w:bCs/>
          <w:sz w:val="22"/>
          <w:szCs w:val="22"/>
          <w:lang w:val="sr-Latn-RS"/>
        </w:rPr>
      </w:pPr>
    </w:p>
    <w:p w14:paraId="289E9579" w14:textId="77777777" w:rsidR="00411B4B" w:rsidRPr="00F66F27" w:rsidRDefault="00411B4B" w:rsidP="00567DB0">
      <w:pPr>
        <w:tabs>
          <w:tab w:val="left" w:pos="540"/>
          <w:tab w:val="left" w:pos="569"/>
        </w:tabs>
        <w:jc w:val="both"/>
        <w:rPr>
          <w:b/>
          <w:bCs/>
          <w:sz w:val="22"/>
          <w:szCs w:val="22"/>
          <w:lang w:val="sr-Latn-RS"/>
        </w:rPr>
      </w:pPr>
      <w:r w:rsidRPr="00F66F27">
        <w:rPr>
          <w:b/>
          <w:bCs/>
          <w:sz w:val="22"/>
          <w:szCs w:val="22"/>
          <w:lang w:val="sr-Latn-RS"/>
        </w:rPr>
        <w:t xml:space="preserve">4.2. </w:t>
      </w:r>
      <w:r w:rsidR="00480FB1" w:rsidRPr="00F66F27">
        <w:rPr>
          <w:b/>
          <w:bCs/>
          <w:sz w:val="22"/>
          <w:szCs w:val="22"/>
          <w:lang w:val="sr-Latn-RS"/>
        </w:rPr>
        <w:tab/>
      </w:r>
      <w:r w:rsidRPr="00F66F27">
        <w:rPr>
          <w:b/>
          <w:bCs/>
          <w:sz w:val="22"/>
          <w:szCs w:val="22"/>
          <w:lang w:val="sr-Latn-RS"/>
        </w:rPr>
        <w:t>Doziranje i način primjene</w:t>
      </w:r>
    </w:p>
    <w:p w14:paraId="66D914C7" w14:textId="5A40DE68" w:rsidR="0072020E" w:rsidRPr="00F66F27" w:rsidRDefault="0072020E" w:rsidP="00567DB0">
      <w:pPr>
        <w:tabs>
          <w:tab w:val="left" w:pos="540"/>
          <w:tab w:val="left" w:pos="569"/>
        </w:tabs>
        <w:jc w:val="both"/>
        <w:rPr>
          <w:bCs/>
          <w:sz w:val="22"/>
          <w:szCs w:val="22"/>
          <w:lang w:val="sr-Latn-RS"/>
        </w:rPr>
      </w:pPr>
    </w:p>
    <w:p w14:paraId="12F1E1F7" w14:textId="5ADC3242" w:rsidR="00A047E8" w:rsidRPr="00F66F27" w:rsidRDefault="00567DB0" w:rsidP="00567DB0">
      <w:pPr>
        <w:tabs>
          <w:tab w:val="left" w:pos="540"/>
          <w:tab w:val="left" w:pos="569"/>
        </w:tabs>
        <w:jc w:val="both"/>
        <w:rPr>
          <w:bCs/>
          <w:sz w:val="22"/>
          <w:szCs w:val="22"/>
          <w:lang w:val="sr-Latn-RS"/>
        </w:rPr>
      </w:pPr>
      <w:r w:rsidRPr="00F66F27">
        <w:rPr>
          <w:bCs/>
          <w:sz w:val="22"/>
          <w:szCs w:val="22"/>
          <w:lang w:val="sr-Latn-RS"/>
        </w:rPr>
        <w:t xml:space="preserve">Lijek </w:t>
      </w:r>
      <w:r w:rsidR="00A047E8" w:rsidRPr="00F66F27">
        <w:rPr>
          <w:bCs/>
          <w:sz w:val="22"/>
          <w:szCs w:val="22"/>
          <w:lang w:val="sr-Latn-RS"/>
        </w:rPr>
        <w:t>Aloxi se primjenjuje prije primjene hemioterapije. Ovaj lijek treba da primijeni zdravstveni radnik pod odgovarajućim medicinskim nadzorom.</w:t>
      </w:r>
    </w:p>
    <w:p w14:paraId="05A12AC1" w14:textId="77777777" w:rsidR="00A047E8" w:rsidRPr="00F66F27" w:rsidRDefault="00A047E8" w:rsidP="00567DB0">
      <w:pPr>
        <w:tabs>
          <w:tab w:val="left" w:pos="540"/>
          <w:tab w:val="left" w:pos="569"/>
        </w:tabs>
        <w:jc w:val="both"/>
        <w:rPr>
          <w:bCs/>
          <w:sz w:val="22"/>
          <w:szCs w:val="22"/>
          <w:lang w:val="sr-Latn-RS"/>
        </w:rPr>
      </w:pPr>
    </w:p>
    <w:p w14:paraId="30FEFD9F" w14:textId="7BFB4F1D" w:rsidR="00452E9D" w:rsidRPr="00F66F27" w:rsidRDefault="00452E9D" w:rsidP="00567DB0">
      <w:pPr>
        <w:tabs>
          <w:tab w:val="left" w:pos="540"/>
          <w:tab w:val="left" w:pos="569"/>
        </w:tabs>
        <w:jc w:val="both"/>
        <w:rPr>
          <w:bCs/>
          <w:sz w:val="22"/>
          <w:szCs w:val="22"/>
          <w:u w:val="single"/>
          <w:lang w:val="sr-Latn-RS"/>
        </w:rPr>
      </w:pPr>
      <w:r w:rsidRPr="00F66F27">
        <w:rPr>
          <w:bCs/>
          <w:sz w:val="22"/>
          <w:szCs w:val="22"/>
          <w:u w:val="single"/>
          <w:lang w:val="sr-Latn-RS"/>
        </w:rPr>
        <w:t>Doziranje</w:t>
      </w:r>
    </w:p>
    <w:p w14:paraId="7317054A" w14:textId="77777777" w:rsidR="00A047E8" w:rsidRPr="00F66F27" w:rsidRDefault="00A047E8" w:rsidP="00567DB0">
      <w:pPr>
        <w:tabs>
          <w:tab w:val="left" w:pos="540"/>
          <w:tab w:val="left" w:pos="569"/>
        </w:tabs>
        <w:jc w:val="both"/>
        <w:rPr>
          <w:bCs/>
          <w:sz w:val="22"/>
          <w:szCs w:val="22"/>
          <w:u w:val="single"/>
          <w:lang w:val="sr-Latn-RS"/>
        </w:rPr>
      </w:pPr>
    </w:p>
    <w:p w14:paraId="74DFC0F2" w14:textId="77777777" w:rsidR="00A047E8" w:rsidRPr="00F66F27" w:rsidRDefault="00A047E8" w:rsidP="00567DB0">
      <w:pPr>
        <w:tabs>
          <w:tab w:val="left" w:pos="540"/>
          <w:tab w:val="left" w:pos="569"/>
        </w:tabs>
        <w:jc w:val="both"/>
        <w:rPr>
          <w:bCs/>
          <w:i/>
          <w:sz w:val="22"/>
          <w:szCs w:val="22"/>
          <w:lang w:val="sr-Latn-RS"/>
        </w:rPr>
      </w:pPr>
      <w:r w:rsidRPr="00F66F27">
        <w:rPr>
          <w:bCs/>
          <w:i/>
          <w:sz w:val="22"/>
          <w:szCs w:val="22"/>
          <w:lang w:val="sr-Latn-RS"/>
        </w:rPr>
        <w:t>Odrasli</w:t>
      </w:r>
    </w:p>
    <w:p w14:paraId="46F9F1D5" w14:textId="589F33BA"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250 mikrograma palonosetrona u vidu pojedinačne intravenske bolus injekcije primjenjuje se oko 30 minuta prije početka hemioterapije. </w:t>
      </w:r>
      <w:r w:rsidR="00567DB0" w:rsidRPr="00F66F27">
        <w:rPr>
          <w:bCs/>
          <w:sz w:val="22"/>
          <w:szCs w:val="22"/>
          <w:lang w:val="sr-Latn-RS"/>
        </w:rPr>
        <w:t xml:space="preserve">Lijek </w:t>
      </w:r>
      <w:r w:rsidRPr="00F66F27">
        <w:rPr>
          <w:bCs/>
          <w:sz w:val="22"/>
          <w:szCs w:val="22"/>
          <w:lang w:val="sr-Latn-RS"/>
        </w:rPr>
        <w:t>Aloxi, rastvor za injekciju treba davati tokom 30 sekundi.</w:t>
      </w:r>
    </w:p>
    <w:p w14:paraId="7DBF6433" w14:textId="77777777" w:rsidR="00A047E8" w:rsidRPr="00F66F27" w:rsidRDefault="00A047E8" w:rsidP="00567DB0">
      <w:pPr>
        <w:tabs>
          <w:tab w:val="left" w:pos="540"/>
          <w:tab w:val="left" w:pos="569"/>
        </w:tabs>
        <w:jc w:val="both"/>
        <w:rPr>
          <w:bCs/>
          <w:sz w:val="22"/>
          <w:szCs w:val="22"/>
          <w:lang w:val="sr-Latn-RS"/>
        </w:rPr>
      </w:pPr>
    </w:p>
    <w:p w14:paraId="3273E0F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Efikasnost lijeka Aloxi u prevenciji mučnine i povraćanja izazvanih visoko emetogenom hemioterapijom može se povećati primjenom kortikosteroida prije hemioterapije.</w:t>
      </w:r>
    </w:p>
    <w:p w14:paraId="228AB8C1" w14:textId="77777777" w:rsidR="00A047E8" w:rsidRPr="00F66F27" w:rsidRDefault="00A047E8" w:rsidP="00567DB0">
      <w:pPr>
        <w:tabs>
          <w:tab w:val="left" w:pos="540"/>
          <w:tab w:val="left" w:pos="569"/>
        </w:tabs>
        <w:jc w:val="both"/>
        <w:rPr>
          <w:bCs/>
          <w:sz w:val="22"/>
          <w:szCs w:val="22"/>
          <w:lang w:val="sr-Latn-RS"/>
        </w:rPr>
      </w:pPr>
    </w:p>
    <w:p w14:paraId="3EDE8719" w14:textId="77777777" w:rsidR="00A047E8" w:rsidRPr="00F66F27" w:rsidRDefault="00A047E8" w:rsidP="00567DB0">
      <w:pPr>
        <w:tabs>
          <w:tab w:val="left" w:pos="540"/>
          <w:tab w:val="left" w:pos="569"/>
        </w:tabs>
        <w:jc w:val="both"/>
        <w:rPr>
          <w:bCs/>
          <w:sz w:val="22"/>
          <w:szCs w:val="22"/>
          <w:lang w:val="sr-Latn-RS"/>
        </w:rPr>
      </w:pPr>
      <w:r w:rsidRPr="00F66F27">
        <w:rPr>
          <w:bCs/>
          <w:i/>
          <w:sz w:val="22"/>
          <w:szCs w:val="22"/>
          <w:lang w:val="sr-Latn-RS"/>
        </w:rPr>
        <w:t>Stariji pacijenti</w:t>
      </w:r>
    </w:p>
    <w:p w14:paraId="79F1B2C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Nije potrebno prilagođavanje doze kod starijih pacijenata.</w:t>
      </w:r>
    </w:p>
    <w:p w14:paraId="48638CCD" w14:textId="77777777" w:rsidR="00A047E8" w:rsidRPr="00F66F27" w:rsidRDefault="00A047E8" w:rsidP="00567DB0">
      <w:pPr>
        <w:tabs>
          <w:tab w:val="left" w:pos="540"/>
          <w:tab w:val="left" w:pos="569"/>
        </w:tabs>
        <w:jc w:val="both"/>
        <w:rPr>
          <w:bCs/>
          <w:sz w:val="22"/>
          <w:szCs w:val="22"/>
          <w:lang w:val="sr-Latn-RS"/>
        </w:rPr>
      </w:pPr>
    </w:p>
    <w:p w14:paraId="31BF0424" w14:textId="77777777" w:rsidR="00140303" w:rsidRPr="00F66F27" w:rsidRDefault="00140303" w:rsidP="00567DB0">
      <w:pPr>
        <w:tabs>
          <w:tab w:val="left" w:pos="540"/>
          <w:tab w:val="left" w:pos="569"/>
        </w:tabs>
        <w:jc w:val="both"/>
        <w:rPr>
          <w:bCs/>
          <w:i/>
          <w:sz w:val="22"/>
          <w:szCs w:val="22"/>
          <w:lang w:val="sr-Latn-RS"/>
        </w:rPr>
      </w:pPr>
    </w:p>
    <w:p w14:paraId="2E1D6386" w14:textId="08D014EA" w:rsidR="00A047E8" w:rsidRPr="00F66F27" w:rsidRDefault="00A047E8" w:rsidP="00567DB0">
      <w:pPr>
        <w:tabs>
          <w:tab w:val="left" w:pos="540"/>
          <w:tab w:val="left" w:pos="569"/>
        </w:tabs>
        <w:jc w:val="both"/>
        <w:rPr>
          <w:bCs/>
          <w:i/>
          <w:sz w:val="22"/>
          <w:szCs w:val="22"/>
          <w:lang w:val="sr-Latn-RS"/>
        </w:rPr>
      </w:pPr>
      <w:r w:rsidRPr="00F66F27">
        <w:rPr>
          <w:bCs/>
          <w:i/>
          <w:sz w:val="22"/>
          <w:szCs w:val="22"/>
          <w:lang w:val="sr-Latn-RS"/>
        </w:rPr>
        <w:t>Pedijatrijska populacija</w:t>
      </w:r>
    </w:p>
    <w:p w14:paraId="387FD75C"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Djeca i adolescenti (uzrasta od 1 mjeseca do 17 godina)</w:t>
      </w:r>
    </w:p>
    <w:p w14:paraId="1B75A96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Doza od 20 mikrograma/kg palonosetrona (maksimalna ukupna doza ne smije da prelazi 1500 mikrograma) daje se u vidu jedne intravenske infuzije u trajanju od 15 minuta, sa početkom približno 30 minuta prije hemioterapije. </w:t>
      </w:r>
    </w:p>
    <w:p w14:paraId="0BF1C5F8" w14:textId="297C42B5"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Bezbjednost i efikasnost primjene lijeka kod djece </w:t>
      </w:r>
      <w:r w:rsidR="004962C4" w:rsidRPr="00F66F27">
        <w:rPr>
          <w:bCs/>
          <w:sz w:val="22"/>
          <w:szCs w:val="22"/>
          <w:lang w:val="sr-Latn-RS"/>
        </w:rPr>
        <w:t>ml</w:t>
      </w:r>
      <w:r w:rsidRPr="00F66F27">
        <w:rPr>
          <w:bCs/>
          <w:sz w:val="22"/>
          <w:szCs w:val="22"/>
          <w:lang w:val="sr-Latn-RS"/>
        </w:rPr>
        <w:t xml:space="preserve">ađe od 1 mjeseca nijesu ustanovljene. Nema dostupnih podataka. Postoje ograničeni podaci o primjeni lijeka Aloxi za prevenciju mučnine i povraćanja kod djece </w:t>
      </w:r>
      <w:r w:rsidR="004962C4" w:rsidRPr="00F66F27">
        <w:rPr>
          <w:bCs/>
          <w:sz w:val="22"/>
          <w:szCs w:val="22"/>
          <w:lang w:val="sr-Latn-RS"/>
        </w:rPr>
        <w:t>ml</w:t>
      </w:r>
      <w:r w:rsidRPr="00F66F27">
        <w:rPr>
          <w:bCs/>
          <w:sz w:val="22"/>
          <w:szCs w:val="22"/>
          <w:lang w:val="sr-Latn-RS"/>
        </w:rPr>
        <w:t>ađe od 2 godine.</w:t>
      </w:r>
    </w:p>
    <w:p w14:paraId="554468E0" w14:textId="77777777" w:rsidR="00A047E8" w:rsidRPr="00F66F27" w:rsidRDefault="00A047E8" w:rsidP="00567DB0">
      <w:pPr>
        <w:tabs>
          <w:tab w:val="left" w:pos="540"/>
          <w:tab w:val="left" w:pos="569"/>
        </w:tabs>
        <w:jc w:val="both"/>
        <w:rPr>
          <w:bCs/>
          <w:sz w:val="22"/>
          <w:szCs w:val="22"/>
          <w:lang w:val="sr-Latn-RS"/>
        </w:rPr>
      </w:pPr>
    </w:p>
    <w:p w14:paraId="3C78328A" w14:textId="77777777" w:rsidR="00A047E8" w:rsidRPr="00F66F27" w:rsidRDefault="00A047E8" w:rsidP="00567DB0">
      <w:pPr>
        <w:tabs>
          <w:tab w:val="left" w:pos="540"/>
          <w:tab w:val="left" w:pos="569"/>
        </w:tabs>
        <w:jc w:val="both"/>
        <w:rPr>
          <w:bCs/>
          <w:sz w:val="22"/>
          <w:szCs w:val="22"/>
          <w:lang w:val="sr-Latn-RS"/>
        </w:rPr>
      </w:pPr>
      <w:r w:rsidRPr="00F66F27">
        <w:rPr>
          <w:bCs/>
          <w:i/>
          <w:sz w:val="22"/>
          <w:szCs w:val="22"/>
          <w:lang w:val="sr-Latn-RS"/>
        </w:rPr>
        <w:t>Oštećenje funkcije jetre</w:t>
      </w:r>
    </w:p>
    <w:p w14:paraId="6A37B7D0"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Nije potrebno prilagođavanje doze kod pacijenata sa oštećenom funkcijom jetre.</w:t>
      </w:r>
    </w:p>
    <w:p w14:paraId="7693A50A" w14:textId="77777777" w:rsidR="00A047E8" w:rsidRPr="00F66F27" w:rsidRDefault="00A047E8" w:rsidP="00567DB0">
      <w:pPr>
        <w:tabs>
          <w:tab w:val="left" w:pos="540"/>
          <w:tab w:val="left" w:pos="569"/>
        </w:tabs>
        <w:jc w:val="both"/>
        <w:rPr>
          <w:bCs/>
          <w:sz w:val="22"/>
          <w:szCs w:val="22"/>
          <w:lang w:val="sr-Latn-RS"/>
        </w:rPr>
      </w:pPr>
    </w:p>
    <w:p w14:paraId="192F61DA" w14:textId="77777777" w:rsidR="00A047E8" w:rsidRPr="00F66F27" w:rsidRDefault="00A047E8" w:rsidP="00567DB0">
      <w:pPr>
        <w:tabs>
          <w:tab w:val="left" w:pos="540"/>
          <w:tab w:val="left" w:pos="569"/>
        </w:tabs>
        <w:jc w:val="both"/>
        <w:rPr>
          <w:bCs/>
          <w:i/>
          <w:sz w:val="22"/>
          <w:szCs w:val="22"/>
          <w:lang w:val="sr-Latn-RS"/>
        </w:rPr>
      </w:pPr>
      <w:r w:rsidRPr="00F66F27">
        <w:rPr>
          <w:bCs/>
          <w:i/>
          <w:sz w:val="22"/>
          <w:szCs w:val="22"/>
          <w:lang w:val="sr-Latn-RS"/>
        </w:rPr>
        <w:t>Oštećenje funkcije bubrega</w:t>
      </w:r>
    </w:p>
    <w:p w14:paraId="49C9AD5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Nije potrebno prilagođavanje doze kod pacijenata sa oštećenom funkcijom bubrega.</w:t>
      </w:r>
    </w:p>
    <w:p w14:paraId="590C48A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Za sada nema podataka da li je potrebno prilagođavanje doze kod pacijenata u terminalnoj bubrežnoj insuficijenciji, koji su na hemodijalizi.</w:t>
      </w:r>
    </w:p>
    <w:p w14:paraId="415482BF" w14:textId="77777777" w:rsidR="00452E9D" w:rsidRPr="00F66F27" w:rsidRDefault="00452E9D" w:rsidP="00567DB0">
      <w:pPr>
        <w:tabs>
          <w:tab w:val="left" w:pos="540"/>
          <w:tab w:val="left" w:pos="569"/>
        </w:tabs>
        <w:jc w:val="both"/>
        <w:rPr>
          <w:bCs/>
          <w:sz w:val="22"/>
          <w:szCs w:val="22"/>
          <w:u w:val="single"/>
          <w:lang w:val="sr-Latn-RS"/>
        </w:rPr>
      </w:pPr>
    </w:p>
    <w:p w14:paraId="6228A5E3" w14:textId="77777777" w:rsidR="00452E9D" w:rsidRPr="00F66F27" w:rsidRDefault="00452E9D" w:rsidP="00567DB0">
      <w:pPr>
        <w:tabs>
          <w:tab w:val="left" w:pos="540"/>
          <w:tab w:val="left" w:pos="569"/>
        </w:tabs>
        <w:jc w:val="both"/>
        <w:rPr>
          <w:bCs/>
          <w:sz w:val="22"/>
          <w:szCs w:val="22"/>
          <w:u w:val="single"/>
          <w:lang w:val="sr-Latn-RS"/>
        </w:rPr>
      </w:pPr>
      <w:r w:rsidRPr="00F66F27">
        <w:rPr>
          <w:bCs/>
          <w:sz w:val="22"/>
          <w:szCs w:val="22"/>
          <w:u w:val="single"/>
          <w:lang w:val="sr-Latn-RS"/>
        </w:rPr>
        <w:t>Način primjene</w:t>
      </w:r>
    </w:p>
    <w:p w14:paraId="1DF59A9F" w14:textId="7239769D"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Za intravensku primjenu.</w:t>
      </w:r>
    </w:p>
    <w:p w14:paraId="4C70E0C3" w14:textId="77777777" w:rsidR="00452E9D" w:rsidRPr="00F66F27" w:rsidRDefault="00452E9D" w:rsidP="00567DB0">
      <w:pPr>
        <w:tabs>
          <w:tab w:val="left" w:pos="540"/>
          <w:tab w:val="left" w:pos="569"/>
        </w:tabs>
        <w:jc w:val="both"/>
        <w:rPr>
          <w:bCs/>
          <w:sz w:val="22"/>
          <w:szCs w:val="22"/>
          <w:lang w:val="sr-Latn-RS"/>
        </w:rPr>
      </w:pPr>
    </w:p>
    <w:p w14:paraId="216B76E1" w14:textId="57E7346C" w:rsidR="00411B4B" w:rsidRPr="00F66F27" w:rsidRDefault="00411B4B" w:rsidP="00567DB0">
      <w:pPr>
        <w:tabs>
          <w:tab w:val="left" w:pos="540"/>
          <w:tab w:val="left" w:pos="569"/>
        </w:tabs>
        <w:jc w:val="both"/>
        <w:rPr>
          <w:b/>
          <w:bCs/>
          <w:sz w:val="22"/>
          <w:szCs w:val="22"/>
          <w:lang w:val="sr-Latn-RS"/>
        </w:rPr>
      </w:pPr>
      <w:r w:rsidRPr="00F66F27">
        <w:rPr>
          <w:b/>
          <w:bCs/>
          <w:sz w:val="22"/>
          <w:szCs w:val="22"/>
          <w:lang w:val="sr-Latn-RS"/>
        </w:rPr>
        <w:t xml:space="preserve">4.3. </w:t>
      </w:r>
      <w:r w:rsidR="00480FB1" w:rsidRPr="00F66F27">
        <w:rPr>
          <w:b/>
          <w:bCs/>
          <w:sz w:val="22"/>
          <w:szCs w:val="22"/>
          <w:lang w:val="sr-Latn-RS"/>
        </w:rPr>
        <w:tab/>
      </w:r>
      <w:r w:rsidRPr="00F66F27">
        <w:rPr>
          <w:b/>
          <w:bCs/>
          <w:sz w:val="22"/>
          <w:szCs w:val="22"/>
          <w:lang w:val="sr-Latn-RS"/>
        </w:rPr>
        <w:t>Kontraindikacije</w:t>
      </w:r>
    </w:p>
    <w:p w14:paraId="5BD2EAAD" w14:textId="77777777" w:rsidR="00567DB0" w:rsidRPr="00F66F27" w:rsidRDefault="00567DB0" w:rsidP="00567DB0">
      <w:pPr>
        <w:tabs>
          <w:tab w:val="left" w:pos="540"/>
          <w:tab w:val="left" w:pos="569"/>
        </w:tabs>
        <w:jc w:val="both"/>
        <w:rPr>
          <w:b/>
          <w:bCs/>
          <w:sz w:val="22"/>
          <w:szCs w:val="22"/>
          <w:lang w:val="sr-Latn-RS"/>
        </w:rPr>
      </w:pPr>
    </w:p>
    <w:p w14:paraId="403A9250" w14:textId="7D9936AA"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Preosjetljivost na aktivnu supstancu ili na bilo koju</w:t>
      </w:r>
      <w:r w:rsidR="004962C4" w:rsidRPr="00F66F27">
        <w:rPr>
          <w:bCs/>
          <w:sz w:val="22"/>
          <w:szCs w:val="22"/>
          <w:lang w:val="sr-Latn-RS"/>
        </w:rPr>
        <w:t xml:space="preserve"> </w:t>
      </w:r>
      <w:r w:rsidRPr="00F66F27">
        <w:rPr>
          <w:bCs/>
          <w:sz w:val="22"/>
          <w:szCs w:val="22"/>
          <w:lang w:val="sr-Latn-RS"/>
        </w:rPr>
        <w:t>od</w:t>
      </w:r>
      <w:r w:rsidR="004962C4" w:rsidRPr="00F66F27">
        <w:rPr>
          <w:bCs/>
          <w:sz w:val="22"/>
          <w:szCs w:val="22"/>
          <w:lang w:val="sr-Latn-RS"/>
        </w:rPr>
        <w:t xml:space="preserve"> </w:t>
      </w:r>
      <w:r w:rsidRPr="00F66F27">
        <w:rPr>
          <w:bCs/>
          <w:sz w:val="22"/>
          <w:szCs w:val="22"/>
          <w:lang w:val="sr-Latn-RS"/>
        </w:rPr>
        <w:t xml:space="preserve">pomoćnih supstanci lijeka, navedene u </w:t>
      </w:r>
      <w:r w:rsidR="00567DB0" w:rsidRPr="00F66F27">
        <w:rPr>
          <w:bCs/>
          <w:sz w:val="22"/>
          <w:szCs w:val="22"/>
          <w:lang w:val="sr-Latn-RS"/>
        </w:rPr>
        <w:t>dijelu</w:t>
      </w:r>
      <w:r w:rsidRPr="00F66F27">
        <w:rPr>
          <w:bCs/>
          <w:sz w:val="22"/>
          <w:szCs w:val="22"/>
          <w:lang w:val="sr-Latn-RS"/>
        </w:rPr>
        <w:t xml:space="preserve"> 6.1.</w:t>
      </w:r>
    </w:p>
    <w:p w14:paraId="220BE21A" w14:textId="77777777" w:rsidR="00A047E8" w:rsidRPr="00F66F27" w:rsidRDefault="00A047E8" w:rsidP="00567DB0">
      <w:pPr>
        <w:tabs>
          <w:tab w:val="left" w:pos="540"/>
          <w:tab w:val="left" w:pos="569"/>
        </w:tabs>
        <w:jc w:val="both"/>
        <w:rPr>
          <w:bCs/>
          <w:sz w:val="22"/>
          <w:szCs w:val="22"/>
          <w:lang w:val="sr-Latn-RS"/>
        </w:rPr>
      </w:pPr>
    </w:p>
    <w:p w14:paraId="3CEDCD85" w14:textId="77777777" w:rsidR="00A047E8" w:rsidRPr="00F66F27" w:rsidRDefault="00A047E8" w:rsidP="00567DB0">
      <w:pPr>
        <w:tabs>
          <w:tab w:val="left" w:pos="540"/>
          <w:tab w:val="left" w:pos="569"/>
        </w:tabs>
        <w:jc w:val="both"/>
        <w:rPr>
          <w:b/>
          <w:bCs/>
          <w:sz w:val="22"/>
          <w:szCs w:val="22"/>
          <w:lang w:val="sr-Latn-RS"/>
        </w:rPr>
      </w:pPr>
      <w:r w:rsidRPr="00F66F27">
        <w:rPr>
          <w:b/>
          <w:bCs/>
          <w:sz w:val="22"/>
          <w:szCs w:val="22"/>
          <w:lang w:val="sr-Latn-RS"/>
        </w:rPr>
        <w:t xml:space="preserve">4.4. </w:t>
      </w:r>
      <w:r w:rsidRPr="00F66F27">
        <w:rPr>
          <w:b/>
          <w:bCs/>
          <w:sz w:val="22"/>
          <w:szCs w:val="22"/>
          <w:lang w:val="sr-Latn-RS"/>
        </w:rPr>
        <w:tab/>
        <w:t>Posebna upozorenja i mjere opreza pri upotrebi lijeka</w:t>
      </w:r>
    </w:p>
    <w:p w14:paraId="09F24B80" w14:textId="77777777" w:rsidR="00A047E8" w:rsidRPr="00F66F27" w:rsidRDefault="00A047E8" w:rsidP="00567DB0">
      <w:pPr>
        <w:tabs>
          <w:tab w:val="left" w:pos="540"/>
          <w:tab w:val="left" w:pos="569"/>
        </w:tabs>
        <w:jc w:val="both"/>
        <w:rPr>
          <w:b/>
          <w:bCs/>
          <w:sz w:val="22"/>
          <w:szCs w:val="22"/>
          <w:lang w:val="sr-Latn-RS"/>
        </w:rPr>
      </w:pPr>
    </w:p>
    <w:p w14:paraId="2F471B5C"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Kako palonosetron može produžiti vrijeme prolaska sadržaja kroz debelo crijevo, pacijente koji u istoriji bolesti imaju konstipaciju ili su imali subakutnu crijevnu opstrukciju treba pratiti poslije primjene lijeka. Zabilježena su dva slučaja konstipacije sa fekalnom impakcijom koja su zahtijevala hospitalizaciju, a koja su povezana sa primjenom 750 mikrograma palonosetrona.</w:t>
      </w:r>
    </w:p>
    <w:p w14:paraId="55F15231" w14:textId="77777777" w:rsidR="00A047E8" w:rsidRPr="00F66F27" w:rsidRDefault="00A047E8" w:rsidP="00567DB0">
      <w:pPr>
        <w:tabs>
          <w:tab w:val="left" w:pos="540"/>
          <w:tab w:val="left" w:pos="569"/>
        </w:tabs>
        <w:jc w:val="both"/>
        <w:rPr>
          <w:bCs/>
          <w:sz w:val="22"/>
          <w:szCs w:val="22"/>
          <w:lang w:val="sr-Latn-RS"/>
        </w:rPr>
      </w:pPr>
    </w:p>
    <w:p w14:paraId="25EAFD5D" w14:textId="39731598"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Nijedna ispitivana doza palonosetrona nije dovela do klinički značajnog produženja QTc intervala. Specifična detaljna studija QT/QTc je sprovedena kod zdravih dobrovoljaca da bi se dobili konačni podaci o uticaju palonosetrona na QT/QTc (vidjeti </w:t>
      </w:r>
      <w:r w:rsidR="00CA6D84" w:rsidRPr="00F66F27">
        <w:rPr>
          <w:bCs/>
          <w:sz w:val="22"/>
          <w:szCs w:val="22"/>
          <w:lang w:val="sr-Latn-RS"/>
        </w:rPr>
        <w:t>dio</w:t>
      </w:r>
      <w:r w:rsidRPr="00F66F27">
        <w:rPr>
          <w:bCs/>
          <w:sz w:val="22"/>
          <w:szCs w:val="22"/>
          <w:lang w:val="sr-Latn-RS"/>
        </w:rPr>
        <w:t xml:space="preserve"> 5.1).</w:t>
      </w:r>
    </w:p>
    <w:p w14:paraId="4306B147" w14:textId="77777777" w:rsidR="00A047E8" w:rsidRPr="00F66F27" w:rsidRDefault="00A047E8" w:rsidP="00567DB0">
      <w:pPr>
        <w:tabs>
          <w:tab w:val="left" w:pos="540"/>
          <w:tab w:val="left" w:pos="569"/>
        </w:tabs>
        <w:jc w:val="both"/>
        <w:rPr>
          <w:bCs/>
          <w:sz w:val="22"/>
          <w:szCs w:val="22"/>
          <w:lang w:val="sr-Latn-RS"/>
        </w:rPr>
      </w:pPr>
    </w:p>
    <w:p w14:paraId="72CBB81F" w14:textId="77777777" w:rsidR="00A047E8" w:rsidRPr="00F66F27" w:rsidRDefault="00A047E8" w:rsidP="00567DB0">
      <w:pPr>
        <w:tabs>
          <w:tab w:val="left" w:pos="540"/>
          <w:tab w:val="left" w:pos="569"/>
        </w:tabs>
        <w:jc w:val="both"/>
        <w:rPr>
          <w:bCs/>
          <w:sz w:val="22"/>
          <w:szCs w:val="22"/>
          <w:vertAlign w:val="subscript"/>
          <w:lang w:val="sr-Latn-RS"/>
        </w:rPr>
      </w:pPr>
      <w:r w:rsidRPr="00F66F27">
        <w:rPr>
          <w:bCs/>
          <w:sz w:val="22"/>
          <w:szCs w:val="22"/>
          <w:lang w:val="sr-Latn-RS"/>
        </w:rPr>
        <w:t>Međutim, kao i kod drugih 5-HT</w:t>
      </w:r>
      <w:r w:rsidRPr="00F66F27">
        <w:rPr>
          <w:bCs/>
          <w:sz w:val="22"/>
          <w:szCs w:val="22"/>
          <w:vertAlign w:val="subscript"/>
          <w:lang w:val="sr-Latn-RS"/>
        </w:rPr>
        <w:t xml:space="preserve">3 </w:t>
      </w:r>
      <w:r w:rsidRPr="00F66F27">
        <w:rPr>
          <w:bCs/>
          <w:sz w:val="22"/>
          <w:szCs w:val="22"/>
          <w:lang w:val="sr-Latn-RS"/>
        </w:rPr>
        <w:t>antagonista, potreban je oprez kod primjene palonosetrona kod pacijenata koji imaju ili kod kojih je vjerovatno da će doći do produženja QT intervala. To uključuje pacijente sa istorijom (u ličnoj ili porodičnoj anamnezi) produženja QT intervala, poremećajem elektrolitnog statusa, kongestivnom srčanom insuficijencijom, bradiaritmijama, poremećajima provodljivosti, kao i pacijenti koji primjenjuju antiaritmike ili druge ljekove koji produžavaju QT interval ili dovode do poremećaja elektrolitnog statusa. Hipokalemiju i hipomagnezemiju treba tretirati prije primjene antagonista 5-HT</w:t>
      </w:r>
      <w:r w:rsidRPr="00F66F27">
        <w:rPr>
          <w:bCs/>
          <w:sz w:val="22"/>
          <w:szCs w:val="22"/>
          <w:vertAlign w:val="subscript"/>
          <w:lang w:val="sr-Latn-RS"/>
        </w:rPr>
        <w:t>3.</w:t>
      </w:r>
    </w:p>
    <w:p w14:paraId="0C637A78" w14:textId="77777777" w:rsidR="00A047E8" w:rsidRPr="00F66F27" w:rsidRDefault="00A047E8" w:rsidP="00567DB0">
      <w:pPr>
        <w:tabs>
          <w:tab w:val="left" w:pos="540"/>
          <w:tab w:val="left" w:pos="569"/>
        </w:tabs>
        <w:jc w:val="both"/>
        <w:rPr>
          <w:bCs/>
          <w:sz w:val="22"/>
          <w:szCs w:val="22"/>
          <w:lang w:val="sr-Latn-RS"/>
        </w:rPr>
      </w:pPr>
    </w:p>
    <w:p w14:paraId="5F5E152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Bilo je izveštaja o razvoju serotoninskog sindroma tokom primjene antagonista 5-HT</w:t>
      </w:r>
      <w:r w:rsidRPr="00F66F27">
        <w:rPr>
          <w:bCs/>
          <w:sz w:val="22"/>
          <w:szCs w:val="22"/>
          <w:vertAlign w:val="subscript"/>
          <w:lang w:val="sr-Latn-RS"/>
        </w:rPr>
        <w:t xml:space="preserve">3, </w:t>
      </w:r>
      <w:r w:rsidRPr="00F66F27">
        <w:rPr>
          <w:bCs/>
          <w:sz w:val="22"/>
          <w:szCs w:val="22"/>
          <w:lang w:val="sr-Latn-RS"/>
        </w:rPr>
        <w:t>bilo samih ili u kombinaciji sa drugim serotonergičkim ljekovima, uključujući selektivne inhibitore ponovnog preuzimanja serotonina (SSRI) i inhibitore ponovnog preuzimanja serotonina i noradrenalina (SNRI). Preporučuje se odgovarajuće praćenje pacijenta zbog moguće pojave simptoma sličnih serotoninskom sindromu.</w:t>
      </w:r>
    </w:p>
    <w:p w14:paraId="375E3E8D" w14:textId="77777777" w:rsidR="00A047E8" w:rsidRPr="00F66F27" w:rsidRDefault="00A047E8" w:rsidP="00567DB0">
      <w:pPr>
        <w:tabs>
          <w:tab w:val="left" w:pos="540"/>
          <w:tab w:val="left" w:pos="569"/>
        </w:tabs>
        <w:jc w:val="both"/>
        <w:rPr>
          <w:bCs/>
          <w:sz w:val="22"/>
          <w:szCs w:val="22"/>
          <w:lang w:val="sr-Latn-RS"/>
        </w:rPr>
      </w:pPr>
    </w:p>
    <w:p w14:paraId="359288B5" w14:textId="3828335B"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Lijek Aloxi ne treba koristiti u prevenciji ili liječenju mučnine i povraćanja u danima nakon hemioterapije, ako nije povezana sa primjenom druge hemioterapije.</w:t>
      </w:r>
    </w:p>
    <w:p w14:paraId="7946ECD1" w14:textId="77777777" w:rsidR="00CA6D84" w:rsidRPr="00F66F27" w:rsidRDefault="00CA6D84" w:rsidP="00567DB0">
      <w:pPr>
        <w:tabs>
          <w:tab w:val="left" w:pos="540"/>
          <w:tab w:val="left" w:pos="569"/>
        </w:tabs>
        <w:jc w:val="both"/>
        <w:rPr>
          <w:bCs/>
          <w:sz w:val="22"/>
          <w:szCs w:val="22"/>
          <w:lang w:val="sr-Latn-RS"/>
        </w:rPr>
      </w:pPr>
    </w:p>
    <w:p w14:paraId="5193474B" w14:textId="69FB6309"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Ovaj lijek sadrži manje od 1 mmol natrijuma (23 mg) po bočici, tj. u suštini ne sadrži natrijum.</w:t>
      </w:r>
    </w:p>
    <w:p w14:paraId="7417F346" w14:textId="75AB9F45" w:rsidR="00CA6D84" w:rsidRPr="00F66F27" w:rsidRDefault="00CA6D84" w:rsidP="00567DB0">
      <w:pPr>
        <w:tabs>
          <w:tab w:val="left" w:pos="540"/>
          <w:tab w:val="left" w:pos="569"/>
        </w:tabs>
        <w:jc w:val="both"/>
        <w:rPr>
          <w:bCs/>
          <w:sz w:val="22"/>
          <w:szCs w:val="22"/>
          <w:lang w:val="sr-Latn-RS"/>
        </w:rPr>
      </w:pPr>
    </w:p>
    <w:p w14:paraId="540A0643" w14:textId="3C0730AC" w:rsidR="00CA6D84" w:rsidRPr="00F66F27" w:rsidRDefault="00CA6D84" w:rsidP="00567DB0">
      <w:pPr>
        <w:tabs>
          <w:tab w:val="left" w:pos="540"/>
          <w:tab w:val="left" w:pos="569"/>
        </w:tabs>
        <w:jc w:val="both"/>
        <w:rPr>
          <w:bCs/>
          <w:sz w:val="22"/>
          <w:szCs w:val="22"/>
          <w:lang w:val="sr-Latn-RS"/>
        </w:rPr>
      </w:pPr>
    </w:p>
    <w:p w14:paraId="7AE2FD83" w14:textId="77777777" w:rsidR="00CA6D84" w:rsidRPr="00F66F27" w:rsidRDefault="00CA6D84" w:rsidP="00567DB0">
      <w:pPr>
        <w:tabs>
          <w:tab w:val="left" w:pos="540"/>
          <w:tab w:val="left" w:pos="569"/>
        </w:tabs>
        <w:jc w:val="both"/>
        <w:rPr>
          <w:bCs/>
          <w:sz w:val="22"/>
          <w:szCs w:val="22"/>
          <w:lang w:val="sr-Latn-RS"/>
        </w:rPr>
      </w:pPr>
    </w:p>
    <w:p w14:paraId="6D49A6BB" w14:textId="77777777" w:rsidR="004962C4" w:rsidRPr="00F66F27" w:rsidRDefault="004962C4" w:rsidP="00567DB0">
      <w:pPr>
        <w:tabs>
          <w:tab w:val="left" w:pos="540"/>
          <w:tab w:val="left" w:pos="569"/>
        </w:tabs>
        <w:jc w:val="both"/>
        <w:rPr>
          <w:bCs/>
          <w:sz w:val="22"/>
          <w:szCs w:val="22"/>
          <w:lang w:val="sr-Latn-RS"/>
        </w:rPr>
      </w:pPr>
    </w:p>
    <w:p w14:paraId="656EA3E3" w14:textId="26E61C9E" w:rsidR="00411B4B" w:rsidRPr="00F66F27" w:rsidRDefault="00411B4B" w:rsidP="00567DB0">
      <w:pPr>
        <w:tabs>
          <w:tab w:val="left" w:pos="540"/>
          <w:tab w:val="left" w:pos="569"/>
        </w:tabs>
        <w:jc w:val="both"/>
        <w:rPr>
          <w:b/>
          <w:bCs/>
          <w:sz w:val="22"/>
          <w:szCs w:val="22"/>
          <w:lang w:val="sr-Latn-RS"/>
        </w:rPr>
      </w:pPr>
      <w:r w:rsidRPr="00F66F27">
        <w:rPr>
          <w:b/>
          <w:bCs/>
          <w:sz w:val="22"/>
          <w:szCs w:val="22"/>
          <w:lang w:val="sr-Latn-RS"/>
        </w:rPr>
        <w:t>4.5.</w:t>
      </w:r>
      <w:r w:rsidR="000D60CC" w:rsidRPr="00F66F27">
        <w:rPr>
          <w:b/>
          <w:bCs/>
          <w:sz w:val="22"/>
          <w:szCs w:val="22"/>
          <w:lang w:val="sr-Latn-RS"/>
        </w:rPr>
        <w:tab/>
      </w:r>
      <w:r w:rsidRPr="00F66F27">
        <w:rPr>
          <w:b/>
          <w:bCs/>
          <w:sz w:val="22"/>
          <w:szCs w:val="22"/>
          <w:lang w:val="sr-Latn-RS"/>
        </w:rPr>
        <w:t>Interakcije sa drugim ljekovima i druge vrste interakcija</w:t>
      </w:r>
    </w:p>
    <w:p w14:paraId="17DD6315" w14:textId="232ECF82" w:rsidR="00A047E8" w:rsidRPr="00F66F27" w:rsidRDefault="00A047E8" w:rsidP="00567DB0">
      <w:pPr>
        <w:tabs>
          <w:tab w:val="left" w:pos="540"/>
          <w:tab w:val="left" w:pos="569"/>
        </w:tabs>
        <w:jc w:val="both"/>
        <w:rPr>
          <w:b/>
          <w:bCs/>
          <w:sz w:val="22"/>
          <w:szCs w:val="22"/>
          <w:lang w:val="sr-Latn-RS"/>
        </w:rPr>
      </w:pPr>
    </w:p>
    <w:p w14:paraId="5E2B91F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Palonosetron se najvećim dijelom metaboliše preko CYP2D6, uz neznatno učešće CYP3A4 i CYP1A2 izoenzima. Na osnovu </w:t>
      </w:r>
      <w:r w:rsidRPr="00F66F27">
        <w:rPr>
          <w:bCs/>
          <w:i/>
          <w:sz w:val="22"/>
          <w:szCs w:val="22"/>
          <w:lang w:val="sr-Latn-RS"/>
        </w:rPr>
        <w:t xml:space="preserve">in vitro </w:t>
      </w:r>
      <w:r w:rsidRPr="00F66F27">
        <w:rPr>
          <w:bCs/>
          <w:sz w:val="22"/>
          <w:szCs w:val="22"/>
          <w:lang w:val="sr-Latn-RS"/>
        </w:rPr>
        <w:t>studija, palonosetron ne inhibira niti indukuje citohrom P450 izoenzime u klinički relevantnim koncentracijama.</w:t>
      </w:r>
    </w:p>
    <w:p w14:paraId="488AE281" w14:textId="77777777" w:rsidR="00A047E8" w:rsidRPr="00F66F27" w:rsidRDefault="00A047E8" w:rsidP="00567DB0">
      <w:pPr>
        <w:tabs>
          <w:tab w:val="left" w:pos="540"/>
          <w:tab w:val="left" w:pos="569"/>
        </w:tabs>
        <w:jc w:val="both"/>
        <w:rPr>
          <w:bCs/>
          <w:sz w:val="22"/>
          <w:szCs w:val="22"/>
          <w:lang w:val="sr-Latn-RS"/>
        </w:rPr>
      </w:pPr>
    </w:p>
    <w:p w14:paraId="132056CB" w14:textId="77777777" w:rsidR="00A047E8" w:rsidRPr="00F66F27" w:rsidRDefault="00A047E8" w:rsidP="00567DB0">
      <w:pPr>
        <w:tabs>
          <w:tab w:val="left" w:pos="540"/>
          <w:tab w:val="left" w:pos="569"/>
        </w:tabs>
        <w:jc w:val="both"/>
        <w:rPr>
          <w:bCs/>
          <w:i/>
          <w:sz w:val="22"/>
          <w:szCs w:val="22"/>
          <w:lang w:val="sr-Latn-RS"/>
        </w:rPr>
      </w:pPr>
      <w:r w:rsidRPr="00F66F27">
        <w:rPr>
          <w:bCs/>
          <w:i/>
          <w:sz w:val="22"/>
          <w:szCs w:val="22"/>
          <w:lang w:val="sr-Latn-RS"/>
        </w:rPr>
        <w:t>Hemioterapijski agensi</w:t>
      </w:r>
    </w:p>
    <w:p w14:paraId="5AAE5AB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Rezultati pretkliničkih studija pokazuju da palonosetron ne inhibira antitumorsku aktivnost pet ispitivanih hemioterapijskih agenasa (cisplatin, ciklofosfamid, citarabin, doksorubicin i mitomicin C). </w:t>
      </w:r>
    </w:p>
    <w:p w14:paraId="6DDC49A5" w14:textId="77777777" w:rsidR="00A047E8" w:rsidRPr="00F66F27" w:rsidRDefault="00A047E8" w:rsidP="00567DB0">
      <w:pPr>
        <w:tabs>
          <w:tab w:val="left" w:pos="540"/>
          <w:tab w:val="left" w:pos="569"/>
        </w:tabs>
        <w:jc w:val="both"/>
        <w:rPr>
          <w:bCs/>
          <w:sz w:val="22"/>
          <w:szCs w:val="22"/>
          <w:lang w:val="sr-Latn-RS"/>
        </w:rPr>
      </w:pPr>
    </w:p>
    <w:p w14:paraId="37022D3D" w14:textId="77777777" w:rsidR="00A047E8" w:rsidRPr="00F66F27" w:rsidRDefault="00A047E8" w:rsidP="00567DB0">
      <w:pPr>
        <w:tabs>
          <w:tab w:val="left" w:pos="540"/>
          <w:tab w:val="left" w:pos="569"/>
        </w:tabs>
        <w:jc w:val="both"/>
        <w:rPr>
          <w:bCs/>
          <w:i/>
          <w:sz w:val="22"/>
          <w:szCs w:val="22"/>
          <w:lang w:val="sr-Latn-RS"/>
        </w:rPr>
      </w:pPr>
      <w:r w:rsidRPr="00F66F27">
        <w:rPr>
          <w:bCs/>
          <w:i/>
          <w:sz w:val="22"/>
          <w:szCs w:val="22"/>
          <w:lang w:val="sr-Latn-RS"/>
        </w:rPr>
        <w:t>Metoklopramid</w:t>
      </w:r>
    </w:p>
    <w:p w14:paraId="698E3F05"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Kliničkom studijom nije utvrđeno ispoljavanje značajne farmakokinetičke interakcije između pojedinačne intravenske doze palonosetrona i koncentracije oralnog metoklopramida u stanju ravnoteže, koji je CYP2D6 inhibitor.</w:t>
      </w:r>
    </w:p>
    <w:p w14:paraId="1114960F" w14:textId="77777777" w:rsidR="00A047E8" w:rsidRPr="00F66F27" w:rsidRDefault="00A047E8" w:rsidP="00567DB0">
      <w:pPr>
        <w:tabs>
          <w:tab w:val="left" w:pos="540"/>
          <w:tab w:val="left" w:pos="569"/>
        </w:tabs>
        <w:jc w:val="both"/>
        <w:rPr>
          <w:bCs/>
          <w:sz w:val="22"/>
          <w:szCs w:val="22"/>
          <w:lang w:val="sr-Latn-RS"/>
        </w:rPr>
      </w:pPr>
    </w:p>
    <w:p w14:paraId="5DCD7EDC" w14:textId="77777777" w:rsidR="00A047E8" w:rsidRPr="00F66F27" w:rsidRDefault="00A047E8" w:rsidP="00567DB0">
      <w:pPr>
        <w:tabs>
          <w:tab w:val="left" w:pos="540"/>
          <w:tab w:val="left" w:pos="569"/>
        </w:tabs>
        <w:jc w:val="both"/>
        <w:rPr>
          <w:bCs/>
          <w:i/>
          <w:sz w:val="22"/>
          <w:szCs w:val="22"/>
          <w:lang w:val="sr-Latn-RS"/>
        </w:rPr>
      </w:pPr>
      <w:r w:rsidRPr="00F66F27">
        <w:rPr>
          <w:bCs/>
          <w:i/>
          <w:sz w:val="22"/>
          <w:szCs w:val="22"/>
          <w:lang w:val="sr-Latn-RS"/>
        </w:rPr>
        <w:t>CYP2D6 induktori i inhibitori</w:t>
      </w:r>
    </w:p>
    <w:p w14:paraId="2F88ADB7"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Rezultati populacione famakokinetičke analize ukazuju da istovremena primjena palonosetrona i CYP2D6 induktora (deksametazon i rifampicin) ili inhibitora (amjodaron, celekoksib, hlorpromazin, cimetidin, doksorubicin, fluoksetin, haloperidol, paroksetin, hinidin, ranitidin, ritonavir, sertralin ili terbinafin) nema značajnijeg uticaja na klirens palonosetrona.</w:t>
      </w:r>
    </w:p>
    <w:p w14:paraId="297D1F9F" w14:textId="77777777" w:rsidR="00A047E8" w:rsidRPr="00F66F27" w:rsidRDefault="00A047E8" w:rsidP="00567DB0">
      <w:pPr>
        <w:tabs>
          <w:tab w:val="left" w:pos="540"/>
          <w:tab w:val="left" w:pos="569"/>
        </w:tabs>
        <w:jc w:val="both"/>
        <w:rPr>
          <w:bCs/>
          <w:sz w:val="22"/>
          <w:szCs w:val="22"/>
          <w:lang w:val="sr-Latn-RS"/>
        </w:rPr>
      </w:pPr>
    </w:p>
    <w:p w14:paraId="4032DDF2" w14:textId="77777777" w:rsidR="00A047E8" w:rsidRPr="00F66F27" w:rsidRDefault="00A047E8" w:rsidP="00567DB0">
      <w:pPr>
        <w:tabs>
          <w:tab w:val="left" w:pos="540"/>
          <w:tab w:val="left" w:pos="569"/>
        </w:tabs>
        <w:jc w:val="both"/>
        <w:rPr>
          <w:bCs/>
          <w:sz w:val="22"/>
          <w:szCs w:val="22"/>
          <w:lang w:val="sr-Latn-RS"/>
        </w:rPr>
      </w:pPr>
      <w:r w:rsidRPr="00F66F27">
        <w:rPr>
          <w:bCs/>
          <w:i/>
          <w:sz w:val="22"/>
          <w:szCs w:val="22"/>
          <w:lang w:val="sr-Latn-RS"/>
        </w:rPr>
        <w:t>Kortikosteroidi</w:t>
      </w:r>
    </w:p>
    <w:p w14:paraId="7A7955D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Istovremena primjena palonosetrona i kortikosteroida je bezbjedna.</w:t>
      </w:r>
    </w:p>
    <w:p w14:paraId="1BDE2904" w14:textId="77777777" w:rsidR="00A047E8" w:rsidRPr="00F66F27" w:rsidRDefault="00A047E8" w:rsidP="00567DB0">
      <w:pPr>
        <w:tabs>
          <w:tab w:val="left" w:pos="540"/>
          <w:tab w:val="left" w:pos="569"/>
        </w:tabs>
        <w:jc w:val="both"/>
        <w:rPr>
          <w:bCs/>
          <w:sz w:val="22"/>
          <w:szCs w:val="22"/>
          <w:lang w:val="sr-Latn-RS"/>
        </w:rPr>
      </w:pPr>
    </w:p>
    <w:p w14:paraId="34D83C1F" w14:textId="77777777" w:rsidR="00A047E8" w:rsidRPr="00F66F27" w:rsidRDefault="00A047E8" w:rsidP="00567DB0">
      <w:pPr>
        <w:tabs>
          <w:tab w:val="left" w:pos="540"/>
          <w:tab w:val="left" w:pos="569"/>
        </w:tabs>
        <w:jc w:val="both"/>
        <w:rPr>
          <w:bCs/>
          <w:i/>
          <w:sz w:val="22"/>
          <w:szCs w:val="22"/>
          <w:lang w:val="sr-Latn-RS"/>
        </w:rPr>
      </w:pPr>
      <w:r w:rsidRPr="00F66F27">
        <w:rPr>
          <w:bCs/>
          <w:i/>
          <w:sz w:val="22"/>
          <w:szCs w:val="22"/>
          <w:lang w:val="sr-Latn-RS"/>
        </w:rPr>
        <w:t>Serotonergički ljekovi (npr. SSRI i SNRI)</w:t>
      </w:r>
    </w:p>
    <w:p w14:paraId="6687378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Bilo je izvještaja o razvoju serotoninskog sindroma nakon istovremene primjene antagonista 5-HT</w:t>
      </w:r>
      <w:r w:rsidRPr="00F66F27">
        <w:rPr>
          <w:bCs/>
          <w:sz w:val="22"/>
          <w:szCs w:val="22"/>
          <w:vertAlign w:val="subscript"/>
          <w:lang w:val="sr-Latn-RS"/>
        </w:rPr>
        <w:t xml:space="preserve">3 </w:t>
      </w:r>
      <w:r w:rsidRPr="00F66F27">
        <w:rPr>
          <w:bCs/>
          <w:sz w:val="22"/>
          <w:szCs w:val="22"/>
          <w:lang w:val="sr-Latn-RS"/>
        </w:rPr>
        <w:t>i drugih serotonergičkih ljekova (uključujući selektivne inhibitore ponovnog preuzimanja serotonina (SSRI) i inhibitore ponovnog preuzimanja serotonina i noradrenalina (SNRI)).</w:t>
      </w:r>
    </w:p>
    <w:p w14:paraId="6C6AB7DE" w14:textId="77777777" w:rsidR="00A047E8" w:rsidRPr="00F66F27" w:rsidRDefault="00A047E8" w:rsidP="00567DB0">
      <w:pPr>
        <w:tabs>
          <w:tab w:val="left" w:pos="540"/>
          <w:tab w:val="left" w:pos="569"/>
        </w:tabs>
        <w:jc w:val="both"/>
        <w:rPr>
          <w:bCs/>
          <w:sz w:val="22"/>
          <w:szCs w:val="22"/>
          <w:lang w:val="sr-Latn-RS"/>
        </w:rPr>
      </w:pPr>
    </w:p>
    <w:p w14:paraId="551CC0D3" w14:textId="77777777" w:rsidR="00A047E8" w:rsidRPr="00F66F27" w:rsidRDefault="00A047E8" w:rsidP="00567DB0">
      <w:pPr>
        <w:tabs>
          <w:tab w:val="left" w:pos="540"/>
          <w:tab w:val="left" w:pos="569"/>
        </w:tabs>
        <w:jc w:val="both"/>
        <w:rPr>
          <w:bCs/>
          <w:i/>
          <w:sz w:val="22"/>
          <w:szCs w:val="22"/>
          <w:lang w:val="sr-Latn-RS"/>
        </w:rPr>
      </w:pPr>
      <w:r w:rsidRPr="00F66F27">
        <w:rPr>
          <w:bCs/>
          <w:i/>
          <w:sz w:val="22"/>
          <w:szCs w:val="22"/>
          <w:lang w:val="sr-Latn-RS"/>
        </w:rPr>
        <w:t>Drugi ljekovi</w:t>
      </w:r>
    </w:p>
    <w:p w14:paraId="4B1E3E30" w14:textId="69E7F080"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Istovremena primjena palonosetrona i analgetika, antiemetika</w:t>
      </w:r>
      <w:r w:rsidR="00CA6D84" w:rsidRPr="00F66F27">
        <w:rPr>
          <w:bCs/>
          <w:sz w:val="22"/>
          <w:szCs w:val="22"/>
          <w:lang w:val="sr-Latn-RS"/>
        </w:rPr>
        <w:t>/sredstava protiv mučnine</w:t>
      </w:r>
      <w:r w:rsidRPr="00F66F27">
        <w:rPr>
          <w:bCs/>
          <w:sz w:val="22"/>
          <w:szCs w:val="22"/>
          <w:lang w:val="sr-Latn-RS"/>
        </w:rPr>
        <w:t>, spazmolitika i antiholinergika je bezbjedna.</w:t>
      </w:r>
    </w:p>
    <w:p w14:paraId="60921B5F" w14:textId="77777777" w:rsidR="0072020E" w:rsidRPr="00F66F27" w:rsidRDefault="0072020E" w:rsidP="00567DB0">
      <w:pPr>
        <w:tabs>
          <w:tab w:val="left" w:pos="540"/>
          <w:tab w:val="left" w:pos="569"/>
        </w:tabs>
        <w:jc w:val="both"/>
        <w:rPr>
          <w:bCs/>
          <w:sz w:val="22"/>
          <w:szCs w:val="22"/>
          <w:lang w:val="sr-Latn-RS"/>
        </w:rPr>
      </w:pPr>
    </w:p>
    <w:p w14:paraId="6030F888" w14:textId="77777777" w:rsidR="0072020E" w:rsidRPr="00F66F27" w:rsidRDefault="0072020E" w:rsidP="00567DB0">
      <w:pPr>
        <w:tabs>
          <w:tab w:val="left" w:pos="540"/>
          <w:tab w:val="left" w:pos="569"/>
        </w:tabs>
        <w:jc w:val="both"/>
        <w:rPr>
          <w:b/>
          <w:sz w:val="22"/>
          <w:szCs w:val="22"/>
          <w:lang w:val="sr-Latn-RS"/>
        </w:rPr>
      </w:pPr>
      <w:r w:rsidRPr="00F66F27">
        <w:rPr>
          <w:b/>
          <w:bCs/>
          <w:sz w:val="22"/>
          <w:szCs w:val="22"/>
          <w:lang w:val="sr-Latn-RS"/>
        </w:rPr>
        <w:t xml:space="preserve">4.6. </w:t>
      </w:r>
      <w:r w:rsidR="00480FB1" w:rsidRPr="00F66F27">
        <w:rPr>
          <w:b/>
          <w:bCs/>
          <w:sz w:val="22"/>
          <w:szCs w:val="22"/>
          <w:lang w:val="sr-Latn-RS"/>
        </w:rPr>
        <w:tab/>
      </w:r>
      <w:r w:rsidR="006D20A5" w:rsidRPr="00F66F27">
        <w:rPr>
          <w:b/>
          <w:sz w:val="22"/>
          <w:szCs w:val="22"/>
          <w:lang w:val="sr-Latn-RS"/>
        </w:rPr>
        <w:t>Plodnost, trudnoća i dojenje</w:t>
      </w:r>
    </w:p>
    <w:p w14:paraId="51BB5E42" w14:textId="77777777" w:rsidR="002031B3" w:rsidRPr="00F66F27" w:rsidRDefault="002031B3" w:rsidP="00567DB0">
      <w:pPr>
        <w:tabs>
          <w:tab w:val="left" w:pos="540"/>
          <w:tab w:val="left" w:pos="569"/>
        </w:tabs>
        <w:jc w:val="both"/>
        <w:rPr>
          <w:sz w:val="22"/>
          <w:szCs w:val="22"/>
          <w:u w:val="single"/>
          <w:lang w:val="sr-Latn-RS"/>
        </w:rPr>
      </w:pPr>
    </w:p>
    <w:p w14:paraId="1C1BF68D" w14:textId="77777777" w:rsidR="002031B3" w:rsidRPr="00F66F27" w:rsidRDefault="002031B3" w:rsidP="00567DB0">
      <w:pPr>
        <w:tabs>
          <w:tab w:val="left" w:pos="540"/>
          <w:tab w:val="left" w:pos="569"/>
        </w:tabs>
        <w:jc w:val="both"/>
        <w:rPr>
          <w:sz w:val="22"/>
          <w:szCs w:val="22"/>
          <w:u w:val="single"/>
          <w:lang w:val="sr-Latn-RS"/>
        </w:rPr>
      </w:pPr>
      <w:r w:rsidRPr="00F66F27">
        <w:rPr>
          <w:sz w:val="22"/>
          <w:szCs w:val="22"/>
          <w:u w:val="single"/>
          <w:lang w:val="sr-Latn-RS"/>
        </w:rPr>
        <w:t>Plodnost</w:t>
      </w:r>
    </w:p>
    <w:p w14:paraId="3A72DB3A"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Ne postoje podaci o uticaju palonosetrona na plodnost.</w:t>
      </w:r>
    </w:p>
    <w:p w14:paraId="77CE3A43" w14:textId="77777777" w:rsidR="002031B3" w:rsidRPr="00F66F27" w:rsidRDefault="002031B3" w:rsidP="00567DB0">
      <w:pPr>
        <w:tabs>
          <w:tab w:val="left" w:pos="540"/>
          <w:tab w:val="left" w:pos="569"/>
        </w:tabs>
        <w:jc w:val="both"/>
        <w:rPr>
          <w:sz w:val="22"/>
          <w:szCs w:val="22"/>
          <w:u w:val="single"/>
          <w:lang w:val="sr-Latn-RS"/>
        </w:rPr>
      </w:pPr>
    </w:p>
    <w:p w14:paraId="3D9E21A3" w14:textId="77777777" w:rsidR="007A3ECB" w:rsidRPr="00F66F27" w:rsidRDefault="007A3ECB" w:rsidP="00567DB0">
      <w:pPr>
        <w:tabs>
          <w:tab w:val="left" w:pos="540"/>
          <w:tab w:val="left" w:pos="569"/>
        </w:tabs>
        <w:jc w:val="both"/>
        <w:rPr>
          <w:sz w:val="22"/>
          <w:szCs w:val="22"/>
          <w:u w:val="single"/>
          <w:lang w:val="sr-Latn-RS"/>
        </w:rPr>
      </w:pPr>
      <w:r w:rsidRPr="00F66F27">
        <w:rPr>
          <w:sz w:val="22"/>
          <w:szCs w:val="22"/>
          <w:u w:val="single"/>
          <w:lang w:val="sr-Latn-RS"/>
        </w:rPr>
        <w:t>Trudnoća</w:t>
      </w:r>
    </w:p>
    <w:p w14:paraId="5720ED42" w14:textId="5F637E9A"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Nema kliničkih podaka o izloženosti palonosetronu tokom trudnoće. Studije na životinjama ne ukazuju na direktne ili indirektne štetne uticaje na trudnoću, razvoj embriona/fetusa, porođaj ili postnatalni razvoj. Iz studija na životinjama postoje samo ograničeni podaci o prolasku palonosetrona kroz placentu (vidjeti </w:t>
      </w:r>
      <w:r w:rsidR="00CA6D84" w:rsidRPr="00F66F27">
        <w:rPr>
          <w:bCs/>
          <w:sz w:val="22"/>
          <w:szCs w:val="22"/>
          <w:lang w:val="sr-Latn-RS"/>
        </w:rPr>
        <w:t>dio</w:t>
      </w:r>
      <w:r w:rsidRPr="00F66F27">
        <w:rPr>
          <w:bCs/>
          <w:sz w:val="22"/>
          <w:szCs w:val="22"/>
          <w:lang w:val="sr-Latn-RS"/>
        </w:rPr>
        <w:t xml:space="preserve"> 5.3).</w:t>
      </w:r>
    </w:p>
    <w:p w14:paraId="5C24EF0C" w14:textId="0FF37F59"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Nema iskustava sa primjenom palonosetrona u trudnoći, tako da palonosetron ne treba davati trudnicama, osim ukoliko ljekar procijeni da je neophodno. </w:t>
      </w:r>
    </w:p>
    <w:p w14:paraId="767D4972" w14:textId="77777777" w:rsidR="002031B3" w:rsidRPr="00F66F27" w:rsidRDefault="002031B3" w:rsidP="00567DB0">
      <w:pPr>
        <w:tabs>
          <w:tab w:val="left" w:pos="540"/>
          <w:tab w:val="left" w:pos="569"/>
        </w:tabs>
        <w:jc w:val="both"/>
        <w:rPr>
          <w:sz w:val="22"/>
          <w:szCs w:val="22"/>
          <w:u w:val="single"/>
          <w:lang w:val="sr-Latn-RS"/>
        </w:rPr>
      </w:pPr>
    </w:p>
    <w:p w14:paraId="3F779572" w14:textId="77777777" w:rsidR="0072020E" w:rsidRPr="00F66F27" w:rsidRDefault="007A3ECB" w:rsidP="00567DB0">
      <w:pPr>
        <w:tabs>
          <w:tab w:val="left" w:pos="540"/>
          <w:tab w:val="left" w:pos="569"/>
        </w:tabs>
        <w:jc w:val="both"/>
        <w:rPr>
          <w:b/>
          <w:bCs/>
          <w:sz w:val="22"/>
          <w:szCs w:val="22"/>
          <w:lang w:val="sr-Latn-RS"/>
        </w:rPr>
      </w:pPr>
      <w:r w:rsidRPr="00F66F27">
        <w:rPr>
          <w:sz w:val="22"/>
          <w:szCs w:val="22"/>
          <w:u w:val="single"/>
          <w:lang w:val="sr-Latn-RS"/>
        </w:rPr>
        <w:t xml:space="preserve">Dojenje </w:t>
      </w:r>
    </w:p>
    <w:p w14:paraId="26ED15F1" w14:textId="17558DA9"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Budući da nema podataka o prelazu palonosetrona u majčino </w:t>
      </w:r>
      <w:r w:rsidR="004962C4" w:rsidRPr="00F66F27">
        <w:rPr>
          <w:bCs/>
          <w:sz w:val="22"/>
          <w:szCs w:val="22"/>
          <w:lang w:val="sr-Latn-RS"/>
        </w:rPr>
        <w:t>ml</w:t>
      </w:r>
      <w:r w:rsidRPr="00F66F27">
        <w:rPr>
          <w:bCs/>
          <w:sz w:val="22"/>
          <w:szCs w:val="22"/>
          <w:lang w:val="sr-Latn-RS"/>
        </w:rPr>
        <w:t>ijeko, tokom terapije ovim lijekom treba prekinuti dojenje.</w:t>
      </w:r>
    </w:p>
    <w:p w14:paraId="706F8C79" w14:textId="77777777" w:rsidR="00A047E8" w:rsidRPr="00F66F27" w:rsidRDefault="00A047E8" w:rsidP="00567DB0">
      <w:pPr>
        <w:tabs>
          <w:tab w:val="left" w:pos="540"/>
          <w:tab w:val="left" w:pos="569"/>
        </w:tabs>
        <w:jc w:val="both"/>
        <w:rPr>
          <w:bCs/>
          <w:sz w:val="22"/>
          <w:szCs w:val="22"/>
          <w:lang w:val="sr-Latn-RS"/>
        </w:rPr>
      </w:pPr>
    </w:p>
    <w:p w14:paraId="53911F1C" w14:textId="77777777" w:rsidR="004F5969" w:rsidRPr="00F66F27" w:rsidRDefault="004F5969" w:rsidP="00511A40">
      <w:pPr>
        <w:tabs>
          <w:tab w:val="left" w:pos="540"/>
          <w:tab w:val="left" w:pos="569"/>
        </w:tabs>
        <w:jc w:val="both"/>
        <w:rPr>
          <w:b/>
          <w:bCs/>
          <w:sz w:val="22"/>
          <w:szCs w:val="22"/>
          <w:lang w:val="sr-Latn-RS"/>
        </w:rPr>
      </w:pPr>
    </w:p>
    <w:p w14:paraId="30D0CE37" w14:textId="4D5BBDE7" w:rsidR="0072020E" w:rsidRPr="00F66F27" w:rsidRDefault="0072020E" w:rsidP="00567DB0">
      <w:pPr>
        <w:tabs>
          <w:tab w:val="left" w:pos="540"/>
          <w:tab w:val="left" w:pos="569"/>
        </w:tabs>
        <w:ind w:left="540" w:hanging="540"/>
        <w:jc w:val="both"/>
        <w:rPr>
          <w:b/>
          <w:bCs/>
          <w:sz w:val="22"/>
          <w:szCs w:val="22"/>
          <w:lang w:val="sr-Latn-RS"/>
        </w:rPr>
      </w:pPr>
      <w:r w:rsidRPr="00F66F27">
        <w:rPr>
          <w:b/>
          <w:bCs/>
          <w:sz w:val="22"/>
          <w:szCs w:val="22"/>
          <w:lang w:val="sr-Latn-RS"/>
        </w:rPr>
        <w:t xml:space="preserve">4.7. </w:t>
      </w:r>
      <w:r w:rsidR="00480FB1" w:rsidRPr="00F66F27">
        <w:rPr>
          <w:b/>
          <w:bCs/>
          <w:sz w:val="22"/>
          <w:szCs w:val="22"/>
          <w:lang w:val="sr-Latn-RS"/>
        </w:rPr>
        <w:tab/>
      </w:r>
      <w:r w:rsidRPr="00F66F27">
        <w:rPr>
          <w:b/>
          <w:bCs/>
          <w:sz w:val="22"/>
          <w:szCs w:val="22"/>
          <w:lang w:val="sr-Latn-RS"/>
        </w:rPr>
        <w:t xml:space="preserve">Uticaj na </w:t>
      </w:r>
      <w:r w:rsidR="002031B3" w:rsidRPr="00F66F27">
        <w:rPr>
          <w:b/>
          <w:bCs/>
          <w:sz w:val="22"/>
          <w:szCs w:val="22"/>
          <w:lang w:val="sr-Latn-RS"/>
        </w:rPr>
        <w:t xml:space="preserve">sposobnost </w:t>
      </w:r>
      <w:r w:rsidR="00F34554" w:rsidRPr="00F66F27">
        <w:rPr>
          <w:b/>
          <w:bCs/>
          <w:sz w:val="22"/>
          <w:szCs w:val="22"/>
          <w:lang w:val="sr-Latn-RS"/>
        </w:rPr>
        <w:t>upravljanja vozili</w:t>
      </w:r>
      <w:r w:rsidRPr="00F66F27">
        <w:rPr>
          <w:b/>
          <w:bCs/>
          <w:sz w:val="22"/>
          <w:szCs w:val="22"/>
          <w:lang w:val="sr-Latn-RS"/>
        </w:rPr>
        <w:t>m</w:t>
      </w:r>
      <w:r w:rsidR="00F34554" w:rsidRPr="00F66F27">
        <w:rPr>
          <w:b/>
          <w:bCs/>
          <w:sz w:val="22"/>
          <w:szCs w:val="22"/>
          <w:lang w:val="sr-Latn-RS"/>
        </w:rPr>
        <w:t>a</w:t>
      </w:r>
      <w:r w:rsidRPr="00F66F27">
        <w:rPr>
          <w:b/>
          <w:bCs/>
          <w:sz w:val="22"/>
          <w:szCs w:val="22"/>
          <w:lang w:val="sr-Latn-RS"/>
        </w:rPr>
        <w:t xml:space="preserve"> i </w:t>
      </w:r>
      <w:r w:rsidR="000D3449" w:rsidRPr="00F66F27">
        <w:rPr>
          <w:b/>
          <w:bCs/>
          <w:sz w:val="22"/>
          <w:szCs w:val="22"/>
          <w:lang w:val="sr-Latn-RS"/>
        </w:rPr>
        <w:t xml:space="preserve">rukovanje </w:t>
      </w:r>
      <w:r w:rsidRPr="00F66F27">
        <w:rPr>
          <w:b/>
          <w:bCs/>
          <w:sz w:val="22"/>
          <w:szCs w:val="22"/>
          <w:lang w:val="sr-Latn-RS"/>
        </w:rPr>
        <w:t>mašinama</w:t>
      </w:r>
    </w:p>
    <w:p w14:paraId="42CD5126" w14:textId="59AEED07" w:rsidR="00A047E8" w:rsidRPr="00F66F27" w:rsidRDefault="00A047E8" w:rsidP="00567DB0">
      <w:pPr>
        <w:tabs>
          <w:tab w:val="left" w:pos="540"/>
          <w:tab w:val="left" w:pos="569"/>
        </w:tabs>
        <w:ind w:left="540" w:hanging="540"/>
        <w:jc w:val="both"/>
        <w:rPr>
          <w:b/>
          <w:bCs/>
          <w:sz w:val="22"/>
          <w:szCs w:val="22"/>
          <w:lang w:val="sr-Latn-RS"/>
        </w:rPr>
      </w:pPr>
    </w:p>
    <w:p w14:paraId="7DE4BBD1" w14:textId="612F9A78" w:rsidR="002570B9" w:rsidRPr="00F66F27" w:rsidRDefault="00A047E8" w:rsidP="00567DB0">
      <w:pPr>
        <w:tabs>
          <w:tab w:val="left" w:pos="540"/>
          <w:tab w:val="left" w:pos="569"/>
        </w:tabs>
        <w:jc w:val="both"/>
        <w:rPr>
          <w:bCs/>
          <w:sz w:val="22"/>
          <w:szCs w:val="22"/>
          <w:lang w:val="sr-Latn-RS"/>
        </w:rPr>
      </w:pPr>
      <w:r w:rsidRPr="00F66F27">
        <w:rPr>
          <w:bCs/>
          <w:sz w:val="22"/>
          <w:szCs w:val="22"/>
          <w:lang w:val="sr-Latn-RS"/>
        </w:rPr>
        <w:t>Nijesu sprovedene studije koje bi vršile procjenu uticaja lijeka na sposobnost upravljanja vozilima i rukovanja mašinama. Kako palonosetron može izazvati vrtoglavicu, pospanost ili zamor, pacijenta treba upozoriti da je potreban oprez pri vožnji ili rukovanju mašinama.</w:t>
      </w:r>
    </w:p>
    <w:p w14:paraId="7AACF609" w14:textId="77777777" w:rsidR="00140303" w:rsidRPr="00F66F27" w:rsidRDefault="00140303" w:rsidP="00567DB0">
      <w:pPr>
        <w:tabs>
          <w:tab w:val="left" w:pos="540"/>
          <w:tab w:val="left" w:pos="569"/>
        </w:tabs>
        <w:jc w:val="both"/>
        <w:rPr>
          <w:b/>
          <w:bCs/>
          <w:sz w:val="22"/>
          <w:szCs w:val="22"/>
          <w:lang w:val="sr-Latn-RS"/>
        </w:rPr>
      </w:pPr>
    </w:p>
    <w:p w14:paraId="402DAFA3" w14:textId="080E9639" w:rsidR="0072020E" w:rsidRPr="00F66F27" w:rsidRDefault="0072020E" w:rsidP="00567DB0">
      <w:pPr>
        <w:tabs>
          <w:tab w:val="left" w:pos="540"/>
          <w:tab w:val="left" w:pos="569"/>
        </w:tabs>
        <w:jc w:val="both"/>
        <w:rPr>
          <w:b/>
          <w:bCs/>
          <w:sz w:val="22"/>
          <w:szCs w:val="22"/>
          <w:lang w:val="sr-Latn-RS"/>
        </w:rPr>
      </w:pPr>
      <w:r w:rsidRPr="00F66F27">
        <w:rPr>
          <w:b/>
          <w:bCs/>
          <w:sz w:val="22"/>
          <w:szCs w:val="22"/>
          <w:lang w:val="sr-Latn-RS"/>
        </w:rPr>
        <w:t xml:space="preserve">4.8. </w:t>
      </w:r>
      <w:r w:rsidR="00480FB1" w:rsidRPr="00F66F27">
        <w:rPr>
          <w:b/>
          <w:bCs/>
          <w:sz w:val="22"/>
          <w:szCs w:val="22"/>
          <w:lang w:val="sr-Latn-RS"/>
        </w:rPr>
        <w:tab/>
      </w:r>
      <w:r w:rsidRPr="00F66F27">
        <w:rPr>
          <w:b/>
          <w:bCs/>
          <w:sz w:val="22"/>
          <w:szCs w:val="22"/>
          <w:lang w:val="sr-Latn-RS"/>
        </w:rPr>
        <w:t>Neželjena dejstva</w:t>
      </w:r>
    </w:p>
    <w:p w14:paraId="33B7C779" w14:textId="0034C2A9" w:rsidR="004E70AD" w:rsidRPr="00F66F27" w:rsidRDefault="004E70AD" w:rsidP="00567DB0">
      <w:pPr>
        <w:tabs>
          <w:tab w:val="left" w:pos="540"/>
          <w:tab w:val="left" w:pos="569"/>
        </w:tabs>
        <w:jc w:val="both"/>
        <w:rPr>
          <w:b/>
          <w:bCs/>
          <w:sz w:val="22"/>
          <w:szCs w:val="22"/>
          <w:lang w:val="sr-Latn-RS"/>
        </w:rPr>
      </w:pPr>
    </w:p>
    <w:p w14:paraId="7155456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Tokom kliničkih ispitivanja ovog lijeka primijenjenog u dozi od 250 mikrograma kod ukupno 633 pacijenta, najčešće uočene neželjene reakcije za koje je moguće da su povezane sa primjenom lijka Aloxi, rastvor za injekciju, bile su glavobolja (9%) i konstipacija (5%). </w:t>
      </w:r>
    </w:p>
    <w:p w14:paraId="6F5460C6" w14:textId="77777777" w:rsidR="00A047E8" w:rsidRPr="00F66F27" w:rsidRDefault="00A047E8" w:rsidP="00567DB0">
      <w:pPr>
        <w:tabs>
          <w:tab w:val="left" w:pos="540"/>
          <w:tab w:val="left" w:pos="569"/>
        </w:tabs>
        <w:jc w:val="both"/>
        <w:rPr>
          <w:bCs/>
          <w:sz w:val="22"/>
          <w:szCs w:val="22"/>
          <w:lang w:val="sr-Latn-RS"/>
        </w:rPr>
      </w:pPr>
    </w:p>
    <w:p w14:paraId="13117C8D"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Tokom kliničkih studija uočene neželjene reakcije, procijenjene kao moguće ili vjerovatno povezane sa primjenom lijeka Aloxi, klasifikovane su kao česte (≥1/100 do &lt;1/10) ili povremene (≥1/1000 do &lt;1/100). Veoma rijetke (&lt;1/10000) neželjene reakcije su prijavljene u postmarketinškom periodu.</w:t>
      </w:r>
    </w:p>
    <w:p w14:paraId="20E3E100" w14:textId="77777777" w:rsidR="00A047E8" w:rsidRPr="00F66F27" w:rsidRDefault="00A047E8" w:rsidP="00567DB0">
      <w:pPr>
        <w:tabs>
          <w:tab w:val="left" w:pos="540"/>
          <w:tab w:val="left" w:pos="569"/>
        </w:tabs>
        <w:jc w:val="both"/>
        <w:rPr>
          <w:bCs/>
          <w:sz w:val="22"/>
          <w:szCs w:val="22"/>
          <w:lang w:val="sr-Latn-RS"/>
        </w:rPr>
      </w:pPr>
    </w:p>
    <w:p w14:paraId="613B842E"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U okviru svake podjele po učestalosti, neželjene reakcije su navedene od najozbiljnijih do manje ozbiljnih.</w:t>
      </w:r>
    </w:p>
    <w:p w14:paraId="434AC7FB" w14:textId="77777777" w:rsidR="00A047E8" w:rsidRPr="00F66F27" w:rsidRDefault="00A047E8" w:rsidP="00567DB0">
      <w:pPr>
        <w:tabs>
          <w:tab w:val="left" w:pos="540"/>
          <w:tab w:val="left" w:pos="569"/>
        </w:tabs>
        <w:jc w:val="both"/>
        <w:rPr>
          <w:bCs/>
          <w:sz w:val="22"/>
          <w:szCs w:val="22"/>
          <w:lang w:val="sr-Latn-RS"/>
        </w:rPr>
      </w:pPr>
    </w:p>
    <w:tbl>
      <w:tblPr>
        <w:tblW w:w="9946" w:type="dxa"/>
        <w:tblInd w:w="-110" w:type="dxa"/>
        <w:tblCellMar>
          <w:top w:w="49" w:type="dxa"/>
          <w:left w:w="110" w:type="dxa"/>
          <w:right w:w="50" w:type="dxa"/>
        </w:tblCellMar>
        <w:tblLook w:val="04A0" w:firstRow="1" w:lastRow="0" w:firstColumn="1" w:lastColumn="0" w:noHBand="0" w:noVBand="1"/>
      </w:tblPr>
      <w:tblGrid>
        <w:gridCol w:w="2486"/>
        <w:gridCol w:w="2486"/>
        <w:gridCol w:w="2487"/>
        <w:gridCol w:w="2487"/>
      </w:tblGrid>
      <w:tr w:rsidR="00A047E8" w:rsidRPr="00F66F27" w14:paraId="0568E88C" w14:textId="77777777" w:rsidTr="00567DB0">
        <w:trPr>
          <w:trHeight w:val="768"/>
        </w:trPr>
        <w:tc>
          <w:tcPr>
            <w:tcW w:w="2486" w:type="dxa"/>
            <w:tcBorders>
              <w:top w:val="single" w:sz="4" w:space="0" w:color="000000"/>
              <w:left w:val="single" w:sz="4" w:space="0" w:color="000000"/>
              <w:bottom w:val="single" w:sz="4" w:space="0" w:color="000000"/>
              <w:right w:val="single" w:sz="4" w:space="0" w:color="000000"/>
            </w:tcBorders>
          </w:tcPr>
          <w:p w14:paraId="26E6B7E9"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Sistem organa</w:t>
            </w:r>
          </w:p>
        </w:tc>
        <w:tc>
          <w:tcPr>
            <w:tcW w:w="2486" w:type="dxa"/>
            <w:tcBorders>
              <w:top w:val="single" w:sz="4" w:space="0" w:color="000000"/>
              <w:left w:val="single" w:sz="4" w:space="0" w:color="000000"/>
              <w:bottom w:val="single" w:sz="4" w:space="0" w:color="000000"/>
              <w:right w:val="single" w:sz="4" w:space="0" w:color="000000"/>
            </w:tcBorders>
          </w:tcPr>
          <w:p w14:paraId="7C2A234F"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 xml:space="preserve">Česte neželjene reakcije </w:t>
            </w:r>
          </w:p>
          <w:p w14:paraId="77997A58"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(≥1/100 do &lt;1/10)</w:t>
            </w:r>
          </w:p>
        </w:tc>
        <w:tc>
          <w:tcPr>
            <w:tcW w:w="2486" w:type="dxa"/>
            <w:tcBorders>
              <w:top w:val="single" w:sz="4" w:space="0" w:color="000000"/>
              <w:left w:val="single" w:sz="4" w:space="0" w:color="000000"/>
              <w:bottom w:val="single" w:sz="4" w:space="0" w:color="000000"/>
              <w:right w:val="single" w:sz="4" w:space="0" w:color="000000"/>
            </w:tcBorders>
          </w:tcPr>
          <w:p w14:paraId="55F76A7E"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 xml:space="preserve">Povremene </w:t>
            </w:r>
            <w:r w:rsidRPr="00F66F27">
              <w:rPr>
                <w:bCs/>
                <w:sz w:val="22"/>
                <w:szCs w:val="22"/>
                <w:lang w:val="sr-Latn-RS"/>
              </w:rPr>
              <w:tab/>
              <w:t xml:space="preserve">neželjene </w:t>
            </w:r>
          </w:p>
          <w:p w14:paraId="0FBD4C9A"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 xml:space="preserve">reakcije </w:t>
            </w:r>
          </w:p>
          <w:p w14:paraId="6C3067D7"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(≥1/1000 do &lt;1/100)</w:t>
            </w:r>
          </w:p>
        </w:tc>
        <w:tc>
          <w:tcPr>
            <w:tcW w:w="2486" w:type="dxa"/>
            <w:tcBorders>
              <w:top w:val="single" w:sz="4" w:space="0" w:color="000000"/>
              <w:left w:val="single" w:sz="4" w:space="0" w:color="000000"/>
              <w:bottom w:val="single" w:sz="4" w:space="0" w:color="000000"/>
              <w:right w:val="single" w:sz="4" w:space="0" w:color="000000"/>
            </w:tcBorders>
          </w:tcPr>
          <w:p w14:paraId="180C9047"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 xml:space="preserve">Veoma rijetke neželjene </w:t>
            </w:r>
          </w:p>
          <w:p w14:paraId="3507C04C" w14:textId="5D504CEA"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 xml:space="preserve">reakcije </w:t>
            </w:r>
            <w:r w:rsidR="002570B9" w:rsidRPr="00F66F27">
              <w:rPr>
                <w:rFonts w:eastAsia="TimesNewRoman,Bold"/>
                <w:b/>
                <w:bCs/>
                <w:sz w:val="22"/>
                <w:szCs w:val="22"/>
                <w:lang w:val="sr-Latn-RS" w:eastAsia="sr-Latn-ME"/>
              </w:rPr>
              <w:t>°</w:t>
            </w:r>
            <w:r w:rsidR="002570B9" w:rsidRPr="00F66F27">
              <w:rPr>
                <w:bCs/>
                <w:sz w:val="22"/>
                <w:szCs w:val="22"/>
                <w:lang w:val="sr-Latn-RS"/>
              </w:rPr>
              <w:t xml:space="preserve"> </w:t>
            </w:r>
            <w:r w:rsidRPr="00F66F27">
              <w:rPr>
                <w:bCs/>
                <w:sz w:val="22"/>
                <w:szCs w:val="22"/>
                <w:lang w:val="sr-Latn-RS"/>
              </w:rPr>
              <w:t xml:space="preserve">(&lt;1/10000) </w:t>
            </w:r>
          </w:p>
        </w:tc>
      </w:tr>
      <w:tr w:rsidR="00A047E8" w:rsidRPr="00F66F27" w14:paraId="09662193" w14:textId="77777777" w:rsidTr="00567DB0">
        <w:trPr>
          <w:trHeight w:val="1022"/>
        </w:trPr>
        <w:tc>
          <w:tcPr>
            <w:tcW w:w="2486" w:type="dxa"/>
            <w:tcBorders>
              <w:top w:val="single" w:sz="4" w:space="0" w:color="000000"/>
              <w:left w:val="single" w:sz="4" w:space="0" w:color="000000"/>
              <w:bottom w:val="single" w:sz="4" w:space="0" w:color="000000"/>
              <w:right w:val="single" w:sz="4" w:space="0" w:color="000000"/>
            </w:tcBorders>
          </w:tcPr>
          <w:p w14:paraId="24ADFA88" w14:textId="27369A80"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w:t>
            </w:r>
            <w:r w:rsidR="002C2269" w:rsidRPr="00F66F27">
              <w:rPr>
                <w:bCs/>
                <w:sz w:val="22"/>
                <w:szCs w:val="22"/>
                <w:lang w:val="sr-Latn-RS"/>
              </w:rPr>
              <w:t>a</w:t>
            </w:r>
            <w:r w:rsidRPr="00F66F27">
              <w:rPr>
                <w:bCs/>
                <w:sz w:val="22"/>
                <w:szCs w:val="22"/>
                <w:lang w:val="sr-Latn-RS"/>
              </w:rPr>
              <w:t>ji imunog sistema</w:t>
            </w:r>
          </w:p>
        </w:tc>
        <w:tc>
          <w:tcPr>
            <w:tcW w:w="2486" w:type="dxa"/>
            <w:tcBorders>
              <w:top w:val="single" w:sz="4" w:space="0" w:color="000000"/>
              <w:left w:val="single" w:sz="4" w:space="0" w:color="000000"/>
              <w:bottom w:val="single" w:sz="4" w:space="0" w:color="000000"/>
              <w:right w:val="single" w:sz="4" w:space="0" w:color="000000"/>
            </w:tcBorders>
          </w:tcPr>
          <w:p w14:paraId="41710BAC"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28D99E47"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3F99C6A3" w14:textId="752C2F87"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p</w:t>
            </w:r>
            <w:r w:rsidR="00A047E8" w:rsidRPr="00F66F27">
              <w:rPr>
                <w:bCs/>
                <w:sz w:val="22"/>
                <w:szCs w:val="22"/>
                <w:lang w:val="sr-Latn-RS"/>
              </w:rPr>
              <w:t>reosjetljivost, anafilaksa, anafilaktičke/ anafilaktoidne reakcije i šok</w:t>
            </w:r>
          </w:p>
        </w:tc>
      </w:tr>
      <w:tr w:rsidR="00A047E8" w:rsidRPr="00F66F27" w14:paraId="3599674B" w14:textId="77777777" w:rsidTr="00567DB0">
        <w:trPr>
          <w:trHeight w:val="1790"/>
        </w:trPr>
        <w:tc>
          <w:tcPr>
            <w:tcW w:w="2486" w:type="dxa"/>
            <w:tcBorders>
              <w:top w:val="single" w:sz="4" w:space="0" w:color="000000"/>
              <w:left w:val="single" w:sz="4" w:space="0" w:color="000000"/>
              <w:bottom w:val="single" w:sz="4" w:space="0" w:color="000000"/>
              <w:right w:val="single" w:sz="4" w:space="0" w:color="000000"/>
            </w:tcBorders>
          </w:tcPr>
          <w:p w14:paraId="2E22CD62"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metabolizma i ishrane</w:t>
            </w:r>
          </w:p>
        </w:tc>
        <w:tc>
          <w:tcPr>
            <w:tcW w:w="2486" w:type="dxa"/>
            <w:tcBorders>
              <w:top w:val="single" w:sz="4" w:space="0" w:color="000000"/>
              <w:left w:val="single" w:sz="4" w:space="0" w:color="000000"/>
              <w:bottom w:val="single" w:sz="4" w:space="0" w:color="000000"/>
              <w:right w:val="single" w:sz="4" w:space="0" w:color="000000"/>
            </w:tcBorders>
          </w:tcPr>
          <w:p w14:paraId="082DFF4C"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67A7C027" w14:textId="0E39906E"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h</w:t>
            </w:r>
            <w:r w:rsidR="00A047E8" w:rsidRPr="00F66F27">
              <w:rPr>
                <w:bCs/>
                <w:sz w:val="22"/>
                <w:szCs w:val="22"/>
                <w:lang w:val="sr-Latn-RS"/>
              </w:rPr>
              <w:t>iperkalemija, poremećaji metabolizma, hipokalcemija, hipokalemija, anoreksija, hiperglikemija, smanjenje apetita</w:t>
            </w:r>
          </w:p>
        </w:tc>
        <w:tc>
          <w:tcPr>
            <w:tcW w:w="2486" w:type="dxa"/>
            <w:tcBorders>
              <w:top w:val="single" w:sz="4" w:space="0" w:color="000000"/>
              <w:left w:val="single" w:sz="4" w:space="0" w:color="000000"/>
              <w:bottom w:val="single" w:sz="4" w:space="0" w:color="000000"/>
              <w:right w:val="single" w:sz="4" w:space="0" w:color="000000"/>
            </w:tcBorders>
          </w:tcPr>
          <w:p w14:paraId="29838531"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6E14F221" w14:textId="77777777" w:rsidTr="00567DB0">
        <w:trPr>
          <w:trHeight w:val="518"/>
        </w:trPr>
        <w:tc>
          <w:tcPr>
            <w:tcW w:w="2486" w:type="dxa"/>
            <w:tcBorders>
              <w:top w:val="single" w:sz="4" w:space="0" w:color="000000"/>
              <w:left w:val="single" w:sz="4" w:space="0" w:color="000000"/>
              <w:bottom w:val="single" w:sz="4" w:space="0" w:color="000000"/>
              <w:right w:val="single" w:sz="4" w:space="0" w:color="000000"/>
            </w:tcBorders>
          </w:tcPr>
          <w:p w14:paraId="591C6E74"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Psihijatrijski poremećaji</w:t>
            </w:r>
          </w:p>
        </w:tc>
        <w:tc>
          <w:tcPr>
            <w:tcW w:w="2486" w:type="dxa"/>
            <w:tcBorders>
              <w:top w:val="single" w:sz="4" w:space="0" w:color="000000"/>
              <w:left w:val="single" w:sz="4" w:space="0" w:color="000000"/>
              <w:bottom w:val="single" w:sz="4" w:space="0" w:color="000000"/>
              <w:right w:val="single" w:sz="4" w:space="0" w:color="000000"/>
            </w:tcBorders>
          </w:tcPr>
          <w:p w14:paraId="32C6398C"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799A8ECA" w14:textId="6DA6EB7B"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a</w:t>
            </w:r>
            <w:r w:rsidR="00A047E8" w:rsidRPr="00F66F27">
              <w:rPr>
                <w:bCs/>
                <w:sz w:val="22"/>
                <w:szCs w:val="22"/>
                <w:lang w:val="sr-Latn-RS"/>
              </w:rPr>
              <w:t>nksioznost, euforično raspoloženje</w:t>
            </w:r>
          </w:p>
        </w:tc>
        <w:tc>
          <w:tcPr>
            <w:tcW w:w="2486" w:type="dxa"/>
            <w:tcBorders>
              <w:top w:val="single" w:sz="4" w:space="0" w:color="000000"/>
              <w:left w:val="single" w:sz="4" w:space="0" w:color="000000"/>
              <w:bottom w:val="single" w:sz="4" w:space="0" w:color="000000"/>
              <w:right w:val="single" w:sz="4" w:space="0" w:color="000000"/>
            </w:tcBorders>
          </w:tcPr>
          <w:p w14:paraId="3964E0E8"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102ACB15" w14:textId="77777777" w:rsidTr="00567DB0">
        <w:trPr>
          <w:trHeight w:val="1022"/>
        </w:trPr>
        <w:tc>
          <w:tcPr>
            <w:tcW w:w="2486" w:type="dxa"/>
            <w:tcBorders>
              <w:top w:val="single" w:sz="4" w:space="0" w:color="000000"/>
              <w:left w:val="single" w:sz="4" w:space="0" w:color="000000"/>
              <w:bottom w:val="single" w:sz="4" w:space="0" w:color="000000"/>
              <w:right w:val="single" w:sz="4" w:space="0" w:color="000000"/>
            </w:tcBorders>
          </w:tcPr>
          <w:p w14:paraId="3499D1A0"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nervnog sistema</w:t>
            </w:r>
          </w:p>
        </w:tc>
        <w:tc>
          <w:tcPr>
            <w:tcW w:w="2486" w:type="dxa"/>
            <w:tcBorders>
              <w:top w:val="single" w:sz="4" w:space="0" w:color="000000"/>
              <w:left w:val="single" w:sz="4" w:space="0" w:color="000000"/>
              <w:bottom w:val="single" w:sz="4" w:space="0" w:color="000000"/>
              <w:right w:val="single" w:sz="4" w:space="0" w:color="000000"/>
            </w:tcBorders>
          </w:tcPr>
          <w:p w14:paraId="0C0BC7DC"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Glavobolja, vrtoglavica</w:t>
            </w:r>
          </w:p>
        </w:tc>
        <w:tc>
          <w:tcPr>
            <w:tcW w:w="2486" w:type="dxa"/>
            <w:tcBorders>
              <w:top w:val="single" w:sz="4" w:space="0" w:color="000000"/>
              <w:left w:val="single" w:sz="4" w:space="0" w:color="000000"/>
              <w:bottom w:val="single" w:sz="4" w:space="0" w:color="000000"/>
              <w:right w:val="single" w:sz="4" w:space="0" w:color="000000"/>
            </w:tcBorders>
          </w:tcPr>
          <w:p w14:paraId="3AFF0981" w14:textId="57BFA2F3"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p</w:t>
            </w:r>
            <w:r w:rsidR="00A047E8" w:rsidRPr="00F66F27">
              <w:rPr>
                <w:bCs/>
                <w:sz w:val="22"/>
                <w:szCs w:val="22"/>
                <w:lang w:val="sr-Latn-RS"/>
              </w:rPr>
              <w:t>ospanost, nesanica, parestezija, hipersomnija, periferna senzorna neuropatija</w:t>
            </w:r>
          </w:p>
        </w:tc>
        <w:tc>
          <w:tcPr>
            <w:tcW w:w="2486" w:type="dxa"/>
            <w:tcBorders>
              <w:top w:val="single" w:sz="4" w:space="0" w:color="000000"/>
              <w:left w:val="single" w:sz="4" w:space="0" w:color="000000"/>
              <w:bottom w:val="single" w:sz="4" w:space="0" w:color="000000"/>
              <w:right w:val="single" w:sz="4" w:space="0" w:color="000000"/>
            </w:tcBorders>
          </w:tcPr>
          <w:p w14:paraId="651C77BF"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2C811D2A" w14:textId="77777777" w:rsidTr="00567DB0">
        <w:trPr>
          <w:trHeight w:val="264"/>
        </w:trPr>
        <w:tc>
          <w:tcPr>
            <w:tcW w:w="2486" w:type="dxa"/>
            <w:tcBorders>
              <w:top w:val="single" w:sz="4" w:space="0" w:color="000000"/>
              <w:left w:val="single" w:sz="4" w:space="0" w:color="000000"/>
              <w:bottom w:val="single" w:sz="4" w:space="0" w:color="000000"/>
              <w:right w:val="single" w:sz="4" w:space="0" w:color="000000"/>
            </w:tcBorders>
          </w:tcPr>
          <w:p w14:paraId="54BD9F4C"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oka</w:t>
            </w:r>
          </w:p>
        </w:tc>
        <w:tc>
          <w:tcPr>
            <w:tcW w:w="2486" w:type="dxa"/>
            <w:tcBorders>
              <w:top w:val="single" w:sz="4" w:space="0" w:color="000000"/>
              <w:left w:val="single" w:sz="4" w:space="0" w:color="000000"/>
              <w:bottom w:val="single" w:sz="4" w:space="0" w:color="000000"/>
              <w:right w:val="single" w:sz="4" w:space="0" w:color="000000"/>
            </w:tcBorders>
          </w:tcPr>
          <w:p w14:paraId="09950912"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35899E94" w14:textId="029FD925"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i</w:t>
            </w:r>
            <w:r w:rsidR="00A047E8" w:rsidRPr="00F66F27">
              <w:rPr>
                <w:bCs/>
                <w:sz w:val="22"/>
                <w:szCs w:val="22"/>
                <w:lang w:val="sr-Latn-RS"/>
              </w:rPr>
              <w:t>ritacija oka, ambliopija</w:t>
            </w:r>
          </w:p>
        </w:tc>
        <w:tc>
          <w:tcPr>
            <w:tcW w:w="2486" w:type="dxa"/>
            <w:tcBorders>
              <w:top w:val="single" w:sz="4" w:space="0" w:color="000000"/>
              <w:left w:val="single" w:sz="4" w:space="0" w:color="000000"/>
              <w:bottom w:val="single" w:sz="4" w:space="0" w:color="000000"/>
              <w:right w:val="single" w:sz="4" w:space="0" w:color="000000"/>
            </w:tcBorders>
          </w:tcPr>
          <w:p w14:paraId="7B955F97"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1704FAA7" w14:textId="77777777" w:rsidTr="00567DB0">
        <w:trPr>
          <w:trHeight w:val="514"/>
        </w:trPr>
        <w:tc>
          <w:tcPr>
            <w:tcW w:w="2486" w:type="dxa"/>
            <w:tcBorders>
              <w:top w:val="single" w:sz="4" w:space="0" w:color="000000"/>
              <w:left w:val="single" w:sz="4" w:space="0" w:color="000000"/>
              <w:bottom w:val="single" w:sz="4" w:space="0" w:color="000000"/>
              <w:right w:val="single" w:sz="4" w:space="0" w:color="000000"/>
            </w:tcBorders>
          </w:tcPr>
          <w:p w14:paraId="7048B117"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uha i labirinta</w:t>
            </w:r>
          </w:p>
        </w:tc>
        <w:tc>
          <w:tcPr>
            <w:tcW w:w="2486" w:type="dxa"/>
            <w:tcBorders>
              <w:top w:val="single" w:sz="4" w:space="0" w:color="000000"/>
              <w:left w:val="single" w:sz="4" w:space="0" w:color="000000"/>
              <w:bottom w:val="single" w:sz="4" w:space="0" w:color="000000"/>
              <w:right w:val="single" w:sz="4" w:space="0" w:color="000000"/>
            </w:tcBorders>
          </w:tcPr>
          <w:p w14:paraId="2FBEC195"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44153F47" w14:textId="4F3E9403"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k</w:t>
            </w:r>
            <w:r w:rsidR="00A047E8" w:rsidRPr="00F66F27">
              <w:rPr>
                <w:bCs/>
                <w:sz w:val="22"/>
                <w:szCs w:val="22"/>
                <w:lang w:val="sr-Latn-RS"/>
              </w:rPr>
              <w:t>inetoza, tinitus</w:t>
            </w:r>
          </w:p>
        </w:tc>
        <w:tc>
          <w:tcPr>
            <w:tcW w:w="2486" w:type="dxa"/>
            <w:tcBorders>
              <w:top w:val="single" w:sz="4" w:space="0" w:color="000000"/>
              <w:left w:val="single" w:sz="4" w:space="0" w:color="000000"/>
              <w:bottom w:val="single" w:sz="4" w:space="0" w:color="000000"/>
              <w:right w:val="single" w:sz="4" w:space="0" w:color="000000"/>
            </w:tcBorders>
          </w:tcPr>
          <w:p w14:paraId="7E2971F0"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7EE5531C" w14:textId="77777777" w:rsidTr="00567DB0">
        <w:trPr>
          <w:trHeight w:val="1781"/>
        </w:trPr>
        <w:tc>
          <w:tcPr>
            <w:tcW w:w="2486" w:type="dxa"/>
            <w:tcBorders>
              <w:top w:val="single" w:sz="4" w:space="0" w:color="000000"/>
              <w:left w:val="single" w:sz="4" w:space="0" w:color="000000"/>
              <w:bottom w:val="single" w:sz="4" w:space="0" w:color="000000"/>
              <w:right w:val="single" w:sz="4" w:space="0" w:color="000000"/>
            </w:tcBorders>
          </w:tcPr>
          <w:p w14:paraId="351092E3"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Kardiološki poremećaji</w:t>
            </w:r>
          </w:p>
        </w:tc>
        <w:tc>
          <w:tcPr>
            <w:tcW w:w="2486" w:type="dxa"/>
            <w:tcBorders>
              <w:top w:val="single" w:sz="4" w:space="0" w:color="000000"/>
              <w:left w:val="single" w:sz="4" w:space="0" w:color="000000"/>
              <w:bottom w:val="single" w:sz="4" w:space="0" w:color="000000"/>
              <w:right w:val="single" w:sz="4" w:space="0" w:color="000000"/>
            </w:tcBorders>
          </w:tcPr>
          <w:p w14:paraId="57DFED79"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44A62116" w14:textId="30E45B8E"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t</w:t>
            </w:r>
            <w:r w:rsidR="00A047E8" w:rsidRPr="00F66F27">
              <w:rPr>
                <w:bCs/>
                <w:sz w:val="22"/>
                <w:szCs w:val="22"/>
                <w:lang w:val="sr-Latn-RS"/>
              </w:rPr>
              <w:t>ahikardija, bradikardija, ekstrasistole, ishemija miokarda, sinusna tahikardija, sinusna aritmija, supraventrikularne ekstrasistole</w:t>
            </w:r>
          </w:p>
        </w:tc>
        <w:tc>
          <w:tcPr>
            <w:tcW w:w="2486" w:type="dxa"/>
            <w:tcBorders>
              <w:top w:val="single" w:sz="4" w:space="0" w:color="000000"/>
              <w:left w:val="single" w:sz="4" w:space="0" w:color="000000"/>
              <w:bottom w:val="single" w:sz="4" w:space="0" w:color="000000"/>
              <w:right w:val="single" w:sz="4" w:space="0" w:color="000000"/>
            </w:tcBorders>
          </w:tcPr>
          <w:p w14:paraId="34501293"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64059D87" w14:textId="77777777" w:rsidTr="00567DB0">
        <w:trPr>
          <w:trHeight w:val="768"/>
        </w:trPr>
        <w:tc>
          <w:tcPr>
            <w:tcW w:w="2486" w:type="dxa"/>
            <w:tcBorders>
              <w:top w:val="single" w:sz="4" w:space="0" w:color="000000"/>
              <w:left w:val="single" w:sz="4" w:space="0" w:color="000000"/>
              <w:bottom w:val="single" w:sz="4" w:space="0" w:color="000000"/>
              <w:right w:val="single" w:sz="4" w:space="0" w:color="000000"/>
            </w:tcBorders>
          </w:tcPr>
          <w:p w14:paraId="3EB264D7"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Vaskularni poremećaji</w:t>
            </w:r>
          </w:p>
        </w:tc>
        <w:tc>
          <w:tcPr>
            <w:tcW w:w="2486" w:type="dxa"/>
            <w:tcBorders>
              <w:top w:val="single" w:sz="4" w:space="0" w:color="000000"/>
              <w:left w:val="single" w:sz="4" w:space="0" w:color="000000"/>
              <w:bottom w:val="single" w:sz="4" w:space="0" w:color="000000"/>
              <w:right w:val="single" w:sz="4" w:space="0" w:color="000000"/>
            </w:tcBorders>
          </w:tcPr>
          <w:p w14:paraId="5CD355C2"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328DE285" w14:textId="1317C653"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h</w:t>
            </w:r>
            <w:r w:rsidR="00A047E8" w:rsidRPr="00F66F27">
              <w:rPr>
                <w:bCs/>
                <w:sz w:val="22"/>
                <w:szCs w:val="22"/>
                <w:lang w:val="sr-Latn-RS"/>
              </w:rPr>
              <w:t>ipotenzija, hipertenzija, promjena boje vena, proširenje vena</w:t>
            </w:r>
          </w:p>
        </w:tc>
        <w:tc>
          <w:tcPr>
            <w:tcW w:w="2486" w:type="dxa"/>
            <w:tcBorders>
              <w:top w:val="single" w:sz="4" w:space="0" w:color="000000"/>
              <w:left w:val="single" w:sz="4" w:space="0" w:color="000000"/>
              <w:bottom w:val="single" w:sz="4" w:space="0" w:color="000000"/>
              <w:right w:val="single" w:sz="4" w:space="0" w:color="000000"/>
            </w:tcBorders>
          </w:tcPr>
          <w:p w14:paraId="0837E981"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5DC22D4A" w14:textId="77777777" w:rsidTr="00567DB0">
        <w:trPr>
          <w:trHeight w:val="1022"/>
        </w:trPr>
        <w:tc>
          <w:tcPr>
            <w:tcW w:w="2486" w:type="dxa"/>
            <w:tcBorders>
              <w:top w:val="single" w:sz="4" w:space="0" w:color="000000"/>
              <w:left w:val="single" w:sz="4" w:space="0" w:color="000000"/>
              <w:bottom w:val="single" w:sz="4" w:space="0" w:color="000000"/>
              <w:right w:val="single" w:sz="4" w:space="0" w:color="000000"/>
            </w:tcBorders>
          </w:tcPr>
          <w:p w14:paraId="46792F91"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Respiratorni, torakalni i medijastinalni poremećaji</w:t>
            </w:r>
          </w:p>
        </w:tc>
        <w:tc>
          <w:tcPr>
            <w:tcW w:w="2486" w:type="dxa"/>
            <w:tcBorders>
              <w:top w:val="single" w:sz="4" w:space="0" w:color="000000"/>
              <w:left w:val="single" w:sz="4" w:space="0" w:color="000000"/>
              <w:bottom w:val="single" w:sz="4" w:space="0" w:color="000000"/>
              <w:right w:val="single" w:sz="4" w:space="0" w:color="000000"/>
            </w:tcBorders>
          </w:tcPr>
          <w:p w14:paraId="32229A41"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74847B83" w14:textId="281DDE53"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š</w:t>
            </w:r>
            <w:r w:rsidR="00A047E8" w:rsidRPr="00F66F27">
              <w:rPr>
                <w:bCs/>
                <w:sz w:val="22"/>
                <w:szCs w:val="22"/>
                <w:lang w:val="sr-Latn-RS"/>
              </w:rPr>
              <w:t>tucanje</w:t>
            </w:r>
          </w:p>
        </w:tc>
        <w:tc>
          <w:tcPr>
            <w:tcW w:w="2486" w:type="dxa"/>
            <w:tcBorders>
              <w:top w:val="single" w:sz="4" w:space="0" w:color="000000"/>
              <w:left w:val="single" w:sz="4" w:space="0" w:color="000000"/>
              <w:bottom w:val="single" w:sz="4" w:space="0" w:color="000000"/>
              <w:right w:val="single" w:sz="4" w:space="0" w:color="000000"/>
            </w:tcBorders>
          </w:tcPr>
          <w:p w14:paraId="198350DF"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2E80702F" w14:textId="77777777" w:rsidTr="002C2269">
        <w:trPr>
          <w:trHeight w:val="367"/>
        </w:trPr>
        <w:tc>
          <w:tcPr>
            <w:tcW w:w="2486" w:type="dxa"/>
            <w:tcBorders>
              <w:top w:val="single" w:sz="4" w:space="0" w:color="000000"/>
              <w:left w:val="single" w:sz="4" w:space="0" w:color="000000"/>
              <w:bottom w:val="single" w:sz="4" w:space="0" w:color="000000"/>
              <w:right w:val="single" w:sz="4" w:space="0" w:color="000000"/>
            </w:tcBorders>
          </w:tcPr>
          <w:p w14:paraId="7D504526"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Gastrointestinalni poremećaji</w:t>
            </w:r>
          </w:p>
        </w:tc>
        <w:tc>
          <w:tcPr>
            <w:tcW w:w="2486" w:type="dxa"/>
            <w:tcBorders>
              <w:top w:val="single" w:sz="4" w:space="0" w:color="000000"/>
              <w:left w:val="single" w:sz="4" w:space="0" w:color="000000"/>
              <w:bottom w:val="single" w:sz="4" w:space="0" w:color="000000"/>
              <w:right w:val="single" w:sz="4" w:space="0" w:color="000000"/>
            </w:tcBorders>
          </w:tcPr>
          <w:p w14:paraId="0B79B7C5"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konstipacija, dijareja</w:t>
            </w:r>
          </w:p>
        </w:tc>
        <w:tc>
          <w:tcPr>
            <w:tcW w:w="2486" w:type="dxa"/>
            <w:tcBorders>
              <w:top w:val="single" w:sz="4" w:space="0" w:color="000000"/>
              <w:left w:val="single" w:sz="4" w:space="0" w:color="000000"/>
              <w:bottom w:val="single" w:sz="4" w:space="0" w:color="000000"/>
              <w:right w:val="single" w:sz="4" w:space="0" w:color="000000"/>
            </w:tcBorders>
          </w:tcPr>
          <w:p w14:paraId="578BC8DF" w14:textId="66D397F1"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d</w:t>
            </w:r>
            <w:r w:rsidR="00A047E8" w:rsidRPr="00F66F27">
              <w:rPr>
                <w:bCs/>
                <w:sz w:val="22"/>
                <w:szCs w:val="22"/>
                <w:lang w:val="sr-Latn-RS"/>
              </w:rPr>
              <w:t xml:space="preserve">ispepsija, bol </w:t>
            </w:r>
            <w:r w:rsidRPr="00F66F27">
              <w:rPr>
                <w:bCs/>
                <w:sz w:val="22"/>
                <w:szCs w:val="22"/>
                <w:lang w:val="sr-Latn-RS"/>
              </w:rPr>
              <w:t>donjem dijel</w:t>
            </w:r>
            <w:r w:rsidR="00A047E8" w:rsidRPr="00F66F27">
              <w:rPr>
                <w:bCs/>
                <w:sz w:val="22"/>
                <w:szCs w:val="22"/>
                <w:lang w:val="sr-Latn-RS"/>
              </w:rPr>
              <w:t>u abdomen</w:t>
            </w:r>
            <w:r w:rsidRPr="00F66F27">
              <w:rPr>
                <w:bCs/>
                <w:sz w:val="22"/>
                <w:szCs w:val="22"/>
                <w:lang w:val="sr-Latn-RS"/>
              </w:rPr>
              <w:t>a</w:t>
            </w:r>
            <w:r w:rsidR="00A047E8" w:rsidRPr="00F66F27">
              <w:rPr>
                <w:bCs/>
                <w:sz w:val="22"/>
                <w:szCs w:val="22"/>
                <w:lang w:val="sr-Latn-RS"/>
              </w:rPr>
              <w:t xml:space="preserve">, bol u </w:t>
            </w:r>
            <w:r w:rsidR="00A047E8" w:rsidRPr="00F66F27">
              <w:rPr>
                <w:bCs/>
                <w:sz w:val="22"/>
                <w:szCs w:val="22"/>
                <w:lang w:val="sr-Latn-RS"/>
              </w:rPr>
              <w:lastRenderedPageBreak/>
              <w:t xml:space="preserve">gornjem dijelu abdomena, suvoća </w:t>
            </w:r>
          </w:p>
          <w:p w14:paraId="28A5F7B8"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usta, flatulencija</w:t>
            </w:r>
          </w:p>
        </w:tc>
        <w:tc>
          <w:tcPr>
            <w:tcW w:w="2486" w:type="dxa"/>
            <w:tcBorders>
              <w:top w:val="single" w:sz="4" w:space="0" w:color="000000"/>
              <w:left w:val="single" w:sz="4" w:space="0" w:color="000000"/>
              <w:bottom w:val="single" w:sz="4" w:space="0" w:color="000000"/>
              <w:right w:val="single" w:sz="4" w:space="0" w:color="000000"/>
            </w:tcBorders>
          </w:tcPr>
          <w:p w14:paraId="021D061E"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33090164" w14:textId="77777777" w:rsidTr="00567DB0">
        <w:trPr>
          <w:trHeight w:val="518"/>
        </w:trPr>
        <w:tc>
          <w:tcPr>
            <w:tcW w:w="2486" w:type="dxa"/>
            <w:tcBorders>
              <w:top w:val="single" w:sz="4" w:space="0" w:color="000000"/>
              <w:left w:val="single" w:sz="4" w:space="0" w:color="000000"/>
              <w:bottom w:val="single" w:sz="4" w:space="0" w:color="000000"/>
              <w:right w:val="single" w:sz="4" w:space="0" w:color="000000"/>
            </w:tcBorders>
          </w:tcPr>
          <w:p w14:paraId="105C9944"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Hepatobilijarni poremećaji</w:t>
            </w:r>
          </w:p>
        </w:tc>
        <w:tc>
          <w:tcPr>
            <w:tcW w:w="2486" w:type="dxa"/>
            <w:tcBorders>
              <w:top w:val="single" w:sz="4" w:space="0" w:color="000000"/>
              <w:left w:val="single" w:sz="4" w:space="0" w:color="000000"/>
              <w:bottom w:val="single" w:sz="4" w:space="0" w:color="000000"/>
              <w:right w:val="single" w:sz="4" w:space="0" w:color="000000"/>
            </w:tcBorders>
          </w:tcPr>
          <w:p w14:paraId="4B70762E"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3472B08F" w14:textId="7F1DCED1"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h</w:t>
            </w:r>
            <w:r w:rsidR="00A047E8" w:rsidRPr="00F66F27">
              <w:rPr>
                <w:bCs/>
                <w:sz w:val="22"/>
                <w:szCs w:val="22"/>
                <w:lang w:val="sr-Latn-RS"/>
              </w:rPr>
              <w:t>iperbilirubinemija</w:t>
            </w:r>
          </w:p>
        </w:tc>
        <w:tc>
          <w:tcPr>
            <w:tcW w:w="2486" w:type="dxa"/>
            <w:tcBorders>
              <w:top w:val="single" w:sz="4" w:space="0" w:color="000000"/>
              <w:left w:val="single" w:sz="4" w:space="0" w:color="000000"/>
              <w:bottom w:val="single" w:sz="4" w:space="0" w:color="000000"/>
              <w:right w:val="single" w:sz="4" w:space="0" w:color="000000"/>
            </w:tcBorders>
          </w:tcPr>
          <w:p w14:paraId="2EEC1C5E"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0DB77D9B" w14:textId="77777777" w:rsidTr="00567DB0">
        <w:trPr>
          <w:trHeight w:val="768"/>
        </w:trPr>
        <w:tc>
          <w:tcPr>
            <w:tcW w:w="2486" w:type="dxa"/>
            <w:tcBorders>
              <w:top w:val="single" w:sz="4" w:space="0" w:color="000000"/>
              <w:left w:val="single" w:sz="4" w:space="0" w:color="000000"/>
              <w:bottom w:val="single" w:sz="4" w:space="0" w:color="000000"/>
              <w:right w:val="single" w:sz="4" w:space="0" w:color="000000"/>
            </w:tcBorders>
          </w:tcPr>
          <w:p w14:paraId="7B87187D"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kože i potkožnog tkiva</w:t>
            </w:r>
          </w:p>
        </w:tc>
        <w:tc>
          <w:tcPr>
            <w:tcW w:w="2486" w:type="dxa"/>
            <w:tcBorders>
              <w:top w:val="single" w:sz="4" w:space="0" w:color="000000"/>
              <w:left w:val="single" w:sz="4" w:space="0" w:color="000000"/>
              <w:bottom w:val="single" w:sz="4" w:space="0" w:color="000000"/>
              <w:right w:val="single" w:sz="4" w:space="0" w:color="000000"/>
            </w:tcBorders>
          </w:tcPr>
          <w:p w14:paraId="08C37856"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4DEC37B5" w14:textId="27FAAB28"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a</w:t>
            </w:r>
            <w:r w:rsidR="00A047E8" w:rsidRPr="00F66F27">
              <w:rPr>
                <w:bCs/>
                <w:sz w:val="22"/>
                <w:szCs w:val="22"/>
                <w:lang w:val="sr-Latn-RS"/>
              </w:rPr>
              <w:t xml:space="preserve">lergijski dermatitis, </w:t>
            </w:r>
          </w:p>
          <w:p w14:paraId="7A220AFE"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pruritični osip (osip praćen svrabom)</w:t>
            </w:r>
          </w:p>
        </w:tc>
        <w:tc>
          <w:tcPr>
            <w:tcW w:w="2486" w:type="dxa"/>
            <w:tcBorders>
              <w:top w:val="single" w:sz="4" w:space="0" w:color="000000"/>
              <w:left w:val="single" w:sz="4" w:space="0" w:color="000000"/>
              <w:bottom w:val="single" w:sz="4" w:space="0" w:color="000000"/>
              <w:right w:val="single" w:sz="4" w:space="0" w:color="000000"/>
            </w:tcBorders>
          </w:tcPr>
          <w:p w14:paraId="070CB63A"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70E960C9" w14:textId="77777777" w:rsidTr="00567DB0">
        <w:trPr>
          <w:trHeight w:val="768"/>
        </w:trPr>
        <w:tc>
          <w:tcPr>
            <w:tcW w:w="2486" w:type="dxa"/>
            <w:tcBorders>
              <w:top w:val="single" w:sz="4" w:space="0" w:color="000000"/>
              <w:left w:val="single" w:sz="4" w:space="0" w:color="000000"/>
              <w:bottom w:val="single" w:sz="4" w:space="0" w:color="000000"/>
              <w:right w:val="single" w:sz="4" w:space="0" w:color="000000"/>
            </w:tcBorders>
          </w:tcPr>
          <w:p w14:paraId="535A4F11" w14:textId="2DB630A1"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mišićno</w:t>
            </w:r>
            <w:r w:rsidR="002570B9" w:rsidRPr="00F66F27">
              <w:rPr>
                <w:bCs/>
                <w:sz w:val="22"/>
                <w:szCs w:val="22"/>
                <w:lang w:val="sr-Latn-RS"/>
              </w:rPr>
              <w:t>-</w:t>
            </w:r>
            <w:r w:rsidRPr="00F66F27">
              <w:rPr>
                <w:bCs/>
                <w:sz w:val="22"/>
                <w:szCs w:val="22"/>
                <w:lang w:val="sr-Latn-RS"/>
              </w:rPr>
              <w:t>koštanog sistema i vezivnog tkiva</w:t>
            </w:r>
          </w:p>
        </w:tc>
        <w:tc>
          <w:tcPr>
            <w:tcW w:w="2486" w:type="dxa"/>
            <w:tcBorders>
              <w:top w:val="single" w:sz="4" w:space="0" w:color="000000"/>
              <w:left w:val="single" w:sz="4" w:space="0" w:color="000000"/>
              <w:bottom w:val="single" w:sz="4" w:space="0" w:color="000000"/>
              <w:right w:val="single" w:sz="4" w:space="0" w:color="000000"/>
            </w:tcBorders>
          </w:tcPr>
          <w:p w14:paraId="4A981C03"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48777AF4" w14:textId="4F61AEE3"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a</w:t>
            </w:r>
            <w:r w:rsidR="00A047E8" w:rsidRPr="00F66F27">
              <w:rPr>
                <w:bCs/>
                <w:sz w:val="22"/>
                <w:szCs w:val="22"/>
                <w:lang w:val="sr-Latn-RS"/>
              </w:rPr>
              <w:t>rtralgija</w:t>
            </w:r>
          </w:p>
        </w:tc>
        <w:tc>
          <w:tcPr>
            <w:tcW w:w="2486" w:type="dxa"/>
            <w:tcBorders>
              <w:top w:val="single" w:sz="4" w:space="0" w:color="000000"/>
              <w:left w:val="single" w:sz="4" w:space="0" w:color="000000"/>
              <w:bottom w:val="single" w:sz="4" w:space="0" w:color="000000"/>
              <w:right w:val="single" w:sz="4" w:space="0" w:color="000000"/>
            </w:tcBorders>
          </w:tcPr>
          <w:p w14:paraId="2AB4B0A5"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2D07D7E0" w14:textId="77777777" w:rsidTr="00567DB0">
        <w:trPr>
          <w:trHeight w:val="514"/>
        </w:trPr>
        <w:tc>
          <w:tcPr>
            <w:tcW w:w="2486" w:type="dxa"/>
            <w:tcBorders>
              <w:top w:val="single" w:sz="4" w:space="0" w:color="000000"/>
              <w:left w:val="single" w:sz="4" w:space="0" w:color="000000"/>
              <w:bottom w:val="single" w:sz="4" w:space="0" w:color="000000"/>
              <w:right w:val="single" w:sz="4" w:space="0" w:color="000000"/>
            </w:tcBorders>
          </w:tcPr>
          <w:p w14:paraId="4432FDB9"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bubrega i urinarnog sistema</w:t>
            </w:r>
          </w:p>
        </w:tc>
        <w:tc>
          <w:tcPr>
            <w:tcW w:w="2486" w:type="dxa"/>
            <w:tcBorders>
              <w:top w:val="single" w:sz="4" w:space="0" w:color="000000"/>
              <w:left w:val="single" w:sz="4" w:space="0" w:color="000000"/>
              <w:bottom w:val="single" w:sz="4" w:space="0" w:color="000000"/>
              <w:right w:val="single" w:sz="4" w:space="0" w:color="000000"/>
            </w:tcBorders>
          </w:tcPr>
          <w:p w14:paraId="733C820A"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73559FAF" w14:textId="3766CC3A"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r</w:t>
            </w:r>
            <w:r w:rsidR="00A047E8" w:rsidRPr="00F66F27">
              <w:rPr>
                <w:bCs/>
                <w:sz w:val="22"/>
                <w:szCs w:val="22"/>
                <w:lang w:val="sr-Latn-RS"/>
              </w:rPr>
              <w:t>etencija urina, glikozurija</w:t>
            </w:r>
          </w:p>
        </w:tc>
        <w:tc>
          <w:tcPr>
            <w:tcW w:w="2486" w:type="dxa"/>
            <w:tcBorders>
              <w:top w:val="single" w:sz="4" w:space="0" w:color="000000"/>
              <w:left w:val="single" w:sz="4" w:space="0" w:color="000000"/>
              <w:bottom w:val="single" w:sz="4" w:space="0" w:color="000000"/>
              <w:right w:val="single" w:sz="4" w:space="0" w:color="000000"/>
            </w:tcBorders>
          </w:tcPr>
          <w:p w14:paraId="36DBE5B3" w14:textId="77777777" w:rsidR="00A047E8" w:rsidRPr="00F66F27" w:rsidRDefault="00A047E8" w:rsidP="00511A40">
            <w:pPr>
              <w:tabs>
                <w:tab w:val="left" w:pos="540"/>
                <w:tab w:val="left" w:pos="569"/>
              </w:tabs>
              <w:jc w:val="both"/>
              <w:rPr>
                <w:bCs/>
                <w:sz w:val="22"/>
                <w:szCs w:val="22"/>
                <w:lang w:val="sr-Latn-RS"/>
              </w:rPr>
            </w:pPr>
          </w:p>
        </w:tc>
      </w:tr>
      <w:tr w:rsidR="00A047E8" w:rsidRPr="00F66F27" w14:paraId="2BB606B8" w14:textId="77777777" w:rsidTr="00567DB0">
        <w:trPr>
          <w:trHeight w:val="773"/>
        </w:trPr>
        <w:tc>
          <w:tcPr>
            <w:tcW w:w="2486" w:type="dxa"/>
            <w:tcBorders>
              <w:top w:val="single" w:sz="4" w:space="0" w:color="000000"/>
              <w:left w:val="single" w:sz="4" w:space="0" w:color="000000"/>
              <w:bottom w:val="single" w:sz="4" w:space="0" w:color="000000"/>
              <w:right w:val="single" w:sz="4" w:space="0" w:color="000000"/>
            </w:tcBorders>
          </w:tcPr>
          <w:p w14:paraId="20F169AB"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 xml:space="preserve">Opšti poremećaji i </w:t>
            </w:r>
          </w:p>
          <w:p w14:paraId="686F8EEC"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reakcije na mjestu primjene</w:t>
            </w:r>
          </w:p>
        </w:tc>
        <w:tc>
          <w:tcPr>
            <w:tcW w:w="2486" w:type="dxa"/>
            <w:tcBorders>
              <w:top w:val="single" w:sz="4" w:space="0" w:color="000000"/>
              <w:left w:val="single" w:sz="4" w:space="0" w:color="000000"/>
              <w:bottom w:val="single" w:sz="4" w:space="0" w:color="000000"/>
              <w:right w:val="single" w:sz="4" w:space="0" w:color="000000"/>
            </w:tcBorders>
          </w:tcPr>
          <w:p w14:paraId="1ACAF0B8"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7681756B" w14:textId="61B091D1"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a</w:t>
            </w:r>
            <w:r w:rsidR="00A047E8" w:rsidRPr="00F66F27">
              <w:rPr>
                <w:bCs/>
                <w:sz w:val="22"/>
                <w:szCs w:val="22"/>
                <w:lang w:val="sr-Latn-RS"/>
              </w:rPr>
              <w:t>stenija, pireksija, zamor, osjećaj vrućine, simptomi slični gripu</w:t>
            </w:r>
          </w:p>
        </w:tc>
        <w:tc>
          <w:tcPr>
            <w:tcW w:w="2486" w:type="dxa"/>
            <w:tcBorders>
              <w:top w:val="single" w:sz="4" w:space="0" w:color="000000"/>
              <w:left w:val="single" w:sz="4" w:space="0" w:color="000000"/>
              <w:bottom w:val="single" w:sz="4" w:space="0" w:color="000000"/>
              <w:right w:val="single" w:sz="4" w:space="0" w:color="000000"/>
            </w:tcBorders>
          </w:tcPr>
          <w:p w14:paraId="5F827B03" w14:textId="3D334897"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r</w:t>
            </w:r>
            <w:r w:rsidR="00A047E8" w:rsidRPr="00F66F27">
              <w:rPr>
                <w:bCs/>
                <w:sz w:val="22"/>
                <w:szCs w:val="22"/>
                <w:lang w:val="sr-Latn-RS"/>
              </w:rPr>
              <w:t>eakcija na mjestu primjene injekcije*</w:t>
            </w:r>
          </w:p>
        </w:tc>
      </w:tr>
      <w:tr w:rsidR="00A047E8" w:rsidRPr="00F66F27" w14:paraId="5EDBD704" w14:textId="77777777" w:rsidTr="00567DB0">
        <w:trPr>
          <w:trHeight w:val="768"/>
        </w:trPr>
        <w:tc>
          <w:tcPr>
            <w:tcW w:w="2486" w:type="dxa"/>
            <w:tcBorders>
              <w:top w:val="single" w:sz="4" w:space="0" w:color="000000"/>
              <w:left w:val="single" w:sz="4" w:space="0" w:color="000000"/>
              <w:bottom w:val="single" w:sz="4" w:space="0" w:color="000000"/>
              <w:right w:val="single" w:sz="4" w:space="0" w:color="000000"/>
            </w:tcBorders>
            <w:vAlign w:val="center"/>
          </w:tcPr>
          <w:p w14:paraId="012C9884"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Ispitivanja</w:t>
            </w:r>
          </w:p>
        </w:tc>
        <w:tc>
          <w:tcPr>
            <w:tcW w:w="2486" w:type="dxa"/>
            <w:tcBorders>
              <w:top w:val="single" w:sz="4" w:space="0" w:color="000000"/>
              <w:left w:val="single" w:sz="4" w:space="0" w:color="000000"/>
              <w:bottom w:val="single" w:sz="4" w:space="0" w:color="000000"/>
              <w:right w:val="single" w:sz="4" w:space="0" w:color="000000"/>
            </w:tcBorders>
          </w:tcPr>
          <w:p w14:paraId="26E3A100" w14:textId="77777777" w:rsidR="00A047E8" w:rsidRPr="00F66F27" w:rsidRDefault="00A047E8" w:rsidP="00511A40">
            <w:pPr>
              <w:tabs>
                <w:tab w:val="left" w:pos="540"/>
                <w:tab w:val="left" w:pos="569"/>
              </w:tabs>
              <w:jc w:val="both"/>
              <w:rPr>
                <w:bCs/>
                <w:sz w:val="22"/>
                <w:szCs w:val="22"/>
                <w:lang w:val="sr-Latn-RS"/>
              </w:rPr>
            </w:pPr>
          </w:p>
        </w:tc>
        <w:tc>
          <w:tcPr>
            <w:tcW w:w="2486" w:type="dxa"/>
            <w:tcBorders>
              <w:top w:val="single" w:sz="4" w:space="0" w:color="000000"/>
              <w:left w:val="single" w:sz="4" w:space="0" w:color="000000"/>
              <w:bottom w:val="single" w:sz="4" w:space="0" w:color="000000"/>
              <w:right w:val="single" w:sz="4" w:space="0" w:color="000000"/>
            </w:tcBorders>
          </w:tcPr>
          <w:p w14:paraId="05A43474" w14:textId="2B87DD05"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p</w:t>
            </w:r>
            <w:r w:rsidR="00A047E8" w:rsidRPr="00F66F27">
              <w:rPr>
                <w:bCs/>
                <w:sz w:val="22"/>
                <w:szCs w:val="22"/>
                <w:lang w:val="sr-Latn-RS"/>
              </w:rPr>
              <w:t>orast nivoa transaminaza, produžen QTc interval na EKG-u</w:t>
            </w:r>
          </w:p>
        </w:tc>
        <w:tc>
          <w:tcPr>
            <w:tcW w:w="2486" w:type="dxa"/>
            <w:tcBorders>
              <w:top w:val="single" w:sz="4" w:space="0" w:color="000000"/>
              <w:left w:val="single" w:sz="4" w:space="0" w:color="000000"/>
              <w:bottom w:val="single" w:sz="4" w:space="0" w:color="000000"/>
              <w:right w:val="single" w:sz="4" w:space="0" w:color="000000"/>
            </w:tcBorders>
          </w:tcPr>
          <w:p w14:paraId="077CEEA5" w14:textId="77777777" w:rsidR="00A047E8" w:rsidRPr="00F66F27" w:rsidRDefault="00A047E8" w:rsidP="00511A40">
            <w:pPr>
              <w:tabs>
                <w:tab w:val="left" w:pos="540"/>
                <w:tab w:val="left" w:pos="569"/>
              </w:tabs>
              <w:jc w:val="both"/>
              <w:rPr>
                <w:bCs/>
                <w:sz w:val="22"/>
                <w:szCs w:val="22"/>
                <w:lang w:val="sr-Latn-RS"/>
              </w:rPr>
            </w:pPr>
          </w:p>
        </w:tc>
      </w:tr>
    </w:tbl>
    <w:p w14:paraId="32D496F3"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°Iz postmarketinškog iskustva</w:t>
      </w:r>
    </w:p>
    <w:p w14:paraId="20AFA605"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*Uključuje osjećaj žarenja, induraciju, nelagodnost i bol</w:t>
      </w:r>
    </w:p>
    <w:p w14:paraId="0D80DB1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  </w:t>
      </w:r>
    </w:p>
    <w:p w14:paraId="2360FF6F" w14:textId="77777777" w:rsidR="00A047E8" w:rsidRPr="00F66F27" w:rsidRDefault="00A047E8" w:rsidP="00CA6D84">
      <w:pPr>
        <w:tabs>
          <w:tab w:val="left" w:pos="540"/>
          <w:tab w:val="left" w:pos="569"/>
        </w:tabs>
        <w:jc w:val="both"/>
        <w:rPr>
          <w:bCs/>
          <w:i/>
          <w:sz w:val="22"/>
          <w:szCs w:val="22"/>
          <w:lang w:val="sr-Latn-RS"/>
        </w:rPr>
      </w:pPr>
      <w:r w:rsidRPr="00F66F27">
        <w:rPr>
          <w:bCs/>
          <w:i/>
          <w:sz w:val="22"/>
          <w:szCs w:val="22"/>
          <w:lang w:val="sr-Latn-RS"/>
        </w:rPr>
        <w:t>Pedijatrijska populacija</w:t>
      </w:r>
    </w:p>
    <w:p w14:paraId="5B33FA26" w14:textId="7E13E480" w:rsidR="00A047E8" w:rsidRPr="00F66F27" w:rsidRDefault="00A047E8">
      <w:pPr>
        <w:tabs>
          <w:tab w:val="left" w:pos="540"/>
          <w:tab w:val="left" w:pos="569"/>
        </w:tabs>
        <w:jc w:val="both"/>
        <w:rPr>
          <w:bCs/>
          <w:sz w:val="22"/>
          <w:szCs w:val="22"/>
          <w:lang w:val="sr-Latn-RS"/>
        </w:rPr>
      </w:pPr>
      <w:r w:rsidRPr="00F66F27">
        <w:rPr>
          <w:bCs/>
          <w:sz w:val="22"/>
          <w:szCs w:val="22"/>
          <w:lang w:val="sr-Latn-RS"/>
        </w:rPr>
        <w:t>Tokom pedijatrijskih kliničkih ispitivanja, za prevenciju akutne mučnine i povraćanja usljed primjene visoko emetogene ili umjereno emetogene hemioterapije, 402 pacijenta su primila pojedinačnu dozu palonosetrona (3, 10 ili 20 mikrograma/m</w:t>
      </w:r>
      <w:r w:rsidR="002570B9" w:rsidRPr="00F66F27">
        <w:rPr>
          <w:bCs/>
          <w:sz w:val="22"/>
          <w:szCs w:val="22"/>
          <w:lang w:val="sr-Latn-RS"/>
        </w:rPr>
        <w:t>l</w:t>
      </w:r>
      <w:r w:rsidRPr="00F66F27">
        <w:rPr>
          <w:bCs/>
          <w:sz w:val="22"/>
          <w:szCs w:val="22"/>
          <w:lang w:val="sr-Latn-RS"/>
        </w:rPr>
        <w:t>). Sljedeće česte i povremene neželjene reakcije su prijavljene tokom primjene pakonosetrona, nijedna sa učestalošću &gt;1%:</w:t>
      </w:r>
    </w:p>
    <w:p w14:paraId="392C78F3" w14:textId="77777777" w:rsidR="004F5969" w:rsidRPr="00F66F27" w:rsidRDefault="004F5969">
      <w:pPr>
        <w:tabs>
          <w:tab w:val="left" w:pos="540"/>
          <w:tab w:val="left" w:pos="569"/>
        </w:tabs>
        <w:jc w:val="both"/>
        <w:rPr>
          <w:bCs/>
          <w:sz w:val="22"/>
          <w:szCs w:val="22"/>
          <w:lang w:val="sr-Latn-RS"/>
        </w:rPr>
      </w:pPr>
    </w:p>
    <w:tbl>
      <w:tblPr>
        <w:tblW w:w="9989" w:type="dxa"/>
        <w:tblInd w:w="-110" w:type="dxa"/>
        <w:tblCellMar>
          <w:top w:w="49" w:type="dxa"/>
          <w:left w:w="106" w:type="dxa"/>
          <w:right w:w="89" w:type="dxa"/>
        </w:tblCellMar>
        <w:tblLook w:val="04A0" w:firstRow="1" w:lastRow="0" w:firstColumn="1" w:lastColumn="0" w:noHBand="0" w:noVBand="1"/>
      </w:tblPr>
      <w:tblGrid>
        <w:gridCol w:w="3332"/>
        <w:gridCol w:w="3331"/>
        <w:gridCol w:w="3326"/>
      </w:tblGrid>
      <w:tr w:rsidR="00A047E8" w:rsidRPr="00F66F27" w14:paraId="2E4EED93" w14:textId="77777777" w:rsidTr="00567DB0">
        <w:trPr>
          <w:trHeight w:val="518"/>
        </w:trPr>
        <w:tc>
          <w:tcPr>
            <w:tcW w:w="3331" w:type="dxa"/>
            <w:tcBorders>
              <w:top w:val="single" w:sz="4" w:space="0" w:color="000000"/>
              <w:left w:val="single" w:sz="4" w:space="0" w:color="000000"/>
              <w:bottom w:val="single" w:sz="4" w:space="0" w:color="000000"/>
              <w:right w:val="single" w:sz="4" w:space="0" w:color="000000"/>
            </w:tcBorders>
          </w:tcPr>
          <w:p w14:paraId="74105FD0"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Sistem organa</w:t>
            </w:r>
          </w:p>
        </w:tc>
        <w:tc>
          <w:tcPr>
            <w:tcW w:w="3331" w:type="dxa"/>
            <w:tcBorders>
              <w:top w:val="single" w:sz="4" w:space="0" w:color="000000"/>
              <w:left w:val="single" w:sz="4" w:space="0" w:color="000000"/>
              <w:bottom w:val="single" w:sz="4" w:space="0" w:color="000000"/>
              <w:right w:val="single" w:sz="4" w:space="0" w:color="000000"/>
            </w:tcBorders>
          </w:tcPr>
          <w:p w14:paraId="3338B0DD"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Česte neželjene reakcije (≥1/100 i &lt;1/10)</w:t>
            </w:r>
          </w:p>
        </w:tc>
        <w:tc>
          <w:tcPr>
            <w:tcW w:w="3326" w:type="dxa"/>
            <w:tcBorders>
              <w:top w:val="single" w:sz="4" w:space="0" w:color="000000"/>
              <w:left w:val="single" w:sz="4" w:space="0" w:color="000000"/>
              <w:bottom w:val="single" w:sz="4" w:space="0" w:color="000000"/>
              <w:right w:val="single" w:sz="4" w:space="0" w:color="000000"/>
            </w:tcBorders>
          </w:tcPr>
          <w:p w14:paraId="20E5E355"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Povremene neželjene reakcije (≥1/1000 i &lt;1/100)</w:t>
            </w:r>
          </w:p>
        </w:tc>
      </w:tr>
      <w:tr w:rsidR="00A047E8" w:rsidRPr="00F66F27" w14:paraId="74DAA09D" w14:textId="77777777" w:rsidTr="00567DB0">
        <w:trPr>
          <w:trHeight w:val="451"/>
        </w:trPr>
        <w:tc>
          <w:tcPr>
            <w:tcW w:w="3331" w:type="dxa"/>
            <w:tcBorders>
              <w:top w:val="single" w:sz="4" w:space="0" w:color="000000"/>
              <w:left w:val="single" w:sz="4" w:space="0" w:color="000000"/>
              <w:bottom w:val="single" w:sz="4" w:space="0" w:color="000000"/>
              <w:right w:val="single" w:sz="4" w:space="0" w:color="000000"/>
            </w:tcBorders>
          </w:tcPr>
          <w:p w14:paraId="24FCF500"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nervnog sistema</w:t>
            </w:r>
          </w:p>
        </w:tc>
        <w:tc>
          <w:tcPr>
            <w:tcW w:w="3331" w:type="dxa"/>
            <w:tcBorders>
              <w:top w:val="single" w:sz="4" w:space="0" w:color="000000"/>
              <w:left w:val="single" w:sz="4" w:space="0" w:color="000000"/>
              <w:bottom w:val="single" w:sz="4" w:space="0" w:color="000000"/>
              <w:right w:val="single" w:sz="4" w:space="0" w:color="000000"/>
            </w:tcBorders>
          </w:tcPr>
          <w:p w14:paraId="174FB740" w14:textId="18C69BEE"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g</w:t>
            </w:r>
            <w:r w:rsidR="00A047E8" w:rsidRPr="00F66F27">
              <w:rPr>
                <w:bCs/>
                <w:sz w:val="22"/>
                <w:szCs w:val="22"/>
                <w:lang w:val="sr-Latn-RS"/>
              </w:rPr>
              <w:t>lavobolja</w:t>
            </w:r>
          </w:p>
        </w:tc>
        <w:tc>
          <w:tcPr>
            <w:tcW w:w="3326" w:type="dxa"/>
            <w:tcBorders>
              <w:top w:val="single" w:sz="4" w:space="0" w:color="000000"/>
              <w:left w:val="single" w:sz="4" w:space="0" w:color="000000"/>
              <w:bottom w:val="single" w:sz="4" w:space="0" w:color="000000"/>
              <w:right w:val="single" w:sz="4" w:space="0" w:color="000000"/>
            </w:tcBorders>
          </w:tcPr>
          <w:p w14:paraId="6835D934" w14:textId="20527EBC"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v</w:t>
            </w:r>
            <w:r w:rsidR="00A047E8" w:rsidRPr="00F66F27">
              <w:rPr>
                <w:bCs/>
                <w:sz w:val="22"/>
                <w:szCs w:val="22"/>
                <w:lang w:val="sr-Latn-RS"/>
              </w:rPr>
              <w:t>rtoglavica, diskinezija</w:t>
            </w:r>
          </w:p>
        </w:tc>
      </w:tr>
      <w:tr w:rsidR="00A047E8" w:rsidRPr="00F66F27" w14:paraId="68E70ED7" w14:textId="77777777" w:rsidTr="00567DB0">
        <w:trPr>
          <w:trHeight w:val="768"/>
        </w:trPr>
        <w:tc>
          <w:tcPr>
            <w:tcW w:w="3331" w:type="dxa"/>
            <w:tcBorders>
              <w:top w:val="single" w:sz="4" w:space="0" w:color="000000"/>
              <w:left w:val="single" w:sz="4" w:space="0" w:color="000000"/>
              <w:bottom w:val="single" w:sz="4" w:space="0" w:color="000000"/>
              <w:right w:val="single" w:sz="4" w:space="0" w:color="000000"/>
            </w:tcBorders>
          </w:tcPr>
          <w:p w14:paraId="0250A97D"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Kardiološki poremećaji</w:t>
            </w:r>
          </w:p>
        </w:tc>
        <w:tc>
          <w:tcPr>
            <w:tcW w:w="3331" w:type="dxa"/>
            <w:tcBorders>
              <w:top w:val="single" w:sz="4" w:space="0" w:color="000000"/>
              <w:left w:val="single" w:sz="4" w:space="0" w:color="000000"/>
              <w:bottom w:val="single" w:sz="4" w:space="0" w:color="000000"/>
              <w:right w:val="single" w:sz="4" w:space="0" w:color="000000"/>
            </w:tcBorders>
          </w:tcPr>
          <w:p w14:paraId="6B82DD06" w14:textId="77777777" w:rsidR="00A047E8" w:rsidRPr="00F66F27" w:rsidRDefault="00A047E8" w:rsidP="00511A40">
            <w:pPr>
              <w:tabs>
                <w:tab w:val="left" w:pos="540"/>
                <w:tab w:val="left" w:pos="569"/>
              </w:tabs>
              <w:jc w:val="both"/>
              <w:rPr>
                <w:bCs/>
                <w:sz w:val="22"/>
                <w:szCs w:val="22"/>
                <w:lang w:val="sr-Latn-RS"/>
              </w:rPr>
            </w:pPr>
          </w:p>
        </w:tc>
        <w:tc>
          <w:tcPr>
            <w:tcW w:w="3326" w:type="dxa"/>
            <w:tcBorders>
              <w:top w:val="single" w:sz="4" w:space="0" w:color="000000"/>
              <w:left w:val="single" w:sz="4" w:space="0" w:color="000000"/>
              <w:bottom w:val="single" w:sz="4" w:space="0" w:color="000000"/>
              <w:right w:val="single" w:sz="4" w:space="0" w:color="000000"/>
            </w:tcBorders>
          </w:tcPr>
          <w:p w14:paraId="16662D5D" w14:textId="0D61A4C7"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p</w:t>
            </w:r>
            <w:r w:rsidR="00A047E8" w:rsidRPr="00F66F27">
              <w:rPr>
                <w:bCs/>
                <w:sz w:val="22"/>
                <w:szCs w:val="22"/>
                <w:lang w:val="sr-Latn-RS"/>
              </w:rPr>
              <w:t>roduženje QT intervala na elektrokardiogramu, poremećaj provodljivosti, sinusna tahikardija</w:t>
            </w:r>
          </w:p>
        </w:tc>
      </w:tr>
      <w:tr w:rsidR="00A047E8" w:rsidRPr="00F66F27" w14:paraId="1217F0EA" w14:textId="77777777" w:rsidTr="00567DB0">
        <w:trPr>
          <w:trHeight w:val="518"/>
        </w:trPr>
        <w:tc>
          <w:tcPr>
            <w:tcW w:w="3331" w:type="dxa"/>
            <w:tcBorders>
              <w:top w:val="single" w:sz="4" w:space="0" w:color="000000"/>
              <w:left w:val="single" w:sz="4" w:space="0" w:color="000000"/>
              <w:bottom w:val="single" w:sz="4" w:space="0" w:color="000000"/>
              <w:right w:val="single" w:sz="4" w:space="0" w:color="000000"/>
            </w:tcBorders>
          </w:tcPr>
          <w:p w14:paraId="033147F1"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Respiratorni, torakalni i medijastinalni poremećaji</w:t>
            </w:r>
          </w:p>
        </w:tc>
        <w:tc>
          <w:tcPr>
            <w:tcW w:w="3331" w:type="dxa"/>
            <w:tcBorders>
              <w:top w:val="single" w:sz="4" w:space="0" w:color="000000"/>
              <w:left w:val="single" w:sz="4" w:space="0" w:color="000000"/>
              <w:bottom w:val="single" w:sz="4" w:space="0" w:color="000000"/>
              <w:right w:val="single" w:sz="4" w:space="0" w:color="000000"/>
            </w:tcBorders>
          </w:tcPr>
          <w:p w14:paraId="14A1A95E" w14:textId="77777777" w:rsidR="00A047E8" w:rsidRPr="00F66F27" w:rsidRDefault="00A047E8" w:rsidP="00511A40">
            <w:pPr>
              <w:tabs>
                <w:tab w:val="left" w:pos="540"/>
                <w:tab w:val="left" w:pos="569"/>
              </w:tabs>
              <w:jc w:val="both"/>
              <w:rPr>
                <w:bCs/>
                <w:sz w:val="22"/>
                <w:szCs w:val="22"/>
                <w:lang w:val="sr-Latn-RS"/>
              </w:rPr>
            </w:pPr>
          </w:p>
        </w:tc>
        <w:tc>
          <w:tcPr>
            <w:tcW w:w="3326" w:type="dxa"/>
            <w:tcBorders>
              <w:top w:val="single" w:sz="4" w:space="0" w:color="000000"/>
              <w:left w:val="single" w:sz="4" w:space="0" w:color="000000"/>
              <w:bottom w:val="single" w:sz="4" w:space="0" w:color="000000"/>
              <w:right w:val="single" w:sz="4" w:space="0" w:color="000000"/>
            </w:tcBorders>
          </w:tcPr>
          <w:p w14:paraId="18EB3333" w14:textId="0FF688B8"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k</w:t>
            </w:r>
            <w:r w:rsidR="00A047E8" w:rsidRPr="00F66F27">
              <w:rPr>
                <w:bCs/>
                <w:sz w:val="22"/>
                <w:szCs w:val="22"/>
                <w:lang w:val="sr-Latn-RS"/>
              </w:rPr>
              <w:t xml:space="preserve">ašalj, dispneja, epistaksa </w:t>
            </w:r>
          </w:p>
        </w:tc>
      </w:tr>
      <w:tr w:rsidR="00A047E8" w:rsidRPr="00F66F27" w14:paraId="2953D6B5" w14:textId="77777777" w:rsidTr="00567DB0">
        <w:trPr>
          <w:trHeight w:val="514"/>
        </w:trPr>
        <w:tc>
          <w:tcPr>
            <w:tcW w:w="3331" w:type="dxa"/>
            <w:tcBorders>
              <w:top w:val="single" w:sz="4" w:space="0" w:color="000000"/>
              <w:left w:val="single" w:sz="4" w:space="0" w:color="000000"/>
              <w:bottom w:val="single" w:sz="4" w:space="0" w:color="000000"/>
              <w:right w:val="single" w:sz="4" w:space="0" w:color="000000"/>
            </w:tcBorders>
          </w:tcPr>
          <w:p w14:paraId="3B81FC20"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Poremećaji kože i potkožnog tkiva</w:t>
            </w:r>
          </w:p>
        </w:tc>
        <w:tc>
          <w:tcPr>
            <w:tcW w:w="3331" w:type="dxa"/>
            <w:tcBorders>
              <w:top w:val="single" w:sz="4" w:space="0" w:color="000000"/>
              <w:left w:val="single" w:sz="4" w:space="0" w:color="000000"/>
              <w:bottom w:val="single" w:sz="4" w:space="0" w:color="000000"/>
              <w:right w:val="single" w:sz="4" w:space="0" w:color="000000"/>
            </w:tcBorders>
          </w:tcPr>
          <w:p w14:paraId="04B23D88" w14:textId="77777777" w:rsidR="00A047E8" w:rsidRPr="00F66F27" w:rsidRDefault="00A047E8" w:rsidP="00511A40">
            <w:pPr>
              <w:tabs>
                <w:tab w:val="left" w:pos="540"/>
                <w:tab w:val="left" w:pos="569"/>
              </w:tabs>
              <w:jc w:val="both"/>
              <w:rPr>
                <w:bCs/>
                <w:sz w:val="22"/>
                <w:szCs w:val="22"/>
                <w:lang w:val="sr-Latn-RS"/>
              </w:rPr>
            </w:pPr>
          </w:p>
        </w:tc>
        <w:tc>
          <w:tcPr>
            <w:tcW w:w="3326" w:type="dxa"/>
            <w:tcBorders>
              <w:top w:val="single" w:sz="4" w:space="0" w:color="000000"/>
              <w:left w:val="single" w:sz="4" w:space="0" w:color="000000"/>
              <w:bottom w:val="single" w:sz="4" w:space="0" w:color="000000"/>
              <w:right w:val="single" w:sz="4" w:space="0" w:color="000000"/>
            </w:tcBorders>
          </w:tcPr>
          <w:p w14:paraId="44EF3F15" w14:textId="568EAE75"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a</w:t>
            </w:r>
            <w:r w:rsidR="00A047E8" w:rsidRPr="00F66F27">
              <w:rPr>
                <w:bCs/>
                <w:sz w:val="22"/>
                <w:szCs w:val="22"/>
                <w:lang w:val="sr-Latn-RS"/>
              </w:rPr>
              <w:t>lergijski dermatitis, pruritus, kožni poremećaj, urtikarija</w:t>
            </w:r>
          </w:p>
        </w:tc>
      </w:tr>
      <w:tr w:rsidR="00A047E8" w:rsidRPr="00F66F27" w14:paraId="584A65BC" w14:textId="77777777" w:rsidTr="00567DB0">
        <w:trPr>
          <w:trHeight w:val="773"/>
        </w:trPr>
        <w:tc>
          <w:tcPr>
            <w:tcW w:w="3331" w:type="dxa"/>
            <w:tcBorders>
              <w:top w:val="single" w:sz="4" w:space="0" w:color="000000"/>
              <w:left w:val="single" w:sz="4" w:space="0" w:color="000000"/>
              <w:bottom w:val="single" w:sz="4" w:space="0" w:color="000000"/>
              <w:right w:val="single" w:sz="4" w:space="0" w:color="000000"/>
            </w:tcBorders>
          </w:tcPr>
          <w:p w14:paraId="10609B93" w14:textId="77777777" w:rsidR="00A047E8" w:rsidRPr="00F66F27" w:rsidRDefault="00A047E8" w:rsidP="00511A40">
            <w:pPr>
              <w:tabs>
                <w:tab w:val="left" w:pos="540"/>
                <w:tab w:val="left" w:pos="569"/>
              </w:tabs>
              <w:jc w:val="both"/>
              <w:rPr>
                <w:bCs/>
                <w:sz w:val="22"/>
                <w:szCs w:val="22"/>
                <w:lang w:val="sr-Latn-RS"/>
              </w:rPr>
            </w:pPr>
            <w:r w:rsidRPr="00F66F27">
              <w:rPr>
                <w:bCs/>
                <w:sz w:val="22"/>
                <w:szCs w:val="22"/>
                <w:lang w:val="sr-Latn-RS"/>
              </w:rPr>
              <w:t>Opšti poremećaji i reakcije na mjestu primjene</w:t>
            </w:r>
          </w:p>
        </w:tc>
        <w:tc>
          <w:tcPr>
            <w:tcW w:w="3331" w:type="dxa"/>
            <w:tcBorders>
              <w:top w:val="single" w:sz="4" w:space="0" w:color="000000"/>
              <w:left w:val="single" w:sz="4" w:space="0" w:color="000000"/>
              <w:bottom w:val="single" w:sz="4" w:space="0" w:color="000000"/>
              <w:right w:val="single" w:sz="4" w:space="0" w:color="000000"/>
            </w:tcBorders>
          </w:tcPr>
          <w:p w14:paraId="653D0442" w14:textId="77777777" w:rsidR="00A047E8" w:rsidRPr="00F66F27" w:rsidRDefault="00A047E8" w:rsidP="00511A40">
            <w:pPr>
              <w:tabs>
                <w:tab w:val="left" w:pos="540"/>
                <w:tab w:val="left" w:pos="569"/>
              </w:tabs>
              <w:jc w:val="both"/>
              <w:rPr>
                <w:bCs/>
                <w:sz w:val="22"/>
                <w:szCs w:val="22"/>
                <w:lang w:val="sr-Latn-RS"/>
              </w:rPr>
            </w:pPr>
          </w:p>
        </w:tc>
        <w:tc>
          <w:tcPr>
            <w:tcW w:w="3326" w:type="dxa"/>
            <w:tcBorders>
              <w:top w:val="single" w:sz="4" w:space="0" w:color="000000"/>
              <w:left w:val="single" w:sz="4" w:space="0" w:color="000000"/>
              <w:bottom w:val="single" w:sz="4" w:space="0" w:color="000000"/>
              <w:right w:val="single" w:sz="4" w:space="0" w:color="000000"/>
            </w:tcBorders>
          </w:tcPr>
          <w:p w14:paraId="70D9381B" w14:textId="049081D2" w:rsidR="00A047E8" w:rsidRPr="00F66F27" w:rsidRDefault="002570B9" w:rsidP="00511A40">
            <w:pPr>
              <w:tabs>
                <w:tab w:val="left" w:pos="540"/>
                <w:tab w:val="left" w:pos="569"/>
              </w:tabs>
              <w:jc w:val="both"/>
              <w:rPr>
                <w:bCs/>
                <w:sz w:val="22"/>
                <w:szCs w:val="22"/>
                <w:lang w:val="sr-Latn-RS"/>
              </w:rPr>
            </w:pPr>
            <w:r w:rsidRPr="00F66F27">
              <w:rPr>
                <w:bCs/>
                <w:sz w:val="22"/>
                <w:szCs w:val="22"/>
                <w:lang w:val="sr-Latn-RS"/>
              </w:rPr>
              <w:t>p</w:t>
            </w:r>
            <w:r w:rsidR="00A047E8" w:rsidRPr="00F66F27">
              <w:rPr>
                <w:bCs/>
                <w:sz w:val="22"/>
                <w:szCs w:val="22"/>
                <w:lang w:val="sr-Latn-RS"/>
              </w:rPr>
              <w:t>ireksija, bol na mjestu primjene infuzije, reakcija na mjestu primjene infuzije, bol</w:t>
            </w:r>
          </w:p>
        </w:tc>
      </w:tr>
    </w:tbl>
    <w:p w14:paraId="392DB5F0"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Neželjene reakcije su procijenjene kod pedijatrijskih pacijenata koji su primali palonosetron do 4 hemioterapijska ciklusa.</w:t>
      </w:r>
    </w:p>
    <w:p w14:paraId="031C8A2A" w14:textId="77777777" w:rsidR="00A047E8" w:rsidRPr="00F66F27" w:rsidRDefault="00A047E8" w:rsidP="00567DB0">
      <w:pPr>
        <w:tabs>
          <w:tab w:val="left" w:pos="540"/>
          <w:tab w:val="left" w:pos="569"/>
        </w:tabs>
        <w:jc w:val="both"/>
        <w:rPr>
          <w:b/>
          <w:bCs/>
          <w:sz w:val="22"/>
          <w:szCs w:val="22"/>
          <w:lang w:val="sr-Latn-RS"/>
        </w:rPr>
      </w:pPr>
    </w:p>
    <w:p w14:paraId="2C6C3CD5" w14:textId="72E95800" w:rsidR="005A23D2" w:rsidRPr="00F66F27" w:rsidRDefault="005A23D2" w:rsidP="00567DB0">
      <w:pPr>
        <w:spacing w:after="200" w:line="276" w:lineRule="auto"/>
        <w:jc w:val="both"/>
        <w:rPr>
          <w:rFonts w:eastAsia="Calibri"/>
          <w:sz w:val="22"/>
          <w:szCs w:val="22"/>
          <w:u w:val="single"/>
          <w:lang w:val="sr-Latn-RS"/>
        </w:rPr>
      </w:pPr>
      <w:r w:rsidRPr="00F66F27">
        <w:rPr>
          <w:rFonts w:eastAsia="Calibri"/>
          <w:sz w:val="22"/>
          <w:szCs w:val="22"/>
          <w:u w:val="single"/>
          <w:lang w:val="sr-Latn-RS"/>
        </w:rPr>
        <w:t>Prijavljivanje sumnji na neželjena dejstva</w:t>
      </w:r>
    </w:p>
    <w:p w14:paraId="4F6682FB" w14:textId="77777777" w:rsidR="005A23D2" w:rsidRPr="00F66F27" w:rsidRDefault="005A23D2" w:rsidP="00567DB0">
      <w:pPr>
        <w:spacing w:after="200"/>
        <w:jc w:val="both"/>
        <w:rPr>
          <w:rFonts w:eastAsia="Calibri"/>
          <w:sz w:val="22"/>
          <w:szCs w:val="22"/>
          <w:lang w:val="sr-Latn-RS"/>
        </w:rPr>
      </w:pPr>
      <w:r w:rsidRPr="00F66F27">
        <w:rPr>
          <w:rFonts w:eastAsia="Calibri"/>
          <w:sz w:val="22"/>
          <w:szCs w:val="22"/>
          <w:lang w:val="sr-Latn-RS"/>
        </w:rPr>
        <w:t>Prijavljivanje neželjenih dejstava nakon dobijanja dozvole je od velikog značaja jer obezbjeđuje kont</w:t>
      </w:r>
      <w:r w:rsidR="00EA5765" w:rsidRPr="00F66F27">
        <w:rPr>
          <w:rFonts w:eastAsia="Calibri"/>
          <w:sz w:val="22"/>
          <w:szCs w:val="22"/>
          <w:lang w:val="sr-Latn-RS"/>
        </w:rPr>
        <w:t>inuirano praćenje odnosa korist</w:t>
      </w:r>
      <w:r w:rsidRPr="00F66F27">
        <w:rPr>
          <w:rFonts w:eastAsia="Calibri"/>
          <w:sz w:val="22"/>
          <w:szCs w:val="22"/>
          <w:lang w:val="sr-Latn-RS"/>
        </w:rPr>
        <w:t>/rizik primjene lijeka. Zdravstveni radnici treba da prijave svaku sumnju na neželjeno</w:t>
      </w:r>
      <w:r w:rsidR="009B062A" w:rsidRPr="00F66F27">
        <w:rPr>
          <w:rFonts w:eastAsia="Calibri"/>
          <w:sz w:val="22"/>
          <w:szCs w:val="22"/>
          <w:lang w:val="sr-Latn-RS"/>
        </w:rPr>
        <w:t xml:space="preserve"> </w:t>
      </w:r>
      <w:r w:rsidRPr="00F66F27">
        <w:rPr>
          <w:rFonts w:eastAsia="Calibri"/>
          <w:sz w:val="22"/>
          <w:szCs w:val="22"/>
          <w:lang w:val="sr-Latn-RS"/>
        </w:rPr>
        <w:t xml:space="preserve">dejstvo ovog lijeka </w:t>
      </w:r>
      <w:r w:rsidR="004E70AD" w:rsidRPr="00F66F27">
        <w:rPr>
          <w:rFonts w:eastAsia="Calibri"/>
          <w:sz w:val="22"/>
          <w:szCs w:val="22"/>
          <w:lang w:val="sr-Latn-RS"/>
        </w:rPr>
        <w:t>Institutu</w:t>
      </w:r>
      <w:r w:rsidRPr="00F66F27">
        <w:rPr>
          <w:rFonts w:eastAsia="Calibri"/>
          <w:sz w:val="22"/>
          <w:szCs w:val="22"/>
          <w:lang w:val="sr-Latn-RS"/>
        </w:rPr>
        <w:t xml:space="preserve"> za ljekove i medicinska sredstva</w:t>
      </w:r>
      <w:r w:rsidR="004E70AD" w:rsidRPr="00F66F27">
        <w:rPr>
          <w:rFonts w:eastAsia="Calibri"/>
          <w:sz w:val="22"/>
          <w:szCs w:val="22"/>
          <w:lang w:val="sr-Latn-RS"/>
        </w:rPr>
        <w:t xml:space="preserve"> </w:t>
      </w:r>
      <w:r w:rsidRPr="00F66F27">
        <w:rPr>
          <w:rFonts w:eastAsia="Calibri"/>
          <w:sz w:val="22"/>
          <w:szCs w:val="22"/>
          <w:lang w:val="sr-Latn-RS"/>
        </w:rPr>
        <w:t>(</w:t>
      </w:r>
      <w:r w:rsidR="004E70AD" w:rsidRPr="00F66F27">
        <w:rPr>
          <w:rFonts w:eastAsia="Calibri"/>
          <w:sz w:val="22"/>
          <w:szCs w:val="22"/>
          <w:lang w:val="sr-Latn-RS"/>
        </w:rPr>
        <w:t>CInMED</w:t>
      </w:r>
      <w:r w:rsidRPr="00F66F27">
        <w:rPr>
          <w:rFonts w:eastAsia="Calibri"/>
          <w:sz w:val="22"/>
          <w:szCs w:val="22"/>
          <w:lang w:val="sr-Latn-RS"/>
        </w:rPr>
        <w:t>):</w:t>
      </w:r>
    </w:p>
    <w:p w14:paraId="2ABBBB97" w14:textId="77777777" w:rsidR="005A23D2" w:rsidRPr="00F66F27" w:rsidRDefault="004E70AD" w:rsidP="00CA6D84">
      <w:pPr>
        <w:pStyle w:val="NoSpacing"/>
        <w:jc w:val="both"/>
        <w:rPr>
          <w:rFonts w:eastAsia="Calibri"/>
          <w:sz w:val="22"/>
          <w:szCs w:val="22"/>
          <w:lang w:val="sr-Latn-RS"/>
        </w:rPr>
      </w:pPr>
      <w:r w:rsidRPr="00F66F27">
        <w:rPr>
          <w:rFonts w:eastAsia="Calibri"/>
          <w:sz w:val="22"/>
          <w:szCs w:val="22"/>
          <w:lang w:val="sr-Latn-RS"/>
        </w:rPr>
        <w:t xml:space="preserve">Institut </w:t>
      </w:r>
      <w:r w:rsidR="005A23D2" w:rsidRPr="00F66F27">
        <w:rPr>
          <w:rFonts w:eastAsia="Calibri"/>
          <w:sz w:val="22"/>
          <w:szCs w:val="22"/>
          <w:lang w:val="sr-Latn-RS"/>
        </w:rPr>
        <w:t xml:space="preserve">za ljekove i medicinska sredstva </w:t>
      </w:r>
    </w:p>
    <w:p w14:paraId="7F18529D" w14:textId="77777777" w:rsidR="005A23D2" w:rsidRPr="00F66F27" w:rsidRDefault="005A23D2">
      <w:pPr>
        <w:pStyle w:val="NoSpacing"/>
        <w:jc w:val="both"/>
        <w:rPr>
          <w:rFonts w:eastAsia="Calibri"/>
          <w:sz w:val="22"/>
          <w:szCs w:val="22"/>
          <w:lang w:val="sr-Latn-RS"/>
        </w:rPr>
      </w:pPr>
      <w:r w:rsidRPr="00F66F27">
        <w:rPr>
          <w:rFonts w:eastAsia="Calibri"/>
          <w:sz w:val="22"/>
          <w:szCs w:val="22"/>
          <w:lang w:val="sr-Latn-RS"/>
        </w:rPr>
        <w:t>Odjeljenje za farmakovigilancu</w:t>
      </w:r>
    </w:p>
    <w:p w14:paraId="63264B2B" w14:textId="77777777" w:rsidR="00EA5765" w:rsidRPr="00F66F27" w:rsidRDefault="005A23D2">
      <w:pPr>
        <w:pStyle w:val="NoSpacing"/>
        <w:jc w:val="both"/>
        <w:rPr>
          <w:rFonts w:eastAsia="Calibri"/>
          <w:sz w:val="22"/>
          <w:szCs w:val="22"/>
          <w:lang w:val="sr-Latn-RS"/>
        </w:rPr>
      </w:pPr>
      <w:r w:rsidRPr="00F66F27">
        <w:rPr>
          <w:rFonts w:eastAsia="Calibri"/>
          <w:sz w:val="22"/>
          <w:szCs w:val="22"/>
          <w:lang w:val="sr-Latn-RS"/>
        </w:rPr>
        <w:t>Bulevar Ivana Crnojevića 64a, 81000 Podgorica</w:t>
      </w:r>
    </w:p>
    <w:p w14:paraId="4F1E8D75" w14:textId="77777777" w:rsidR="00EA5765" w:rsidRPr="00F66F27" w:rsidRDefault="00EA5765">
      <w:pPr>
        <w:pStyle w:val="NoSpacing"/>
        <w:jc w:val="both"/>
        <w:rPr>
          <w:rFonts w:eastAsia="Calibri"/>
          <w:sz w:val="22"/>
          <w:szCs w:val="22"/>
          <w:lang w:val="sr-Latn-RS"/>
        </w:rPr>
      </w:pPr>
    </w:p>
    <w:p w14:paraId="62259D5D" w14:textId="77777777" w:rsidR="005A23D2" w:rsidRPr="00F66F27" w:rsidRDefault="005A23D2">
      <w:pPr>
        <w:pStyle w:val="NoSpacing"/>
        <w:jc w:val="both"/>
        <w:rPr>
          <w:rFonts w:eastAsia="Calibri"/>
          <w:sz w:val="22"/>
          <w:szCs w:val="22"/>
          <w:lang w:val="sr-Latn-RS"/>
        </w:rPr>
      </w:pPr>
      <w:r w:rsidRPr="00F66F27">
        <w:rPr>
          <w:rFonts w:eastAsia="Calibri"/>
          <w:sz w:val="22"/>
          <w:szCs w:val="22"/>
          <w:lang w:val="sr-Latn-RS"/>
        </w:rPr>
        <w:t>tel: +382 (0) 20 310 280</w:t>
      </w:r>
    </w:p>
    <w:p w14:paraId="5812ED26" w14:textId="77777777" w:rsidR="00EA5765" w:rsidRPr="00F66F27" w:rsidRDefault="005A23D2">
      <w:pPr>
        <w:pStyle w:val="NoSpacing"/>
        <w:jc w:val="both"/>
        <w:rPr>
          <w:rFonts w:eastAsia="Calibri"/>
          <w:sz w:val="22"/>
          <w:szCs w:val="22"/>
          <w:lang w:val="sr-Latn-RS"/>
        </w:rPr>
      </w:pPr>
      <w:r w:rsidRPr="00F66F27">
        <w:rPr>
          <w:rFonts w:eastAsia="Calibri"/>
          <w:sz w:val="22"/>
          <w:szCs w:val="22"/>
          <w:lang w:val="sr-Latn-RS"/>
        </w:rPr>
        <w:t>fax:</w:t>
      </w:r>
      <w:r w:rsidR="00EA5765" w:rsidRPr="00F66F27">
        <w:rPr>
          <w:rFonts w:eastAsia="Calibri"/>
          <w:sz w:val="22"/>
          <w:szCs w:val="22"/>
          <w:lang w:val="sr-Latn-RS"/>
        </w:rPr>
        <w:t xml:space="preserve"> </w:t>
      </w:r>
      <w:r w:rsidRPr="00F66F27">
        <w:rPr>
          <w:rFonts w:eastAsia="Calibri"/>
          <w:sz w:val="22"/>
          <w:szCs w:val="22"/>
          <w:lang w:val="sr-Latn-RS"/>
        </w:rPr>
        <w:t>+382 (0) 20 310 581</w:t>
      </w:r>
    </w:p>
    <w:p w14:paraId="6920A803" w14:textId="77777777" w:rsidR="005A23D2" w:rsidRPr="00F66F27" w:rsidRDefault="00C07D94">
      <w:pPr>
        <w:pStyle w:val="NoSpacing"/>
        <w:jc w:val="both"/>
        <w:rPr>
          <w:rFonts w:eastAsia="Calibri"/>
          <w:sz w:val="22"/>
          <w:szCs w:val="22"/>
          <w:lang w:val="sr-Latn-RS"/>
        </w:rPr>
      </w:pPr>
      <w:hyperlink r:id="rId8" w:history="1">
        <w:r w:rsidR="004E70AD" w:rsidRPr="00F66F27">
          <w:rPr>
            <w:rStyle w:val="Hyperlink"/>
            <w:rFonts w:eastAsia="Calibri"/>
            <w:sz w:val="22"/>
            <w:szCs w:val="22"/>
            <w:lang w:val="sr-Latn-RS"/>
          </w:rPr>
          <w:t>www.cinmed.me</w:t>
        </w:r>
      </w:hyperlink>
    </w:p>
    <w:p w14:paraId="24DA79CC" w14:textId="77777777" w:rsidR="00EA5765" w:rsidRPr="00F66F27" w:rsidRDefault="00C07D94">
      <w:pPr>
        <w:pStyle w:val="NoSpacing"/>
        <w:jc w:val="both"/>
        <w:rPr>
          <w:rFonts w:eastAsia="Calibri"/>
          <w:color w:val="0000FF"/>
          <w:sz w:val="22"/>
          <w:szCs w:val="22"/>
          <w:u w:val="single"/>
          <w:lang w:val="sr-Latn-RS"/>
        </w:rPr>
      </w:pPr>
      <w:hyperlink r:id="rId9" w:history="1">
        <w:r w:rsidR="004E70AD" w:rsidRPr="00F66F27">
          <w:rPr>
            <w:rStyle w:val="Hyperlink"/>
            <w:rFonts w:eastAsia="Calibri"/>
            <w:sz w:val="22"/>
            <w:szCs w:val="22"/>
            <w:lang w:val="sr-Latn-RS"/>
          </w:rPr>
          <w:t>nezeljenadejstva@cinmed.me</w:t>
        </w:r>
      </w:hyperlink>
    </w:p>
    <w:p w14:paraId="6C7F4081" w14:textId="77777777" w:rsidR="005A23D2" w:rsidRPr="00F66F27" w:rsidRDefault="005A23D2">
      <w:pPr>
        <w:pStyle w:val="NoSpacing"/>
        <w:jc w:val="both"/>
        <w:rPr>
          <w:rFonts w:eastAsia="Calibri"/>
          <w:sz w:val="22"/>
          <w:szCs w:val="22"/>
          <w:lang w:val="sr-Latn-RS"/>
        </w:rPr>
      </w:pPr>
      <w:r w:rsidRPr="00F66F27">
        <w:rPr>
          <w:rFonts w:eastAsia="Calibri"/>
          <w:sz w:val="22"/>
          <w:szCs w:val="22"/>
          <w:lang w:val="sr-Latn-RS"/>
        </w:rPr>
        <w:t>putem IS zdravstvene zaštite</w:t>
      </w:r>
    </w:p>
    <w:p w14:paraId="5B8FEDBC" w14:textId="77777777" w:rsidR="002570B9" w:rsidRPr="00F66F27" w:rsidRDefault="002570B9" w:rsidP="002570B9">
      <w:pPr>
        <w:pStyle w:val="NoSpacing"/>
        <w:jc w:val="both"/>
        <w:rPr>
          <w:rFonts w:eastAsia="Calibri"/>
          <w:sz w:val="22"/>
          <w:szCs w:val="22"/>
          <w:lang w:val="sr-Latn-RS"/>
        </w:rPr>
      </w:pPr>
      <w:r w:rsidRPr="00F66F27">
        <w:rPr>
          <w:rFonts w:eastAsia="Calibri"/>
          <w:sz w:val="22"/>
          <w:szCs w:val="22"/>
          <w:lang w:val="sr-Latn-RS"/>
        </w:rPr>
        <w:t>QR kod za online prijavu sumnje na neželjeno dejstvo lijeka:</w:t>
      </w:r>
    </w:p>
    <w:p w14:paraId="3BA037F0" w14:textId="77777777" w:rsidR="002570B9" w:rsidRPr="00F66F27" w:rsidRDefault="002570B9" w:rsidP="002570B9">
      <w:pPr>
        <w:pStyle w:val="NoSpacing"/>
        <w:jc w:val="both"/>
        <w:rPr>
          <w:rFonts w:eastAsia="Calibri"/>
          <w:sz w:val="22"/>
          <w:szCs w:val="22"/>
          <w:lang w:val="sr-Latn-RS"/>
        </w:rPr>
      </w:pPr>
    </w:p>
    <w:p w14:paraId="0C8EC895" w14:textId="77777777" w:rsidR="002570B9" w:rsidRPr="00F66F27" w:rsidRDefault="002570B9" w:rsidP="002570B9">
      <w:pPr>
        <w:pStyle w:val="NoSpacing"/>
        <w:rPr>
          <w:rFonts w:eastAsia="Calibri"/>
          <w:sz w:val="22"/>
          <w:szCs w:val="22"/>
          <w:lang w:val="sr-Latn-RS"/>
        </w:rPr>
      </w:pPr>
      <w:r w:rsidRPr="00F66F27">
        <w:rPr>
          <w:noProof/>
          <w:sz w:val="22"/>
          <w:szCs w:val="22"/>
          <w:lang w:val="sr-Latn-RS"/>
        </w:rPr>
        <w:drawing>
          <wp:inline distT="0" distB="0" distL="0" distR="0" wp14:anchorId="5CB1C02A" wp14:editId="2A25E267">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8DA73F2" w14:textId="77777777" w:rsidR="00836B35" w:rsidRPr="00F66F27" w:rsidRDefault="00836B35" w:rsidP="002570B9">
      <w:pPr>
        <w:tabs>
          <w:tab w:val="left" w:pos="540"/>
          <w:tab w:val="left" w:pos="569"/>
        </w:tabs>
        <w:jc w:val="both"/>
        <w:rPr>
          <w:b/>
          <w:bCs/>
          <w:sz w:val="22"/>
          <w:szCs w:val="22"/>
          <w:lang w:val="sr-Latn-RS"/>
        </w:rPr>
      </w:pPr>
    </w:p>
    <w:p w14:paraId="1F9EF816" w14:textId="77777777" w:rsidR="00CD6F02" w:rsidRPr="00F66F27" w:rsidRDefault="0072020E">
      <w:pPr>
        <w:tabs>
          <w:tab w:val="left" w:pos="540"/>
          <w:tab w:val="left" w:pos="569"/>
        </w:tabs>
        <w:jc w:val="both"/>
        <w:rPr>
          <w:b/>
          <w:bCs/>
          <w:sz w:val="22"/>
          <w:szCs w:val="22"/>
          <w:lang w:val="sr-Latn-RS"/>
        </w:rPr>
      </w:pPr>
      <w:r w:rsidRPr="00F66F27">
        <w:rPr>
          <w:b/>
          <w:bCs/>
          <w:sz w:val="22"/>
          <w:szCs w:val="22"/>
          <w:lang w:val="sr-Latn-RS"/>
        </w:rPr>
        <w:t xml:space="preserve">4.9. </w:t>
      </w:r>
      <w:r w:rsidR="00480FB1" w:rsidRPr="00F66F27">
        <w:rPr>
          <w:b/>
          <w:bCs/>
          <w:sz w:val="22"/>
          <w:szCs w:val="22"/>
          <w:lang w:val="sr-Latn-RS"/>
        </w:rPr>
        <w:tab/>
      </w:r>
      <w:r w:rsidRPr="00F66F27">
        <w:rPr>
          <w:b/>
          <w:bCs/>
          <w:sz w:val="22"/>
          <w:szCs w:val="22"/>
          <w:lang w:val="sr-Latn-RS"/>
        </w:rPr>
        <w:t>Predoziranje</w:t>
      </w:r>
      <w:r w:rsidR="002846DB" w:rsidRPr="00F66F27">
        <w:rPr>
          <w:b/>
          <w:bCs/>
          <w:sz w:val="22"/>
          <w:szCs w:val="22"/>
          <w:lang w:val="sr-Latn-RS"/>
        </w:rPr>
        <w:t xml:space="preserve"> </w:t>
      </w:r>
    </w:p>
    <w:p w14:paraId="30A0306C" w14:textId="15635DFC" w:rsidR="00CD6F02" w:rsidRPr="00F66F27" w:rsidRDefault="00CD6F02">
      <w:pPr>
        <w:tabs>
          <w:tab w:val="left" w:pos="540"/>
          <w:tab w:val="left" w:pos="569"/>
        </w:tabs>
        <w:jc w:val="both"/>
        <w:rPr>
          <w:b/>
          <w:bCs/>
          <w:sz w:val="22"/>
          <w:szCs w:val="22"/>
          <w:lang w:val="sr-Latn-RS"/>
        </w:rPr>
      </w:pPr>
    </w:p>
    <w:p w14:paraId="0668F8F2" w14:textId="0E578BDC" w:rsidR="00A047E8" w:rsidRPr="00F66F27" w:rsidRDefault="00A047E8">
      <w:pPr>
        <w:tabs>
          <w:tab w:val="left" w:pos="540"/>
          <w:tab w:val="left" w:pos="569"/>
        </w:tabs>
        <w:jc w:val="both"/>
        <w:rPr>
          <w:bCs/>
          <w:sz w:val="22"/>
          <w:szCs w:val="22"/>
          <w:lang w:val="sr-Latn-RS"/>
        </w:rPr>
      </w:pPr>
      <w:r w:rsidRPr="00F66F27">
        <w:rPr>
          <w:bCs/>
          <w:sz w:val="22"/>
          <w:szCs w:val="22"/>
          <w:lang w:val="sr-Latn-RS"/>
        </w:rPr>
        <w:t>Ni</w:t>
      </w:r>
      <w:r w:rsidR="002570B9" w:rsidRPr="00F66F27">
        <w:rPr>
          <w:bCs/>
          <w:sz w:val="22"/>
          <w:szCs w:val="22"/>
          <w:lang w:val="sr-Latn-RS"/>
        </w:rPr>
        <w:t>je</w:t>
      </w:r>
      <w:r w:rsidRPr="00F66F27">
        <w:rPr>
          <w:bCs/>
          <w:sz w:val="22"/>
          <w:szCs w:val="22"/>
          <w:lang w:val="sr-Latn-RS"/>
        </w:rPr>
        <w:t>su zabilježeni slučajevi predoziranja.</w:t>
      </w:r>
    </w:p>
    <w:p w14:paraId="04231B7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U kliničkim studijama kod odraslih pacijenata primjenjivane su doze do najviše 6 mg. U grupi koja je primala najveću dozu primijećena je slična incidenca neželjenih reakcija kao kod ostalih grupa. Nijesu zabilježene dozno-zavisne neželjene reakcije. Ukoliko dođe do predoziranja palonosetronom, što je malo vjerovatno, treba primijeniti opšte mjere i simptomatsku terapiju. Iako primjena dijalize kod predoziranja palonosetronom nije ispitivana, zbog velikog volumena distribucije lijeka malo je vjerovatno da je efikasna.</w:t>
      </w:r>
    </w:p>
    <w:p w14:paraId="51E10C2D" w14:textId="77777777" w:rsidR="00A047E8" w:rsidRPr="00F66F27" w:rsidRDefault="00A047E8">
      <w:pPr>
        <w:tabs>
          <w:tab w:val="left" w:pos="540"/>
          <w:tab w:val="left" w:pos="569"/>
        </w:tabs>
        <w:jc w:val="both"/>
        <w:rPr>
          <w:bCs/>
          <w:sz w:val="22"/>
          <w:szCs w:val="22"/>
          <w:lang w:val="sr-Latn-RS"/>
        </w:rPr>
      </w:pPr>
    </w:p>
    <w:p w14:paraId="419D0EC9" w14:textId="77777777" w:rsidR="00A047E8" w:rsidRPr="00F66F27" w:rsidRDefault="00A047E8">
      <w:pPr>
        <w:tabs>
          <w:tab w:val="left" w:pos="540"/>
          <w:tab w:val="left" w:pos="569"/>
        </w:tabs>
        <w:jc w:val="both"/>
        <w:rPr>
          <w:bCs/>
          <w:sz w:val="22"/>
          <w:szCs w:val="22"/>
          <w:lang w:val="sr-Latn-RS"/>
        </w:rPr>
      </w:pPr>
      <w:r w:rsidRPr="00F66F27">
        <w:rPr>
          <w:bCs/>
          <w:i/>
          <w:sz w:val="22"/>
          <w:szCs w:val="22"/>
          <w:lang w:val="sr-Latn-RS"/>
        </w:rPr>
        <w:t>Pedijatrijska populacija</w:t>
      </w:r>
    </w:p>
    <w:p w14:paraId="414D1933"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U pedijatrijskim kliničkim ispitivanjima nije zabilježen nijedan slučaj predoziranja.</w:t>
      </w:r>
    </w:p>
    <w:p w14:paraId="201951EF" w14:textId="77777777" w:rsidR="00A047E8" w:rsidRPr="00F66F27" w:rsidRDefault="00A047E8">
      <w:pPr>
        <w:tabs>
          <w:tab w:val="left" w:pos="540"/>
          <w:tab w:val="left" w:pos="569"/>
        </w:tabs>
        <w:jc w:val="both"/>
        <w:rPr>
          <w:b/>
          <w:bCs/>
          <w:sz w:val="22"/>
          <w:szCs w:val="22"/>
          <w:lang w:val="sr-Latn-RS"/>
        </w:rPr>
      </w:pPr>
    </w:p>
    <w:p w14:paraId="0C6E5D34" w14:textId="77777777" w:rsidR="00227BDB" w:rsidRPr="00F66F27" w:rsidRDefault="00227BDB">
      <w:pPr>
        <w:tabs>
          <w:tab w:val="left" w:pos="540"/>
          <w:tab w:val="left" w:pos="569"/>
        </w:tabs>
        <w:jc w:val="both"/>
        <w:rPr>
          <w:b/>
          <w:bCs/>
          <w:sz w:val="22"/>
          <w:szCs w:val="22"/>
          <w:lang w:val="sr-Latn-RS"/>
        </w:rPr>
      </w:pPr>
    </w:p>
    <w:p w14:paraId="00FA4FB0" w14:textId="77777777" w:rsidR="0072020E" w:rsidRPr="00F66F27" w:rsidRDefault="0072020E">
      <w:pPr>
        <w:tabs>
          <w:tab w:val="left" w:pos="540"/>
          <w:tab w:val="left" w:pos="569"/>
        </w:tabs>
        <w:jc w:val="both"/>
        <w:rPr>
          <w:b/>
          <w:bCs/>
          <w:sz w:val="22"/>
          <w:szCs w:val="22"/>
          <w:lang w:val="sr-Latn-RS"/>
        </w:rPr>
      </w:pPr>
      <w:r w:rsidRPr="00F66F27">
        <w:rPr>
          <w:b/>
          <w:bCs/>
          <w:sz w:val="22"/>
          <w:szCs w:val="22"/>
          <w:lang w:val="sr-Latn-RS"/>
        </w:rPr>
        <w:t xml:space="preserve">5. </w:t>
      </w:r>
      <w:r w:rsidR="00480FB1" w:rsidRPr="00F66F27">
        <w:rPr>
          <w:b/>
          <w:bCs/>
          <w:sz w:val="22"/>
          <w:szCs w:val="22"/>
          <w:lang w:val="sr-Latn-RS"/>
        </w:rPr>
        <w:tab/>
      </w:r>
      <w:r w:rsidRPr="00F66F27">
        <w:rPr>
          <w:b/>
          <w:bCs/>
          <w:sz w:val="22"/>
          <w:szCs w:val="22"/>
          <w:lang w:val="sr-Latn-RS"/>
        </w:rPr>
        <w:t>FARMAKOLOŠK</w:t>
      </w:r>
      <w:r w:rsidR="000D425A" w:rsidRPr="00F66F27">
        <w:rPr>
          <w:b/>
          <w:bCs/>
          <w:sz w:val="22"/>
          <w:szCs w:val="22"/>
          <w:lang w:val="sr-Latn-RS"/>
        </w:rPr>
        <w:t>I</w:t>
      </w:r>
      <w:r w:rsidRPr="00F66F27">
        <w:rPr>
          <w:b/>
          <w:bCs/>
          <w:sz w:val="22"/>
          <w:szCs w:val="22"/>
          <w:lang w:val="sr-Latn-RS"/>
        </w:rPr>
        <w:t xml:space="preserve"> PODACI</w:t>
      </w:r>
    </w:p>
    <w:p w14:paraId="1DCFC478" w14:textId="77777777" w:rsidR="0072020E" w:rsidRPr="00F66F27" w:rsidRDefault="0072020E">
      <w:pPr>
        <w:tabs>
          <w:tab w:val="left" w:pos="540"/>
          <w:tab w:val="left" w:pos="569"/>
        </w:tabs>
        <w:jc w:val="both"/>
        <w:rPr>
          <w:b/>
          <w:bCs/>
          <w:sz w:val="22"/>
          <w:szCs w:val="22"/>
          <w:lang w:val="sr-Latn-RS"/>
        </w:rPr>
      </w:pPr>
    </w:p>
    <w:p w14:paraId="46B0E58B" w14:textId="77777777" w:rsidR="0072020E" w:rsidRPr="00F66F27" w:rsidRDefault="0072020E">
      <w:pPr>
        <w:tabs>
          <w:tab w:val="left" w:pos="540"/>
          <w:tab w:val="left" w:pos="569"/>
        </w:tabs>
        <w:jc w:val="both"/>
        <w:rPr>
          <w:b/>
          <w:bCs/>
          <w:sz w:val="22"/>
          <w:szCs w:val="22"/>
          <w:lang w:val="sr-Latn-RS"/>
        </w:rPr>
      </w:pPr>
      <w:r w:rsidRPr="00F66F27">
        <w:rPr>
          <w:b/>
          <w:bCs/>
          <w:sz w:val="22"/>
          <w:szCs w:val="22"/>
          <w:lang w:val="sr-Latn-RS"/>
        </w:rPr>
        <w:t xml:space="preserve">5.1. </w:t>
      </w:r>
      <w:r w:rsidR="00480FB1" w:rsidRPr="00F66F27">
        <w:rPr>
          <w:b/>
          <w:bCs/>
          <w:sz w:val="22"/>
          <w:szCs w:val="22"/>
          <w:lang w:val="sr-Latn-RS"/>
        </w:rPr>
        <w:tab/>
      </w:r>
      <w:r w:rsidRPr="00F66F27">
        <w:rPr>
          <w:b/>
          <w:bCs/>
          <w:sz w:val="22"/>
          <w:szCs w:val="22"/>
          <w:lang w:val="sr-Latn-RS"/>
        </w:rPr>
        <w:t>Farmakodinamski podaci</w:t>
      </w:r>
      <w:r w:rsidR="003A7059" w:rsidRPr="00F66F27">
        <w:rPr>
          <w:b/>
          <w:bCs/>
          <w:sz w:val="22"/>
          <w:szCs w:val="22"/>
          <w:lang w:val="sr-Latn-RS"/>
        </w:rPr>
        <w:t xml:space="preserve"> </w:t>
      </w:r>
    </w:p>
    <w:p w14:paraId="0B62E273" w14:textId="77777777" w:rsidR="00F45F77" w:rsidRPr="00F66F27" w:rsidRDefault="00F45F77">
      <w:pPr>
        <w:tabs>
          <w:tab w:val="left" w:pos="540"/>
          <w:tab w:val="left" w:pos="569"/>
        </w:tabs>
        <w:jc w:val="both"/>
        <w:rPr>
          <w:b/>
          <w:bCs/>
          <w:sz w:val="22"/>
          <w:szCs w:val="22"/>
          <w:lang w:val="sr-Latn-RS"/>
        </w:rPr>
      </w:pPr>
    </w:p>
    <w:p w14:paraId="39B502F5" w14:textId="703F3BDB" w:rsidR="00A047E8" w:rsidRPr="00F66F27" w:rsidRDefault="00A047E8">
      <w:pPr>
        <w:tabs>
          <w:tab w:val="left" w:pos="540"/>
          <w:tab w:val="left" w:pos="569"/>
        </w:tabs>
        <w:jc w:val="both"/>
        <w:rPr>
          <w:bCs/>
          <w:sz w:val="22"/>
          <w:szCs w:val="22"/>
          <w:lang w:val="sr-Latn-RS"/>
        </w:rPr>
      </w:pPr>
    </w:p>
    <w:p w14:paraId="19ED0E7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Farmakoterapijska grupa:</w:t>
      </w:r>
      <w:r w:rsidRPr="00F66F27">
        <w:rPr>
          <w:color w:val="000000"/>
          <w:sz w:val="22"/>
          <w:szCs w:val="22"/>
          <w:lang w:val="sr-Latn-RS"/>
        </w:rPr>
        <w:t xml:space="preserve"> </w:t>
      </w:r>
      <w:r w:rsidRPr="00F66F27">
        <w:rPr>
          <w:bCs/>
          <w:sz w:val="22"/>
          <w:szCs w:val="22"/>
          <w:lang w:val="sr-Latn-RS"/>
        </w:rPr>
        <w:t>antiemetici i sredstva protiv nauzeje; antagonisti serotonina (5-HT</w:t>
      </w:r>
      <w:r w:rsidRPr="00F66F27">
        <w:rPr>
          <w:bCs/>
          <w:sz w:val="22"/>
          <w:szCs w:val="22"/>
          <w:vertAlign w:val="subscript"/>
          <w:lang w:val="sr-Latn-RS"/>
        </w:rPr>
        <w:t>3</w:t>
      </w:r>
      <w:r w:rsidRPr="00F66F27">
        <w:rPr>
          <w:bCs/>
          <w:sz w:val="22"/>
          <w:szCs w:val="22"/>
          <w:lang w:val="sr-Latn-RS"/>
        </w:rPr>
        <w:t>)</w:t>
      </w:r>
    </w:p>
    <w:p w14:paraId="36518902" w14:textId="77777777" w:rsidR="00A047E8" w:rsidRPr="00F66F27" w:rsidRDefault="00A047E8">
      <w:pPr>
        <w:tabs>
          <w:tab w:val="left" w:pos="540"/>
          <w:tab w:val="left" w:pos="569"/>
        </w:tabs>
        <w:jc w:val="both"/>
        <w:rPr>
          <w:bCs/>
          <w:sz w:val="22"/>
          <w:szCs w:val="22"/>
          <w:lang w:val="sr-Latn-RS"/>
        </w:rPr>
      </w:pPr>
    </w:p>
    <w:p w14:paraId="7101E30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ATC kod:</w:t>
      </w:r>
      <w:r w:rsidRPr="00F66F27">
        <w:rPr>
          <w:color w:val="000000"/>
          <w:sz w:val="22"/>
          <w:szCs w:val="22"/>
          <w:lang w:val="sr-Latn-RS"/>
        </w:rPr>
        <w:t xml:space="preserve"> </w:t>
      </w:r>
      <w:r w:rsidRPr="00F66F27">
        <w:rPr>
          <w:bCs/>
          <w:sz w:val="22"/>
          <w:szCs w:val="22"/>
          <w:lang w:val="sr-Latn-RS"/>
        </w:rPr>
        <w:t>A04AA05</w:t>
      </w:r>
    </w:p>
    <w:p w14:paraId="706F3A17" w14:textId="77777777" w:rsidR="00A047E8" w:rsidRPr="00F66F27" w:rsidRDefault="00A047E8">
      <w:pPr>
        <w:tabs>
          <w:tab w:val="left" w:pos="540"/>
          <w:tab w:val="left" w:pos="569"/>
        </w:tabs>
        <w:jc w:val="both"/>
        <w:rPr>
          <w:bCs/>
          <w:sz w:val="22"/>
          <w:szCs w:val="22"/>
          <w:lang w:val="sr-Latn-RS"/>
        </w:rPr>
      </w:pPr>
    </w:p>
    <w:p w14:paraId="052B2AF7" w14:textId="77777777" w:rsidR="002570B9" w:rsidRPr="00F66F27" w:rsidRDefault="00A047E8">
      <w:pPr>
        <w:tabs>
          <w:tab w:val="left" w:pos="540"/>
          <w:tab w:val="left" w:pos="569"/>
        </w:tabs>
        <w:jc w:val="both"/>
        <w:rPr>
          <w:bCs/>
          <w:sz w:val="22"/>
          <w:szCs w:val="22"/>
          <w:lang w:val="sr-Latn-RS"/>
        </w:rPr>
      </w:pPr>
      <w:r w:rsidRPr="00F66F27">
        <w:rPr>
          <w:bCs/>
          <w:sz w:val="22"/>
          <w:szCs w:val="22"/>
          <w:lang w:val="sr-Latn-RS"/>
        </w:rPr>
        <w:t>Palonosetron je selektivni antagonist</w:t>
      </w:r>
      <w:r w:rsidR="002570B9" w:rsidRPr="00F66F27">
        <w:rPr>
          <w:bCs/>
          <w:sz w:val="22"/>
          <w:szCs w:val="22"/>
          <w:lang w:val="sr-Latn-RS"/>
        </w:rPr>
        <w:t>a</w:t>
      </w:r>
      <w:r w:rsidRPr="00F66F27">
        <w:rPr>
          <w:bCs/>
          <w:sz w:val="22"/>
          <w:szCs w:val="22"/>
          <w:lang w:val="sr-Latn-RS"/>
        </w:rPr>
        <w:t xml:space="preserve"> 5-HT3 receptora, visokog afiniteta. </w:t>
      </w:r>
    </w:p>
    <w:p w14:paraId="7614672F" w14:textId="4E6E6351" w:rsidR="00A047E8" w:rsidRPr="00F66F27" w:rsidRDefault="00A047E8">
      <w:pPr>
        <w:tabs>
          <w:tab w:val="left" w:pos="540"/>
          <w:tab w:val="left" w:pos="569"/>
        </w:tabs>
        <w:jc w:val="both"/>
        <w:rPr>
          <w:bCs/>
          <w:sz w:val="22"/>
          <w:szCs w:val="22"/>
          <w:lang w:val="sr-Latn-RS"/>
        </w:rPr>
      </w:pPr>
      <w:r w:rsidRPr="00F66F27">
        <w:rPr>
          <w:bCs/>
          <w:sz w:val="22"/>
          <w:szCs w:val="22"/>
          <w:lang w:val="sr-Latn-RS"/>
        </w:rPr>
        <w:t>U dvije randomizovane dvostruko slijepe studije sa ukupno 1132 pacijenta koji su primali umjereno emetogenu hemioterapiju (cisplatin ≤50mg/m</w:t>
      </w:r>
      <w:r w:rsidRPr="00F66F27">
        <w:rPr>
          <w:bCs/>
          <w:sz w:val="22"/>
          <w:szCs w:val="22"/>
          <w:vertAlign w:val="superscript"/>
          <w:lang w:val="sr-Latn-RS"/>
        </w:rPr>
        <w:t>2</w:t>
      </w:r>
      <w:r w:rsidRPr="00F66F27">
        <w:rPr>
          <w:bCs/>
          <w:sz w:val="22"/>
          <w:szCs w:val="22"/>
          <w:lang w:val="sr-Latn-RS"/>
        </w:rPr>
        <w:t>, karboplatin, ciklofosfamid ≤ 1500mg/m</w:t>
      </w:r>
      <w:r w:rsidRPr="00F66F27">
        <w:rPr>
          <w:bCs/>
          <w:sz w:val="22"/>
          <w:szCs w:val="22"/>
          <w:vertAlign w:val="superscript"/>
          <w:lang w:val="sr-Latn-RS"/>
        </w:rPr>
        <w:t>2</w:t>
      </w:r>
      <w:r w:rsidRPr="00F66F27">
        <w:rPr>
          <w:bCs/>
          <w:sz w:val="22"/>
          <w:szCs w:val="22"/>
          <w:lang w:val="sr-Latn-RS"/>
        </w:rPr>
        <w:t xml:space="preserve"> i doksorubicin ˃25mg/m</w:t>
      </w:r>
      <w:r w:rsidRPr="00F66F27">
        <w:rPr>
          <w:bCs/>
          <w:sz w:val="22"/>
          <w:szCs w:val="22"/>
          <w:vertAlign w:val="superscript"/>
          <w:lang w:val="sr-Latn-RS"/>
        </w:rPr>
        <w:t>2</w:t>
      </w:r>
      <w:r w:rsidRPr="00F66F27">
        <w:rPr>
          <w:bCs/>
          <w:sz w:val="22"/>
          <w:szCs w:val="22"/>
          <w:lang w:val="sr-Latn-RS"/>
        </w:rPr>
        <w:t xml:space="preserve">) vršeno je poređenje primjene 250 mikrograma i 750 mikrograma palonosetrona sa primjenom 32 mg ondansetrona (T1/2=4h) ili sa primjenom 100 mg dolasetrona (T1/2=7,3h), primijenjen prvog dana intravenski, bez deksametazona. </w:t>
      </w:r>
    </w:p>
    <w:p w14:paraId="7BE4FC34" w14:textId="77777777" w:rsidR="002570B9" w:rsidRPr="00F66F27" w:rsidRDefault="002570B9">
      <w:pPr>
        <w:tabs>
          <w:tab w:val="left" w:pos="540"/>
          <w:tab w:val="left" w:pos="569"/>
        </w:tabs>
        <w:jc w:val="both"/>
        <w:rPr>
          <w:bCs/>
          <w:sz w:val="22"/>
          <w:szCs w:val="22"/>
          <w:lang w:val="sr-Latn-RS"/>
        </w:rPr>
      </w:pPr>
    </w:p>
    <w:p w14:paraId="07C7666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U randomizovanoj, dvostruko slijepoj studiji sa ukupno 667 pacijenata koji su primali visoko emetogenu hemioterapiju (cisplatin ≥ 60mg/m</w:t>
      </w:r>
      <w:r w:rsidRPr="00F66F27">
        <w:rPr>
          <w:bCs/>
          <w:sz w:val="22"/>
          <w:szCs w:val="22"/>
          <w:vertAlign w:val="superscript"/>
          <w:lang w:val="sr-Latn-RS"/>
        </w:rPr>
        <w:t>2</w:t>
      </w:r>
      <w:r w:rsidRPr="00F66F27">
        <w:rPr>
          <w:bCs/>
          <w:sz w:val="22"/>
          <w:szCs w:val="22"/>
          <w:lang w:val="sr-Latn-RS"/>
        </w:rPr>
        <w:t>, ciklofosfamid ˃1500mg/m</w:t>
      </w:r>
      <w:r w:rsidRPr="00F66F27">
        <w:rPr>
          <w:bCs/>
          <w:sz w:val="22"/>
          <w:szCs w:val="22"/>
          <w:vertAlign w:val="superscript"/>
          <w:lang w:val="sr-Latn-RS"/>
        </w:rPr>
        <w:t xml:space="preserve">2 </w:t>
      </w:r>
      <w:r w:rsidRPr="00F66F27">
        <w:rPr>
          <w:bCs/>
          <w:sz w:val="22"/>
          <w:szCs w:val="22"/>
          <w:lang w:val="sr-Latn-RS"/>
        </w:rPr>
        <w:t>i dakarbazin) vršeno je poređenje primjene 250 mikrograma i 750 mikrograma palonosetrona sa primjenom 32mg ondansetrona, primijenjen prvog dana intravenski. Kod 67% pacijenata dat je deksametazon profilaktički prije hemioterapije.</w:t>
      </w:r>
    </w:p>
    <w:p w14:paraId="07AFEEF6" w14:textId="77777777" w:rsidR="00A047E8" w:rsidRPr="00F66F27" w:rsidRDefault="00A047E8">
      <w:pPr>
        <w:tabs>
          <w:tab w:val="left" w:pos="540"/>
          <w:tab w:val="left" w:pos="569"/>
        </w:tabs>
        <w:jc w:val="both"/>
        <w:rPr>
          <w:bCs/>
          <w:sz w:val="22"/>
          <w:szCs w:val="22"/>
          <w:lang w:val="sr-Latn-RS"/>
        </w:rPr>
      </w:pPr>
    </w:p>
    <w:p w14:paraId="036F04AD" w14:textId="58B27204" w:rsidR="00A047E8" w:rsidRPr="00F66F27" w:rsidRDefault="00A047E8">
      <w:pPr>
        <w:tabs>
          <w:tab w:val="left" w:pos="540"/>
          <w:tab w:val="left" w:pos="569"/>
        </w:tabs>
        <w:jc w:val="both"/>
        <w:rPr>
          <w:bCs/>
          <w:sz w:val="22"/>
          <w:szCs w:val="22"/>
          <w:lang w:val="sr-Latn-RS"/>
        </w:rPr>
      </w:pPr>
      <w:r w:rsidRPr="00F66F27">
        <w:rPr>
          <w:bCs/>
          <w:sz w:val="22"/>
          <w:szCs w:val="22"/>
          <w:lang w:val="sr-Latn-RS"/>
        </w:rPr>
        <w:t>Pivot</w:t>
      </w:r>
      <w:r w:rsidR="002570B9" w:rsidRPr="00F66F27">
        <w:rPr>
          <w:bCs/>
          <w:sz w:val="22"/>
          <w:szCs w:val="22"/>
          <w:lang w:val="sr-Latn-RS"/>
        </w:rPr>
        <w:t>alne</w:t>
      </w:r>
      <w:r w:rsidRPr="00F66F27">
        <w:rPr>
          <w:bCs/>
          <w:sz w:val="22"/>
          <w:szCs w:val="22"/>
          <w:lang w:val="sr-Latn-RS"/>
        </w:rPr>
        <w:t xml:space="preserve"> studije nijesu bile dizajnirane da prate efikasnost palonosetrona u odloženoj pojavi mučnine i povraćanja. Antiemetičko dejstvo praćeno je tokom 0–24 sata, 24-120 sati i 0-120 sati. Rezultati studija primjene lijeka kod umjereno emetogene hemioterapije i visoko emetogene hemioterapije prikazani su u narednim tabelama.</w:t>
      </w:r>
    </w:p>
    <w:p w14:paraId="551301E4" w14:textId="77777777" w:rsidR="00A047E8" w:rsidRPr="00F66F27" w:rsidRDefault="00A047E8">
      <w:pPr>
        <w:tabs>
          <w:tab w:val="left" w:pos="540"/>
          <w:tab w:val="left" w:pos="569"/>
        </w:tabs>
        <w:jc w:val="both"/>
        <w:rPr>
          <w:bCs/>
          <w:sz w:val="22"/>
          <w:szCs w:val="22"/>
          <w:lang w:val="sr-Latn-RS"/>
        </w:rPr>
      </w:pPr>
    </w:p>
    <w:p w14:paraId="553C65A3" w14:textId="41B306E1" w:rsidR="00A047E8" w:rsidRPr="00F66F27" w:rsidRDefault="00A047E8">
      <w:pPr>
        <w:tabs>
          <w:tab w:val="left" w:pos="540"/>
          <w:tab w:val="left" w:pos="569"/>
        </w:tabs>
        <w:jc w:val="both"/>
        <w:rPr>
          <w:bCs/>
          <w:sz w:val="22"/>
          <w:szCs w:val="22"/>
          <w:lang w:val="sr-Latn-RS"/>
        </w:rPr>
      </w:pPr>
      <w:r w:rsidRPr="00F66F27">
        <w:rPr>
          <w:bCs/>
          <w:sz w:val="22"/>
          <w:szCs w:val="22"/>
          <w:lang w:val="sr-Latn-RS"/>
        </w:rPr>
        <w:lastRenderedPageBreak/>
        <w:t>Palonosetron se nije pokazao inferiornim u odnosu na komparatore u akutnoj fazi emeze kod pacijenata sa um</w:t>
      </w:r>
      <w:r w:rsidR="002570B9" w:rsidRPr="00F66F27">
        <w:rPr>
          <w:bCs/>
          <w:sz w:val="22"/>
          <w:szCs w:val="22"/>
          <w:lang w:val="sr-Latn-RS"/>
        </w:rPr>
        <w:t>j</w:t>
      </w:r>
      <w:r w:rsidRPr="00F66F27">
        <w:rPr>
          <w:bCs/>
          <w:sz w:val="22"/>
          <w:szCs w:val="22"/>
          <w:lang w:val="sr-Latn-RS"/>
        </w:rPr>
        <w:t xml:space="preserve">erenim ili visoko emetogenim režimom. </w:t>
      </w:r>
    </w:p>
    <w:p w14:paraId="60816757"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Iako komparativna efikasnost palonosetrona u multiplim ciklusima hemioterapije nije pokazana kontrolisanim kliničkim studijama, 875 pacijenata uključenih u prethodne tri studije treće faze kliničkih ispitivanja, bilo je obuhvaćeno sljedećom otvorenom studijom bezbjednosti primjene palonosetrona u dozi od 750 mikrograma tokom narednih 9 ciklusa hemioterapije. Ukupna bezbjednost primjene lijeka bila je ista tokom svih ciklusa.</w:t>
      </w:r>
    </w:p>
    <w:p w14:paraId="5F6656AF" w14:textId="77777777" w:rsidR="00A047E8" w:rsidRPr="00F66F27" w:rsidRDefault="00A047E8">
      <w:pPr>
        <w:tabs>
          <w:tab w:val="left" w:pos="540"/>
          <w:tab w:val="left" w:pos="569"/>
        </w:tabs>
        <w:jc w:val="both"/>
        <w:rPr>
          <w:bCs/>
          <w:sz w:val="22"/>
          <w:szCs w:val="22"/>
          <w:lang w:val="sr-Latn-RS"/>
        </w:rPr>
      </w:pPr>
    </w:p>
    <w:p w14:paraId="74186EDB" w14:textId="77777777" w:rsidR="00A047E8" w:rsidRPr="00F66F27" w:rsidRDefault="00A047E8">
      <w:pPr>
        <w:tabs>
          <w:tab w:val="left" w:pos="540"/>
          <w:tab w:val="left" w:pos="569"/>
        </w:tabs>
        <w:jc w:val="both"/>
        <w:rPr>
          <w:bCs/>
          <w:sz w:val="22"/>
          <w:szCs w:val="22"/>
          <w:lang w:val="sr-Latn-RS"/>
        </w:rPr>
      </w:pPr>
      <w:r w:rsidRPr="00F66F27">
        <w:rPr>
          <w:bCs/>
          <w:sz w:val="22"/>
          <w:szCs w:val="22"/>
          <w:u w:val="single"/>
          <w:lang w:val="sr-Latn-RS"/>
        </w:rPr>
        <w:t>Tabela 1</w:t>
      </w:r>
      <w:r w:rsidRPr="00F66F27">
        <w:rPr>
          <w:bCs/>
          <w:sz w:val="22"/>
          <w:szCs w:val="22"/>
          <w:lang w:val="sr-Latn-RS"/>
        </w:rPr>
        <w:t>: Procenat pacijenata</w:t>
      </w:r>
      <w:r w:rsidRPr="00F66F27">
        <w:rPr>
          <w:bCs/>
          <w:sz w:val="22"/>
          <w:szCs w:val="22"/>
          <w:vertAlign w:val="superscript"/>
          <w:lang w:val="sr-Latn-RS"/>
        </w:rPr>
        <w:t xml:space="preserve">a </w:t>
      </w:r>
      <w:r w:rsidRPr="00F66F27">
        <w:rPr>
          <w:bCs/>
          <w:sz w:val="22"/>
          <w:szCs w:val="22"/>
          <w:lang w:val="sr-Latn-RS"/>
        </w:rPr>
        <w:t>prema dužini praćenja i odgovoru na terapiju palonosetronom u odnosu na terapiju ondansetronom kod umjereno emetogene hemioterapije</w:t>
      </w:r>
    </w:p>
    <w:p w14:paraId="6861CE5A" w14:textId="77777777" w:rsidR="00A047E8" w:rsidRPr="00F66F27" w:rsidRDefault="00A047E8">
      <w:pPr>
        <w:tabs>
          <w:tab w:val="left" w:pos="540"/>
          <w:tab w:val="left" w:pos="569"/>
        </w:tabs>
        <w:jc w:val="both"/>
        <w:rPr>
          <w:bCs/>
          <w:sz w:val="22"/>
          <w:szCs w:val="22"/>
          <w:lang w:val="sr-Latn-RS"/>
        </w:rPr>
      </w:pPr>
    </w:p>
    <w:tbl>
      <w:tblPr>
        <w:tblW w:w="8856" w:type="dxa"/>
        <w:tblInd w:w="-110" w:type="dxa"/>
        <w:tblCellMar>
          <w:top w:w="49" w:type="dxa"/>
          <w:left w:w="110" w:type="dxa"/>
          <w:bottom w:w="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5A1A9423" w14:textId="77777777" w:rsidTr="00567DB0">
        <w:trPr>
          <w:trHeight w:val="768"/>
        </w:trPr>
        <w:tc>
          <w:tcPr>
            <w:tcW w:w="1771" w:type="dxa"/>
            <w:tcBorders>
              <w:top w:val="single" w:sz="4" w:space="0" w:color="000000"/>
              <w:left w:val="single" w:sz="4" w:space="0" w:color="000000"/>
              <w:bottom w:val="single" w:sz="4" w:space="0" w:color="000000"/>
              <w:right w:val="single" w:sz="4" w:space="0" w:color="000000"/>
            </w:tcBorders>
          </w:tcPr>
          <w:p w14:paraId="0B364A36" w14:textId="77777777" w:rsidR="00A047E8" w:rsidRPr="00F66F27" w:rsidRDefault="00A047E8">
            <w:pPr>
              <w:tabs>
                <w:tab w:val="left" w:pos="540"/>
                <w:tab w:val="left" w:pos="569"/>
              </w:tabs>
              <w:jc w:val="both"/>
              <w:rPr>
                <w:bCs/>
                <w:sz w:val="22"/>
                <w:szCs w:val="22"/>
                <w:lang w:val="sr-Latn-RS"/>
              </w:rPr>
            </w:pPr>
          </w:p>
        </w:tc>
        <w:tc>
          <w:tcPr>
            <w:tcW w:w="1771" w:type="dxa"/>
            <w:tcBorders>
              <w:top w:val="single" w:sz="4" w:space="0" w:color="000000"/>
              <w:left w:val="single" w:sz="4" w:space="0" w:color="000000"/>
              <w:bottom w:val="single" w:sz="4" w:space="0" w:color="000000"/>
              <w:right w:val="single" w:sz="4" w:space="0" w:color="000000"/>
            </w:tcBorders>
          </w:tcPr>
          <w:p w14:paraId="3CC9A23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Palonosetron</w:t>
            </w:r>
          </w:p>
          <w:p w14:paraId="1E61762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250 mikrograma</w:t>
            </w:r>
          </w:p>
          <w:p w14:paraId="1BFE3293"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(n=189)</w:t>
            </w:r>
          </w:p>
        </w:tc>
        <w:tc>
          <w:tcPr>
            <w:tcW w:w="1771" w:type="dxa"/>
            <w:tcBorders>
              <w:top w:val="single" w:sz="4" w:space="0" w:color="000000"/>
              <w:left w:val="single" w:sz="4" w:space="0" w:color="000000"/>
              <w:bottom w:val="single" w:sz="4" w:space="0" w:color="000000"/>
              <w:right w:val="single" w:sz="4" w:space="0" w:color="000000"/>
            </w:tcBorders>
          </w:tcPr>
          <w:p w14:paraId="01E6EFAC"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Ondansetron</w:t>
            </w:r>
          </w:p>
          <w:p w14:paraId="13854ACA"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32 mg</w:t>
            </w:r>
          </w:p>
          <w:p w14:paraId="7B92EECA"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(n=185)</w:t>
            </w:r>
          </w:p>
        </w:tc>
        <w:tc>
          <w:tcPr>
            <w:tcW w:w="1771" w:type="dxa"/>
            <w:tcBorders>
              <w:top w:val="single" w:sz="4" w:space="0" w:color="000000"/>
              <w:left w:val="single" w:sz="4" w:space="0" w:color="000000"/>
              <w:bottom w:val="single" w:sz="4" w:space="0" w:color="000000"/>
              <w:right w:val="single" w:sz="4" w:space="0" w:color="000000"/>
            </w:tcBorders>
            <w:vAlign w:val="bottom"/>
          </w:tcPr>
          <w:p w14:paraId="4EDFB03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Razlika</w:t>
            </w:r>
          </w:p>
        </w:tc>
        <w:tc>
          <w:tcPr>
            <w:tcW w:w="1771" w:type="dxa"/>
            <w:tcBorders>
              <w:top w:val="single" w:sz="4" w:space="0" w:color="000000"/>
              <w:left w:val="single" w:sz="4" w:space="0" w:color="000000"/>
              <w:bottom w:val="single" w:sz="4" w:space="0" w:color="000000"/>
              <w:right w:val="single" w:sz="4" w:space="0" w:color="000000"/>
            </w:tcBorders>
          </w:tcPr>
          <w:p w14:paraId="76774EE5" w14:textId="77777777" w:rsidR="00A047E8" w:rsidRPr="00F66F27" w:rsidRDefault="00A047E8">
            <w:pPr>
              <w:tabs>
                <w:tab w:val="left" w:pos="540"/>
                <w:tab w:val="left" w:pos="569"/>
              </w:tabs>
              <w:jc w:val="both"/>
              <w:rPr>
                <w:bCs/>
                <w:sz w:val="22"/>
                <w:szCs w:val="22"/>
                <w:lang w:val="sr-Latn-RS"/>
              </w:rPr>
            </w:pPr>
          </w:p>
        </w:tc>
      </w:tr>
      <w:tr w:rsidR="00A047E8" w:rsidRPr="00F66F27" w14:paraId="0326791F"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48B1E0C0" w14:textId="77777777" w:rsidR="00A047E8" w:rsidRPr="00F66F27" w:rsidRDefault="00A047E8" w:rsidP="00567DB0">
            <w:pPr>
              <w:tabs>
                <w:tab w:val="left" w:pos="540"/>
                <w:tab w:val="left" w:pos="569"/>
              </w:tabs>
              <w:jc w:val="both"/>
              <w:rPr>
                <w:bCs/>
                <w:sz w:val="22"/>
                <w:szCs w:val="22"/>
                <w:lang w:val="sr-Latn-RS"/>
              </w:rPr>
            </w:pPr>
          </w:p>
        </w:tc>
        <w:tc>
          <w:tcPr>
            <w:tcW w:w="1771" w:type="dxa"/>
            <w:tcBorders>
              <w:top w:val="single" w:sz="4" w:space="0" w:color="000000"/>
              <w:left w:val="single" w:sz="4" w:space="0" w:color="000000"/>
              <w:bottom w:val="single" w:sz="4" w:space="0" w:color="000000"/>
              <w:right w:val="single" w:sz="4" w:space="0" w:color="000000"/>
            </w:tcBorders>
          </w:tcPr>
          <w:p w14:paraId="6B07FE03"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2CA8B83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5FB105CD"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25387D2A" w14:textId="77777777" w:rsidR="00A047E8" w:rsidRPr="00F66F27" w:rsidRDefault="00A047E8">
            <w:pPr>
              <w:tabs>
                <w:tab w:val="left" w:pos="540"/>
                <w:tab w:val="left" w:pos="569"/>
              </w:tabs>
              <w:jc w:val="both"/>
              <w:rPr>
                <w:bCs/>
                <w:sz w:val="22"/>
                <w:szCs w:val="22"/>
                <w:lang w:val="sr-Latn-RS"/>
              </w:rPr>
            </w:pPr>
          </w:p>
        </w:tc>
      </w:tr>
    </w:tbl>
    <w:p w14:paraId="76014AF6" w14:textId="7F93B7D6"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Kompletan odgovor (nema emeze ni dodatne medikacije)</w:t>
      </w:r>
      <w:r w:rsidRPr="00F66F27">
        <w:rPr>
          <w:bCs/>
          <w:sz w:val="22"/>
          <w:szCs w:val="22"/>
          <w:lang w:val="sr-Latn-RS"/>
        </w:rPr>
        <w:tab/>
      </w:r>
      <w:r w:rsidR="00005670" w:rsidRPr="00F66F27">
        <w:rPr>
          <w:bCs/>
          <w:sz w:val="22"/>
          <w:szCs w:val="22"/>
          <w:lang w:val="sr-Latn-RS"/>
        </w:rPr>
        <w:t xml:space="preserve">                       </w:t>
      </w:r>
      <w:r w:rsidRPr="00F66F27">
        <w:rPr>
          <w:bCs/>
          <w:sz w:val="22"/>
          <w:szCs w:val="22"/>
          <w:lang w:val="sr-Latn-RS"/>
        </w:rPr>
        <w:t xml:space="preserve">97.5% CI </w:t>
      </w:r>
      <w:r w:rsidRPr="00F66F27">
        <w:rPr>
          <w:bCs/>
          <w:sz w:val="22"/>
          <w:szCs w:val="22"/>
          <w:vertAlign w:val="superscript"/>
          <w:lang w:val="sr-Latn-RS"/>
        </w:rPr>
        <w:t>b</w:t>
      </w:r>
    </w:p>
    <w:tbl>
      <w:tblPr>
        <w:tblW w:w="8856" w:type="dxa"/>
        <w:tblInd w:w="-110" w:type="dxa"/>
        <w:tblCellMar>
          <w:top w:w="49" w:type="dxa"/>
          <w:left w:w="110" w:type="dxa"/>
        </w:tblCellMar>
        <w:tblLook w:val="04A0" w:firstRow="1" w:lastRow="0" w:firstColumn="1" w:lastColumn="0" w:noHBand="0" w:noVBand="1"/>
      </w:tblPr>
      <w:tblGrid>
        <w:gridCol w:w="1772"/>
        <w:gridCol w:w="1771"/>
        <w:gridCol w:w="1771"/>
        <w:gridCol w:w="1771"/>
        <w:gridCol w:w="1771"/>
      </w:tblGrid>
      <w:tr w:rsidR="00A047E8" w:rsidRPr="00F66F27" w14:paraId="6930B044" w14:textId="77777777" w:rsidTr="00567DB0">
        <w:trPr>
          <w:trHeight w:val="278"/>
        </w:trPr>
        <w:tc>
          <w:tcPr>
            <w:tcW w:w="1771" w:type="dxa"/>
            <w:tcBorders>
              <w:top w:val="single" w:sz="4" w:space="0" w:color="000000"/>
              <w:left w:val="single" w:sz="4" w:space="0" w:color="000000"/>
              <w:bottom w:val="single" w:sz="4" w:space="0" w:color="000000"/>
              <w:right w:val="single" w:sz="4" w:space="0" w:color="000000"/>
            </w:tcBorders>
          </w:tcPr>
          <w:p w14:paraId="2AA5C21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0 –24 sata            </w:t>
            </w:r>
          </w:p>
        </w:tc>
        <w:tc>
          <w:tcPr>
            <w:tcW w:w="1771" w:type="dxa"/>
            <w:tcBorders>
              <w:top w:val="single" w:sz="4" w:space="0" w:color="000000"/>
              <w:left w:val="single" w:sz="4" w:space="0" w:color="000000"/>
              <w:bottom w:val="single" w:sz="4" w:space="0" w:color="000000"/>
              <w:right w:val="single" w:sz="4" w:space="0" w:color="000000"/>
            </w:tcBorders>
          </w:tcPr>
          <w:p w14:paraId="3414E85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81,0</w:t>
            </w:r>
          </w:p>
        </w:tc>
        <w:tc>
          <w:tcPr>
            <w:tcW w:w="1771" w:type="dxa"/>
            <w:tcBorders>
              <w:top w:val="single" w:sz="4" w:space="0" w:color="000000"/>
              <w:left w:val="single" w:sz="4" w:space="0" w:color="000000"/>
              <w:bottom w:val="single" w:sz="4" w:space="0" w:color="000000"/>
              <w:right w:val="single" w:sz="4" w:space="0" w:color="000000"/>
            </w:tcBorders>
          </w:tcPr>
          <w:p w14:paraId="21214917"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68,6</w:t>
            </w:r>
          </w:p>
        </w:tc>
        <w:tc>
          <w:tcPr>
            <w:tcW w:w="1771" w:type="dxa"/>
            <w:tcBorders>
              <w:top w:val="single" w:sz="4" w:space="0" w:color="000000"/>
              <w:left w:val="single" w:sz="4" w:space="0" w:color="000000"/>
              <w:bottom w:val="single" w:sz="4" w:space="0" w:color="000000"/>
              <w:right w:val="single" w:sz="4" w:space="0" w:color="000000"/>
            </w:tcBorders>
          </w:tcPr>
          <w:p w14:paraId="14FDACC8"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12,4</w:t>
            </w:r>
          </w:p>
        </w:tc>
        <w:tc>
          <w:tcPr>
            <w:tcW w:w="1771" w:type="dxa"/>
            <w:tcBorders>
              <w:top w:val="single" w:sz="4" w:space="0" w:color="000000"/>
              <w:left w:val="single" w:sz="4" w:space="0" w:color="000000"/>
              <w:bottom w:val="single" w:sz="4" w:space="0" w:color="000000"/>
              <w:right w:val="single" w:sz="4" w:space="0" w:color="000000"/>
            </w:tcBorders>
          </w:tcPr>
          <w:p w14:paraId="62DA3BB0"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[1,8%, 22,8%]</w:t>
            </w:r>
          </w:p>
        </w:tc>
      </w:tr>
      <w:tr w:rsidR="00A047E8" w:rsidRPr="00F66F27" w14:paraId="52334320" w14:textId="77777777" w:rsidTr="00567DB0">
        <w:trPr>
          <w:trHeight w:val="278"/>
        </w:trPr>
        <w:tc>
          <w:tcPr>
            <w:tcW w:w="1771" w:type="dxa"/>
            <w:tcBorders>
              <w:top w:val="single" w:sz="4" w:space="0" w:color="000000"/>
              <w:left w:val="single" w:sz="4" w:space="0" w:color="000000"/>
              <w:bottom w:val="single" w:sz="4" w:space="0" w:color="000000"/>
              <w:right w:val="single" w:sz="4" w:space="0" w:color="000000"/>
            </w:tcBorders>
          </w:tcPr>
          <w:p w14:paraId="0BE71F09"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3C9E5930"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74,1</w:t>
            </w:r>
          </w:p>
        </w:tc>
        <w:tc>
          <w:tcPr>
            <w:tcW w:w="1771" w:type="dxa"/>
            <w:tcBorders>
              <w:top w:val="single" w:sz="4" w:space="0" w:color="000000"/>
              <w:left w:val="single" w:sz="4" w:space="0" w:color="000000"/>
              <w:bottom w:val="single" w:sz="4" w:space="0" w:color="000000"/>
              <w:right w:val="single" w:sz="4" w:space="0" w:color="000000"/>
            </w:tcBorders>
          </w:tcPr>
          <w:p w14:paraId="21D053C4"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55,1</w:t>
            </w:r>
          </w:p>
        </w:tc>
        <w:tc>
          <w:tcPr>
            <w:tcW w:w="1771" w:type="dxa"/>
            <w:tcBorders>
              <w:top w:val="single" w:sz="4" w:space="0" w:color="000000"/>
              <w:left w:val="single" w:sz="4" w:space="0" w:color="000000"/>
              <w:bottom w:val="single" w:sz="4" w:space="0" w:color="000000"/>
              <w:right w:val="single" w:sz="4" w:space="0" w:color="000000"/>
            </w:tcBorders>
          </w:tcPr>
          <w:p w14:paraId="502A4B10"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19,0</w:t>
            </w:r>
          </w:p>
        </w:tc>
        <w:tc>
          <w:tcPr>
            <w:tcW w:w="1771" w:type="dxa"/>
            <w:tcBorders>
              <w:top w:val="single" w:sz="4" w:space="0" w:color="000000"/>
              <w:left w:val="single" w:sz="4" w:space="0" w:color="000000"/>
              <w:bottom w:val="single" w:sz="4" w:space="0" w:color="000000"/>
              <w:right w:val="single" w:sz="4" w:space="0" w:color="000000"/>
            </w:tcBorders>
          </w:tcPr>
          <w:p w14:paraId="018E7BE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[7,5%, 30,3%]</w:t>
            </w:r>
          </w:p>
        </w:tc>
      </w:tr>
      <w:tr w:rsidR="00A047E8" w:rsidRPr="00F66F27" w14:paraId="11593D4D" w14:textId="77777777" w:rsidTr="00567DB0">
        <w:trPr>
          <w:trHeight w:val="283"/>
        </w:trPr>
        <w:tc>
          <w:tcPr>
            <w:tcW w:w="1771" w:type="dxa"/>
            <w:tcBorders>
              <w:top w:val="single" w:sz="4" w:space="0" w:color="000000"/>
              <w:left w:val="single" w:sz="4" w:space="0" w:color="000000"/>
              <w:bottom w:val="single" w:sz="4" w:space="0" w:color="000000"/>
              <w:right w:val="single" w:sz="4" w:space="0" w:color="000000"/>
            </w:tcBorders>
          </w:tcPr>
          <w:p w14:paraId="13A2FB0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0-120 sati</w:t>
            </w:r>
          </w:p>
        </w:tc>
        <w:tc>
          <w:tcPr>
            <w:tcW w:w="1771" w:type="dxa"/>
            <w:tcBorders>
              <w:top w:val="single" w:sz="4" w:space="0" w:color="000000"/>
              <w:left w:val="single" w:sz="4" w:space="0" w:color="000000"/>
              <w:bottom w:val="single" w:sz="4" w:space="0" w:color="000000"/>
              <w:right w:val="single" w:sz="4" w:space="0" w:color="000000"/>
            </w:tcBorders>
          </w:tcPr>
          <w:p w14:paraId="6E85A0D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69,3</w:t>
            </w:r>
          </w:p>
        </w:tc>
        <w:tc>
          <w:tcPr>
            <w:tcW w:w="1771" w:type="dxa"/>
            <w:tcBorders>
              <w:top w:val="single" w:sz="4" w:space="0" w:color="000000"/>
              <w:left w:val="single" w:sz="4" w:space="0" w:color="000000"/>
              <w:bottom w:val="single" w:sz="4" w:space="0" w:color="000000"/>
              <w:right w:val="single" w:sz="4" w:space="0" w:color="000000"/>
            </w:tcBorders>
          </w:tcPr>
          <w:p w14:paraId="1777919A"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50,3</w:t>
            </w:r>
          </w:p>
        </w:tc>
        <w:tc>
          <w:tcPr>
            <w:tcW w:w="1771" w:type="dxa"/>
            <w:tcBorders>
              <w:top w:val="single" w:sz="4" w:space="0" w:color="000000"/>
              <w:left w:val="single" w:sz="4" w:space="0" w:color="000000"/>
              <w:bottom w:val="single" w:sz="4" w:space="0" w:color="000000"/>
              <w:right w:val="single" w:sz="4" w:space="0" w:color="000000"/>
            </w:tcBorders>
          </w:tcPr>
          <w:p w14:paraId="6119776B"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19,0</w:t>
            </w:r>
          </w:p>
        </w:tc>
        <w:tc>
          <w:tcPr>
            <w:tcW w:w="1771" w:type="dxa"/>
            <w:tcBorders>
              <w:top w:val="single" w:sz="4" w:space="0" w:color="000000"/>
              <w:left w:val="single" w:sz="4" w:space="0" w:color="000000"/>
              <w:bottom w:val="single" w:sz="4" w:space="0" w:color="000000"/>
              <w:right w:val="single" w:sz="4" w:space="0" w:color="000000"/>
            </w:tcBorders>
          </w:tcPr>
          <w:p w14:paraId="29071FBC"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[7,4%, 30,7%]</w:t>
            </w:r>
          </w:p>
        </w:tc>
      </w:tr>
    </w:tbl>
    <w:p w14:paraId="279169D2" w14:textId="4E4472DF"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Kompletna kontrola (kompletan odgovor uz blagu mučninu) </w:t>
      </w:r>
      <w:r w:rsidR="007642F8" w:rsidRPr="00F66F27">
        <w:rPr>
          <w:bCs/>
          <w:sz w:val="22"/>
          <w:szCs w:val="22"/>
          <w:lang w:val="sr-Latn-RS"/>
        </w:rPr>
        <w:t xml:space="preserve">                                </w:t>
      </w:r>
      <w:r w:rsidRPr="00F66F27">
        <w:rPr>
          <w:bCs/>
          <w:sz w:val="22"/>
          <w:szCs w:val="22"/>
          <w:lang w:val="sr-Latn-RS"/>
        </w:rPr>
        <w:t>p-vr</w:t>
      </w:r>
      <w:r w:rsidR="00E338DB" w:rsidRPr="00F66F27">
        <w:rPr>
          <w:bCs/>
          <w:sz w:val="22"/>
          <w:szCs w:val="22"/>
          <w:lang w:val="sr-Latn-RS"/>
        </w:rPr>
        <w:t>ij</w:t>
      </w:r>
      <w:r w:rsidRPr="00F66F27">
        <w:rPr>
          <w:bCs/>
          <w:sz w:val="22"/>
          <w:szCs w:val="22"/>
          <w:lang w:val="sr-Latn-RS"/>
        </w:rPr>
        <w:t>ednost</w:t>
      </w:r>
      <w:r w:rsidRPr="00F66F27">
        <w:rPr>
          <w:bCs/>
          <w:sz w:val="22"/>
          <w:szCs w:val="22"/>
          <w:vertAlign w:val="superscript"/>
          <w:lang w:val="sr-Latn-RS"/>
        </w:rPr>
        <w:t>c</w:t>
      </w:r>
    </w:p>
    <w:tbl>
      <w:tblPr>
        <w:tblW w:w="8856" w:type="dxa"/>
        <w:tblInd w:w="-110" w:type="dxa"/>
        <w:tblCellMar>
          <w:top w:w="49" w:type="dxa"/>
          <w:left w:w="1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2CA8406E"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109575A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 –24 sata</w:t>
            </w:r>
          </w:p>
        </w:tc>
        <w:tc>
          <w:tcPr>
            <w:tcW w:w="1771" w:type="dxa"/>
            <w:tcBorders>
              <w:top w:val="single" w:sz="4" w:space="0" w:color="000000"/>
              <w:left w:val="single" w:sz="4" w:space="0" w:color="000000"/>
              <w:bottom w:val="single" w:sz="4" w:space="0" w:color="000000"/>
              <w:right w:val="single" w:sz="4" w:space="0" w:color="000000"/>
            </w:tcBorders>
          </w:tcPr>
          <w:p w14:paraId="50CE813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76,2</w:t>
            </w:r>
          </w:p>
        </w:tc>
        <w:tc>
          <w:tcPr>
            <w:tcW w:w="1771" w:type="dxa"/>
            <w:tcBorders>
              <w:top w:val="single" w:sz="4" w:space="0" w:color="000000"/>
              <w:left w:val="single" w:sz="4" w:space="0" w:color="000000"/>
              <w:bottom w:val="single" w:sz="4" w:space="0" w:color="000000"/>
              <w:right w:val="single" w:sz="4" w:space="0" w:color="000000"/>
            </w:tcBorders>
          </w:tcPr>
          <w:p w14:paraId="1D412CF9"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65,4</w:t>
            </w:r>
          </w:p>
        </w:tc>
        <w:tc>
          <w:tcPr>
            <w:tcW w:w="1771" w:type="dxa"/>
            <w:tcBorders>
              <w:top w:val="single" w:sz="4" w:space="0" w:color="000000"/>
              <w:left w:val="single" w:sz="4" w:space="0" w:color="000000"/>
              <w:bottom w:val="single" w:sz="4" w:space="0" w:color="000000"/>
              <w:right w:val="single" w:sz="4" w:space="0" w:color="000000"/>
            </w:tcBorders>
          </w:tcPr>
          <w:p w14:paraId="68671330"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10,8</w:t>
            </w:r>
          </w:p>
        </w:tc>
        <w:tc>
          <w:tcPr>
            <w:tcW w:w="1771" w:type="dxa"/>
            <w:tcBorders>
              <w:top w:val="single" w:sz="4" w:space="0" w:color="000000"/>
              <w:left w:val="single" w:sz="4" w:space="0" w:color="000000"/>
              <w:bottom w:val="single" w:sz="4" w:space="0" w:color="000000"/>
              <w:right w:val="single" w:sz="4" w:space="0" w:color="000000"/>
            </w:tcBorders>
          </w:tcPr>
          <w:p w14:paraId="5558044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5F22D384"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4DBC776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523C9FA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66,7</w:t>
            </w:r>
          </w:p>
        </w:tc>
        <w:tc>
          <w:tcPr>
            <w:tcW w:w="1771" w:type="dxa"/>
            <w:tcBorders>
              <w:top w:val="single" w:sz="4" w:space="0" w:color="000000"/>
              <w:left w:val="single" w:sz="4" w:space="0" w:color="000000"/>
              <w:bottom w:val="single" w:sz="4" w:space="0" w:color="000000"/>
              <w:right w:val="single" w:sz="4" w:space="0" w:color="000000"/>
            </w:tcBorders>
          </w:tcPr>
          <w:p w14:paraId="7AC59438"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50,3</w:t>
            </w:r>
          </w:p>
        </w:tc>
        <w:tc>
          <w:tcPr>
            <w:tcW w:w="1771" w:type="dxa"/>
            <w:tcBorders>
              <w:top w:val="single" w:sz="4" w:space="0" w:color="000000"/>
              <w:left w:val="single" w:sz="4" w:space="0" w:color="000000"/>
              <w:bottom w:val="single" w:sz="4" w:space="0" w:color="000000"/>
              <w:right w:val="single" w:sz="4" w:space="0" w:color="000000"/>
            </w:tcBorders>
          </w:tcPr>
          <w:p w14:paraId="08D41E49"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16,4</w:t>
            </w:r>
          </w:p>
        </w:tc>
        <w:tc>
          <w:tcPr>
            <w:tcW w:w="1771" w:type="dxa"/>
            <w:tcBorders>
              <w:top w:val="single" w:sz="4" w:space="0" w:color="000000"/>
              <w:left w:val="single" w:sz="4" w:space="0" w:color="000000"/>
              <w:bottom w:val="single" w:sz="4" w:space="0" w:color="000000"/>
              <w:right w:val="single" w:sz="4" w:space="0" w:color="000000"/>
            </w:tcBorders>
          </w:tcPr>
          <w:p w14:paraId="4C9A8666"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0,001</w:t>
            </w:r>
          </w:p>
        </w:tc>
      </w:tr>
      <w:tr w:rsidR="00A047E8" w:rsidRPr="00F66F27" w14:paraId="16C2C405"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56194E5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0-120 sati</w:t>
            </w:r>
          </w:p>
        </w:tc>
        <w:tc>
          <w:tcPr>
            <w:tcW w:w="1771" w:type="dxa"/>
            <w:tcBorders>
              <w:top w:val="single" w:sz="4" w:space="0" w:color="000000"/>
              <w:left w:val="single" w:sz="4" w:space="0" w:color="000000"/>
              <w:bottom w:val="single" w:sz="4" w:space="0" w:color="000000"/>
              <w:right w:val="single" w:sz="4" w:space="0" w:color="000000"/>
            </w:tcBorders>
          </w:tcPr>
          <w:p w14:paraId="23DF1BDA"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63,0</w:t>
            </w:r>
          </w:p>
        </w:tc>
        <w:tc>
          <w:tcPr>
            <w:tcW w:w="1771" w:type="dxa"/>
            <w:tcBorders>
              <w:top w:val="single" w:sz="4" w:space="0" w:color="000000"/>
              <w:left w:val="single" w:sz="4" w:space="0" w:color="000000"/>
              <w:bottom w:val="single" w:sz="4" w:space="0" w:color="000000"/>
              <w:right w:val="single" w:sz="4" w:space="0" w:color="000000"/>
            </w:tcBorders>
          </w:tcPr>
          <w:p w14:paraId="413C2F2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44,9</w:t>
            </w:r>
          </w:p>
        </w:tc>
        <w:tc>
          <w:tcPr>
            <w:tcW w:w="1771" w:type="dxa"/>
            <w:tcBorders>
              <w:top w:val="single" w:sz="4" w:space="0" w:color="000000"/>
              <w:left w:val="single" w:sz="4" w:space="0" w:color="000000"/>
              <w:bottom w:val="single" w:sz="4" w:space="0" w:color="000000"/>
              <w:right w:val="single" w:sz="4" w:space="0" w:color="000000"/>
            </w:tcBorders>
          </w:tcPr>
          <w:p w14:paraId="3CEA6E92"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18,1</w:t>
            </w:r>
          </w:p>
        </w:tc>
        <w:tc>
          <w:tcPr>
            <w:tcW w:w="1771" w:type="dxa"/>
            <w:tcBorders>
              <w:top w:val="single" w:sz="4" w:space="0" w:color="000000"/>
              <w:left w:val="single" w:sz="4" w:space="0" w:color="000000"/>
              <w:bottom w:val="single" w:sz="4" w:space="0" w:color="000000"/>
              <w:right w:val="single" w:sz="4" w:space="0" w:color="000000"/>
            </w:tcBorders>
          </w:tcPr>
          <w:p w14:paraId="08A0AAB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0,001</w:t>
            </w:r>
          </w:p>
        </w:tc>
      </w:tr>
    </w:tbl>
    <w:p w14:paraId="48E69F80" w14:textId="3B4D4A72"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Bez mučnine (Likertova skala)</w:t>
      </w:r>
      <w:r w:rsidR="007642F8" w:rsidRPr="00F66F27">
        <w:rPr>
          <w:bCs/>
          <w:sz w:val="22"/>
          <w:szCs w:val="22"/>
          <w:lang w:val="sr-Latn-RS"/>
        </w:rPr>
        <w:t xml:space="preserve">                                                                                </w:t>
      </w:r>
      <w:r w:rsidRPr="00F66F27">
        <w:rPr>
          <w:bCs/>
          <w:sz w:val="22"/>
          <w:szCs w:val="22"/>
          <w:lang w:val="sr-Latn-RS"/>
        </w:rPr>
        <w:t>p-vr</w:t>
      </w:r>
      <w:r w:rsidR="00E338DB" w:rsidRPr="00F66F27">
        <w:rPr>
          <w:bCs/>
          <w:sz w:val="22"/>
          <w:szCs w:val="22"/>
          <w:lang w:val="sr-Latn-RS"/>
        </w:rPr>
        <w:t>ij</w:t>
      </w:r>
      <w:r w:rsidRPr="00F66F27">
        <w:rPr>
          <w:bCs/>
          <w:sz w:val="22"/>
          <w:szCs w:val="22"/>
          <w:lang w:val="sr-Latn-RS"/>
        </w:rPr>
        <w:t>ednost</w:t>
      </w:r>
      <w:r w:rsidRPr="00F66F27">
        <w:rPr>
          <w:bCs/>
          <w:sz w:val="22"/>
          <w:szCs w:val="22"/>
          <w:vertAlign w:val="superscript"/>
          <w:lang w:val="sr-Latn-RS"/>
        </w:rPr>
        <w:t>c</w:t>
      </w:r>
    </w:p>
    <w:tbl>
      <w:tblPr>
        <w:tblW w:w="8856" w:type="dxa"/>
        <w:tblInd w:w="-110" w:type="dxa"/>
        <w:tblCellMar>
          <w:top w:w="49" w:type="dxa"/>
          <w:left w:w="1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5FCF3E81"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5281C75E"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 –24 sata</w:t>
            </w:r>
          </w:p>
        </w:tc>
        <w:tc>
          <w:tcPr>
            <w:tcW w:w="1771" w:type="dxa"/>
            <w:tcBorders>
              <w:top w:val="single" w:sz="4" w:space="0" w:color="000000"/>
              <w:left w:val="single" w:sz="4" w:space="0" w:color="000000"/>
              <w:bottom w:val="single" w:sz="4" w:space="0" w:color="000000"/>
              <w:right w:val="single" w:sz="4" w:space="0" w:color="000000"/>
            </w:tcBorders>
          </w:tcPr>
          <w:p w14:paraId="57CA412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60,3</w:t>
            </w:r>
          </w:p>
        </w:tc>
        <w:tc>
          <w:tcPr>
            <w:tcW w:w="1771" w:type="dxa"/>
            <w:tcBorders>
              <w:top w:val="single" w:sz="4" w:space="0" w:color="000000"/>
              <w:left w:val="single" w:sz="4" w:space="0" w:color="000000"/>
              <w:bottom w:val="single" w:sz="4" w:space="0" w:color="000000"/>
              <w:right w:val="single" w:sz="4" w:space="0" w:color="000000"/>
            </w:tcBorders>
          </w:tcPr>
          <w:p w14:paraId="053182FB"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56,8</w:t>
            </w:r>
          </w:p>
        </w:tc>
        <w:tc>
          <w:tcPr>
            <w:tcW w:w="1771" w:type="dxa"/>
            <w:tcBorders>
              <w:top w:val="single" w:sz="4" w:space="0" w:color="000000"/>
              <w:left w:val="single" w:sz="4" w:space="0" w:color="000000"/>
              <w:bottom w:val="single" w:sz="4" w:space="0" w:color="000000"/>
              <w:right w:val="single" w:sz="4" w:space="0" w:color="000000"/>
            </w:tcBorders>
          </w:tcPr>
          <w:p w14:paraId="577A918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3,5</w:t>
            </w:r>
          </w:p>
        </w:tc>
        <w:tc>
          <w:tcPr>
            <w:tcW w:w="1771" w:type="dxa"/>
            <w:tcBorders>
              <w:top w:val="single" w:sz="4" w:space="0" w:color="000000"/>
              <w:left w:val="single" w:sz="4" w:space="0" w:color="000000"/>
              <w:bottom w:val="single" w:sz="4" w:space="0" w:color="000000"/>
              <w:right w:val="single" w:sz="4" w:space="0" w:color="000000"/>
            </w:tcBorders>
          </w:tcPr>
          <w:p w14:paraId="142EBB2C"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443E261C"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2C9DCB8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3C96E79E"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51,9</w:t>
            </w:r>
          </w:p>
        </w:tc>
        <w:tc>
          <w:tcPr>
            <w:tcW w:w="1771" w:type="dxa"/>
            <w:tcBorders>
              <w:top w:val="single" w:sz="4" w:space="0" w:color="000000"/>
              <w:left w:val="single" w:sz="4" w:space="0" w:color="000000"/>
              <w:bottom w:val="single" w:sz="4" w:space="0" w:color="000000"/>
              <w:right w:val="single" w:sz="4" w:space="0" w:color="000000"/>
            </w:tcBorders>
          </w:tcPr>
          <w:p w14:paraId="04407ADC"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39,5</w:t>
            </w:r>
          </w:p>
        </w:tc>
        <w:tc>
          <w:tcPr>
            <w:tcW w:w="1771" w:type="dxa"/>
            <w:tcBorders>
              <w:top w:val="single" w:sz="4" w:space="0" w:color="000000"/>
              <w:left w:val="single" w:sz="4" w:space="0" w:color="000000"/>
              <w:bottom w:val="single" w:sz="4" w:space="0" w:color="000000"/>
              <w:right w:val="single" w:sz="4" w:space="0" w:color="000000"/>
            </w:tcBorders>
          </w:tcPr>
          <w:p w14:paraId="38B5F0F6"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12,4</w:t>
            </w:r>
          </w:p>
        </w:tc>
        <w:tc>
          <w:tcPr>
            <w:tcW w:w="1771" w:type="dxa"/>
            <w:tcBorders>
              <w:top w:val="single" w:sz="4" w:space="0" w:color="000000"/>
              <w:left w:val="single" w:sz="4" w:space="0" w:color="000000"/>
              <w:bottom w:val="single" w:sz="4" w:space="0" w:color="000000"/>
              <w:right w:val="single" w:sz="4" w:space="0" w:color="000000"/>
            </w:tcBorders>
          </w:tcPr>
          <w:p w14:paraId="36E9D93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4C862F22"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1F48DCEF" w14:textId="1A0380F6"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w:t>
            </w:r>
            <w:r w:rsidR="002570B9" w:rsidRPr="00F66F27">
              <w:rPr>
                <w:bCs/>
                <w:sz w:val="22"/>
                <w:szCs w:val="22"/>
                <w:lang w:val="sr-Latn-RS"/>
              </w:rPr>
              <w:t>2</w:t>
            </w:r>
            <w:r w:rsidRPr="00F66F27">
              <w:rPr>
                <w:bCs/>
                <w:sz w:val="22"/>
                <w:szCs w:val="22"/>
                <w:lang w:val="sr-Latn-RS"/>
              </w:rPr>
              <w:t>0 sati</w:t>
            </w:r>
          </w:p>
        </w:tc>
        <w:tc>
          <w:tcPr>
            <w:tcW w:w="1771" w:type="dxa"/>
            <w:tcBorders>
              <w:top w:val="single" w:sz="4" w:space="0" w:color="000000"/>
              <w:left w:val="single" w:sz="4" w:space="0" w:color="000000"/>
              <w:bottom w:val="single" w:sz="4" w:space="0" w:color="000000"/>
              <w:right w:val="single" w:sz="4" w:space="0" w:color="000000"/>
            </w:tcBorders>
          </w:tcPr>
          <w:p w14:paraId="495091B8"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45,0</w:t>
            </w:r>
          </w:p>
        </w:tc>
        <w:tc>
          <w:tcPr>
            <w:tcW w:w="1771" w:type="dxa"/>
            <w:tcBorders>
              <w:top w:val="single" w:sz="4" w:space="0" w:color="000000"/>
              <w:left w:val="single" w:sz="4" w:space="0" w:color="000000"/>
              <w:bottom w:val="single" w:sz="4" w:space="0" w:color="000000"/>
              <w:right w:val="single" w:sz="4" w:space="0" w:color="000000"/>
            </w:tcBorders>
          </w:tcPr>
          <w:p w14:paraId="32F311F7"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36,2</w:t>
            </w:r>
          </w:p>
        </w:tc>
        <w:tc>
          <w:tcPr>
            <w:tcW w:w="1771" w:type="dxa"/>
            <w:tcBorders>
              <w:top w:val="single" w:sz="4" w:space="0" w:color="000000"/>
              <w:left w:val="single" w:sz="4" w:space="0" w:color="000000"/>
              <w:bottom w:val="single" w:sz="4" w:space="0" w:color="000000"/>
              <w:right w:val="single" w:sz="4" w:space="0" w:color="000000"/>
            </w:tcBorders>
          </w:tcPr>
          <w:p w14:paraId="32050D91"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8,8</w:t>
            </w:r>
          </w:p>
        </w:tc>
        <w:tc>
          <w:tcPr>
            <w:tcW w:w="1771" w:type="dxa"/>
            <w:tcBorders>
              <w:top w:val="single" w:sz="4" w:space="0" w:color="000000"/>
              <w:left w:val="single" w:sz="4" w:space="0" w:color="000000"/>
              <w:bottom w:val="single" w:sz="4" w:space="0" w:color="000000"/>
              <w:right w:val="single" w:sz="4" w:space="0" w:color="000000"/>
            </w:tcBorders>
          </w:tcPr>
          <w:p w14:paraId="06E64F8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bl>
    <w:p w14:paraId="52CB0890" w14:textId="6B6446EA"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a</w:t>
      </w:r>
      <w:r w:rsidR="00E338DB" w:rsidRPr="00F66F27">
        <w:rPr>
          <w:bCs/>
          <w:sz w:val="22"/>
          <w:szCs w:val="22"/>
          <w:vertAlign w:val="superscript"/>
          <w:lang w:val="sr-Latn-RS"/>
        </w:rPr>
        <w:t xml:space="preserve"> </w:t>
      </w:r>
      <w:r w:rsidRPr="00F66F27">
        <w:rPr>
          <w:bCs/>
          <w:sz w:val="22"/>
          <w:szCs w:val="22"/>
          <w:lang w:val="sr-Latn-RS"/>
        </w:rPr>
        <w:t>ITT (</w:t>
      </w:r>
      <w:r w:rsidRPr="00F66F27">
        <w:rPr>
          <w:bCs/>
          <w:i/>
          <w:sz w:val="22"/>
          <w:szCs w:val="22"/>
          <w:lang w:val="sr-Latn-RS"/>
        </w:rPr>
        <w:t xml:space="preserve">intent-to-treat) </w:t>
      </w:r>
      <w:r w:rsidRPr="00F66F27">
        <w:rPr>
          <w:bCs/>
          <w:sz w:val="22"/>
          <w:szCs w:val="22"/>
          <w:lang w:val="sr-Latn-RS"/>
        </w:rPr>
        <w:t>kohorta</w:t>
      </w:r>
    </w:p>
    <w:p w14:paraId="71006A6C" w14:textId="41544442"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b</w:t>
      </w:r>
      <w:r w:rsidRPr="00F66F27">
        <w:rPr>
          <w:bCs/>
          <w:sz w:val="22"/>
          <w:szCs w:val="22"/>
          <w:lang w:val="sr-Latn-RS"/>
        </w:rPr>
        <w:t xml:space="preserve"> studija je bila dizajnirana da pokaže neinferiornost. Donja granica veća od -15% pokazuje neinferiornost </w:t>
      </w:r>
      <w:r w:rsidR="00E338DB" w:rsidRPr="00F66F27">
        <w:rPr>
          <w:bCs/>
          <w:sz w:val="22"/>
          <w:szCs w:val="22"/>
          <w:lang w:val="sr-Latn-RS"/>
        </w:rPr>
        <w:t xml:space="preserve">lijeka </w:t>
      </w:r>
      <w:r w:rsidRPr="00F66F27">
        <w:rPr>
          <w:bCs/>
          <w:sz w:val="22"/>
          <w:szCs w:val="22"/>
          <w:lang w:val="sr-Latn-RS"/>
        </w:rPr>
        <w:t>Aloxi, rastvora za injekcije u odnosu na komparator.</w:t>
      </w:r>
    </w:p>
    <w:p w14:paraId="37FFB6AF" w14:textId="2D7DE809"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c</w:t>
      </w:r>
      <w:r w:rsidRPr="00F66F27">
        <w:rPr>
          <w:bCs/>
          <w:sz w:val="22"/>
          <w:szCs w:val="22"/>
          <w:lang w:val="sr-Latn-RS"/>
        </w:rPr>
        <w:t xml:space="preserve"> </w:t>
      </w:r>
      <w:r w:rsidRPr="00F66F27">
        <w:rPr>
          <w:bCs/>
          <w:i/>
          <w:sz w:val="22"/>
          <w:szCs w:val="22"/>
          <w:lang w:val="sr-Latn-RS"/>
        </w:rPr>
        <w:t xml:space="preserve">Hi-kvadrat </w:t>
      </w:r>
      <w:r w:rsidRPr="00F66F27">
        <w:rPr>
          <w:bCs/>
          <w:sz w:val="22"/>
          <w:szCs w:val="22"/>
          <w:lang w:val="sr-Latn-RS"/>
        </w:rPr>
        <w:t>test, nivo značajnosti α=0,05</w:t>
      </w:r>
    </w:p>
    <w:p w14:paraId="68101E61" w14:textId="77777777" w:rsidR="00A047E8" w:rsidRPr="00F66F27" w:rsidRDefault="00A047E8" w:rsidP="00CA6D84">
      <w:pPr>
        <w:tabs>
          <w:tab w:val="left" w:pos="540"/>
          <w:tab w:val="left" w:pos="569"/>
        </w:tabs>
        <w:jc w:val="both"/>
        <w:rPr>
          <w:bCs/>
          <w:sz w:val="22"/>
          <w:szCs w:val="22"/>
          <w:lang w:val="sr-Latn-RS"/>
        </w:rPr>
      </w:pPr>
    </w:p>
    <w:p w14:paraId="4D6A6207" w14:textId="77777777" w:rsidR="00A047E8" w:rsidRPr="00F66F27" w:rsidRDefault="00A047E8">
      <w:pPr>
        <w:tabs>
          <w:tab w:val="left" w:pos="540"/>
          <w:tab w:val="left" w:pos="569"/>
        </w:tabs>
        <w:jc w:val="both"/>
        <w:rPr>
          <w:bCs/>
          <w:sz w:val="22"/>
          <w:szCs w:val="22"/>
          <w:lang w:val="sr-Latn-RS"/>
        </w:rPr>
      </w:pPr>
      <w:r w:rsidRPr="00F66F27">
        <w:rPr>
          <w:bCs/>
          <w:sz w:val="22"/>
          <w:szCs w:val="22"/>
          <w:u w:val="single"/>
          <w:lang w:val="sr-Latn-RS"/>
        </w:rPr>
        <w:t>Tabela 2</w:t>
      </w:r>
      <w:r w:rsidRPr="00F66F27">
        <w:rPr>
          <w:bCs/>
          <w:sz w:val="22"/>
          <w:szCs w:val="22"/>
          <w:lang w:val="sr-Latn-RS"/>
        </w:rPr>
        <w:t>: Procenat pacijenata</w:t>
      </w:r>
      <w:r w:rsidRPr="00F66F27">
        <w:rPr>
          <w:bCs/>
          <w:sz w:val="22"/>
          <w:szCs w:val="22"/>
          <w:vertAlign w:val="superscript"/>
          <w:lang w:val="sr-Latn-RS"/>
        </w:rPr>
        <w:t xml:space="preserve">a </w:t>
      </w:r>
      <w:r w:rsidRPr="00F66F27">
        <w:rPr>
          <w:bCs/>
          <w:sz w:val="22"/>
          <w:szCs w:val="22"/>
          <w:lang w:val="sr-Latn-RS"/>
        </w:rPr>
        <w:t>prema dužini praćenja i odgovoru na terapiju palonosetronom u odnosu na terapiju dolasetronom kod umjereno emetogene hemioterapije</w:t>
      </w:r>
    </w:p>
    <w:tbl>
      <w:tblPr>
        <w:tblW w:w="8856" w:type="dxa"/>
        <w:tblInd w:w="-110" w:type="dxa"/>
        <w:tblCellMar>
          <w:top w:w="49" w:type="dxa"/>
          <w:left w:w="110" w:type="dxa"/>
          <w:bottom w:w="15" w:type="dxa"/>
        </w:tblCellMar>
        <w:tblLook w:val="04A0" w:firstRow="1" w:lastRow="0" w:firstColumn="1" w:lastColumn="0" w:noHBand="0" w:noVBand="1"/>
      </w:tblPr>
      <w:tblGrid>
        <w:gridCol w:w="1772"/>
        <w:gridCol w:w="1771"/>
        <w:gridCol w:w="1771"/>
        <w:gridCol w:w="1771"/>
        <w:gridCol w:w="1771"/>
      </w:tblGrid>
      <w:tr w:rsidR="00A047E8" w:rsidRPr="00F66F27" w14:paraId="59FFE27C" w14:textId="77777777" w:rsidTr="00567DB0">
        <w:trPr>
          <w:trHeight w:val="768"/>
        </w:trPr>
        <w:tc>
          <w:tcPr>
            <w:tcW w:w="1771" w:type="dxa"/>
            <w:tcBorders>
              <w:top w:val="single" w:sz="4" w:space="0" w:color="000000"/>
              <w:left w:val="single" w:sz="4" w:space="0" w:color="000000"/>
              <w:bottom w:val="single" w:sz="4" w:space="0" w:color="000000"/>
              <w:right w:val="single" w:sz="4" w:space="0" w:color="000000"/>
            </w:tcBorders>
          </w:tcPr>
          <w:p w14:paraId="053F8AE0" w14:textId="77777777" w:rsidR="00A047E8" w:rsidRPr="00F66F27" w:rsidRDefault="00A047E8">
            <w:pPr>
              <w:tabs>
                <w:tab w:val="left" w:pos="540"/>
                <w:tab w:val="left" w:pos="569"/>
              </w:tabs>
              <w:jc w:val="both"/>
              <w:rPr>
                <w:bCs/>
                <w:sz w:val="22"/>
                <w:szCs w:val="22"/>
                <w:lang w:val="sr-Latn-RS"/>
              </w:rPr>
            </w:pPr>
          </w:p>
        </w:tc>
        <w:tc>
          <w:tcPr>
            <w:tcW w:w="1771" w:type="dxa"/>
            <w:tcBorders>
              <w:top w:val="single" w:sz="4" w:space="0" w:color="000000"/>
              <w:left w:val="single" w:sz="4" w:space="0" w:color="000000"/>
              <w:bottom w:val="single" w:sz="4" w:space="0" w:color="000000"/>
              <w:right w:val="single" w:sz="4" w:space="0" w:color="000000"/>
            </w:tcBorders>
          </w:tcPr>
          <w:p w14:paraId="71BF6F2A"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Palonosetron</w:t>
            </w:r>
          </w:p>
          <w:p w14:paraId="58189C83"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250 mikrograma</w:t>
            </w:r>
          </w:p>
          <w:p w14:paraId="433929FA"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(n=185)</w:t>
            </w:r>
          </w:p>
        </w:tc>
        <w:tc>
          <w:tcPr>
            <w:tcW w:w="1771" w:type="dxa"/>
            <w:tcBorders>
              <w:top w:val="single" w:sz="4" w:space="0" w:color="000000"/>
              <w:left w:val="single" w:sz="4" w:space="0" w:color="000000"/>
              <w:bottom w:val="single" w:sz="4" w:space="0" w:color="000000"/>
              <w:right w:val="single" w:sz="4" w:space="0" w:color="000000"/>
            </w:tcBorders>
          </w:tcPr>
          <w:p w14:paraId="030C343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Dolasetron</w:t>
            </w:r>
          </w:p>
          <w:p w14:paraId="063CC887"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100 </w:t>
            </w:r>
            <w:r w:rsidRPr="00F66F27">
              <w:rPr>
                <w:bCs/>
                <w:sz w:val="22"/>
                <w:szCs w:val="22"/>
                <w:lang w:val="sr-Latn-RS"/>
              </w:rPr>
              <w:tab/>
              <w:t>miligrama</w:t>
            </w:r>
          </w:p>
          <w:p w14:paraId="64E597A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(n=191)</w:t>
            </w:r>
          </w:p>
        </w:tc>
        <w:tc>
          <w:tcPr>
            <w:tcW w:w="1771" w:type="dxa"/>
            <w:tcBorders>
              <w:top w:val="single" w:sz="4" w:space="0" w:color="000000"/>
              <w:left w:val="single" w:sz="4" w:space="0" w:color="000000"/>
              <w:bottom w:val="single" w:sz="4" w:space="0" w:color="000000"/>
              <w:right w:val="single" w:sz="4" w:space="0" w:color="000000"/>
            </w:tcBorders>
            <w:vAlign w:val="bottom"/>
          </w:tcPr>
          <w:p w14:paraId="56F7730A"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Razlika</w:t>
            </w:r>
          </w:p>
        </w:tc>
        <w:tc>
          <w:tcPr>
            <w:tcW w:w="1771" w:type="dxa"/>
            <w:tcBorders>
              <w:top w:val="single" w:sz="4" w:space="0" w:color="000000"/>
              <w:left w:val="single" w:sz="4" w:space="0" w:color="000000"/>
              <w:bottom w:val="single" w:sz="4" w:space="0" w:color="000000"/>
              <w:right w:val="single" w:sz="4" w:space="0" w:color="000000"/>
            </w:tcBorders>
          </w:tcPr>
          <w:p w14:paraId="6E053CF1" w14:textId="77777777" w:rsidR="00A047E8" w:rsidRPr="00F66F27" w:rsidRDefault="00A047E8">
            <w:pPr>
              <w:tabs>
                <w:tab w:val="left" w:pos="540"/>
                <w:tab w:val="left" w:pos="569"/>
              </w:tabs>
              <w:jc w:val="both"/>
              <w:rPr>
                <w:bCs/>
                <w:sz w:val="22"/>
                <w:szCs w:val="22"/>
                <w:lang w:val="sr-Latn-RS"/>
              </w:rPr>
            </w:pPr>
          </w:p>
        </w:tc>
      </w:tr>
      <w:tr w:rsidR="00A047E8" w:rsidRPr="00F66F27" w14:paraId="0EF262ED"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48A08F7B" w14:textId="77777777" w:rsidR="00A047E8" w:rsidRPr="00F66F27" w:rsidRDefault="00A047E8" w:rsidP="00567DB0">
            <w:pPr>
              <w:tabs>
                <w:tab w:val="left" w:pos="540"/>
                <w:tab w:val="left" w:pos="569"/>
              </w:tabs>
              <w:jc w:val="both"/>
              <w:rPr>
                <w:bCs/>
                <w:sz w:val="22"/>
                <w:szCs w:val="22"/>
                <w:lang w:val="sr-Latn-RS"/>
              </w:rPr>
            </w:pPr>
          </w:p>
        </w:tc>
        <w:tc>
          <w:tcPr>
            <w:tcW w:w="1771" w:type="dxa"/>
            <w:tcBorders>
              <w:top w:val="single" w:sz="4" w:space="0" w:color="000000"/>
              <w:left w:val="single" w:sz="4" w:space="0" w:color="000000"/>
              <w:bottom w:val="single" w:sz="4" w:space="0" w:color="000000"/>
              <w:right w:val="single" w:sz="4" w:space="0" w:color="000000"/>
            </w:tcBorders>
          </w:tcPr>
          <w:p w14:paraId="52AD32C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5981047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4595D1E1"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1FA16D7F" w14:textId="77777777" w:rsidR="00A047E8" w:rsidRPr="00F66F27" w:rsidRDefault="00A047E8">
            <w:pPr>
              <w:tabs>
                <w:tab w:val="left" w:pos="540"/>
                <w:tab w:val="left" w:pos="569"/>
              </w:tabs>
              <w:jc w:val="both"/>
              <w:rPr>
                <w:bCs/>
                <w:sz w:val="22"/>
                <w:szCs w:val="22"/>
                <w:lang w:val="sr-Latn-RS"/>
              </w:rPr>
            </w:pPr>
          </w:p>
        </w:tc>
      </w:tr>
    </w:tbl>
    <w:p w14:paraId="03C9E40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Kompletan odgovor (nema emeze niti dodatne medikacije)                                    97,5% CI </w:t>
      </w:r>
      <w:r w:rsidRPr="00F66F27">
        <w:rPr>
          <w:bCs/>
          <w:sz w:val="22"/>
          <w:szCs w:val="22"/>
          <w:vertAlign w:val="superscript"/>
          <w:lang w:val="sr-Latn-RS"/>
        </w:rPr>
        <w:t>b</w:t>
      </w:r>
    </w:p>
    <w:tbl>
      <w:tblPr>
        <w:tblW w:w="8856" w:type="dxa"/>
        <w:tblInd w:w="-110" w:type="dxa"/>
        <w:tblCellMar>
          <w:top w:w="49" w:type="dxa"/>
          <w:left w:w="1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56DE5E19" w14:textId="77777777" w:rsidTr="00567DB0">
        <w:trPr>
          <w:trHeight w:val="278"/>
        </w:trPr>
        <w:tc>
          <w:tcPr>
            <w:tcW w:w="1771" w:type="dxa"/>
            <w:tcBorders>
              <w:top w:val="single" w:sz="4" w:space="0" w:color="000000"/>
              <w:left w:val="single" w:sz="4" w:space="0" w:color="000000"/>
              <w:bottom w:val="single" w:sz="4" w:space="0" w:color="000000"/>
              <w:right w:val="single" w:sz="4" w:space="0" w:color="000000"/>
            </w:tcBorders>
          </w:tcPr>
          <w:p w14:paraId="733CE64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 –24 sata</w:t>
            </w:r>
          </w:p>
        </w:tc>
        <w:tc>
          <w:tcPr>
            <w:tcW w:w="1771" w:type="dxa"/>
            <w:tcBorders>
              <w:top w:val="single" w:sz="4" w:space="0" w:color="000000"/>
              <w:left w:val="single" w:sz="4" w:space="0" w:color="000000"/>
              <w:bottom w:val="single" w:sz="4" w:space="0" w:color="000000"/>
              <w:right w:val="single" w:sz="4" w:space="0" w:color="000000"/>
            </w:tcBorders>
          </w:tcPr>
          <w:p w14:paraId="025A616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63,0</w:t>
            </w:r>
          </w:p>
        </w:tc>
        <w:tc>
          <w:tcPr>
            <w:tcW w:w="1771" w:type="dxa"/>
            <w:tcBorders>
              <w:top w:val="single" w:sz="4" w:space="0" w:color="000000"/>
              <w:left w:val="single" w:sz="4" w:space="0" w:color="000000"/>
              <w:bottom w:val="single" w:sz="4" w:space="0" w:color="000000"/>
              <w:right w:val="single" w:sz="4" w:space="0" w:color="000000"/>
            </w:tcBorders>
          </w:tcPr>
          <w:p w14:paraId="60573D6D"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52,9</w:t>
            </w:r>
          </w:p>
        </w:tc>
        <w:tc>
          <w:tcPr>
            <w:tcW w:w="1771" w:type="dxa"/>
            <w:tcBorders>
              <w:top w:val="single" w:sz="4" w:space="0" w:color="000000"/>
              <w:left w:val="single" w:sz="4" w:space="0" w:color="000000"/>
              <w:bottom w:val="single" w:sz="4" w:space="0" w:color="000000"/>
              <w:right w:val="single" w:sz="4" w:space="0" w:color="000000"/>
            </w:tcBorders>
          </w:tcPr>
          <w:p w14:paraId="0DDC615C"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10,1</w:t>
            </w:r>
          </w:p>
        </w:tc>
        <w:tc>
          <w:tcPr>
            <w:tcW w:w="1771" w:type="dxa"/>
            <w:tcBorders>
              <w:top w:val="single" w:sz="4" w:space="0" w:color="000000"/>
              <w:left w:val="single" w:sz="4" w:space="0" w:color="000000"/>
              <w:bottom w:val="single" w:sz="4" w:space="0" w:color="000000"/>
              <w:right w:val="single" w:sz="4" w:space="0" w:color="000000"/>
            </w:tcBorders>
          </w:tcPr>
          <w:p w14:paraId="5A8FB9F9"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[-1,7%, 21,9%]</w:t>
            </w:r>
          </w:p>
        </w:tc>
      </w:tr>
      <w:tr w:rsidR="00A047E8" w:rsidRPr="00F66F27" w14:paraId="36281432" w14:textId="77777777" w:rsidTr="00567DB0">
        <w:trPr>
          <w:trHeight w:val="278"/>
        </w:trPr>
        <w:tc>
          <w:tcPr>
            <w:tcW w:w="1771" w:type="dxa"/>
            <w:tcBorders>
              <w:top w:val="single" w:sz="4" w:space="0" w:color="000000"/>
              <w:left w:val="single" w:sz="4" w:space="0" w:color="000000"/>
              <w:bottom w:val="single" w:sz="4" w:space="0" w:color="000000"/>
              <w:right w:val="single" w:sz="4" w:space="0" w:color="000000"/>
            </w:tcBorders>
          </w:tcPr>
          <w:p w14:paraId="2BCCBA5A"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6815DD4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54,0</w:t>
            </w:r>
          </w:p>
        </w:tc>
        <w:tc>
          <w:tcPr>
            <w:tcW w:w="1771" w:type="dxa"/>
            <w:tcBorders>
              <w:top w:val="single" w:sz="4" w:space="0" w:color="000000"/>
              <w:left w:val="single" w:sz="4" w:space="0" w:color="000000"/>
              <w:bottom w:val="single" w:sz="4" w:space="0" w:color="000000"/>
              <w:right w:val="single" w:sz="4" w:space="0" w:color="000000"/>
            </w:tcBorders>
          </w:tcPr>
          <w:p w14:paraId="29D774D8"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38,7</w:t>
            </w:r>
          </w:p>
        </w:tc>
        <w:tc>
          <w:tcPr>
            <w:tcW w:w="1771" w:type="dxa"/>
            <w:tcBorders>
              <w:top w:val="single" w:sz="4" w:space="0" w:color="000000"/>
              <w:left w:val="single" w:sz="4" w:space="0" w:color="000000"/>
              <w:bottom w:val="single" w:sz="4" w:space="0" w:color="000000"/>
              <w:right w:val="single" w:sz="4" w:space="0" w:color="000000"/>
            </w:tcBorders>
          </w:tcPr>
          <w:p w14:paraId="49AA39D7"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15,3</w:t>
            </w:r>
          </w:p>
        </w:tc>
        <w:tc>
          <w:tcPr>
            <w:tcW w:w="1771" w:type="dxa"/>
            <w:tcBorders>
              <w:top w:val="single" w:sz="4" w:space="0" w:color="000000"/>
              <w:left w:val="single" w:sz="4" w:space="0" w:color="000000"/>
              <w:bottom w:val="single" w:sz="4" w:space="0" w:color="000000"/>
              <w:right w:val="single" w:sz="4" w:space="0" w:color="000000"/>
            </w:tcBorders>
          </w:tcPr>
          <w:p w14:paraId="2279CFD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[3,4%, 27,1%]</w:t>
            </w:r>
          </w:p>
        </w:tc>
      </w:tr>
      <w:tr w:rsidR="00A047E8" w:rsidRPr="00F66F27" w14:paraId="3E2862E3" w14:textId="77777777" w:rsidTr="00567DB0">
        <w:trPr>
          <w:trHeight w:val="278"/>
        </w:trPr>
        <w:tc>
          <w:tcPr>
            <w:tcW w:w="1771" w:type="dxa"/>
            <w:tcBorders>
              <w:top w:val="single" w:sz="4" w:space="0" w:color="000000"/>
              <w:left w:val="single" w:sz="4" w:space="0" w:color="000000"/>
              <w:bottom w:val="single" w:sz="4" w:space="0" w:color="000000"/>
              <w:right w:val="single" w:sz="4" w:space="0" w:color="000000"/>
            </w:tcBorders>
          </w:tcPr>
          <w:p w14:paraId="3A9BA3D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0-120 sati</w:t>
            </w:r>
          </w:p>
        </w:tc>
        <w:tc>
          <w:tcPr>
            <w:tcW w:w="1771" w:type="dxa"/>
            <w:tcBorders>
              <w:top w:val="single" w:sz="4" w:space="0" w:color="000000"/>
              <w:left w:val="single" w:sz="4" w:space="0" w:color="000000"/>
              <w:bottom w:val="single" w:sz="4" w:space="0" w:color="000000"/>
              <w:right w:val="single" w:sz="4" w:space="0" w:color="000000"/>
            </w:tcBorders>
          </w:tcPr>
          <w:p w14:paraId="7FEA7674"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46,0</w:t>
            </w:r>
          </w:p>
        </w:tc>
        <w:tc>
          <w:tcPr>
            <w:tcW w:w="1771" w:type="dxa"/>
            <w:tcBorders>
              <w:top w:val="single" w:sz="4" w:space="0" w:color="000000"/>
              <w:left w:val="single" w:sz="4" w:space="0" w:color="000000"/>
              <w:bottom w:val="single" w:sz="4" w:space="0" w:color="000000"/>
              <w:right w:val="single" w:sz="4" w:space="0" w:color="000000"/>
            </w:tcBorders>
          </w:tcPr>
          <w:p w14:paraId="60CF352D"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34,0</w:t>
            </w:r>
          </w:p>
        </w:tc>
        <w:tc>
          <w:tcPr>
            <w:tcW w:w="1771" w:type="dxa"/>
            <w:tcBorders>
              <w:top w:val="single" w:sz="4" w:space="0" w:color="000000"/>
              <w:left w:val="single" w:sz="4" w:space="0" w:color="000000"/>
              <w:bottom w:val="single" w:sz="4" w:space="0" w:color="000000"/>
              <w:right w:val="single" w:sz="4" w:space="0" w:color="000000"/>
            </w:tcBorders>
          </w:tcPr>
          <w:p w14:paraId="0837F510"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12,0</w:t>
            </w:r>
          </w:p>
        </w:tc>
        <w:tc>
          <w:tcPr>
            <w:tcW w:w="1771" w:type="dxa"/>
            <w:tcBorders>
              <w:top w:val="single" w:sz="4" w:space="0" w:color="000000"/>
              <w:left w:val="single" w:sz="4" w:space="0" w:color="000000"/>
              <w:bottom w:val="single" w:sz="4" w:space="0" w:color="000000"/>
              <w:right w:val="single" w:sz="4" w:space="0" w:color="000000"/>
            </w:tcBorders>
          </w:tcPr>
          <w:p w14:paraId="65C12800"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[0,3%, 23,7%]</w:t>
            </w:r>
          </w:p>
        </w:tc>
      </w:tr>
    </w:tbl>
    <w:p w14:paraId="2E6684F8" w14:textId="3A4978D4"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Kompletna kontrola (kompletan odgovor uz blagu mučninu)         </w:t>
      </w:r>
      <w:r w:rsidRPr="00F66F27">
        <w:rPr>
          <w:bCs/>
          <w:sz w:val="22"/>
          <w:szCs w:val="22"/>
          <w:lang w:val="sr-Latn-RS"/>
        </w:rPr>
        <w:tab/>
      </w:r>
      <w:r w:rsidR="00005670" w:rsidRPr="00F66F27">
        <w:rPr>
          <w:bCs/>
          <w:sz w:val="22"/>
          <w:szCs w:val="22"/>
          <w:lang w:val="sr-Latn-RS"/>
        </w:rPr>
        <w:t xml:space="preserve">           </w:t>
      </w:r>
      <w:r w:rsidRPr="00F66F27">
        <w:rPr>
          <w:bCs/>
          <w:sz w:val="22"/>
          <w:szCs w:val="22"/>
          <w:lang w:val="sr-Latn-RS"/>
        </w:rPr>
        <w:t>p-vr</w:t>
      </w:r>
      <w:r w:rsidR="00E338DB" w:rsidRPr="00F66F27">
        <w:rPr>
          <w:bCs/>
          <w:sz w:val="22"/>
          <w:szCs w:val="22"/>
          <w:lang w:val="sr-Latn-RS"/>
        </w:rPr>
        <w:t>ij</w:t>
      </w:r>
      <w:r w:rsidRPr="00F66F27">
        <w:rPr>
          <w:bCs/>
          <w:sz w:val="22"/>
          <w:szCs w:val="22"/>
          <w:lang w:val="sr-Latn-RS"/>
        </w:rPr>
        <w:t>ednost</w:t>
      </w:r>
      <w:r w:rsidRPr="00F66F27">
        <w:rPr>
          <w:bCs/>
          <w:sz w:val="22"/>
          <w:szCs w:val="22"/>
          <w:vertAlign w:val="superscript"/>
          <w:lang w:val="sr-Latn-RS"/>
        </w:rPr>
        <w:t>c</w:t>
      </w:r>
    </w:p>
    <w:tbl>
      <w:tblPr>
        <w:tblW w:w="8856" w:type="dxa"/>
        <w:tblInd w:w="-110" w:type="dxa"/>
        <w:tblCellMar>
          <w:top w:w="49" w:type="dxa"/>
          <w:left w:w="1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4D136BDB"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2E07E427"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 –24 sata</w:t>
            </w:r>
          </w:p>
        </w:tc>
        <w:tc>
          <w:tcPr>
            <w:tcW w:w="1771" w:type="dxa"/>
            <w:tcBorders>
              <w:top w:val="single" w:sz="4" w:space="0" w:color="000000"/>
              <w:left w:val="single" w:sz="4" w:space="0" w:color="000000"/>
              <w:bottom w:val="single" w:sz="4" w:space="0" w:color="000000"/>
              <w:right w:val="single" w:sz="4" w:space="0" w:color="000000"/>
            </w:tcBorders>
          </w:tcPr>
          <w:p w14:paraId="7FC87FA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57,1</w:t>
            </w:r>
          </w:p>
        </w:tc>
        <w:tc>
          <w:tcPr>
            <w:tcW w:w="1771" w:type="dxa"/>
            <w:tcBorders>
              <w:top w:val="single" w:sz="4" w:space="0" w:color="000000"/>
              <w:left w:val="single" w:sz="4" w:space="0" w:color="000000"/>
              <w:bottom w:val="single" w:sz="4" w:space="0" w:color="000000"/>
              <w:right w:val="single" w:sz="4" w:space="0" w:color="000000"/>
            </w:tcBorders>
          </w:tcPr>
          <w:p w14:paraId="49D57764"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47,6</w:t>
            </w:r>
          </w:p>
        </w:tc>
        <w:tc>
          <w:tcPr>
            <w:tcW w:w="1771" w:type="dxa"/>
            <w:tcBorders>
              <w:top w:val="single" w:sz="4" w:space="0" w:color="000000"/>
              <w:left w:val="single" w:sz="4" w:space="0" w:color="000000"/>
              <w:bottom w:val="single" w:sz="4" w:space="0" w:color="000000"/>
              <w:right w:val="single" w:sz="4" w:space="0" w:color="000000"/>
            </w:tcBorders>
          </w:tcPr>
          <w:p w14:paraId="1D5215D1"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9,5</w:t>
            </w:r>
          </w:p>
        </w:tc>
        <w:tc>
          <w:tcPr>
            <w:tcW w:w="1771" w:type="dxa"/>
            <w:tcBorders>
              <w:top w:val="single" w:sz="4" w:space="0" w:color="000000"/>
              <w:left w:val="single" w:sz="4" w:space="0" w:color="000000"/>
              <w:bottom w:val="single" w:sz="4" w:space="0" w:color="000000"/>
              <w:right w:val="single" w:sz="4" w:space="0" w:color="000000"/>
            </w:tcBorders>
          </w:tcPr>
          <w:p w14:paraId="711BA846"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6DDBCD22"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7D1D9615"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7313A88D"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48,1</w:t>
            </w:r>
          </w:p>
        </w:tc>
        <w:tc>
          <w:tcPr>
            <w:tcW w:w="1771" w:type="dxa"/>
            <w:tcBorders>
              <w:top w:val="single" w:sz="4" w:space="0" w:color="000000"/>
              <w:left w:val="single" w:sz="4" w:space="0" w:color="000000"/>
              <w:bottom w:val="single" w:sz="4" w:space="0" w:color="000000"/>
              <w:right w:val="single" w:sz="4" w:space="0" w:color="000000"/>
            </w:tcBorders>
          </w:tcPr>
          <w:p w14:paraId="54360C0D"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36,1</w:t>
            </w:r>
          </w:p>
        </w:tc>
        <w:tc>
          <w:tcPr>
            <w:tcW w:w="1771" w:type="dxa"/>
            <w:tcBorders>
              <w:top w:val="single" w:sz="4" w:space="0" w:color="000000"/>
              <w:left w:val="single" w:sz="4" w:space="0" w:color="000000"/>
              <w:bottom w:val="single" w:sz="4" w:space="0" w:color="000000"/>
              <w:right w:val="single" w:sz="4" w:space="0" w:color="000000"/>
            </w:tcBorders>
          </w:tcPr>
          <w:p w14:paraId="38793F0A"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12,0</w:t>
            </w:r>
          </w:p>
        </w:tc>
        <w:tc>
          <w:tcPr>
            <w:tcW w:w="1771" w:type="dxa"/>
            <w:tcBorders>
              <w:top w:val="single" w:sz="4" w:space="0" w:color="000000"/>
              <w:left w:val="single" w:sz="4" w:space="0" w:color="000000"/>
              <w:bottom w:val="single" w:sz="4" w:space="0" w:color="000000"/>
              <w:right w:val="single" w:sz="4" w:space="0" w:color="000000"/>
            </w:tcBorders>
          </w:tcPr>
          <w:p w14:paraId="1E744730"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0,018</w:t>
            </w:r>
          </w:p>
        </w:tc>
      </w:tr>
      <w:tr w:rsidR="00A047E8" w:rsidRPr="00F66F27" w14:paraId="43641256"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2459833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0-120 sati</w:t>
            </w:r>
          </w:p>
        </w:tc>
        <w:tc>
          <w:tcPr>
            <w:tcW w:w="1771" w:type="dxa"/>
            <w:tcBorders>
              <w:top w:val="single" w:sz="4" w:space="0" w:color="000000"/>
              <w:left w:val="single" w:sz="4" w:space="0" w:color="000000"/>
              <w:bottom w:val="single" w:sz="4" w:space="0" w:color="000000"/>
              <w:right w:val="single" w:sz="4" w:space="0" w:color="000000"/>
            </w:tcBorders>
          </w:tcPr>
          <w:p w14:paraId="190CBEF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41,8</w:t>
            </w:r>
          </w:p>
        </w:tc>
        <w:tc>
          <w:tcPr>
            <w:tcW w:w="1771" w:type="dxa"/>
            <w:tcBorders>
              <w:top w:val="single" w:sz="4" w:space="0" w:color="000000"/>
              <w:left w:val="single" w:sz="4" w:space="0" w:color="000000"/>
              <w:bottom w:val="single" w:sz="4" w:space="0" w:color="000000"/>
              <w:right w:val="single" w:sz="4" w:space="0" w:color="000000"/>
            </w:tcBorders>
          </w:tcPr>
          <w:p w14:paraId="1906AA4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30,9</w:t>
            </w:r>
          </w:p>
        </w:tc>
        <w:tc>
          <w:tcPr>
            <w:tcW w:w="1771" w:type="dxa"/>
            <w:tcBorders>
              <w:top w:val="single" w:sz="4" w:space="0" w:color="000000"/>
              <w:left w:val="single" w:sz="4" w:space="0" w:color="000000"/>
              <w:bottom w:val="single" w:sz="4" w:space="0" w:color="000000"/>
              <w:right w:val="single" w:sz="4" w:space="0" w:color="000000"/>
            </w:tcBorders>
          </w:tcPr>
          <w:p w14:paraId="2FBE2CA6"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10,9</w:t>
            </w:r>
          </w:p>
        </w:tc>
        <w:tc>
          <w:tcPr>
            <w:tcW w:w="1771" w:type="dxa"/>
            <w:tcBorders>
              <w:top w:val="single" w:sz="4" w:space="0" w:color="000000"/>
              <w:left w:val="single" w:sz="4" w:space="0" w:color="000000"/>
              <w:bottom w:val="single" w:sz="4" w:space="0" w:color="000000"/>
              <w:right w:val="single" w:sz="4" w:space="0" w:color="000000"/>
            </w:tcBorders>
          </w:tcPr>
          <w:p w14:paraId="2DC39627"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0,027</w:t>
            </w:r>
          </w:p>
        </w:tc>
      </w:tr>
    </w:tbl>
    <w:p w14:paraId="7120419C" w14:textId="0D04C8FD"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Bez mučnine </w:t>
      </w:r>
      <w:r w:rsidR="00005670" w:rsidRPr="00F66F27">
        <w:rPr>
          <w:bCs/>
          <w:sz w:val="22"/>
          <w:szCs w:val="22"/>
          <w:lang w:val="sr-Latn-RS"/>
        </w:rPr>
        <w:t>(</w:t>
      </w:r>
      <w:r w:rsidRPr="00F66F27">
        <w:rPr>
          <w:bCs/>
          <w:sz w:val="22"/>
          <w:szCs w:val="22"/>
          <w:lang w:val="sr-Latn-RS"/>
        </w:rPr>
        <w:t>Likertova skala)                                                                               p-vr</w:t>
      </w:r>
      <w:r w:rsidR="00E338DB" w:rsidRPr="00F66F27">
        <w:rPr>
          <w:bCs/>
          <w:sz w:val="22"/>
          <w:szCs w:val="22"/>
          <w:lang w:val="sr-Latn-RS"/>
        </w:rPr>
        <w:t>ij</w:t>
      </w:r>
      <w:r w:rsidRPr="00F66F27">
        <w:rPr>
          <w:bCs/>
          <w:sz w:val="22"/>
          <w:szCs w:val="22"/>
          <w:lang w:val="sr-Latn-RS"/>
        </w:rPr>
        <w:t>ednost</w:t>
      </w:r>
      <w:r w:rsidRPr="00F66F27">
        <w:rPr>
          <w:bCs/>
          <w:sz w:val="22"/>
          <w:szCs w:val="22"/>
          <w:vertAlign w:val="superscript"/>
          <w:lang w:val="sr-Latn-RS"/>
        </w:rPr>
        <w:t>c</w:t>
      </w:r>
    </w:p>
    <w:tbl>
      <w:tblPr>
        <w:tblW w:w="8856" w:type="dxa"/>
        <w:tblInd w:w="-110" w:type="dxa"/>
        <w:tblCellMar>
          <w:top w:w="49" w:type="dxa"/>
          <w:left w:w="1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7AECCF7B"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7D81EBBD"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 –24 sata</w:t>
            </w:r>
          </w:p>
        </w:tc>
        <w:tc>
          <w:tcPr>
            <w:tcW w:w="1771" w:type="dxa"/>
            <w:tcBorders>
              <w:top w:val="single" w:sz="4" w:space="0" w:color="000000"/>
              <w:left w:val="single" w:sz="4" w:space="0" w:color="000000"/>
              <w:bottom w:val="single" w:sz="4" w:space="0" w:color="000000"/>
              <w:right w:val="single" w:sz="4" w:space="0" w:color="000000"/>
            </w:tcBorders>
          </w:tcPr>
          <w:p w14:paraId="7C3DAB6A"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48,7</w:t>
            </w:r>
          </w:p>
        </w:tc>
        <w:tc>
          <w:tcPr>
            <w:tcW w:w="1771" w:type="dxa"/>
            <w:tcBorders>
              <w:top w:val="single" w:sz="4" w:space="0" w:color="000000"/>
              <w:left w:val="single" w:sz="4" w:space="0" w:color="000000"/>
              <w:bottom w:val="single" w:sz="4" w:space="0" w:color="000000"/>
              <w:right w:val="single" w:sz="4" w:space="0" w:color="000000"/>
            </w:tcBorders>
          </w:tcPr>
          <w:p w14:paraId="64E60827"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41,4</w:t>
            </w:r>
          </w:p>
        </w:tc>
        <w:tc>
          <w:tcPr>
            <w:tcW w:w="1771" w:type="dxa"/>
            <w:tcBorders>
              <w:top w:val="single" w:sz="4" w:space="0" w:color="000000"/>
              <w:left w:val="single" w:sz="4" w:space="0" w:color="000000"/>
              <w:bottom w:val="single" w:sz="4" w:space="0" w:color="000000"/>
              <w:right w:val="single" w:sz="4" w:space="0" w:color="000000"/>
            </w:tcBorders>
          </w:tcPr>
          <w:p w14:paraId="67D3A9B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7,3</w:t>
            </w:r>
          </w:p>
        </w:tc>
        <w:tc>
          <w:tcPr>
            <w:tcW w:w="1771" w:type="dxa"/>
            <w:tcBorders>
              <w:top w:val="single" w:sz="4" w:space="0" w:color="000000"/>
              <w:left w:val="single" w:sz="4" w:space="0" w:color="000000"/>
              <w:bottom w:val="single" w:sz="4" w:space="0" w:color="000000"/>
              <w:right w:val="single" w:sz="4" w:space="0" w:color="000000"/>
            </w:tcBorders>
          </w:tcPr>
          <w:p w14:paraId="3E23B53E"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163B5FD6"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69E09838"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683C83F8"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41,8</w:t>
            </w:r>
          </w:p>
        </w:tc>
        <w:tc>
          <w:tcPr>
            <w:tcW w:w="1771" w:type="dxa"/>
            <w:tcBorders>
              <w:top w:val="single" w:sz="4" w:space="0" w:color="000000"/>
              <w:left w:val="single" w:sz="4" w:space="0" w:color="000000"/>
              <w:bottom w:val="single" w:sz="4" w:space="0" w:color="000000"/>
              <w:right w:val="single" w:sz="4" w:space="0" w:color="000000"/>
            </w:tcBorders>
          </w:tcPr>
          <w:p w14:paraId="749FA2F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26,2</w:t>
            </w:r>
          </w:p>
        </w:tc>
        <w:tc>
          <w:tcPr>
            <w:tcW w:w="1771" w:type="dxa"/>
            <w:tcBorders>
              <w:top w:val="single" w:sz="4" w:space="0" w:color="000000"/>
              <w:left w:val="single" w:sz="4" w:space="0" w:color="000000"/>
              <w:bottom w:val="single" w:sz="4" w:space="0" w:color="000000"/>
              <w:right w:val="single" w:sz="4" w:space="0" w:color="000000"/>
            </w:tcBorders>
          </w:tcPr>
          <w:p w14:paraId="2B3B26A9"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15,6</w:t>
            </w:r>
          </w:p>
        </w:tc>
        <w:tc>
          <w:tcPr>
            <w:tcW w:w="1771" w:type="dxa"/>
            <w:tcBorders>
              <w:top w:val="single" w:sz="4" w:space="0" w:color="000000"/>
              <w:left w:val="single" w:sz="4" w:space="0" w:color="000000"/>
              <w:bottom w:val="single" w:sz="4" w:space="0" w:color="000000"/>
              <w:right w:val="single" w:sz="4" w:space="0" w:color="000000"/>
            </w:tcBorders>
          </w:tcPr>
          <w:p w14:paraId="1746E7E8"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0,001</w:t>
            </w:r>
          </w:p>
        </w:tc>
      </w:tr>
      <w:tr w:rsidR="00A047E8" w:rsidRPr="00F66F27" w14:paraId="4516A793"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7ED86330"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0-120 sati</w:t>
            </w:r>
          </w:p>
        </w:tc>
        <w:tc>
          <w:tcPr>
            <w:tcW w:w="1771" w:type="dxa"/>
            <w:tcBorders>
              <w:top w:val="single" w:sz="4" w:space="0" w:color="000000"/>
              <w:left w:val="single" w:sz="4" w:space="0" w:color="000000"/>
              <w:bottom w:val="single" w:sz="4" w:space="0" w:color="000000"/>
              <w:right w:val="single" w:sz="4" w:space="0" w:color="000000"/>
            </w:tcBorders>
          </w:tcPr>
          <w:p w14:paraId="4E622F75"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33,9</w:t>
            </w:r>
          </w:p>
        </w:tc>
        <w:tc>
          <w:tcPr>
            <w:tcW w:w="1771" w:type="dxa"/>
            <w:tcBorders>
              <w:top w:val="single" w:sz="4" w:space="0" w:color="000000"/>
              <w:left w:val="single" w:sz="4" w:space="0" w:color="000000"/>
              <w:bottom w:val="single" w:sz="4" w:space="0" w:color="000000"/>
              <w:right w:val="single" w:sz="4" w:space="0" w:color="000000"/>
            </w:tcBorders>
          </w:tcPr>
          <w:p w14:paraId="27C381A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22,5</w:t>
            </w:r>
          </w:p>
        </w:tc>
        <w:tc>
          <w:tcPr>
            <w:tcW w:w="1771" w:type="dxa"/>
            <w:tcBorders>
              <w:top w:val="single" w:sz="4" w:space="0" w:color="000000"/>
              <w:left w:val="single" w:sz="4" w:space="0" w:color="000000"/>
              <w:bottom w:val="single" w:sz="4" w:space="0" w:color="000000"/>
              <w:right w:val="single" w:sz="4" w:space="0" w:color="000000"/>
            </w:tcBorders>
          </w:tcPr>
          <w:p w14:paraId="1250ED6F"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11,4</w:t>
            </w:r>
          </w:p>
        </w:tc>
        <w:tc>
          <w:tcPr>
            <w:tcW w:w="1771" w:type="dxa"/>
            <w:tcBorders>
              <w:top w:val="single" w:sz="4" w:space="0" w:color="000000"/>
              <w:left w:val="single" w:sz="4" w:space="0" w:color="000000"/>
              <w:bottom w:val="single" w:sz="4" w:space="0" w:color="000000"/>
              <w:right w:val="single" w:sz="4" w:space="0" w:color="000000"/>
            </w:tcBorders>
          </w:tcPr>
          <w:p w14:paraId="45B17D09"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0,014</w:t>
            </w:r>
          </w:p>
        </w:tc>
      </w:tr>
    </w:tbl>
    <w:p w14:paraId="11277C0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lastRenderedPageBreak/>
        <w:t>a</w:t>
      </w:r>
      <w:r w:rsidRPr="00F66F27">
        <w:rPr>
          <w:bCs/>
          <w:sz w:val="22"/>
          <w:szCs w:val="22"/>
          <w:lang w:val="sr-Latn-RS"/>
        </w:rPr>
        <w:t xml:space="preserve"> ITT (</w:t>
      </w:r>
      <w:r w:rsidRPr="00F66F27">
        <w:rPr>
          <w:bCs/>
          <w:i/>
          <w:sz w:val="22"/>
          <w:szCs w:val="22"/>
          <w:lang w:val="sr-Latn-RS"/>
        </w:rPr>
        <w:t xml:space="preserve">intent-to-treat) </w:t>
      </w:r>
      <w:r w:rsidRPr="00F66F27">
        <w:rPr>
          <w:bCs/>
          <w:sz w:val="22"/>
          <w:szCs w:val="22"/>
          <w:lang w:val="sr-Latn-RS"/>
        </w:rPr>
        <w:t>kohorta</w:t>
      </w:r>
    </w:p>
    <w:p w14:paraId="4D44172B" w14:textId="6740430E"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b</w:t>
      </w:r>
      <w:r w:rsidRPr="00F66F27">
        <w:rPr>
          <w:bCs/>
          <w:sz w:val="22"/>
          <w:szCs w:val="22"/>
          <w:lang w:val="sr-Latn-RS"/>
        </w:rPr>
        <w:t xml:space="preserve"> studija je bila dizajnirana da pokaže neinferiornost. Donja granica veća od -15% pokazuje neinferiornost </w:t>
      </w:r>
      <w:r w:rsidR="00E338DB" w:rsidRPr="00F66F27">
        <w:rPr>
          <w:bCs/>
          <w:sz w:val="22"/>
          <w:szCs w:val="22"/>
          <w:lang w:val="sr-Latn-RS"/>
        </w:rPr>
        <w:t xml:space="preserve">lijeka </w:t>
      </w:r>
      <w:r w:rsidRPr="00F66F27">
        <w:rPr>
          <w:bCs/>
          <w:sz w:val="22"/>
          <w:szCs w:val="22"/>
          <w:lang w:val="sr-Latn-RS"/>
        </w:rPr>
        <w:t>Aloxi, rastvora za injekcije u odnosu na komparator.</w:t>
      </w:r>
    </w:p>
    <w:p w14:paraId="4839BD03"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c</w:t>
      </w:r>
      <w:r w:rsidRPr="00F66F27">
        <w:rPr>
          <w:bCs/>
          <w:sz w:val="22"/>
          <w:szCs w:val="22"/>
          <w:lang w:val="sr-Latn-RS"/>
        </w:rPr>
        <w:t xml:space="preserve"> </w:t>
      </w:r>
      <w:r w:rsidRPr="00F66F27">
        <w:rPr>
          <w:bCs/>
          <w:i/>
          <w:sz w:val="22"/>
          <w:szCs w:val="22"/>
          <w:lang w:val="sr-Latn-RS"/>
        </w:rPr>
        <w:t xml:space="preserve">Hi-kvadrat </w:t>
      </w:r>
      <w:r w:rsidRPr="00F66F27">
        <w:rPr>
          <w:bCs/>
          <w:sz w:val="22"/>
          <w:szCs w:val="22"/>
          <w:lang w:val="sr-Latn-RS"/>
        </w:rPr>
        <w:t>test, nivo značajnosti  α=0,05</w:t>
      </w:r>
    </w:p>
    <w:p w14:paraId="6A15079C" w14:textId="77777777" w:rsidR="00A047E8" w:rsidRPr="00F66F27" w:rsidRDefault="00A047E8" w:rsidP="00CA6D84">
      <w:pPr>
        <w:tabs>
          <w:tab w:val="left" w:pos="540"/>
          <w:tab w:val="left" w:pos="569"/>
        </w:tabs>
        <w:jc w:val="both"/>
        <w:rPr>
          <w:bCs/>
          <w:sz w:val="22"/>
          <w:szCs w:val="22"/>
          <w:lang w:val="sr-Latn-RS"/>
        </w:rPr>
      </w:pPr>
    </w:p>
    <w:p w14:paraId="43D1DE9D" w14:textId="77777777" w:rsidR="00A047E8" w:rsidRPr="00F66F27" w:rsidRDefault="00A047E8">
      <w:pPr>
        <w:tabs>
          <w:tab w:val="left" w:pos="540"/>
          <w:tab w:val="left" w:pos="569"/>
        </w:tabs>
        <w:jc w:val="both"/>
        <w:rPr>
          <w:bCs/>
          <w:sz w:val="22"/>
          <w:szCs w:val="22"/>
          <w:lang w:val="sr-Latn-RS"/>
        </w:rPr>
      </w:pPr>
      <w:r w:rsidRPr="00F66F27">
        <w:rPr>
          <w:bCs/>
          <w:sz w:val="22"/>
          <w:szCs w:val="22"/>
          <w:u w:val="single"/>
          <w:lang w:val="sr-Latn-RS"/>
        </w:rPr>
        <w:t>Tabela 3</w:t>
      </w:r>
      <w:r w:rsidRPr="00F66F27">
        <w:rPr>
          <w:bCs/>
          <w:sz w:val="22"/>
          <w:szCs w:val="22"/>
          <w:lang w:val="sr-Latn-RS"/>
        </w:rPr>
        <w:t>: Procenat pacijenata</w:t>
      </w:r>
      <w:r w:rsidRPr="00F66F27">
        <w:rPr>
          <w:bCs/>
          <w:sz w:val="22"/>
          <w:szCs w:val="22"/>
          <w:vertAlign w:val="superscript"/>
          <w:lang w:val="sr-Latn-RS"/>
        </w:rPr>
        <w:t xml:space="preserve">a </w:t>
      </w:r>
      <w:r w:rsidRPr="00F66F27">
        <w:rPr>
          <w:bCs/>
          <w:sz w:val="22"/>
          <w:szCs w:val="22"/>
          <w:lang w:val="sr-Latn-RS"/>
        </w:rPr>
        <w:t>prema dužini praćenja i odgovoru na terapiju palonosetronom u odnosu na terapiju ondansetronom kod visoko emetogene hemioterapije</w:t>
      </w:r>
    </w:p>
    <w:tbl>
      <w:tblPr>
        <w:tblW w:w="8856" w:type="dxa"/>
        <w:tblInd w:w="-110" w:type="dxa"/>
        <w:tblCellMar>
          <w:top w:w="49" w:type="dxa"/>
          <w:left w:w="110" w:type="dxa"/>
          <w:bottom w:w="15"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03221FB4" w14:textId="77777777" w:rsidTr="00567DB0">
        <w:trPr>
          <w:trHeight w:val="768"/>
        </w:trPr>
        <w:tc>
          <w:tcPr>
            <w:tcW w:w="1771" w:type="dxa"/>
            <w:tcBorders>
              <w:top w:val="single" w:sz="4" w:space="0" w:color="000000"/>
              <w:left w:val="single" w:sz="4" w:space="0" w:color="000000"/>
              <w:bottom w:val="single" w:sz="4" w:space="0" w:color="000000"/>
              <w:right w:val="single" w:sz="4" w:space="0" w:color="000000"/>
            </w:tcBorders>
          </w:tcPr>
          <w:p w14:paraId="6555F8F0" w14:textId="77777777" w:rsidR="00A047E8" w:rsidRPr="00F66F27" w:rsidRDefault="00A047E8">
            <w:pPr>
              <w:tabs>
                <w:tab w:val="left" w:pos="540"/>
                <w:tab w:val="left" w:pos="569"/>
              </w:tabs>
              <w:jc w:val="both"/>
              <w:rPr>
                <w:bCs/>
                <w:sz w:val="22"/>
                <w:szCs w:val="22"/>
                <w:lang w:val="sr-Latn-RS"/>
              </w:rPr>
            </w:pPr>
          </w:p>
        </w:tc>
        <w:tc>
          <w:tcPr>
            <w:tcW w:w="1771" w:type="dxa"/>
            <w:tcBorders>
              <w:top w:val="single" w:sz="4" w:space="0" w:color="000000"/>
              <w:left w:val="single" w:sz="4" w:space="0" w:color="000000"/>
              <w:bottom w:val="single" w:sz="4" w:space="0" w:color="000000"/>
              <w:right w:val="single" w:sz="4" w:space="0" w:color="000000"/>
            </w:tcBorders>
          </w:tcPr>
          <w:p w14:paraId="2E3BE91A"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Palonosetron</w:t>
            </w:r>
          </w:p>
          <w:p w14:paraId="4B6A6316"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250 mikrograma</w:t>
            </w:r>
          </w:p>
          <w:p w14:paraId="4B681843"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(n=223)</w:t>
            </w:r>
          </w:p>
        </w:tc>
        <w:tc>
          <w:tcPr>
            <w:tcW w:w="1771" w:type="dxa"/>
            <w:tcBorders>
              <w:top w:val="single" w:sz="4" w:space="0" w:color="000000"/>
              <w:left w:val="single" w:sz="4" w:space="0" w:color="000000"/>
              <w:bottom w:val="single" w:sz="4" w:space="0" w:color="000000"/>
              <w:right w:val="single" w:sz="4" w:space="0" w:color="000000"/>
            </w:tcBorders>
          </w:tcPr>
          <w:p w14:paraId="737790F0"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Ondansetron</w:t>
            </w:r>
          </w:p>
          <w:p w14:paraId="4D0035C8" w14:textId="5C19B423" w:rsidR="00A047E8" w:rsidRPr="00F66F27" w:rsidRDefault="00A047E8">
            <w:pPr>
              <w:tabs>
                <w:tab w:val="left" w:pos="540"/>
                <w:tab w:val="left" w:pos="569"/>
              </w:tabs>
              <w:jc w:val="both"/>
              <w:rPr>
                <w:bCs/>
                <w:sz w:val="22"/>
                <w:szCs w:val="22"/>
                <w:lang w:val="sr-Latn-RS"/>
              </w:rPr>
            </w:pPr>
            <w:r w:rsidRPr="00F66F27">
              <w:rPr>
                <w:bCs/>
                <w:sz w:val="22"/>
                <w:szCs w:val="22"/>
                <w:lang w:val="sr-Latn-RS"/>
              </w:rPr>
              <w:t>32 mg</w:t>
            </w:r>
          </w:p>
          <w:p w14:paraId="1C1C176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(n=221)</w:t>
            </w:r>
          </w:p>
        </w:tc>
        <w:tc>
          <w:tcPr>
            <w:tcW w:w="1771" w:type="dxa"/>
            <w:tcBorders>
              <w:top w:val="single" w:sz="4" w:space="0" w:color="000000"/>
              <w:left w:val="single" w:sz="4" w:space="0" w:color="000000"/>
              <w:bottom w:val="single" w:sz="4" w:space="0" w:color="000000"/>
              <w:right w:val="single" w:sz="4" w:space="0" w:color="000000"/>
            </w:tcBorders>
            <w:vAlign w:val="bottom"/>
          </w:tcPr>
          <w:p w14:paraId="7CBA3A1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Razlika</w:t>
            </w:r>
          </w:p>
        </w:tc>
        <w:tc>
          <w:tcPr>
            <w:tcW w:w="1771" w:type="dxa"/>
            <w:tcBorders>
              <w:top w:val="single" w:sz="4" w:space="0" w:color="000000"/>
              <w:left w:val="single" w:sz="4" w:space="0" w:color="000000"/>
              <w:bottom w:val="single" w:sz="4" w:space="0" w:color="000000"/>
              <w:right w:val="single" w:sz="4" w:space="0" w:color="000000"/>
            </w:tcBorders>
          </w:tcPr>
          <w:p w14:paraId="0F5320E8" w14:textId="77777777" w:rsidR="00A047E8" w:rsidRPr="00F66F27" w:rsidRDefault="00A047E8">
            <w:pPr>
              <w:tabs>
                <w:tab w:val="left" w:pos="540"/>
                <w:tab w:val="left" w:pos="569"/>
              </w:tabs>
              <w:jc w:val="both"/>
              <w:rPr>
                <w:bCs/>
                <w:sz w:val="22"/>
                <w:szCs w:val="22"/>
                <w:lang w:val="sr-Latn-RS"/>
              </w:rPr>
            </w:pPr>
          </w:p>
        </w:tc>
      </w:tr>
      <w:tr w:rsidR="00A047E8" w:rsidRPr="00F66F27" w14:paraId="085AB8D1"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4F26F170" w14:textId="77777777" w:rsidR="00A047E8" w:rsidRPr="00F66F27" w:rsidRDefault="00A047E8" w:rsidP="00567DB0">
            <w:pPr>
              <w:tabs>
                <w:tab w:val="left" w:pos="540"/>
                <w:tab w:val="left" w:pos="569"/>
              </w:tabs>
              <w:jc w:val="both"/>
              <w:rPr>
                <w:bCs/>
                <w:sz w:val="22"/>
                <w:szCs w:val="22"/>
                <w:lang w:val="sr-Latn-RS"/>
              </w:rPr>
            </w:pPr>
          </w:p>
        </w:tc>
        <w:tc>
          <w:tcPr>
            <w:tcW w:w="1771" w:type="dxa"/>
            <w:tcBorders>
              <w:top w:val="single" w:sz="4" w:space="0" w:color="000000"/>
              <w:left w:val="single" w:sz="4" w:space="0" w:color="000000"/>
              <w:bottom w:val="single" w:sz="4" w:space="0" w:color="000000"/>
              <w:right w:val="single" w:sz="4" w:space="0" w:color="000000"/>
            </w:tcBorders>
          </w:tcPr>
          <w:p w14:paraId="2409469C"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12E68EE3"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3204677E"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w:t>
            </w:r>
          </w:p>
        </w:tc>
        <w:tc>
          <w:tcPr>
            <w:tcW w:w="1771" w:type="dxa"/>
            <w:tcBorders>
              <w:top w:val="single" w:sz="4" w:space="0" w:color="000000"/>
              <w:left w:val="single" w:sz="4" w:space="0" w:color="000000"/>
              <w:bottom w:val="single" w:sz="4" w:space="0" w:color="000000"/>
              <w:right w:val="single" w:sz="4" w:space="0" w:color="000000"/>
            </w:tcBorders>
          </w:tcPr>
          <w:p w14:paraId="6E031C1F" w14:textId="77777777" w:rsidR="00A047E8" w:rsidRPr="00F66F27" w:rsidRDefault="00A047E8">
            <w:pPr>
              <w:tabs>
                <w:tab w:val="left" w:pos="540"/>
                <w:tab w:val="left" w:pos="569"/>
              </w:tabs>
              <w:jc w:val="both"/>
              <w:rPr>
                <w:bCs/>
                <w:sz w:val="22"/>
                <w:szCs w:val="22"/>
                <w:lang w:val="sr-Latn-RS"/>
              </w:rPr>
            </w:pPr>
          </w:p>
        </w:tc>
      </w:tr>
    </w:tbl>
    <w:p w14:paraId="1B70DE9A"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Kompletan odgovor (nema emeze niti dodatne medikacije)                                  97,5% CI </w:t>
      </w:r>
      <w:r w:rsidRPr="00F66F27">
        <w:rPr>
          <w:bCs/>
          <w:sz w:val="22"/>
          <w:szCs w:val="22"/>
          <w:vertAlign w:val="superscript"/>
          <w:lang w:val="sr-Latn-RS"/>
        </w:rPr>
        <w:t>b</w:t>
      </w:r>
    </w:p>
    <w:tbl>
      <w:tblPr>
        <w:tblW w:w="8856" w:type="dxa"/>
        <w:tblInd w:w="-110" w:type="dxa"/>
        <w:tblCellMar>
          <w:top w:w="49" w:type="dxa"/>
          <w:left w:w="1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598B59C6" w14:textId="77777777" w:rsidTr="00567DB0">
        <w:trPr>
          <w:trHeight w:val="278"/>
        </w:trPr>
        <w:tc>
          <w:tcPr>
            <w:tcW w:w="1771" w:type="dxa"/>
            <w:tcBorders>
              <w:top w:val="single" w:sz="4" w:space="0" w:color="000000"/>
              <w:left w:val="single" w:sz="4" w:space="0" w:color="000000"/>
              <w:bottom w:val="single" w:sz="4" w:space="0" w:color="000000"/>
              <w:right w:val="single" w:sz="4" w:space="0" w:color="000000"/>
            </w:tcBorders>
          </w:tcPr>
          <w:p w14:paraId="54188805"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 –24 sata</w:t>
            </w:r>
          </w:p>
        </w:tc>
        <w:tc>
          <w:tcPr>
            <w:tcW w:w="1771" w:type="dxa"/>
            <w:tcBorders>
              <w:top w:val="single" w:sz="4" w:space="0" w:color="000000"/>
              <w:left w:val="single" w:sz="4" w:space="0" w:color="000000"/>
              <w:bottom w:val="single" w:sz="4" w:space="0" w:color="000000"/>
              <w:right w:val="single" w:sz="4" w:space="0" w:color="000000"/>
            </w:tcBorders>
          </w:tcPr>
          <w:p w14:paraId="4C270BF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59,2</w:t>
            </w:r>
          </w:p>
        </w:tc>
        <w:tc>
          <w:tcPr>
            <w:tcW w:w="1771" w:type="dxa"/>
            <w:tcBorders>
              <w:top w:val="single" w:sz="4" w:space="0" w:color="000000"/>
              <w:left w:val="single" w:sz="4" w:space="0" w:color="000000"/>
              <w:bottom w:val="single" w:sz="4" w:space="0" w:color="000000"/>
              <w:right w:val="single" w:sz="4" w:space="0" w:color="000000"/>
            </w:tcBorders>
          </w:tcPr>
          <w:p w14:paraId="110409DC"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57,0</w:t>
            </w:r>
          </w:p>
        </w:tc>
        <w:tc>
          <w:tcPr>
            <w:tcW w:w="1771" w:type="dxa"/>
            <w:tcBorders>
              <w:top w:val="single" w:sz="4" w:space="0" w:color="000000"/>
              <w:left w:val="single" w:sz="4" w:space="0" w:color="000000"/>
              <w:bottom w:val="single" w:sz="4" w:space="0" w:color="000000"/>
              <w:right w:val="single" w:sz="4" w:space="0" w:color="000000"/>
            </w:tcBorders>
          </w:tcPr>
          <w:p w14:paraId="62FAF6B1"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2,2</w:t>
            </w:r>
          </w:p>
        </w:tc>
        <w:tc>
          <w:tcPr>
            <w:tcW w:w="1771" w:type="dxa"/>
            <w:tcBorders>
              <w:top w:val="single" w:sz="4" w:space="0" w:color="000000"/>
              <w:left w:val="single" w:sz="4" w:space="0" w:color="000000"/>
              <w:bottom w:val="single" w:sz="4" w:space="0" w:color="000000"/>
              <w:right w:val="single" w:sz="4" w:space="0" w:color="000000"/>
            </w:tcBorders>
          </w:tcPr>
          <w:p w14:paraId="50D6BFD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[-8,8%, 13,1%]</w:t>
            </w:r>
          </w:p>
        </w:tc>
      </w:tr>
      <w:tr w:rsidR="00A047E8" w:rsidRPr="00F66F27" w14:paraId="54A36B97" w14:textId="77777777" w:rsidTr="00567DB0">
        <w:trPr>
          <w:trHeight w:val="278"/>
        </w:trPr>
        <w:tc>
          <w:tcPr>
            <w:tcW w:w="1771" w:type="dxa"/>
            <w:tcBorders>
              <w:top w:val="single" w:sz="4" w:space="0" w:color="000000"/>
              <w:left w:val="single" w:sz="4" w:space="0" w:color="000000"/>
              <w:bottom w:val="single" w:sz="4" w:space="0" w:color="000000"/>
              <w:right w:val="single" w:sz="4" w:space="0" w:color="000000"/>
            </w:tcBorders>
          </w:tcPr>
          <w:p w14:paraId="51FFEEA0"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627246F7"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45,3</w:t>
            </w:r>
          </w:p>
        </w:tc>
        <w:tc>
          <w:tcPr>
            <w:tcW w:w="1771" w:type="dxa"/>
            <w:tcBorders>
              <w:top w:val="single" w:sz="4" w:space="0" w:color="000000"/>
              <w:left w:val="single" w:sz="4" w:space="0" w:color="000000"/>
              <w:bottom w:val="single" w:sz="4" w:space="0" w:color="000000"/>
              <w:right w:val="single" w:sz="4" w:space="0" w:color="000000"/>
            </w:tcBorders>
          </w:tcPr>
          <w:p w14:paraId="55195F93"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38,9</w:t>
            </w:r>
          </w:p>
        </w:tc>
        <w:tc>
          <w:tcPr>
            <w:tcW w:w="1771" w:type="dxa"/>
            <w:tcBorders>
              <w:top w:val="single" w:sz="4" w:space="0" w:color="000000"/>
              <w:left w:val="single" w:sz="4" w:space="0" w:color="000000"/>
              <w:bottom w:val="single" w:sz="4" w:space="0" w:color="000000"/>
              <w:right w:val="single" w:sz="4" w:space="0" w:color="000000"/>
            </w:tcBorders>
          </w:tcPr>
          <w:p w14:paraId="49746F2E"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6,4</w:t>
            </w:r>
          </w:p>
        </w:tc>
        <w:tc>
          <w:tcPr>
            <w:tcW w:w="1771" w:type="dxa"/>
            <w:tcBorders>
              <w:top w:val="single" w:sz="4" w:space="0" w:color="000000"/>
              <w:left w:val="single" w:sz="4" w:space="0" w:color="000000"/>
              <w:bottom w:val="single" w:sz="4" w:space="0" w:color="000000"/>
              <w:right w:val="single" w:sz="4" w:space="0" w:color="000000"/>
            </w:tcBorders>
          </w:tcPr>
          <w:p w14:paraId="12DA1D51"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[-4,6%, 17,3%]</w:t>
            </w:r>
          </w:p>
        </w:tc>
      </w:tr>
      <w:tr w:rsidR="00A047E8" w:rsidRPr="00F66F27" w14:paraId="155B44E8" w14:textId="77777777" w:rsidTr="00567DB0">
        <w:trPr>
          <w:trHeight w:val="278"/>
        </w:trPr>
        <w:tc>
          <w:tcPr>
            <w:tcW w:w="1771" w:type="dxa"/>
            <w:tcBorders>
              <w:top w:val="single" w:sz="4" w:space="0" w:color="000000"/>
              <w:left w:val="single" w:sz="4" w:space="0" w:color="000000"/>
              <w:bottom w:val="single" w:sz="4" w:space="0" w:color="000000"/>
              <w:right w:val="single" w:sz="4" w:space="0" w:color="000000"/>
            </w:tcBorders>
          </w:tcPr>
          <w:p w14:paraId="1C635E6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0-120 sati</w:t>
            </w:r>
          </w:p>
        </w:tc>
        <w:tc>
          <w:tcPr>
            <w:tcW w:w="1771" w:type="dxa"/>
            <w:tcBorders>
              <w:top w:val="single" w:sz="4" w:space="0" w:color="000000"/>
              <w:left w:val="single" w:sz="4" w:space="0" w:color="000000"/>
              <w:bottom w:val="single" w:sz="4" w:space="0" w:color="000000"/>
              <w:right w:val="single" w:sz="4" w:space="0" w:color="000000"/>
            </w:tcBorders>
          </w:tcPr>
          <w:p w14:paraId="2B29EB3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40,8</w:t>
            </w:r>
          </w:p>
        </w:tc>
        <w:tc>
          <w:tcPr>
            <w:tcW w:w="1771" w:type="dxa"/>
            <w:tcBorders>
              <w:top w:val="single" w:sz="4" w:space="0" w:color="000000"/>
              <w:left w:val="single" w:sz="4" w:space="0" w:color="000000"/>
              <w:bottom w:val="single" w:sz="4" w:space="0" w:color="000000"/>
              <w:right w:val="single" w:sz="4" w:space="0" w:color="000000"/>
            </w:tcBorders>
          </w:tcPr>
          <w:p w14:paraId="023072B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33,0</w:t>
            </w:r>
          </w:p>
        </w:tc>
        <w:tc>
          <w:tcPr>
            <w:tcW w:w="1771" w:type="dxa"/>
            <w:tcBorders>
              <w:top w:val="single" w:sz="4" w:space="0" w:color="000000"/>
              <w:left w:val="single" w:sz="4" w:space="0" w:color="000000"/>
              <w:bottom w:val="single" w:sz="4" w:space="0" w:color="000000"/>
              <w:right w:val="single" w:sz="4" w:space="0" w:color="000000"/>
            </w:tcBorders>
          </w:tcPr>
          <w:p w14:paraId="17AEC8DB"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7,8</w:t>
            </w:r>
          </w:p>
        </w:tc>
        <w:tc>
          <w:tcPr>
            <w:tcW w:w="1771" w:type="dxa"/>
            <w:tcBorders>
              <w:top w:val="single" w:sz="4" w:space="0" w:color="000000"/>
              <w:left w:val="single" w:sz="4" w:space="0" w:color="000000"/>
              <w:bottom w:val="single" w:sz="4" w:space="0" w:color="000000"/>
              <w:right w:val="single" w:sz="4" w:space="0" w:color="000000"/>
            </w:tcBorders>
          </w:tcPr>
          <w:p w14:paraId="275C274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[-2,9%, 18,5%]</w:t>
            </w:r>
          </w:p>
        </w:tc>
      </w:tr>
    </w:tbl>
    <w:p w14:paraId="696F2CA7" w14:textId="4ED8C1E9"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Kompletna kontrola (kompletan odgovor uz blagu mučninu) </w:t>
      </w:r>
      <w:r w:rsidRPr="00F66F27">
        <w:rPr>
          <w:bCs/>
          <w:sz w:val="22"/>
          <w:szCs w:val="22"/>
          <w:lang w:val="sr-Latn-RS"/>
        </w:rPr>
        <w:tab/>
        <w:t xml:space="preserve">            </w:t>
      </w:r>
      <w:r w:rsidR="00005670" w:rsidRPr="00F66F27">
        <w:rPr>
          <w:bCs/>
          <w:sz w:val="22"/>
          <w:szCs w:val="22"/>
          <w:lang w:val="sr-Latn-RS"/>
        </w:rPr>
        <w:t xml:space="preserve">            </w:t>
      </w:r>
      <w:r w:rsidRPr="00F66F27">
        <w:rPr>
          <w:bCs/>
          <w:sz w:val="22"/>
          <w:szCs w:val="22"/>
          <w:lang w:val="sr-Latn-RS"/>
        </w:rPr>
        <w:t>p-vr</w:t>
      </w:r>
      <w:r w:rsidR="00E338DB" w:rsidRPr="00F66F27">
        <w:rPr>
          <w:bCs/>
          <w:sz w:val="22"/>
          <w:szCs w:val="22"/>
          <w:lang w:val="sr-Latn-RS"/>
        </w:rPr>
        <w:t>ij</w:t>
      </w:r>
      <w:r w:rsidRPr="00F66F27">
        <w:rPr>
          <w:bCs/>
          <w:sz w:val="22"/>
          <w:szCs w:val="22"/>
          <w:lang w:val="sr-Latn-RS"/>
        </w:rPr>
        <w:t xml:space="preserve">ednost </w:t>
      </w:r>
      <w:r w:rsidRPr="00F66F27">
        <w:rPr>
          <w:bCs/>
          <w:sz w:val="22"/>
          <w:szCs w:val="22"/>
          <w:vertAlign w:val="superscript"/>
          <w:lang w:val="sr-Latn-RS"/>
        </w:rPr>
        <w:t>c</w:t>
      </w:r>
    </w:p>
    <w:tbl>
      <w:tblPr>
        <w:tblW w:w="8856" w:type="dxa"/>
        <w:tblInd w:w="-110" w:type="dxa"/>
        <w:tblCellMar>
          <w:top w:w="49" w:type="dxa"/>
          <w:left w:w="1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63FEF00B"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69110198"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 –24 sata</w:t>
            </w:r>
          </w:p>
        </w:tc>
        <w:tc>
          <w:tcPr>
            <w:tcW w:w="1771" w:type="dxa"/>
            <w:tcBorders>
              <w:top w:val="single" w:sz="4" w:space="0" w:color="000000"/>
              <w:left w:val="single" w:sz="4" w:space="0" w:color="000000"/>
              <w:bottom w:val="single" w:sz="4" w:space="0" w:color="000000"/>
              <w:right w:val="single" w:sz="4" w:space="0" w:color="000000"/>
            </w:tcBorders>
          </w:tcPr>
          <w:p w14:paraId="4C7718E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56,5</w:t>
            </w:r>
          </w:p>
        </w:tc>
        <w:tc>
          <w:tcPr>
            <w:tcW w:w="1771" w:type="dxa"/>
            <w:tcBorders>
              <w:top w:val="single" w:sz="4" w:space="0" w:color="000000"/>
              <w:left w:val="single" w:sz="4" w:space="0" w:color="000000"/>
              <w:bottom w:val="single" w:sz="4" w:space="0" w:color="000000"/>
              <w:right w:val="single" w:sz="4" w:space="0" w:color="000000"/>
            </w:tcBorders>
          </w:tcPr>
          <w:p w14:paraId="100268D3"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51,6</w:t>
            </w:r>
          </w:p>
        </w:tc>
        <w:tc>
          <w:tcPr>
            <w:tcW w:w="1771" w:type="dxa"/>
            <w:tcBorders>
              <w:top w:val="single" w:sz="4" w:space="0" w:color="000000"/>
              <w:left w:val="single" w:sz="4" w:space="0" w:color="000000"/>
              <w:bottom w:val="single" w:sz="4" w:space="0" w:color="000000"/>
              <w:right w:val="single" w:sz="4" w:space="0" w:color="000000"/>
            </w:tcBorders>
          </w:tcPr>
          <w:p w14:paraId="477C2E8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4,9</w:t>
            </w:r>
          </w:p>
        </w:tc>
        <w:tc>
          <w:tcPr>
            <w:tcW w:w="1771" w:type="dxa"/>
            <w:tcBorders>
              <w:top w:val="single" w:sz="4" w:space="0" w:color="000000"/>
              <w:left w:val="single" w:sz="4" w:space="0" w:color="000000"/>
              <w:bottom w:val="single" w:sz="4" w:space="0" w:color="000000"/>
              <w:right w:val="single" w:sz="4" w:space="0" w:color="000000"/>
            </w:tcBorders>
          </w:tcPr>
          <w:p w14:paraId="0211127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03327A79"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464BBD6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62ADD60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40,8</w:t>
            </w:r>
          </w:p>
        </w:tc>
        <w:tc>
          <w:tcPr>
            <w:tcW w:w="1771" w:type="dxa"/>
            <w:tcBorders>
              <w:top w:val="single" w:sz="4" w:space="0" w:color="000000"/>
              <w:left w:val="single" w:sz="4" w:space="0" w:color="000000"/>
              <w:bottom w:val="single" w:sz="4" w:space="0" w:color="000000"/>
              <w:right w:val="single" w:sz="4" w:space="0" w:color="000000"/>
            </w:tcBorders>
          </w:tcPr>
          <w:p w14:paraId="41F7F068"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35,3</w:t>
            </w:r>
          </w:p>
        </w:tc>
        <w:tc>
          <w:tcPr>
            <w:tcW w:w="1771" w:type="dxa"/>
            <w:tcBorders>
              <w:top w:val="single" w:sz="4" w:space="0" w:color="000000"/>
              <w:left w:val="single" w:sz="4" w:space="0" w:color="000000"/>
              <w:bottom w:val="single" w:sz="4" w:space="0" w:color="000000"/>
              <w:right w:val="single" w:sz="4" w:space="0" w:color="000000"/>
            </w:tcBorders>
          </w:tcPr>
          <w:p w14:paraId="5FCE8BEA"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5,5</w:t>
            </w:r>
          </w:p>
        </w:tc>
        <w:tc>
          <w:tcPr>
            <w:tcW w:w="1771" w:type="dxa"/>
            <w:tcBorders>
              <w:top w:val="single" w:sz="4" w:space="0" w:color="000000"/>
              <w:left w:val="single" w:sz="4" w:space="0" w:color="000000"/>
              <w:bottom w:val="single" w:sz="4" w:space="0" w:color="000000"/>
              <w:right w:val="single" w:sz="4" w:space="0" w:color="000000"/>
            </w:tcBorders>
          </w:tcPr>
          <w:p w14:paraId="11DA6A73"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320668D8"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42912C6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0-120 sati</w:t>
            </w:r>
          </w:p>
        </w:tc>
        <w:tc>
          <w:tcPr>
            <w:tcW w:w="1771" w:type="dxa"/>
            <w:tcBorders>
              <w:top w:val="single" w:sz="4" w:space="0" w:color="000000"/>
              <w:left w:val="single" w:sz="4" w:space="0" w:color="000000"/>
              <w:bottom w:val="single" w:sz="4" w:space="0" w:color="000000"/>
              <w:right w:val="single" w:sz="4" w:space="0" w:color="000000"/>
            </w:tcBorders>
          </w:tcPr>
          <w:p w14:paraId="5660567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37,7</w:t>
            </w:r>
          </w:p>
        </w:tc>
        <w:tc>
          <w:tcPr>
            <w:tcW w:w="1771" w:type="dxa"/>
            <w:tcBorders>
              <w:top w:val="single" w:sz="4" w:space="0" w:color="000000"/>
              <w:left w:val="single" w:sz="4" w:space="0" w:color="000000"/>
              <w:bottom w:val="single" w:sz="4" w:space="0" w:color="000000"/>
              <w:right w:val="single" w:sz="4" w:space="0" w:color="000000"/>
            </w:tcBorders>
          </w:tcPr>
          <w:p w14:paraId="48E1D9D0"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29,0</w:t>
            </w:r>
          </w:p>
        </w:tc>
        <w:tc>
          <w:tcPr>
            <w:tcW w:w="1771" w:type="dxa"/>
            <w:tcBorders>
              <w:top w:val="single" w:sz="4" w:space="0" w:color="000000"/>
              <w:left w:val="single" w:sz="4" w:space="0" w:color="000000"/>
              <w:bottom w:val="single" w:sz="4" w:space="0" w:color="000000"/>
              <w:right w:val="single" w:sz="4" w:space="0" w:color="000000"/>
            </w:tcBorders>
          </w:tcPr>
          <w:p w14:paraId="1B6DDE73"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8,7</w:t>
            </w:r>
          </w:p>
        </w:tc>
        <w:tc>
          <w:tcPr>
            <w:tcW w:w="1771" w:type="dxa"/>
            <w:tcBorders>
              <w:top w:val="single" w:sz="4" w:space="0" w:color="000000"/>
              <w:left w:val="single" w:sz="4" w:space="0" w:color="000000"/>
              <w:bottom w:val="single" w:sz="4" w:space="0" w:color="000000"/>
              <w:right w:val="single" w:sz="4" w:space="0" w:color="000000"/>
            </w:tcBorders>
          </w:tcPr>
          <w:p w14:paraId="60FBAC1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bl>
    <w:p w14:paraId="3AF0E290" w14:textId="7D58F7E8"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Bez mučnine (Likertova skala)                                                                               p-vr</w:t>
      </w:r>
      <w:r w:rsidR="00E338DB" w:rsidRPr="00F66F27">
        <w:rPr>
          <w:bCs/>
          <w:sz w:val="22"/>
          <w:szCs w:val="22"/>
          <w:lang w:val="sr-Latn-RS"/>
        </w:rPr>
        <w:t>ij</w:t>
      </w:r>
      <w:r w:rsidRPr="00F66F27">
        <w:rPr>
          <w:bCs/>
          <w:sz w:val="22"/>
          <w:szCs w:val="22"/>
          <w:lang w:val="sr-Latn-RS"/>
        </w:rPr>
        <w:t xml:space="preserve">ednost </w:t>
      </w:r>
      <w:r w:rsidRPr="00F66F27">
        <w:rPr>
          <w:bCs/>
          <w:sz w:val="22"/>
          <w:szCs w:val="22"/>
          <w:vertAlign w:val="superscript"/>
          <w:lang w:val="sr-Latn-RS"/>
        </w:rPr>
        <w:t>c</w:t>
      </w:r>
    </w:p>
    <w:tbl>
      <w:tblPr>
        <w:tblW w:w="8856" w:type="dxa"/>
        <w:tblInd w:w="-110" w:type="dxa"/>
        <w:tblCellMar>
          <w:top w:w="49" w:type="dxa"/>
          <w:left w:w="110" w:type="dxa"/>
          <w:right w:w="115" w:type="dxa"/>
        </w:tblCellMar>
        <w:tblLook w:val="04A0" w:firstRow="1" w:lastRow="0" w:firstColumn="1" w:lastColumn="0" w:noHBand="0" w:noVBand="1"/>
      </w:tblPr>
      <w:tblGrid>
        <w:gridCol w:w="1772"/>
        <w:gridCol w:w="1771"/>
        <w:gridCol w:w="1771"/>
        <w:gridCol w:w="1771"/>
        <w:gridCol w:w="1771"/>
      </w:tblGrid>
      <w:tr w:rsidR="00A047E8" w:rsidRPr="00F66F27" w14:paraId="7B7942A3"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46307BB7"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 –24 sata</w:t>
            </w:r>
          </w:p>
        </w:tc>
        <w:tc>
          <w:tcPr>
            <w:tcW w:w="1771" w:type="dxa"/>
            <w:tcBorders>
              <w:top w:val="single" w:sz="4" w:space="0" w:color="000000"/>
              <w:left w:val="single" w:sz="4" w:space="0" w:color="000000"/>
              <w:bottom w:val="single" w:sz="4" w:space="0" w:color="000000"/>
              <w:right w:val="single" w:sz="4" w:space="0" w:color="000000"/>
            </w:tcBorders>
          </w:tcPr>
          <w:p w14:paraId="4D06E74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53,8</w:t>
            </w:r>
          </w:p>
        </w:tc>
        <w:tc>
          <w:tcPr>
            <w:tcW w:w="1771" w:type="dxa"/>
            <w:tcBorders>
              <w:top w:val="single" w:sz="4" w:space="0" w:color="000000"/>
              <w:left w:val="single" w:sz="4" w:space="0" w:color="000000"/>
              <w:bottom w:val="single" w:sz="4" w:space="0" w:color="000000"/>
              <w:right w:val="single" w:sz="4" w:space="0" w:color="000000"/>
            </w:tcBorders>
          </w:tcPr>
          <w:p w14:paraId="1CE494A6"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49,3</w:t>
            </w:r>
          </w:p>
        </w:tc>
        <w:tc>
          <w:tcPr>
            <w:tcW w:w="1771" w:type="dxa"/>
            <w:tcBorders>
              <w:top w:val="single" w:sz="4" w:space="0" w:color="000000"/>
              <w:left w:val="single" w:sz="4" w:space="0" w:color="000000"/>
              <w:bottom w:val="single" w:sz="4" w:space="0" w:color="000000"/>
              <w:right w:val="single" w:sz="4" w:space="0" w:color="000000"/>
            </w:tcBorders>
          </w:tcPr>
          <w:p w14:paraId="08275AB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4,5</w:t>
            </w:r>
          </w:p>
        </w:tc>
        <w:tc>
          <w:tcPr>
            <w:tcW w:w="1771" w:type="dxa"/>
            <w:tcBorders>
              <w:top w:val="single" w:sz="4" w:space="0" w:color="000000"/>
              <w:left w:val="single" w:sz="4" w:space="0" w:color="000000"/>
              <w:bottom w:val="single" w:sz="4" w:space="0" w:color="000000"/>
              <w:right w:val="single" w:sz="4" w:space="0" w:color="000000"/>
            </w:tcBorders>
          </w:tcPr>
          <w:p w14:paraId="68CF8048"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3D75E2E5"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75FE6A69"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24-120 sati</w:t>
            </w:r>
          </w:p>
        </w:tc>
        <w:tc>
          <w:tcPr>
            <w:tcW w:w="1771" w:type="dxa"/>
            <w:tcBorders>
              <w:top w:val="single" w:sz="4" w:space="0" w:color="000000"/>
              <w:left w:val="single" w:sz="4" w:space="0" w:color="000000"/>
              <w:bottom w:val="single" w:sz="4" w:space="0" w:color="000000"/>
              <w:right w:val="single" w:sz="4" w:space="0" w:color="000000"/>
            </w:tcBorders>
          </w:tcPr>
          <w:p w14:paraId="3C45407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35,4</w:t>
            </w:r>
          </w:p>
        </w:tc>
        <w:tc>
          <w:tcPr>
            <w:tcW w:w="1771" w:type="dxa"/>
            <w:tcBorders>
              <w:top w:val="single" w:sz="4" w:space="0" w:color="000000"/>
              <w:left w:val="single" w:sz="4" w:space="0" w:color="000000"/>
              <w:bottom w:val="single" w:sz="4" w:space="0" w:color="000000"/>
              <w:right w:val="single" w:sz="4" w:space="0" w:color="000000"/>
            </w:tcBorders>
          </w:tcPr>
          <w:p w14:paraId="47C62A75"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32,1</w:t>
            </w:r>
          </w:p>
        </w:tc>
        <w:tc>
          <w:tcPr>
            <w:tcW w:w="1771" w:type="dxa"/>
            <w:tcBorders>
              <w:top w:val="single" w:sz="4" w:space="0" w:color="000000"/>
              <w:left w:val="single" w:sz="4" w:space="0" w:color="000000"/>
              <w:bottom w:val="single" w:sz="4" w:space="0" w:color="000000"/>
              <w:right w:val="single" w:sz="4" w:space="0" w:color="000000"/>
            </w:tcBorders>
          </w:tcPr>
          <w:p w14:paraId="1857AA91"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3,3</w:t>
            </w:r>
          </w:p>
        </w:tc>
        <w:tc>
          <w:tcPr>
            <w:tcW w:w="1771" w:type="dxa"/>
            <w:tcBorders>
              <w:top w:val="single" w:sz="4" w:space="0" w:color="000000"/>
              <w:left w:val="single" w:sz="4" w:space="0" w:color="000000"/>
              <w:bottom w:val="single" w:sz="4" w:space="0" w:color="000000"/>
              <w:right w:val="single" w:sz="4" w:space="0" w:color="000000"/>
            </w:tcBorders>
          </w:tcPr>
          <w:p w14:paraId="76372AE7"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r w:rsidR="00A047E8" w:rsidRPr="00F66F27" w14:paraId="67228164" w14:textId="77777777" w:rsidTr="00567DB0">
        <w:trPr>
          <w:trHeight w:val="264"/>
        </w:trPr>
        <w:tc>
          <w:tcPr>
            <w:tcW w:w="1771" w:type="dxa"/>
            <w:tcBorders>
              <w:top w:val="single" w:sz="4" w:space="0" w:color="000000"/>
              <w:left w:val="single" w:sz="4" w:space="0" w:color="000000"/>
              <w:bottom w:val="single" w:sz="4" w:space="0" w:color="000000"/>
              <w:right w:val="single" w:sz="4" w:space="0" w:color="000000"/>
            </w:tcBorders>
          </w:tcPr>
          <w:p w14:paraId="6E8E3225"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0-120 sati</w:t>
            </w:r>
          </w:p>
        </w:tc>
        <w:tc>
          <w:tcPr>
            <w:tcW w:w="1771" w:type="dxa"/>
            <w:tcBorders>
              <w:top w:val="single" w:sz="4" w:space="0" w:color="000000"/>
              <w:left w:val="single" w:sz="4" w:space="0" w:color="000000"/>
              <w:bottom w:val="single" w:sz="4" w:space="0" w:color="000000"/>
              <w:right w:val="single" w:sz="4" w:space="0" w:color="000000"/>
            </w:tcBorders>
          </w:tcPr>
          <w:p w14:paraId="6026B62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33,6</w:t>
            </w:r>
          </w:p>
        </w:tc>
        <w:tc>
          <w:tcPr>
            <w:tcW w:w="1771" w:type="dxa"/>
            <w:tcBorders>
              <w:top w:val="single" w:sz="4" w:space="0" w:color="000000"/>
              <w:left w:val="single" w:sz="4" w:space="0" w:color="000000"/>
              <w:bottom w:val="single" w:sz="4" w:space="0" w:color="000000"/>
              <w:right w:val="single" w:sz="4" w:space="0" w:color="000000"/>
            </w:tcBorders>
          </w:tcPr>
          <w:p w14:paraId="48276BDC"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32,1</w:t>
            </w:r>
          </w:p>
        </w:tc>
        <w:tc>
          <w:tcPr>
            <w:tcW w:w="1771" w:type="dxa"/>
            <w:tcBorders>
              <w:top w:val="single" w:sz="4" w:space="0" w:color="000000"/>
              <w:left w:val="single" w:sz="4" w:space="0" w:color="000000"/>
              <w:bottom w:val="single" w:sz="4" w:space="0" w:color="000000"/>
              <w:right w:val="single" w:sz="4" w:space="0" w:color="000000"/>
            </w:tcBorders>
          </w:tcPr>
          <w:p w14:paraId="2B61A167"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1,5</w:t>
            </w:r>
          </w:p>
        </w:tc>
        <w:tc>
          <w:tcPr>
            <w:tcW w:w="1771" w:type="dxa"/>
            <w:tcBorders>
              <w:top w:val="single" w:sz="4" w:space="0" w:color="000000"/>
              <w:left w:val="single" w:sz="4" w:space="0" w:color="000000"/>
              <w:bottom w:val="single" w:sz="4" w:space="0" w:color="000000"/>
              <w:right w:val="single" w:sz="4" w:space="0" w:color="000000"/>
            </w:tcBorders>
          </w:tcPr>
          <w:p w14:paraId="5B79B506"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NS</w:t>
            </w:r>
          </w:p>
        </w:tc>
      </w:tr>
    </w:tbl>
    <w:p w14:paraId="31CACDD8"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a</w:t>
      </w:r>
      <w:r w:rsidRPr="00F66F27">
        <w:rPr>
          <w:bCs/>
          <w:sz w:val="22"/>
          <w:szCs w:val="22"/>
          <w:lang w:val="sr-Latn-RS"/>
        </w:rPr>
        <w:t xml:space="preserve"> ITT (</w:t>
      </w:r>
      <w:r w:rsidRPr="00F66F27">
        <w:rPr>
          <w:bCs/>
          <w:i/>
          <w:sz w:val="22"/>
          <w:szCs w:val="22"/>
          <w:lang w:val="sr-Latn-RS"/>
        </w:rPr>
        <w:t xml:space="preserve">intent-to-treat) </w:t>
      </w:r>
      <w:r w:rsidRPr="00F66F27">
        <w:rPr>
          <w:bCs/>
          <w:sz w:val="22"/>
          <w:szCs w:val="22"/>
          <w:lang w:val="sr-Latn-RS"/>
        </w:rPr>
        <w:t>kohorta</w:t>
      </w:r>
    </w:p>
    <w:p w14:paraId="724239B5" w14:textId="1DFFCE55"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b</w:t>
      </w:r>
      <w:r w:rsidRPr="00F66F27">
        <w:rPr>
          <w:bCs/>
          <w:sz w:val="22"/>
          <w:szCs w:val="22"/>
          <w:lang w:val="sr-Latn-RS"/>
        </w:rPr>
        <w:t xml:space="preserve"> studija je bila dizajnirana da pokaže neinferiornost. Donja granica veća od -15% pokazuje neinferiornost </w:t>
      </w:r>
      <w:r w:rsidR="00E338DB" w:rsidRPr="00F66F27">
        <w:rPr>
          <w:bCs/>
          <w:sz w:val="22"/>
          <w:szCs w:val="22"/>
          <w:lang w:val="sr-Latn-RS"/>
        </w:rPr>
        <w:t xml:space="preserve">lijeka </w:t>
      </w:r>
      <w:r w:rsidRPr="00F66F27">
        <w:rPr>
          <w:bCs/>
          <w:sz w:val="22"/>
          <w:szCs w:val="22"/>
          <w:lang w:val="sr-Latn-RS"/>
        </w:rPr>
        <w:t>Aloxi, rastvora za injekcije u odnosu na komparator.</w:t>
      </w:r>
    </w:p>
    <w:p w14:paraId="71ACDB9F" w14:textId="7EB72CAB"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c</w:t>
      </w:r>
      <w:r w:rsidRPr="00F66F27">
        <w:rPr>
          <w:bCs/>
          <w:sz w:val="22"/>
          <w:szCs w:val="22"/>
          <w:lang w:val="sr-Latn-RS"/>
        </w:rPr>
        <w:t xml:space="preserve"> </w:t>
      </w:r>
      <w:r w:rsidR="00E338DB" w:rsidRPr="00F66F27">
        <w:rPr>
          <w:bCs/>
          <w:sz w:val="22"/>
          <w:szCs w:val="22"/>
          <w:lang w:val="sr-Latn-RS"/>
        </w:rPr>
        <w:t>Hi-kvadrat</w:t>
      </w:r>
      <w:r w:rsidR="00E338DB" w:rsidRPr="00F66F27">
        <w:rPr>
          <w:bCs/>
          <w:i/>
          <w:sz w:val="22"/>
          <w:szCs w:val="22"/>
          <w:lang w:val="sr-Latn-RS"/>
        </w:rPr>
        <w:t xml:space="preserve"> </w:t>
      </w:r>
      <w:r w:rsidR="00E338DB" w:rsidRPr="00F66F27">
        <w:rPr>
          <w:bCs/>
          <w:sz w:val="22"/>
          <w:szCs w:val="22"/>
          <w:lang w:val="sr-Latn-RS"/>
        </w:rPr>
        <w:t>(</w:t>
      </w:r>
      <w:r w:rsidRPr="00F66F27">
        <w:rPr>
          <w:bCs/>
          <w:i/>
          <w:sz w:val="22"/>
          <w:szCs w:val="22"/>
          <w:lang w:val="sr-Latn-RS"/>
        </w:rPr>
        <w:t>Chi-square</w:t>
      </w:r>
      <w:r w:rsidR="00E338DB" w:rsidRPr="00F66F27">
        <w:rPr>
          <w:bCs/>
          <w:sz w:val="22"/>
          <w:szCs w:val="22"/>
          <w:lang w:val="sr-Latn-RS"/>
        </w:rPr>
        <w:t>)</w:t>
      </w:r>
      <w:r w:rsidRPr="00F66F27">
        <w:rPr>
          <w:bCs/>
          <w:sz w:val="22"/>
          <w:szCs w:val="22"/>
          <w:lang w:val="sr-Latn-RS"/>
        </w:rPr>
        <w:t xml:space="preserve"> test, nivo značajnosti α=0,05</w:t>
      </w:r>
    </w:p>
    <w:p w14:paraId="0F72612B" w14:textId="77777777" w:rsidR="00A047E8" w:rsidRPr="00F66F27" w:rsidRDefault="00A047E8" w:rsidP="00CA6D84">
      <w:pPr>
        <w:tabs>
          <w:tab w:val="left" w:pos="540"/>
          <w:tab w:val="left" w:pos="569"/>
        </w:tabs>
        <w:jc w:val="both"/>
        <w:rPr>
          <w:bCs/>
          <w:sz w:val="22"/>
          <w:szCs w:val="22"/>
          <w:lang w:val="sr-Latn-RS"/>
        </w:rPr>
      </w:pPr>
    </w:p>
    <w:p w14:paraId="3206729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Dejstvo palonosetrona na krvni pritisak, rad srca i EKG parametre uključujući i QTc bilo je uporedivo sa dejstvom ondansetrona i dolasetrona u kliničkim studijama prevencije mučnine i povraćanja usljed primjene hemioterapije (engl. </w:t>
      </w:r>
      <w:r w:rsidRPr="00F66F27">
        <w:rPr>
          <w:bCs/>
          <w:i/>
          <w:sz w:val="22"/>
          <w:szCs w:val="22"/>
          <w:lang w:val="sr-Latn-RS"/>
        </w:rPr>
        <w:t xml:space="preserve">Prevention of Chemotherapy Induced Nausea and Vomiting </w:t>
      </w:r>
      <w:r w:rsidRPr="00F66F27">
        <w:rPr>
          <w:bCs/>
          <w:sz w:val="22"/>
          <w:szCs w:val="22"/>
          <w:lang w:val="sr-Latn-RS"/>
        </w:rPr>
        <w:t>– CINV). Rezultati nekliničkih studija pokazuju da palonosetron ima sposobnost da blokira jonske kanale koji su uključeni u ventrikularnu de- i repolarizaciju i da produži trajanje akcionog potencijala.</w:t>
      </w:r>
    </w:p>
    <w:p w14:paraId="3C668E4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Dejstvo palonosetrona na QTc interval je ispitivano u dvostruko slijepom, randomizovanom, paralelnom, placebo i pozitivno (moksifloksacin) kontrolisanom ispitivanju odraslih muškaraca i žena. Cilj je bio da se procijeni dejstvo </w:t>
      </w:r>
      <w:r w:rsidRPr="00F66F27">
        <w:rPr>
          <w:bCs/>
          <w:i/>
          <w:sz w:val="22"/>
          <w:szCs w:val="22"/>
          <w:lang w:val="sr-Latn-RS"/>
        </w:rPr>
        <w:t xml:space="preserve">i.v. </w:t>
      </w:r>
      <w:r w:rsidRPr="00F66F27">
        <w:rPr>
          <w:bCs/>
          <w:sz w:val="22"/>
          <w:szCs w:val="22"/>
          <w:lang w:val="sr-Latn-RS"/>
        </w:rPr>
        <w:t>primijenjenog palonosetrona u pojedinačnim dozama od 0,25; 0,75 ili 2,25 mg na EKG kod 221 zdrave osobe. Rezultati studije su pokazali da nema uticaja na trajanje QT/QTc intervala kao ni na druge EKG intervale u dozama do 2,25 mg. Nijesu uočene klinički značajne promjene rada srca, atrioventrikularne (AV) provodljivosti i srčane repolarizacije.</w:t>
      </w:r>
    </w:p>
    <w:p w14:paraId="456E0773" w14:textId="77777777" w:rsidR="00A047E8" w:rsidRPr="00F66F27" w:rsidRDefault="00A047E8">
      <w:pPr>
        <w:tabs>
          <w:tab w:val="left" w:pos="540"/>
          <w:tab w:val="left" w:pos="569"/>
        </w:tabs>
        <w:jc w:val="both"/>
        <w:rPr>
          <w:bCs/>
          <w:sz w:val="22"/>
          <w:szCs w:val="22"/>
          <w:lang w:val="sr-Latn-RS"/>
        </w:rPr>
      </w:pPr>
    </w:p>
    <w:p w14:paraId="29209AB3" w14:textId="77777777" w:rsidR="00A047E8" w:rsidRPr="00F66F27" w:rsidRDefault="00A047E8">
      <w:pPr>
        <w:tabs>
          <w:tab w:val="left" w:pos="540"/>
          <w:tab w:val="left" w:pos="569"/>
        </w:tabs>
        <w:jc w:val="both"/>
        <w:rPr>
          <w:b/>
          <w:bCs/>
          <w:sz w:val="22"/>
          <w:szCs w:val="22"/>
          <w:lang w:val="sr-Latn-RS"/>
        </w:rPr>
      </w:pPr>
      <w:r w:rsidRPr="00F66F27">
        <w:rPr>
          <w:b/>
          <w:bCs/>
          <w:sz w:val="22"/>
          <w:szCs w:val="22"/>
          <w:lang w:val="sr-Latn-RS"/>
        </w:rPr>
        <w:t>Pedijatrijska populacija</w:t>
      </w:r>
    </w:p>
    <w:p w14:paraId="62DB8949" w14:textId="77777777" w:rsidR="00A047E8" w:rsidRPr="00F66F27" w:rsidRDefault="00A047E8">
      <w:pPr>
        <w:tabs>
          <w:tab w:val="left" w:pos="540"/>
          <w:tab w:val="left" w:pos="569"/>
        </w:tabs>
        <w:jc w:val="both"/>
        <w:rPr>
          <w:b/>
          <w:bCs/>
          <w:sz w:val="22"/>
          <w:szCs w:val="22"/>
          <w:lang w:val="sr-Latn-RS"/>
        </w:rPr>
      </w:pPr>
    </w:p>
    <w:p w14:paraId="1B2EA192" w14:textId="77777777" w:rsidR="00A047E8" w:rsidRPr="00F66F27" w:rsidRDefault="00A047E8">
      <w:pPr>
        <w:tabs>
          <w:tab w:val="left" w:pos="540"/>
          <w:tab w:val="left" w:pos="569"/>
        </w:tabs>
        <w:jc w:val="both"/>
        <w:rPr>
          <w:bCs/>
          <w:i/>
          <w:sz w:val="22"/>
          <w:szCs w:val="22"/>
          <w:lang w:val="sr-Latn-RS"/>
        </w:rPr>
      </w:pPr>
      <w:r w:rsidRPr="00F66F27">
        <w:rPr>
          <w:bCs/>
          <w:i/>
          <w:sz w:val="22"/>
          <w:szCs w:val="22"/>
          <w:lang w:val="sr-Latn-RS"/>
        </w:rPr>
        <w:t>Prevencija mučnine i povraćanja usljed primjene hemioterapije:</w:t>
      </w:r>
    </w:p>
    <w:p w14:paraId="66F90EAA" w14:textId="77777777" w:rsidR="00A047E8" w:rsidRPr="00F66F27" w:rsidRDefault="00A047E8">
      <w:pPr>
        <w:tabs>
          <w:tab w:val="left" w:pos="540"/>
          <w:tab w:val="left" w:pos="569"/>
        </w:tabs>
        <w:jc w:val="both"/>
        <w:rPr>
          <w:bCs/>
          <w:sz w:val="22"/>
          <w:szCs w:val="22"/>
          <w:lang w:val="sr-Latn-RS"/>
        </w:rPr>
      </w:pPr>
    </w:p>
    <w:p w14:paraId="7BB48B89"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Bezbjednost i efikasnost intravenske primjene palonosetrona u pojedinačnim dozama od 3 mikrograma/kg i 10 mikrograma/kg su ispitivane u kliničkoj studiji kod 72 pacijenta u sljedećim starosnim grupama: &gt;28 dana do 23 mjeseca (12 pacijenata), 2 do 11 godina (31 pacijent) i 12 do 17 godina (29 pacijenata), koji dobijaju visoko ili umjereno emetogenu hemioterapiju. Nije bilo bezbjednosnih rizika pri primjeni bilo koje od doza. Primarni parametar efikasnosti je bio broj pacijenata sa kompletnim odgovorom (engl. </w:t>
      </w:r>
      <w:r w:rsidRPr="00F66F27">
        <w:rPr>
          <w:bCs/>
          <w:i/>
          <w:sz w:val="22"/>
          <w:szCs w:val="22"/>
          <w:lang w:val="sr-Latn-RS"/>
        </w:rPr>
        <w:t xml:space="preserve">complete response </w:t>
      </w:r>
      <w:r w:rsidRPr="00F66F27">
        <w:rPr>
          <w:bCs/>
          <w:sz w:val="22"/>
          <w:szCs w:val="22"/>
          <w:lang w:val="sr-Latn-RS"/>
        </w:rPr>
        <w:t xml:space="preserve">– CR) (definisanim kao odgovor bez emeze i dodatne medikacije) tokom prva 24 sata nakon početka primjene hemioterapije. Efikasnost nakon primjene 10 mikrograma/kg palonosetrona u poređenju sa 3 mikrograma/kg palonosetrona bila je 54,1%, odnosno 37,1%. </w:t>
      </w:r>
    </w:p>
    <w:p w14:paraId="585A09AB" w14:textId="207B68C1" w:rsidR="00A047E8" w:rsidRPr="00F66F27" w:rsidRDefault="00A047E8">
      <w:pPr>
        <w:tabs>
          <w:tab w:val="left" w:pos="540"/>
          <w:tab w:val="left" w:pos="569"/>
        </w:tabs>
        <w:jc w:val="both"/>
        <w:rPr>
          <w:bCs/>
          <w:sz w:val="22"/>
          <w:szCs w:val="22"/>
          <w:lang w:val="sr-Latn-RS"/>
        </w:rPr>
      </w:pPr>
      <w:r w:rsidRPr="00F66F27">
        <w:rPr>
          <w:bCs/>
          <w:sz w:val="22"/>
          <w:szCs w:val="22"/>
          <w:lang w:val="sr-Latn-RS"/>
        </w:rPr>
        <w:lastRenderedPageBreak/>
        <w:t>Efikasnost lijeka Aloxi, u prevenciji mučnine i povraćanja usljed primjene hemioterapije kod pedijatrijskih pacijenata sa malignom neoplazmom, pokazala se u drugom ključnom ispitivanju neinferiornosti, u kojem se pojedinačna intravenska infuzija palonosetrona upoređivala sa intravenskim režimom ondansetrona. Ukupno 493 pedijatrijska pacijenta, uzrasta od 64 dana do 16,9 godina, koja su primala umjereno (69,2%) ili visoko emetogenu hemioterapiju (30,8%), liječena su palonosetronom u dozi od 10 mikrograma/kg (najviše 0,75 mg), palonosetronom u dozi od 20 mikrograma/kg (najviše 1,5 mg) ili ondansetronom (3 x 0,15 mg/kg, najveća ukupna doza 32 mg) 30 minuta prije početka emetogene hemioterapije u 1. ciklusu. Većina pacijenata u svim terapijskim grupama prethodno je primala hemioterapiju (78,5%). Primijenjene emetogene hemioterapije uključivale su doksorubicin, ciklofosfamid (&lt;1500 mg/m</w:t>
      </w:r>
      <w:r w:rsidRPr="00F66F27">
        <w:rPr>
          <w:bCs/>
          <w:sz w:val="22"/>
          <w:szCs w:val="22"/>
          <w:vertAlign w:val="superscript"/>
          <w:lang w:val="sr-Latn-RS"/>
        </w:rPr>
        <w:t>2</w:t>
      </w:r>
      <w:r w:rsidRPr="00F66F27">
        <w:rPr>
          <w:bCs/>
          <w:sz w:val="22"/>
          <w:szCs w:val="22"/>
          <w:lang w:val="sr-Latn-RS"/>
        </w:rPr>
        <w:t xml:space="preserve">), ifosfamid, cisplatin, daktinomicin, karboplatin i daunorubicin. Uz hemioterapiju kod 55% pacijenata primijenjeni su adjuvantni kortikosteroidi, uključujući deksametazon. Primarni </w:t>
      </w:r>
      <w:r w:rsidR="00E338DB" w:rsidRPr="00F66F27">
        <w:rPr>
          <w:bCs/>
          <w:sz w:val="22"/>
          <w:szCs w:val="22"/>
          <w:lang w:val="sr-Latn-RS"/>
        </w:rPr>
        <w:t>parametar praćenja</w:t>
      </w:r>
      <w:r w:rsidRPr="00F66F27">
        <w:rPr>
          <w:bCs/>
          <w:sz w:val="22"/>
          <w:szCs w:val="22"/>
          <w:lang w:val="sr-Latn-RS"/>
        </w:rPr>
        <w:t xml:space="preserve"> efikasnosti bio je potpuni odgovor u akutnoj fazi prvog ciklusa hemioterapije, definisan kao izostanak povraćanja, bez dizanja želuca i bez simptomatskog lijeka u prva 24 sata nakon početka hemioterapije. Efikasnost se zasnivala na dokazivanju neinferiornosti intravenski primijenjenog palonosetrona u poređenju sa intravenskim ondansetronom. Kriterijumi neinferiornosti bili su ispunjeni ako je donja granica intervala pouzdanosti od 97,5%, za razliku u stopama potpunog odgovora za intravenski palonosetron minus intravenski ondansetron, bila veća od -15%. U grupama koje su primale palonosetron 10 mikrograma/kg i 20 mikrograma/kg i u grupi koja je primala ondansetron, udio pacijenata sa potpunim odgovorom CR</w:t>
      </w:r>
      <w:r w:rsidRPr="00F66F27">
        <w:rPr>
          <w:bCs/>
          <w:sz w:val="22"/>
          <w:szCs w:val="22"/>
          <w:vertAlign w:val="subscript"/>
          <w:lang w:val="sr-Latn-RS"/>
        </w:rPr>
        <w:t xml:space="preserve">0-24h </w:t>
      </w:r>
      <w:r w:rsidRPr="00F66F27">
        <w:rPr>
          <w:bCs/>
          <w:sz w:val="22"/>
          <w:szCs w:val="22"/>
          <w:lang w:val="sr-Latn-RS"/>
        </w:rPr>
        <w:t>bio je 54,2%, 59,4% i 58,6%. Budući da je interval pouzdanosti od 97,5% (</w:t>
      </w:r>
      <w:r w:rsidRPr="00F66F27">
        <w:rPr>
          <w:bCs/>
          <w:i/>
          <w:sz w:val="22"/>
          <w:szCs w:val="22"/>
          <w:lang w:val="sr-Latn-RS"/>
        </w:rPr>
        <w:t>MantelHaenszel</w:t>
      </w:r>
      <w:r w:rsidRPr="00F66F27">
        <w:rPr>
          <w:bCs/>
          <w:sz w:val="22"/>
          <w:szCs w:val="22"/>
          <w:lang w:val="sr-Latn-RS"/>
        </w:rPr>
        <w:t>-ov test prilagođen za slojeve) za razliku u CR</w:t>
      </w:r>
      <w:r w:rsidRPr="00F66F27">
        <w:rPr>
          <w:bCs/>
          <w:sz w:val="22"/>
          <w:szCs w:val="22"/>
          <w:vertAlign w:val="subscript"/>
          <w:lang w:val="sr-Latn-RS"/>
        </w:rPr>
        <w:t xml:space="preserve">0-24h </w:t>
      </w:r>
      <w:r w:rsidRPr="00F66F27">
        <w:rPr>
          <w:bCs/>
          <w:sz w:val="22"/>
          <w:szCs w:val="22"/>
          <w:lang w:val="sr-Latn-RS"/>
        </w:rPr>
        <w:t>između palonosetrona u dozi od 20 mikrograma/kg i ondansetrona iznosio [-11,7%; 12,4%], doza palonosetrona od 20 mikrograma/kg dokazala je neinferiornost prema ondansetronu.</w:t>
      </w:r>
    </w:p>
    <w:p w14:paraId="1131CB8D" w14:textId="61D15F84"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Iako je ovo ispitivanje pokazalo da je za prevenciju mučnine i povraćanja usljed primjene hemioterapije, pedijatrijskim pacijentima potrebna veća doza palonosetrona nego odraslim pacijentima, profil bezbjednosti podudara se sa profilom ustanovljenim kod odraslih (vidjeti </w:t>
      </w:r>
      <w:r w:rsidR="00E338DB" w:rsidRPr="00F66F27">
        <w:rPr>
          <w:bCs/>
          <w:sz w:val="22"/>
          <w:szCs w:val="22"/>
          <w:lang w:val="sr-Latn-RS"/>
        </w:rPr>
        <w:t>dio</w:t>
      </w:r>
      <w:r w:rsidRPr="00F66F27">
        <w:rPr>
          <w:bCs/>
          <w:sz w:val="22"/>
          <w:szCs w:val="22"/>
          <w:lang w:val="sr-Latn-RS"/>
        </w:rPr>
        <w:t xml:space="preserve"> 4.8). Farmakokinetički podaci su navedeni u </w:t>
      </w:r>
      <w:r w:rsidR="00E338DB" w:rsidRPr="00F66F27">
        <w:rPr>
          <w:bCs/>
          <w:sz w:val="22"/>
          <w:szCs w:val="22"/>
          <w:lang w:val="sr-Latn-RS"/>
        </w:rPr>
        <w:t>dijel</w:t>
      </w:r>
      <w:r w:rsidR="00333AD5" w:rsidRPr="00F66F27">
        <w:rPr>
          <w:bCs/>
          <w:sz w:val="22"/>
          <w:szCs w:val="22"/>
          <w:lang w:val="sr-Latn-RS"/>
        </w:rPr>
        <w:t>u</w:t>
      </w:r>
      <w:r w:rsidRPr="00F66F27">
        <w:rPr>
          <w:bCs/>
          <w:sz w:val="22"/>
          <w:szCs w:val="22"/>
          <w:lang w:val="sr-Latn-RS"/>
        </w:rPr>
        <w:t xml:space="preserve"> 5.2.</w:t>
      </w:r>
    </w:p>
    <w:p w14:paraId="3E5A9F50" w14:textId="77777777" w:rsidR="00A047E8" w:rsidRPr="00F66F27" w:rsidRDefault="00A047E8">
      <w:pPr>
        <w:tabs>
          <w:tab w:val="left" w:pos="540"/>
          <w:tab w:val="left" w:pos="569"/>
        </w:tabs>
        <w:jc w:val="both"/>
        <w:rPr>
          <w:bCs/>
          <w:sz w:val="22"/>
          <w:szCs w:val="22"/>
          <w:lang w:val="sr-Latn-RS"/>
        </w:rPr>
      </w:pPr>
    </w:p>
    <w:p w14:paraId="359E97A8" w14:textId="77777777" w:rsidR="00A047E8" w:rsidRPr="00F66F27" w:rsidRDefault="00A047E8">
      <w:pPr>
        <w:tabs>
          <w:tab w:val="left" w:pos="540"/>
          <w:tab w:val="left" w:pos="569"/>
        </w:tabs>
        <w:jc w:val="both"/>
        <w:rPr>
          <w:bCs/>
          <w:sz w:val="22"/>
          <w:szCs w:val="22"/>
          <w:lang w:val="sr-Latn-RS"/>
        </w:rPr>
      </w:pPr>
      <w:r w:rsidRPr="00F66F27">
        <w:rPr>
          <w:bCs/>
          <w:i/>
          <w:sz w:val="22"/>
          <w:szCs w:val="22"/>
          <w:lang w:val="sr-Latn-RS"/>
        </w:rPr>
        <w:t>Prevencija postoperativne mučnine i povraćanja:</w:t>
      </w:r>
    </w:p>
    <w:p w14:paraId="202CC879" w14:textId="2255F58F"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Sprovedena su dva pedijatrijska ispitivanja. Bezbjednost i efikasnost intravenske primjene palonosetrona u pojedinačnim dozama od 1 mikrogram/kg i 3 mikrograma/kg su poređene u kliničkoj studiji sa 150 pacijenata u sljedećim starosnim grupama: &gt;28 dana do 23 mjeseca (7 pacijenata), 2 do 11 godina (96 pacijenata) i 12 do 16 godina (47 pacijenata) koji se podvrgavaju elektivnoj hirurškoj intervenciji. Nije bilo bezbjednosnih rizika ni u jednoj grupi pacijenata. Broj pacijenata bez emeze tokom 0-72 sata nakon operacije bio je sličan kao nakon primjene palonosetrona 1 mikrogram/kg ili 3 mikrograma/kg (88% </w:t>
      </w:r>
      <w:r w:rsidR="00054325" w:rsidRPr="00F66F27">
        <w:rPr>
          <w:bCs/>
          <w:sz w:val="22"/>
          <w:szCs w:val="22"/>
          <w:lang w:val="sr-Latn-RS"/>
        </w:rPr>
        <w:t>u odnosu na</w:t>
      </w:r>
      <w:r w:rsidRPr="00F66F27">
        <w:rPr>
          <w:bCs/>
          <w:sz w:val="22"/>
          <w:szCs w:val="22"/>
          <w:lang w:val="sr-Latn-RS"/>
        </w:rPr>
        <w:t xml:space="preserve"> 84%).</w:t>
      </w:r>
    </w:p>
    <w:p w14:paraId="71138586" w14:textId="77777777" w:rsidR="00A047E8" w:rsidRPr="00F66F27" w:rsidRDefault="00A047E8">
      <w:pPr>
        <w:tabs>
          <w:tab w:val="left" w:pos="540"/>
          <w:tab w:val="left" w:pos="569"/>
        </w:tabs>
        <w:jc w:val="both"/>
        <w:rPr>
          <w:bCs/>
          <w:sz w:val="22"/>
          <w:szCs w:val="22"/>
          <w:lang w:val="sr-Latn-RS"/>
        </w:rPr>
      </w:pPr>
    </w:p>
    <w:p w14:paraId="14F64F08" w14:textId="29911C9D"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Drugo pedijatrijsko ispitivanje bilo je multicentrično, dvostruko slijepo, dvostruko maskirano, randomizovano ispitivanje neinferiornosti sa aktivnom kontrolom, sprovedeno na paralelnim grupama, u kojem se pojedinačna doza </w:t>
      </w:r>
      <w:r w:rsidRPr="00F66F27">
        <w:rPr>
          <w:bCs/>
          <w:i/>
          <w:sz w:val="22"/>
          <w:szCs w:val="22"/>
          <w:lang w:val="sr-Latn-RS"/>
        </w:rPr>
        <w:t xml:space="preserve">i.v. </w:t>
      </w:r>
      <w:r w:rsidRPr="00F66F27">
        <w:rPr>
          <w:bCs/>
          <w:sz w:val="22"/>
          <w:szCs w:val="22"/>
          <w:lang w:val="sr-Latn-RS"/>
        </w:rPr>
        <w:t xml:space="preserve">palonosetrona (1 mikrogram/kg, najviše 0,075 mg) upoređivala sa </w:t>
      </w:r>
      <w:r w:rsidRPr="00F66F27">
        <w:rPr>
          <w:bCs/>
          <w:i/>
          <w:sz w:val="22"/>
          <w:szCs w:val="22"/>
          <w:lang w:val="sr-Latn-RS"/>
        </w:rPr>
        <w:t xml:space="preserve">i.v. </w:t>
      </w:r>
      <w:r w:rsidRPr="00F66F27">
        <w:rPr>
          <w:bCs/>
          <w:sz w:val="22"/>
          <w:szCs w:val="22"/>
          <w:lang w:val="sr-Latn-RS"/>
        </w:rPr>
        <w:t xml:space="preserve">ondansetronom. Učestvovalo je ukupno 670 pedijatrijskih hirurških pacijenata uzrasta od 30 dana do 16,9 godina. Primarni </w:t>
      </w:r>
      <w:r w:rsidR="00054325" w:rsidRPr="00F66F27">
        <w:rPr>
          <w:bCs/>
          <w:sz w:val="22"/>
          <w:szCs w:val="22"/>
          <w:lang w:val="sr-Latn-RS"/>
        </w:rPr>
        <w:t>parametar praćenja</w:t>
      </w:r>
      <w:r w:rsidRPr="00F66F27">
        <w:rPr>
          <w:bCs/>
          <w:sz w:val="22"/>
          <w:szCs w:val="22"/>
          <w:lang w:val="sr-Latn-RS"/>
        </w:rPr>
        <w:t xml:space="preserve"> efikasnosti, potpuni odgovor (CR: izostanak povraćanja, dizanja želuca i bez primjene antiemetičkog simptomatskog lijeka) tokom prva 24h poslije operacije bio je postignut kod 78,2% pacijenata u grupi koja je primala palonosetron i 82,7% u grupi koja je primala ondansetron. Uz prethodno određenu granicu neinferiornosti od -10%, prema </w:t>
      </w:r>
      <w:r w:rsidRPr="00F66F27">
        <w:rPr>
          <w:bCs/>
          <w:i/>
          <w:sz w:val="22"/>
          <w:szCs w:val="22"/>
          <w:lang w:val="sr-Latn-RS"/>
        </w:rPr>
        <w:t>Mantel-Haenszel</w:t>
      </w:r>
      <w:r w:rsidRPr="00F66F27">
        <w:rPr>
          <w:bCs/>
          <w:sz w:val="22"/>
          <w:szCs w:val="22"/>
          <w:lang w:val="sr-Latn-RS"/>
        </w:rPr>
        <w:t xml:space="preserve">-ovom statističkom intervalu pouzdanosti za neinferiornost prilagođenom za slojeve za razliku u primarnom </w:t>
      </w:r>
      <w:r w:rsidR="00054325" w:rsidRPr="00F66F27">
        <w:rPr>
          <w:bCs/>
          <w:sz w:val="22"/>
          <w:szCs w:val="22"/>
          <w:lang w:val="sr-Latn-RS"/>
        </w:rPr>
        <w:t>parametru praćenja</w:t>
      </w:r>
      <w:r w:rsidRPr="00F66F27">
        <w:rPr>
          <w:bCs/>
          <w:sz w:val="22"/>
          <w:szCs w:val="22"/>
          <w:lang w:val="sr-Latn-RS"/>
        </w:rPr>
        <w:t>, potpuni odgovor (CR), bio je [-10,5, 1,7%]; dakle, neinferiornost nije dokazana. Ni u jednoj liječenoj grupi nije bila ugrožena bezbjednost.</w:t>
      </w:r>
    </w:p>
    <w:p w14:paraId="4842A85E" w14:textId="77777777" w:rsidR="00A047E8" w:rsidRPr="00F66F27" w:rsidRDefault="00A047E8">
      <w:pPr>
        <w:tabs>
          <w:tab w:val="left" w:pos="540"/>
          <w:tab w:val="left" w:pos="569"/>
        </w:tabs>
        <w:jc w:val="both"/>
        <w:rPr>
          <w:bCs/>
          <w:sz w:val="22"/>
          <w:szCs w:val="22"/>
          <w:lang w:val="sr-Latn-RS"/>
        </w:rPr>
      </w:pPr>
    </w:p>
    <w:p w14:paraId="44E82C01" w14:textId="45CCD4BE" w:rsidR="00A047E8" w:rsidRPr="00F66F27" w:rsidRDefault="00A047E8">
      <w:pPr>
        <w:tabs>
          <w:tab w:val="left" w:pos="540"/>
          <w:tab w:val="left" w:pos="569"/>
        </w:tabs>
        <w:jc w:val="both"/>
        <w:rPr>
          <w:bCs/>
          <w:sz w:val="22"/>
          <w:szCs w:val="22"/>
          <w:lang w:val="sr-Latn-RS"/>
        </w:rPr>
      </w:pPr>
      <w:r w:rsidRPr="00F66F27">
        <w:rPr>
          <w:bCs/>
          <w:sz w:val="22"/>
          <w:szCs w:val="22"/>
          <w:lang w:val="sr-Latn-RS"/>
        </w:rPr>
        <w:t>Za informacije o primjeni u pedijatriji, vidjeti</w:t>
      </w:r>
      <w:r w:rsidR="00054325" w:rsidRPr="00F66F27">
        <w:rPr>
          <w:bCs/>
          <w:sz w:val="22"/>
          <w:szCs w:val="22"/>
          <w:lang w:val="sr-Latn-RS"/>
        </w:rPr>
        <w:t xml:space="preserve"> dio</w:t>
      </w:r>
      <w:r w:rsidRPr="00F66F27">
        <w:rPr>
          <w:bCs/>
          <w:sz w:val="22"/>
          <w:szCs w:val="22"/>
          <w:lang w:val="sr-Latn-RS"/>
        </w:rPr>
        <w:t xml:space="preserve"> 4.2.</w:t>
      </w:r>
    </w:p>
    <w:p w14:paraId="2E642FC5" w14:textId="77777777" w:rsidR="002E37A5" w:rsidRPr="00F66F27" w:rsidRDefault="002E37A5">
      <w:pPr>
        <w:tabs>
          <w:tab w:val="left" w:pos="540"/>
          <w:tab w:val="left" w:pos="569"/>
        </w:tabs>
        <w:jc w:val="both"/>
        <w:rPr>
          <w:b/>
          <w:bCs/>
          <w:sz w:val="22"/>
          <w:szCs w:val="22"/>
          <w:lang w:val="sr-Latn-RS"/>
        </w:rPr>
      </w:pPr>
    </w:p>
    <w:p w14:paraId="54896DAF" w14:textId="71718C9E" w:rsidR="0072020E" w:rsidRPr="00F66F27" w:rsidRDefault="0072020E">
      <w:pPr>
        <w:tabs>
          <w:tab w:val="left" w:pos="540"/>
          <w:tab w:val="left" w:pos="569"/>
        </w:tabs>
        <w:jc w:val="both"/>
        <w:rPr>
          <w:b/>
          <w:bCs/>
          <w:sz w:val="22"/>
          <w:szCs w:val="22"/>
          <w:lang w:val="sr-Latn-RS"/>
        </w:rPr>
      </w:pPr>
      <w:r w:rsidRPr="00F66F27">
        <w:rPr>
          <w:b/>
          <w:bCs/>
          <w:sz w:val="22"/>
          <w:szCs w:val="22"/>
          <w:lang w:val="sr-Latn-RS"/>
        </w:rPr>
        <w:t xml:space="preserve">5.2. </w:t>
      </w:r>
      <w:r w:rsidR="00480FB1" w:rsidRPr="00F66F27">
        <w:rPr>
          <w:b/>
          <w:bCs/>
          <w:sz w:val="22"/>
          <w:szCs w:val="22"/>
          <w:lang w:val="sr-Latn-RS"/>
        </w:rPr>
        <w:tab/>
      </w:r>
      <w:r w:rsidRPr="00F66F27">
        <w:rPr>
          <w:b/>
          <w:bCs/>
          <w:sz w:val="22"/>
          <w:szCs w:val="22"/>
          <w:lang w:val="sr-Latn-RS"/>
        </w:rPr>
        <w:t>Farmakokinetički podaci</w:t>
      </w:r>
      <w:r w:rsidR="003A7059" w:rsidRPr="00F66F27">
        <w:rPr>
          <w:b/>
          <w:bCs/>
          <w:sz w:val="22"/>
          <w:szCs w:val="22"/>
          <w:lang w:val="sr-Latn-RS"/>
        </w:rPr>
        <w:t xml:space="preserve"> </w:t>
      </w:r>
    </w:p>
    <w:p w14:paraId="2C2C6E54" w14:textId="77777777" w:rsidR="00E338DB" w:rsidRPr="00F66F27" w:rsidRDefault="00E338DB">
      <w:pPr>
        <w:tabs>
          <w:tab w:val="left" w:pos="540"/>
          <w:tab w:val="left" w:pos="569"/>
        </w:tabs>
        <w:jc w:val="both"/>
        <w:rPr>
          <w:b/>
          <w:bCs/>
          <w:sz w:val="22"/>
          <w:szCs w:val="22"/>
          <w:lang w:val="sr-Latn-RS"/>
        </w:rPr>
      </w:pPr>
    </w:p>
    <w:p w14:paraId="500566C3" w14:textId="77777777" w:rsidR="00A047E8" w:rsidRPr="00F66F27" w:rsidRDefault="00A047E8">
      <w:pPr>
        <w:tabs>
          <w:tab w:val="left" w:pos="540"/>
          <w:tab w:val="left" w:pos="569"/>
        </w:tabs>
        <w:jc w:val="both"/>
        <w:rPr>
          <w:bCs/>
          <w:i/>
          <w:sz w:val="22"/>
          <w:szCs w:val="22"/>
          <w:lang w:val="sr-Latn-RS"/>
        </w:rPr>
      </w:pPr>
      <w:r w:rsidRPr="00F66F27">
        <w:rPr>
          <w:bCs/>
          <w:sz w:val="22"/>
          <w:szCs w:val="22"/>
          <w:u w:val="single"/>
          <w:lang w:val="sr-Latn-RS"/>
        </w:rPr>
        <w:t>Resorpcija</w:t>
      </w:r>
    </w:p>
    <w:p w14:paraId="7A442000"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Nakon intravenske primjene, početni pad koncentracije lijeka u plazmi praćen je sporom eliminacijom iz tijela sa srednjom vrijednošću terminalnog poluvremena eliminacije od oko 40 sati. Srednja vrijednost maksimalne koncentracije lijeka u plazmi (Cmax) i površina ispod krive koncentracije u funkciji </w:t>
      </w:r>
      <w:r w:rsidRPr="00F66F27">
        <w:rPr>
          <w:bCs/>
          <w:sz w:val="22"/>
          <w:szCs w:val="22"/>
          <w:lang w:val="sr-Latn-RS"/>
        </w:rPr>
        <w:lastRenderedPageBreak/>
        <w:t>vremena (PIK 0-∞) dozno su proporcionalni u rasponu doza od 0,3-90 mikrograma/kg kod zdravih osoba i pacijenata sa malignom neoplazmom.</w:t>
      </w:r>
    </w:p>
    <w:p w14:paraId="228CA60D" w14:textId="77777777" w:rsidR="00A047E8" w:rsidRPr="00F66F27" w:rsidRDefault="00A047E8">
      <w:pPr>
        <w:tabs>
          <w:tab w:val="left" w:pos="540"/>
          <w:tab w:val="left" w:pos="569"/>
        </w:tabs>
        <w:jc w:val="both"/>
        <w:rPr>
          <w:bCs/>
          <w:sz w:val="22"/>
          <w:szCs w:val="22"/>
          <w:lang w:val="sr-Latn-RS"/>
        </w:rPr>
      </w:pPr>
    </w:p>
    <w:p w14:paraId="08CAF28E"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Nakon intravenske primjene 0,25 mg palonosetrona jednom na svaka dva dana tokom 3 doze kod 11 pacijenata sa karcinomom testisa, prosječno (±SD) povećanje koncentracije u plazmi od 1. do 5. dana, bilo je 42±34%. Nakon intravenske primjene 0,25 mg palonosetrona jednom dnevno tokom 3 dana kod 12 zdravih osoba, prosječno (±SD) povećanje koncentracije palonosetrona u plazmi od 1. do 3. dana, bilo je 110±45%.</w:t>
      </w:r>
    </w:p>
    <w:p w14:paraId="6CC7DD0B" w14:textId="77777777" w:rsidR="00A047E8" w:rsidRPr="00F66F27" w:rsidRDefault="00A047E8">
      <w:pPr>
        <w:tabs>
          <w:tab w:val="left" w:pos="540"/>
          <w:tab w:val="left" w:pos="569"/>
        </w:tabs>
        <w:jc w:val="both"/>
        <w:rPr>
          <w:bCs/>
          <w:sz w:val="22"/>
          <w:szCs w:val="22"/>
          <w:lang w:val="sr-Latn-RS"/>
        </w:rPr>
      </w:pPr>
    </w:p>
    <w:p w14:paraId="4A77D65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Farmakokinetičke simulacije pokazuju da je ukupna izloženost (PIK 0-∞) 0,25 mg intravenski primijenjenom palonosetronu, jednom dnevno tokom 3 uzastopna dana, slična pojedinačnoj intravenskoj dozi od 0,75 mg, iako je C</w:t>
      </w:r>
      <w:r w:rsidRPr="00F66F27">
        <w:rPr>
          <w:bCs/>
          <w:sz w:val="22"/>
          <w:szCs w:val="22"/>
          <w:vertAlign w:val="subscript"/>
          <w:lang w:val="sr-Latn-RS"/>
        </w:rPr>
        <w:t xml:space="preserve">max </w:t>
      </w:r>
      <w:r w:rsidRPr="00F66F27">
        <w:rPr>
          <w:bCs/>
          <w:sz w:val="22"/>
          <w:szCs w:val="22"/>
          <w:lang w:val="sr-Latn-RS"/>
        </w:rPr>
        <w:t>vrednost pojedinačne doze od 0,75 mg bila veća.</w:t>
      </w:r>
    </w:p>
    <w:p w14:paraId="7265F435" w14:textId="77777777" w:rsidR="00A047E8" w:rsidRPr="00F66F27" w:rsidRDefault="00A047E8">
      <w:pPr>
        <w:tabs>
          <w:tab w:val="left" w:pos="540"/>
          <w:tab w:val="left" w:pos="569"/>
        </w:tabs>
        <w:jc w:val="both"/>
        <w:rPr>
          <w:bCs/>
          <w:sz w:val="22"/>
          <w:szCs w:val="22"/>
          <w:lang w:val="sr-Latn-RS"/>
        </w:rPr>
      </w:pPr>
    </w:p>
    <w:p w14:paraId="4C568F16" w14:textId="77777777" w:rsidR="00A047E8" w:rsidRPr="00F66F27" w:rsidRDefault="00A047E8">
      <w:pPr>
        <w:tabs>
          <w:tab w:val="left" w:pos="540"/>
          <w:tab w:val="left" w:pos="569"/>
        </w:tabs>
        <w:jc w:val="both"/>
        <w:rPr>
          <w:bCs/>
          <w:i/>
          <w:sz w:val="22"/>
          <w:szCs w:val="22"/>
          <w:lang w:val="sr-Latn-RS"/>
        </w:rPr>
      </w:pPr>
      <w:r w:rsidRPr="00F66F27">
        <w:rPr>
          <w:bCs/>
          <w:sz w:val="22"/>
          <w:szCs w:val="22"/>
          <w:u w:val="single"/>
          <w:lang w:val="sr-Latn-RS"/>
        </w:rPr>
        <w:t>Distribucija</w:t>
      </w:r>
    </w:p>
    <w:p w14:paraId="2FBC2652" w14:textId="645FC97C"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Palonosetron se u preporučenoj dozi široko distribuira u organizmu sa volumenom distribucije od oko 6,9 do 7,9 </w:t>
      </w:r>
      <w:r w:rsidR="00054325" w:rsidRPr="00F66F27">
        <w:rPr>
          <w:bCs/>
          <w:sz w:val="22"/>
          <w:szCs w:val="22"/>
          <w:lang w:val="sr-Latn-RS"/>
        </w:rPr>
        <w:t>l</w:t>
      </w:r>
      <w:r w:rsidRPr="00F66F27">
        <w:rPr>
          <w:bCs/>
          <w:sz w:val="22"/>
          <w:szCs w:val="22"/>
          <w:lang w:val="sr-Latn-RS"/>
        </w:rPr>
        <w:t>/kg. Oko 62% palonosetrona se vezuje za proteine plazme.</w:t>
      </w:r>
    </w:p>
    <w:p w14:paraId="6016DDC5" w14:textId="77777777" w:rsidR="00A047E8" w:rsidRPr="00F66F27" w:rsidRDefault="00A047E8">
      <w:pPr>
        <w:tabs>
          <w:tab w:val="left" w:pos="540"/>
          <w:tab w:val="left" w:pos="569"/>
        </w:tabs>
        <w:jc w:val="both"/>
        <w:rPr>
          <w:bCs/>
          <w:sz w:val="22"/>
          <w:szCs w:val="22"/>
          <w:lang w:val="sr-Latn-RS"/>
        </w:rPr>
      </w:pPr>
    </w:p>
    <w:p w14:paraId="6846C16E" w14:textId="77777777" w:rsidR="00A047E8" w:rsidRPr="00F66F27" w:rsidRDefault="00A047E8">
      <w:pPr>
        <w:tabs>
          <w:tab w:val="left" w:pos="540"/>
          <w:tab w:val="left" w:pos="569"/>
        </w:tabs>
        <w:jc w:val="both"/>
        <w:rPr>
          <w:bCs/>
          <w:i/>
          <w:sz w:val="22"/>
          <w:szCs w:val="22"/>
          <w:lang w:val="sr-Latn-RS"/>
        </w:rPr>
      </w:pPr>
      <w:r w:rsidRPr="00F66F27">
        <w:rPr>
          <w:bCs/>
          <w:sz w:val="22"/>
          <w:szCs w:val="22"/>
          <w:u w:val="single"/>
          <w:lang w:val="sr-Latn-RS"/>
        </w:rPr>
        <w:t>Biotransformacija</w:t>
      </w:r>
    </w:p>
    <w:p w14:paraId="7D778441"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Palonosetron se eliminiše na dva načina: oko 40% eliminiše se preko bubrega, a oko 50% metaboliše se u obliku dva primarna metabolita, koji imaju manje od 1% aktivnosti palonosetrona kao antagoniste 5-HT</w:t>
      </w:r>
      <w:r w:rsidRPr="00F66F27">
        <w:rPr>
          <w:bCs/>
          <w:sz w:val="22"/>
          <w:szCs w:val="22"/>
          <w:vertAlign w:val="subscript"/>
          <w:lang w:val="sr-Latn-RS"/>
        </w:rPr>
        <w:t xml:space="preserve">3 </w:t>
      </w:r>
      <w:r w:rsidRPr="00F66F27">
        <w:rPr>
          <w:bCs/>
          <w:sz w:val="22"/>
          <w:szCs w:val="22"/>
          <w:lang w:val="sr-Latn-RS"/>
        </w:rPr>
        <w:t xml:space="preserve">receptora. </w:t>
      </w:r>
      <w:r w:rsidRPr="00F66F27">
        <w:rPr>
          <w:bCs/>
          <w:i/>
          <w:sz w:val="22"/>
          <w:szCs w:val="22"/>
          <w:lang w:val="sr-Latn-RS"/>
        </w:rPr>
        <w:t xml:space="preserve">In vitro </w:t>
      </w:r>
      <w:r w:rsidRPr="00F66F27">
        <w:rPr>
          <w:bCs/>
          <w:sz w:val="22"/>
          <w:szCs w:val="22"/>
          <w:lang w:val="sr-Latn-RS"/>
        </w:rPr>
        <w:t>metaboličke studije pokazale su da su izoenzimi CYP2D6 i u manjoj mjeri CYP3A4 i CYP1A2 uključeni u metabolizam palonosetrona. Međutim, klinički farmakokinetski parametri nijesu značajno različiti kod osoba sa nedovoljnim i ekstenzivnim metabolizmom posredstvom CYP2D6 izoenzima. Palonosetron ne inhibira niti indukuje izoenzime citohroma P450 u klinički relevantnim koncentracijama.</w:t>
      </w:r>
    </w:p>
    <w:p w14:paraId="6D19B602" w14:textId="77777777" w:rsidR="00A047E8" w:rsidRPr="00F66F27" w:rsidRDefault="00A047E8">
      <w:pPr>
        <w:tabs>
          <w:tab w:val="left" w:pos="540"/>
          <w:tab w:val="left" w:pos="569"/>
        </w:tabs>
        <w:jc w:val="both"/>
        <w:rPr>
          <w:bCs/>
          <w:sz w:val="22"/>
          <w:szCs w:val="22"/>
          <w:lang w:val="sr-Latn-RS"/>
        </w:rPr>
      </w:pPr>
    </w:p>
    <w:p w14:paraId="0E68696F" w14:textId="77777777" w:rsidR="00A047E8" w:rsidRPr="00F66F27" w:rsidRDefault="00A047E8">
      <w:pPr>
        <w:tabs>
          <w:tab w:val="left" w:pos="540"/>
          <w:tab w:val="left" w:pos="569"/>
        </w:tabs>
        <w:jc w:val="both"/>
        <w:rPr>
          <w:bCs/>
          <w:i/>
          <w:sz w:val="22"/>
          <w:szCs w:val="22"/>
          <w:lang w:val="sr-Latn-RS"/>
        </w:rPr>
      </w:pPr>
      <w:r w:rsidRPr="00F66F27">
        <w:rPr>
          <w:bCs/>
          <w:sz w:val="22"/>
          <w:szCs w:val="22"/>
          <w:u w:val="single"/>
          <w:lang w:val="sr-Latn-RS"/>
        </w:rPr>
        <w:t>Eliminacija</w:t>
      </w:r>
    </w:p>
    <w:p w14:paraId="56A180CB" w14:textId="1BE68108" w:rsidR="00A047E8" w:rsidRPr="00F66F27" w:rsidRDefault="00A047E8">
      <w:pPr>
        <w:tabs>
          <w:tab w:val="left" w:pos="540"/>
          <w:tab w:val="left" w:pos="569"/>
        </w:tabs>
        <w:jc w:val="both"/>
        <w:rPr>
          <w:bCs/>
          <w:sz w:val="22"/>
          <w:szCs w:val="22"/>
          <w:lang w:val="sr-Latn-RS"/>
        </w:rPr>
      </w:pPr>
      <w:r w:rsidRPr="00F66F27">
        <w:rPr>
          <w:bCs/>
          <w:sz w:val="22"/>
          <w:szCs w:val="22"/>
          <w:lang w:val="sr-Latn-RS"/>
        </w:rPr>
        <w:t>Poslije pojedinačne intravenske doze 10 mikrograma/kg [</w:t>
      </w:r>
      <w:r w:rsidRPr="00F66F27">
        <w:rPr>
          <w:bCs/>
          <w:sz w:val="22"/>
          <w:szCs w:val="22"/>
          <w:vertAlign w:val="superscript"/>
          <w:lang w:val="sr-Latn-RS"/>
        </w:rPr>
        <w:t>14</w:t>
      </w:r>
      <w:r w:rsidRPr="00F66F27">
        <w:rPr>
          <w:bCs/>
          <w:sz w:val="22"/>
          <w:szCs w:val="22"/>
          <w:lang w:val="sr-Latn-RS"/>
        </w:rPr>
        <w:t>C] palonosetrona, oko 80% unijete doze nađeno je ponovo u urinu tokom 144 sata, pri čemu oko 40% primijenjene doze predstavlja palonosetron kao nepromijenjena aktivna supstanca. Poslije pojedinačne intravenske bolus injekcije kod zdravih osoba, ukupni tjelesni klirens palonosetrona bio je 173±73m</w:t>
      </w:r>
      <w:r w:rsidR="00054325" w:rsidRPr="00F66F27">
        <w:rPr>
          <w:bCs/>
          <w:sz w:val="22"/>
          <w:szCs w:val="22"/>
          <w:lang w:val="sr-Latn-RS"/>
        </w:rPr>
        <w:t>l</w:t>
      </w:r>
      <w:r w:rsidRPr="00F66F27">
        <w:rPr>
          <w:bCs/>
          <w:sz w:val="22"/>
          <w:szCs w:val="22"/>
          <w:lang w:val="sr-Latn-RS"/>
        </w:rPr>
        <w:t>/min, a bubrežni klirens bio je 53±29m</w:t>
      </w:r>
      <w:r w:rsidR="00054325" w:rsidRPr="00F66F27">
        <w:rPr>
          <w:bCs/>
          <w:sz w:val="22"/>
          <w:szCs w:val="22"/>
          <w:lang w:val="sr-Latn-RS"/>
        </w:rPr>
        <w:t>l</w:t>
      </w:r>
      <w:r w:rsidRPr="00F66F27">
        <w:rPr>
          <w:bCs/>
          <w:sz w:val="22"/>
          <w:szCs w:val="22"/>
          <w:lang w:val="sr-Latn-RS"/>
        </w:rPr>
        <w:t xml:space="preserve">/min. Niski ukupni tjelesni klirens i veliki volumen distribucije uzrokuju terminalno poluvrijeme eliminacije iz plazme od oko 40 sati. Kod oko deset procenata pacijenata srednja vrijednost terminalnog poluvremena eliminacije duža je od 100 sati. </w:t>
      </w:r>
    </w:p>
    <w:p w14:paraId="0CD6D1CD" w14:textId="77777777" w:rsidR="00A047E8" w:rsidRPr="00F66F27" w:rsidRDefault="00A047E8">
      <w:pPr>
        <w:tabs>
          <w:tab w:val="left" w:pos="540"/>
          <w:tab w:val="left" w:pos="569"/>
        </w:tabs>
        <w:jc w:val="both"/>
        <w:rPr>
          <w:bCs/>
          <w:sz w:val="22"/>
          <w:szCs w:val="22"/>
          <w:lang w:val="sr-Latn-RS"/>
        </w:rPr>
      </w:pPr>
    </w:p>
    <w:p w14:paraId="283B6816" w14:textId="77777777" w:rsidR="00A047E8" w:rsidRPr="00F66F27" w:rsidRDefault="00A047E8">
      <w:pPr>
        <w:tabs>
          <w:tab w:val="left" w:pos="540"/>
          <w:tab w:val="left" w:pos="569"/>
        </w:tabs>
        <w:jc w:val="both"/>
        <w:rPr>
          <w:bCs/>
          <w:sz w:val="22"/>
          <w:szCs w:val="22"/>
          <w:u w:val="single"/>
          <w:lang w:val="sr-Latn-RS"/>
        </w:rPr>
      </w:pPr>
      <w:r w:rsidRPr="00F66F27">
        <w:rPr>
          <w:bCs/>
          <w:sz w:val="22"/>
          <w:szCs w:val="22"/>
          <w:u w:val="single"/>
          <w:lang w:val="sr-Latn-RS"/>
        </w:rPr>
        <w:t>Farmakokinetika kod posebnih grupa pacijenata</w:t>
      </w:r>
    </w:p>
    <w:p w14:paraId="0A14D9D4" w14:textId="77777777" w:rsidR="00A047E8" w:rsidRPr="00F66F27" w:rsidRDefault="00A047E8">
      <w:pPr>
        <w:tabs>
          <w:tab w:val="left" w:pos="540"/>
          <w:tab w:val="left" w:pos="569"/>
        </w:tabs>
        <w:jc w:val="both"/>
        <w:rPr>
          <w:bCs/>
          <w:i/>
          <w:sz w:val="22"/>
          <w:szCs w:val="22"/>
          <w:lang w:val="sr-Latn-RS"/>
        </w:rPr>
      </w:pPr>
    </w:p>
    <w:p w14:paraId="5CF55894" w14:textId="77777777" w:rsidR="00A047E8" w:rsidRPr="00F66F27" w:rsidRDefault="00A047E8">
      <w:pPr>
        <w:tabs>
          <w:tab w:val="left" w:pos="540"/>
          <w:tab w:val="left" w:pos="569"/>
        </w:tabs>
        <w:jc w:val="both"/>
        <w:rPr>
          <w:bCs/>
          <w:sz w:val="22"/>
          <w:szCs w:val="22"/>
          <w:lang w:val="sr-Latn-RS"/>
        </w:rPr>
      </w:pPr>
      <w:r w:rsidRPr="00F66F27">
        <w:rPr>
          <w:bCs/>
          <w:i/>
          <w:sz w:val="22"/>
          <w:szCs w:val="22"/>
          <w:lang w:val="sr-Latn-RS"/>
        </w:rPr>
        <w:t>Starije osobe</w:t>
      </w:r>
    </w:p>
    <w:p w14:paraId="4B54194E"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Farmakokinetika palonosetrona kod starijih osoba nije izmijenjena, nije potrebno prilagođavanje doze.</w:t>
      </w:r>
    </w:p>
    <w:p w14:paraId="745BA29E" w14:textId="77777777" w:rsidR="00A047E8" w:rsidRPr="00F66F27" w:rsidRDefault="00A047E8">
      <w:pPr>
        <w:tabs>
          <w:tab w:val="left" w:pos="540"/>
          <w:tab w:val="left" w:pos="569"/>
        </w:tabs>
        <w:jc w:val="both"/>
        <w:rPr>
          <w:bCs/>
          <w:sz w:val="22"/>
          <w:szCs w:val="22"/>
          <w:lang w:val="sr-Latn-RS"/>
        </w:rPr>
      </w:pPr>
    </w:p>
    <w:p w14:paraId="7A7A8D11" w14:textId="77777777" w:rsidR="00A047E8" w:rsidRPr="00F66F27" w:rsidRDefault="00A047E8">
      <w:pPr>
        <w:tabs>
          <w:tab w:val="left" w:pos="540"/>
          <w:tab w:val="left" w:pos="569"/>
        </w:tabs>
        <w:jc w:val="both"/>
        <w:rPr>
          <w:bCs/>
          <w:sz w:val="22"/>
          <w:szCs w:val="22"/>
          <w:lang w:val="sr-Latn-RS"/>
        </w:rPr>
      </w:pPr>
      <w:r w:rsidRPr="00F66F27">
        <w:rPr>
          <w:bCs/>
          <w:i/>
          <w:sz w:val="22"/>
          <w:szCs w:val="22"/>
          <w:lang w:val="sr-Latn-RS"/>
        </w:rPr>
        <w:t>Pol</w:t>
      </w:r>
    </w:p>
    <w:p w14:paraId="4A82C72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Pol ne utiče na farmakokinetiku palonosetrona, nije potrebno prilagođavanje doze.</w:t>
      </w:r>
    </w:p>
    <w:p w14:paraId="161FE8E2" w14:textId="77777777" w:rsidR="00A047E8" w:rsidRPr="00F66F27" w:rsidRDefault="00A047E8">
      <w:pPr>
        <w:tabs>
          <w:tab w:val="left" w:pos="540"/>
          <w:tab w:val="left" w:pos="569"/>
        </w:tabs>
        <w:jc w:val="both"/>
        <w:rPr>
          <w:bCs/>
          <w:sz w:val="22"/>
          <w:szCs w:val="22"/>
          <w:lang w:val="sr-Latn-RS"/>
        </w:rPr>
      </w:pPr>
    </w:p>
    <w:p w14:paraId="6135F047" w14:textId="77777777" w:rsidR="00A047E8" w:rsidRPr="00F66F27" w:rsidRDefault="00A047E8">
      <w:pPr>
        <w:tabs>
          <w:tab w:val="left" w:pos="540"/>
          <w:tab w:val="left" w:pos="569"/>
        </w:tabs>
        <w:jc w:val="both"/>
        <w:rPr>
          <w:b/>
          <w:bCs/>
          <w:sz w:val="22"/>
          <w:szCs w:val="22"/>
          <w:lang w:val="sr-Latn-RS"/>
        </w:rPr>
      </w:pPr>
      <w:r w:rsidRPr="00F66F27">
        <w:rPr>
          <w:bCs/>
          <w:i/>
          <w:sz w:val="22"/>
          <w:szCs w:val="22"/>
          <w:lang w:val="sr-Latn-RS"/>
        </w:rPr>
        <w:t>Pedijatrijski pacijenti</w:t>
      </w:r>
    </w:p>
    <w:p w14:paraId="6D4FCD40"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Farmakokinetički podaci za pojedinačnu </w:t>
      </w:r>
      <w:r w:rsidRPr="00F66F27">
        <w:rPr>
          <w:bCs/>
          <w:i/>
          <w:sz w:val="22"/>
          <w:szCs w:val="22"/>
          <w:lang w:val="sr-Latn-RS"/>
        </w:rPr>
        <w:t xml:space="preserve">i.v. </w:t>
      </w:r>
      <w:r w:rsidRPr="00F66F27">
        <w:rPr>
          <w:bCs/>
          <w:sz w:val="22"/>
          <w:szCs w:val="22"/>
          <w:lang w:val="sr-Latn-RS"/>
        </w:rPr>
        <w:t>dozu lijeka Aloxi dobijeni su iz podgrupe pedijatrijskih pacijenata sa malignom neoplazmom (n= 280) koji su primili 10 mikrograma/kg ili 20 mikrograma/kg. Kada je doza povećana sa 10 mikrograma/kg na 20 mikrograma/kg zapažen je porast srednje vrijednosti PIK-a proporcionalan dozi. Nakon jednokratne intravenske infuzije lijeka u dozi od 20 mikrograma/kg, maksimalne koncentracije lijeka u plazmi (C</w:t>
      </w:r>
      <w:r w:rsidRPr="00F66F27">
        <w:rPr>
          <w:bCs/>
          <w:sz w:val="22"/>
          <w:szCs w:val="22"/>
          <w:vertAlign w:val="subscript"/>
          <w:lang w:val="sr-Latn-RS"/>
        </w:rPr>
        <w:t>T</w:t>
      </w:r>
      <w:r w:rsidRPr="00F66F27">
        <w:rPr>
          <w:bCs/>
          <w:sz w:val="22"/>
          <w:szCs w:val="22"/>
          <w:lang w:val="sr-Latn-RS"/>
        </w:rPr>
        <w:t>) zabilježene na kraju 15-minutne infuzije bile su visoko varijabilne u svim starosnim grupama i kod pacijenata uzrasta &lt;6 godina kretale su se u nižim vrijednostima nego kod starijih pedijatrijskih pacijenata. Srednje poluvrijeme eliminacije iznosilo je 29,5 sati u svim starosnim grupama i nakon primjene doze od 20 mikrograma/kg raspon je iznosio od otprilike 20 do 30 sati u svim starosnim grupama.</w:t>
      </w:r>
    </w:p>
    <w:p w14:paraId="2981FAF3" w14:textId="524E0654" w:rsidR="00A047E8" w:rsidRPr="00F66F27" w:rsidRDefault="00A047E8">
      <w:pPr>
        <w:tabs>
          <w:tab w:val="left" w:pos="540"/>
          <w:tab w:val="left" w:pos="569"/>
        </w:tabs>
        <w:jc w:val="both"/>
        <w:rPr>
          <w:bCs/>
          <w:sz w:val="22"/>
          <w:szCs w:val="22"/>
          <w:lang w:val="sr-Latn-RS"/>
        </w:rPr>
      </w:pPr>
      <w:r w:rsidRPr="00F66F27">
        <w:rPr>
          <w:bCs/>
          <w:sz w:val="22"/>
          <w:szCs w:val="22"/>
          <w:lang w:val="sr-Latn-RS"/>
        </w:rPr>
        <w:t>Ukupni tjelesni klirens (</w:t>
      </w:r>
      <w:r w:rsidR="008373A5" w:rsidRPr="00F66F27">
        <w:rPr>
          <w:bCs/>
          <w:sz w:val="22"/>
          <w:szCs w:val="22"/>
          <w:lang w:val="sr-Latn-RS"/>
        </w:rPr>
        <w:t>l</w:t>
      </w:r>
      <w:r w:rsidRPr="00F66F27">
        <w:rPr>
          <w:bCs/>
          <w:sz w:val="22"/>
          <w:szCs w:val="22"/>
          <w:lang w:val="sr-Latn-RS"/>
        </w:rPr>
        <w:t xml:space="preserve">/h/kg) kod pacijenata uzrasta od 12 do 17 godina bio je sličan onome kod zdravih odraslih osoba. Nije bilo prividnih razlika u volumenu distribucije kada je izražen u </w:t>
      </w:r>
      <w:r w:rsidR="008373A5" w:rsidRPr="00F66F27">
        <w:rPr>
          <w:bCs/>
          <w:sz w:val="22"/>
          <w:szCs w:val="22"/>
          <w:lang w:val="sr-Latn-RS"/>
        </w:rPr>
        <w:t>l</w:t>
      </w:r>
      <w:r w:rsidRPr="00F66F27">
        <w:rPr>
          <w:bCs/>
          <w:sz w:val="22"/>
          <w:szCs w:val="22"/>
          <w:lang w:val="sr-Latn-RS"/>
        </w:rPr>
        <w:t>/kg.</w:t>
      </w:r>
    </w:p>
    <w:p w14:paraId="7A8508ED" w14:textId="77777777" w:rsidR="00A047E8" w:rsidRPr="00F66F27" w:rsidRDefault="00A047E8">
      <w:pPr>
        <w:tabs>
          <w:tab w:val="left" w:pos="540"/>
          <w:tab w:val="left" w:pos="569"/>
        </w:tabs>
        <w:jc w:val="both"/>
        <w:rPr>
          <w:bCs/>
          <w:sz w:val="22"/>
          <w:szCs w:val="22"/>
          <w:lang w:val="sr-Latn-RS"/>
        </w:rPr>
      </w:pPr>
    </w:p>
    <w:p w14:paraId="5CB46555" w14:textId="77777777" w:rsidR="00A047E8" w:rsidRPr="00F66F27" w:rsidRDefault="00A047E8">
      <w:pPr>
        <w:tabs>
          <w:tab w:val="left" w:pos="540"/>
          <w:tab w:val="left" w:pos="569"/>
        </w:tabs>
        <w:jc w:val="both"/>
        <w:rPr>
          <w:bCs/>
          <w:sz w:val="22"/>
          <w:szCs w:val="22"/>
          <w:lang w:val="sr-Latn-RS"/>
        </w:rPr>
      </w:pPr>
      <w:r w:rsidRPr="00F66F27">
        <w:rPr>
          <w:bCs/>
          <w:sz w:val="22"/>
          <w:szCs w:val="22"/>
          <w:u w:val="single"/>
          <w:lang w:val="sr-Latn-RS"/>
        </w:rPr>
        <w:lastRenderedPageBreak/>
        <w:t>Tabela 4</w:t>
      </w:r>
      <w:r w:rsidRPr="00F66F27">
        <w:rPr>
          <w:bCs/>
          <w:sz w:val="22"/>
          <w:szCs w:val="22"/>
          <w:lang w:val="sr-Latn-RS"/>
        </w:rPr>
        <w:t>: Farmakokinetički parametri kod pedijatrijskih pacijenata sa malignom neoplazmom nakon intravenske infuzije palonosetrona u dozi od 20 mikrograma/kg tokom 15 minuta i kod odraslih pacijenata sa malignom neoplazmom koji su primili palonosetron u dozi od 3 i 10 mikrograma/kg u intravenskoj bolus injekciji</w:t>
      </w:r>
    </w:p>
    <w:p w14:paraId="0FA043D3" w14:textId="77777777" w:rsidR="00A047E8" w:rsidRPr="00F66F27" w:rsidRDefault="00A047E8">
      <w:pPr>
        <w:tabs>
          <w:tab w:val="left" w:pos="540"/>
          <w:tab w:val="left" w:pos="569"/>
        </w:tabs>
        <w:jc w:val="both"/>
        <w:rPr>
          <w:bCs/>
          <w:sz w:val="22"/>
          <w:szCs w:val="22"/>
          <w:lang w:val="sr-Latn-RS"/>
        </w:rPr>
      </w:pPr>
    </w:p>
    <w:tbl>
      <w:tblPr>
        <w:tblW w:w="9917" w:type="dxa"/>
        <w:tblInd w:w="-110" w:type="dxa"/>
        <w:tblCellMar>
          <w:top w:w="49" w:type="dxa"/>
          <w:left w:w="130" w:type="dxa"/>
          <w:right w:w="74" w:type="dxa"/>
        </w:tblCellMar>
        <w:tblLook w:val="04A0" w:firstRow="1" w:lastRow="0" w:firstColumn="1" w:lastColumn="0" w:noHBand="0" w:noVBand="1"/>
      </w:tblPr>
      <w:tblGrid>
        <w:gridCol w:w="3082"/>
        <w:gridCol w:w="1080"/>
        <w:gridCol w:w="1171"/>
        <w:gridCol w:w="1166"/>
        <w:gridCol w:w="1172"/>
        <w:gridCol w:w="1080"/>
        <w:gridCol w:w="1166"/>
      </w:tblGrid>
      <w:tr w:rsidR="00A047E8" w:rsidRPr="00F66F27" w14:paraId="195E24BB" w14:textId="77777777" w:rsidTr="00567DB0">
        <w:trPr>
          <w:trHeight w:val="768"/>
        </w:trPr>
        <w:tc>
          <w:tcPr>
            <w:tcW w:w="3082" w:type="dxa"/>
            <w:tcBorders>
              <w:top w:val="single" w:sz="4" w:space="0" w:color="000000"/>
              <w:left w:val="single" w:sz="4" w:space="0" w:color="000000"/>
              <w:bottom w:val="single" w:sz="4" w:space="0" w:color="000000"/>
              <w:right w:val="single" w:sz="4" w:space="0" w:color="000000"/>
            </w:tcBorders>
          </w:tcPr>
          <w:p w14:paraId="1256B63E" w14:textId="77777777" w:rsidR="00A047E8" w:rsidRPr="00F66F27" w:rsidRDefault="00A047E8">
            <w:pPr>
              <w:tabs>
                <w:tab w:val="left" w:pos="540"/>
                <w:tab w:val="left" w:pos="569"/>
              </w:tabs>
              <w:jc w:val="both"/>
              <w:rPr>
                <w:bCs/>
                <w:sz w:val="22"/>
                <w:szCs w:val="22"/>
                <w:lang w:val="sr-Latn-RS"/>
              </w:rPr>
            </w:pPr>
          </w:p>
        </w:tc>
        <w:tc>
          <w:tcPr>
            <w:tcW w:w="4589" w:type="dxa"/>
            <w:gridSpan w:val="4"/>
            <w:tcBorders>
              <w:top w:val="single" w:sz="4" w:space="0" w:color="000000"/>
              <w:left w:val="single" w:sz="4" w:space="0" w:color="000000"/>
              <w:bottom w:val="single" w:sz="4" w:space="0" w:color="000000"/>
              <w:right w:val="single" w:sz="4" w:space="0" w:color="000000"/>
            </w:tcBorders>
          </w:tcPr>
          <w:p w14:paraId="239A3208"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Pedijatrijski pacijenti sa malignom neoplazmom</w:t>
            </w:r>
            <w:r w:rsidRPr="00F66F27">
              <w:rPr>
                <w:b/>
                <w:bCs/>
                <w:sz w:val="22"/>
                <w:szCs w:val="22"/>
                <w:vertAlign w:val="superscript"/>
                <w:lang w:val="sr-Latn-RS"/>
              </w:rPr>
              <w:t>a</w:t>
            </w:r>
          </w:p>
        </w:tc>
        <w:tc>
          <w:tcPr>
            <w:tcW w:w="2246" w:type="dxa"/>
            <w:gridSpan w:val="2"/>
            <w:tcBorders>
              <w:top w:val="single" w:sz="4" w:space="0" w:color="000000"/>
              <w:left w:val="single" w:sz="4" w:space="0" w:color="000000"/>
              <w:bottom w:val="single" w:sz="4" w:space="0" w:color="000000"/>
              <w:right w:val="single" w:sz="4" w:space="0" w:color="000000"/>
            </w:tcBorders>
          </w:tcPr>
          <w:p w14:paraId="6D7E17A6"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Odrasli pacijenti sa malignom neoplazmom</w:t>
            </w:r>
            <w:r w:rsidRPr="00F66F27">
              <w:rPr>
                <w:b/>
                <w:bCs/>
                <w:sz w:val="22"/>
                <w:szCs w:val="22"/>
                <w:vertAlign w:val="superscript"/>
                <w:lang w:val="sr-Latn-RS"/>
              </w:rPr>
              <w:t>b</w:t>
            </w:r>
          </w:p>
        </w:tc>
      </w:tr>
      <w:tr w:rsidR="00A047E8" w:rsidRPr="00F66F27" w14:paraId="2F74AB91" w14:textId="77777777" w:rsidTr="00567DB0">
        <w:trPr>
          <w:trHeight w:val="1022"/>
        </w:trPr>
        <w:tc>
          <w:tcPr>
            <w:tcW w:w="3082" w:type="dxa"/>
            <w:tcBorders>
              <w:top w:val="single" w:sz="4" w:space="0" w:color="000000"/>
              <w:left w:val="single" w:sz="4" w:space="0" w:color="000000"/>
              <w:bottom w:val="single" w:sz="4" w:space="0" w:color="000000"/>
              <w:right w:val="single" w:sz="4" w:space="0" w:color="000000"/>
            </w:tcBorders>
          </w:tcPr>
          <w:p w14:paraId="4BB3E34A" w14:textId="77777777" w:rsidR="00A047E8" w:rsidRPr="00F66F27" w:rsidRDefault="00A047E8" w:rsidP="00567DB0">
            <w:pPr>
              <w:tabs>
                <w:tab w:val="left" w:pos="540"/>
                <w:tab w:val="left" w:pos="569"/>
              </w:tabs>
              <w:jc w:val="both"/>
              <w:rPr>
                <w:bCs/>
                <w:sz w:val="22"/>
                <w:szCs w:val="22"/>
                <w:lang w:val="sr-Latn-RS"/>
              </w:rPr>
            </w:pPr>
          </w:p>
        </w:tc>
        <w:tc>
          <w:tcPr>
            <w:tcW w:w="1080" w:type="dxa"/>
            <w:tcBorders>
              <w:top w:val="single" w:sz="4" w:space="0" w:color="000000"/>
              <w:left w:val="single" w:sz="4" w:space="0" w:color="000000"/>
              <w:bottom w:val="single" w:sz="4" w:space="0" w:color="000000"/>
              <w:right w:val="single" w:sz="4" w:space="0" w:color="000000"/>
            </w:tcBorders>
          </w:tcPr>
          <w:p w14:paraId="4F23610D" w14:textId="77777777"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&lt; 2 god</w:t>
            </w:r>
          </w:p>
        </w:tc>
        <w:tc>
          <w:tcPr>
            <w:tcW w:w="1171" w:type="dxa"/>
            <w:tcBorders>
              <w:top w:val="single" w:sz="4" w:space="0" w:color="000000"/>
              <w:left w:val="single" w:sz="4" w:space="0" w:color="000000"/>
              <w:bottom w:val="single" w:sz="4" w:space="0" w:color="000000"/>
              <w:right w:val="single" w:sz="4" w:space="0" w:color="000000"/>
            </w:tcBorders>
          </w:tcPr>
          <w:p w14:paraId="1B4F2164" w14:textId="77777777"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2 do &lt; 6 god</w:t>
            </w:r>
          </w:p>
        </w:tc>
        <w:tc>
          <w:tcPr>
            <w:tcW w:w="1166" w:type="dxa"/>
            <w:tcBorders>
              <w:top w:val="single" w:sz="4" w:space="0" w:color="000000"/>
              <w:left w:val="single" w:sz="4" w:space="0" w:color="000000"/>
              <w:bottom w:val="single" w:sz="4" w:space="0" w:color="000000"/>
              <w:right w:val="single" w:sz="4" w:space="0" w:color="000000"/>
            </w:tcBorders>
          </w:tcPr>
          <w:p w14:paraId="45C0C1DC" w14:textId="77777777" w:rsidR="00A047E8" w:rsidRPr="00F66F27" w:rsidRDefault="00A047E8" w:rsidP="00CA6D84">
            <w:pPr>
              <w:tabs>
                <w:tab w:val="left" w:pos="540"/>
                <w:tab w:val="left" w:pos="569"/>
              </w:tabs>
              <w:jc w:val="both"/>
              <w:rPr>
                <w:bCs/>
                <w:sz w:val="22"/>
                <w:szCs w:val="22"/>
                <w:lang w:val="sr-Latn-RS"/>
              </w:rPr>
            </w:pPr>
            <w:r w:rsidRPr="00F66F27">
              <w:rPr>
                <w:b/>
                <w:bCs/>
                <w:sz w:val="22"/>
                <w:szCs w:val="22"/>
                <w:lang w:val="sr-Latn-RS"/>
              </w:rPr>
              <w:t>6 do &lt; 12 god</w:t>
            </w:r>
          </w:p>
        </w:tc>
        <w:tc>
          <w:tcPr>
            <w:tcW w:w="1171" w:type="dxa"/>
            <w:tcBorders>
              <w:top w:val="single" w:sz="4" w:space="0" w:color="000000"/>
              <w:left w:val="single" w:sz="4" w:space="0" w:color="000000"/>
              <w:bottom w:val="single" w:sz="4" w:space="0" w:color="000000"/>
              <w:right w:val="single" w:sz="4" w:space="0" w:color="000000"/>
            </w:tcBorders>
          </w:tcPr>
          <w:p w14:paraId="0ED9E82C"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12 do &lt;17 god</w:t>
            </w:r>
          </w:p>
        </w:tc>
        <w:tc>
          <w:tcPr>
            <w:tcW w:w="1080" w:type="dxa"/>
            <w:tcBorders>
              <w:top w:val="single" w:sz="4" w:space="0" w:color="000000"/>
              <w:left w:val="single" w:sz="4" w:space="0" w:color="000000"/>
              <w:bottom w:val="single" w:sz="4" w:space="0" w:color="000000"/>
              <w:right w:val="single" w:sz="4" w:space="0" w:color="000000"/>
            </w:tcBorders>
          </w:tcPr>
          <w:p w14:paraId="58AC8BE4"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3,0 mikr ograma/ kg</w:t>
            </w:r>
          </w:p>
        </w:tc>
        <w:tc>
          <w:tcPr>
            <w:tcW w:w="1166" w:type="dxa"/>
            <w:tcBorders>
              <w:top w:val="single" w:sz="4" w:space="0" w:color="000000"/>
              <w:left w:val="single" w:sz="4" w:space="0" w:color="000000"/>
              <w:bottom w:val="single" w:sz="4" w:space="0" w:color="000000"/>
              <w:right w:val="single" w:sz="4" w:space="0" w:color="000000"/>
            </w:tcBorders>
          </w:tcPr>
          <w:p w14:paraId="6E7F9499"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10 mikro grama/kg</w:t>
            </w:r>
          </w:p>
        </w:tc>
      </w:tr>
      <w:tr w:rsidR="00A047E8" w:rsidRPr="00F66F27" w14:paraId="7C32AA9C" w14:textId="77777777" w:rsidTr="00567DB0">
        <w:trPr>
          <w:trHeight w:val="518"/>
        </w:trPr>
        <w:tc>
          <w:tcPr>
            <w:tcW w:w="3082" w:type="dxa"/>
            <w:tcBorders>
              <w:top w:val="single" w:sz="4" w:space="0" w:color="000000"/>
              <w:left w:val="single" w:sz="4" w:space="0" w:color="000000"/>
              <w:bottom w:val="single" w:sz="4" w:space="0" w:color="000000"/>
              <w:right w:val="single" w:sz="4" w:space="0" w:color="000000"/>
            </w:tcBorders>
          </w:tcPr>
          <w:p w14:paraId="29E6A86D" w14:textId="77777777" w:rsidR="00A047E8" w:rsidRPr="00F66F27" w:rsidRDefault="00A047E8" w:rsidP="00567DB0">
            <w:pPr>
              <w:tabs>
                <w:tab w:val="left" w:pos="540"/>
                <w:tab w:val="left" w:pos="569"/>
              </w:tabs>
              <w:jc w:val="both"/>
              <w:rPr>
                <w:bCs/>
                <w:sz w:val="22"/>
                <w:szCs w:val="22"/>
                <w:lang w:val="sr-Latn-RS"/>
              </w:rPr>
            </w:pPr>
          </w:p>
        </w:tc>
        <w:tc>
          <w:tcPr>
            <w:tcW w:w="1080" w:type="dxa"/>
            <w:tcBorders>
              <w:top w:val="single" w:sz="4" w:space="0" w:color="000000"/>
              <w:left w:val="single" w:sz="4" w:space="0" w:color="000000"/>
              <w:bottom w:val="single" w:sz="4" w:space="0" w:color="000000"/>
              <w:right w:val="single" w:sz="4" w:space="0" w:color="000000"/>
            </w:tcBorders>
          </w:tcPr>
          <w:p w14:paraId="10D833C5" w14:textId="77777777"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N = 3</w:t>
            </w:r>
          </w:p>
        </w:tc>
        <w:tc>
          <w:tcPr>
            <w:tcW w:w="1171" w:type="dxa"/>
            <w:tcBorders>
              <w:top w:val="single" w:sz="4" w:space="0" w:color="000000"/>
              <w:left w:val="single" w:sz="4" w:space="0" w:color="000000"/>
              <w:bottom w:val="single" w:sz="4" w:space="0" w:color="000000"/>
              <w:right w:val="single" w:sz="4" w:space="0" w:color="000000"/>
            </w:tcBorders>
          </w:tcPr>
          <w:p w14:paraId="5146BBB2" w14:textId="77777777"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N = 5</w:t>
            </w:r>
          </w:p>
        </w:tc>
        <w:tc>
          <w:tcPr>
            <w:tcW w:w="1166" w:type="dxa"/>
            <w:tcBorders>
              <w:top w:val="single" w:sz="4" w:space="0" w:color="000000"/>
              <w:left w:val="single" w:sz="4" w:space="0" w:color="000000"/>
              <w:bottom w:val="single" w:sz="4" w:space="0" w:color="000000"/>
              <w:right w:val="single" w:sz="4" w:space="0" w:color="000000"/>
            </w:tcBorders>
          </w:tcPr>
          <w:p w14:paraId="219B7F2C" w14:textId="77777777" w:rsidR="00A047E8" w:rsidRPr="00F66F27" w:rsidRDefault="00A047E8" w:rsidP="00CA6D84">
            <w:pPr>
              <w:tabs>
                <w:tab w:val="left" w:pos="540"/>
                <w:tab w:val="left" w:pos="569"/>
              </w:tabs>
              <w:jc w:val="both"/>
              <w:rPr>
                <w:bCs/>
                <w:sz w:val="22"/>
                <w:szCs w:val="22"/>
                <w:lang w:val="sr-Latn-RS"/>
              </w:rPr>
            </w:pPr>
            <w:r w:rsidRPr="00F66F27">
              <w:rPr>
                <w:b/>
                <w:bCs/>
                <w:sz w:val="22"/>
                <w:szCs w:val="22"/>
                <w:lang w:val="sr-Latn-RS"/>
              </w:rPr>
              <w:t>N = 7</w:t>
            </w:r>
          </w:p>
        </w:tc>
        <w:tc>
          <w:tcPr>
            <w:tcW w:w="1171" w:type="dxa"/>
            <w:tcBorders>
              <w:top w:val="single" w:sz="4" w:space="0" w:color="000000"/>
              <w:left w:val="single" w:sz="4" w:space="0" w:color="000000"/>
              <w:bottom w:val="single" w:sz="4" w:space="0" w:color="000000"/>
              <w:right w:val="single" w:sz="4" w:space="0" w:color="000000"/>
            </w:tcBorders>
          </w:tcPr>
          <w:p w14:paraId="656A76DA"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N = 10</w:t>
            </w:r>
          </w:p>
        </w:tc>
        <w:tc>
          <w:tcPr>
            <w:tcW w:w="1080" w:type="dxa"/>
            <w:tcBorders>
              <w:top w:val="single" w:sz="4" w:space="0" w:color="000000"/>
              <w:left w:val="single" w:sz="4" w:space="0" w:color="000000"/>
              <w:bottom w:val="single" w:sz="4" w:space="0" w:color="000000"/>
              <w:right w:val="single" w:sz="4" w:space="0" w:color="000000"/>
            </w:tcBorders>
          </w:tcPr>
          <w:p w14:paraId="405E680E"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N = 6</w:t>
            </w:r>
          </w:p>
        </w:tc>
        <w:tc>
          <w:tcPr>
            <w:tcW w:w="1166" w:type="dxa"/>
            <w:tcBorders>
              <w:top w:val="single" w:sz="4" w:space="0" w:color="000000"/>
              <w:left w:val="single" w:sz="4" w:space="0" w:color="000000"/>
              <w:bottom w:val="single" w:sz="4" w:space="0" w:color="000000"/>
              <w:right w:val="single" w:sz="4" w:space="0" w:color="000000"/>
            </w:tcBorders>
          </w:tcPr>
          <w:p w14:paraId="00CAB948"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N = 5</w:t>
            </w:r>
          </w:p>
        </w:tc>
      </w:tr>
      <w:tr w:rsidR="00A047E8" w:rsidRPr="00F66F27" w14:paraId="72718EC8" w14:textId="77777777" w:rsidTr="00567DB0">
        <w:trPr>
          <w:trHeight w:val="1022"/>
        </w:trPr>
        <w:tc>
          <w:tcPr>
            <w:tcW w:w="3082" w:type="dxa"/>
            <w:tcBorders>
              <w:top w:val="single" w:sz="4" w:space="0" w:color="000000"/>
              <w:left w:val="single" w:sz="4" w:space="0" w:color="000000"/>
              <w:bottom w:val="single" w:sz="4" w:space="0" w:color="000000"/>
              <w:right w:val="single" w:sz="4" w:space="0" w:color="000000"/>
            </w:tcBorders>
          </w:tcPr>
          <w:p w14:paraId="3EC8305D" w14:textId="070CABD5"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PIK</w:t>
            </w:r>
            <w:r w:rsidRPr="00F66F27">
              <w:rPr>
                <w:b/>
                <w:bCs/>
                <w:sz w:val="22"/>
                <w:szCs w:val="22"/>
                <w:vertAlign w:val="subscript"/>
                <w:lang w:val="sr-Latn-RS"/>
              </w:rPr>
              <w:t xml:space="preserve">0-∞, </w:t>
            </w:r>
            <w:r w:rsidRPr="00F66F27">
              <w:rPr>
                <w:b/>
                <w:bCs/>
                <w:sz w:val="22"/>
                <w:szCs w:val="22"/>
                <w:lang w:val="sr-Latn-RS"/>
              </w:rPr>
              <w:t>h·mikrograma/</w:t>
            </w:r>
            <w:r w:rsidR="008373A5" w:rsidRPr="00F66F27">
              <w:rPr>
                <w:b/>
                <w:bCs/>
                <w:sz w:val="22"/>
                <w:szCs w:val="22"/>
                <w:lang w:val="sr-Latn-RS"/>
              </w:rPr>
              <w:t>l</w:t>
            </w:r>
          </w:p>
        </w:tc>
        <w:tc>
          <w:tcPr>
            <w:tcW w:w="1080" w:type="dxa"/>
            <w:tcBorders>
              <w:top w:val="single" w:sz="4" w:space="0" w:color="000000"/>
              <w:left w:val="single" w:sz="4" w:space="0" w:color="000000"/>
              <w:bottom w:val="single" w:sz="4" w:space="0" w:color="000000"/>
              <w:right w:val="single" w:sz="4" w:space="0" w:color="000000"/>
            </w:tcBorders>
          </w:tcPr>
          <w:p w14:paraId="20F43162"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69,0 </w:t>
            </w:r>
          </w:p>
          <w:p w14:paraId="53174F06"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(49,5)</w:t>
            </w:r>
          </w:p>
        </w:tc>
        <w:tc>
          <w:tcPr>
            <w:tcW w:w="1171" w:type="dxa"/>
            <w:tcBorders>
              <w:top w:val="single" w:sz="4" w:space="0" w:color="000000"/>
              <w:left w:val="single" w:sz="4" w:space="0" w:color="000000"/>
              <w:bottom w:val="single" w:sz="4" w:space="0" w:color="000000"/>
              <w:right w:val="single" w:sz="4" w:space="0" w:color="000000"/>
            </w:tcBorders>
          </w:tcPr>
          <w:p w14:paraId="403F6B87"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103,5 (40,4)</w:t>
            </w:r>
          </w:p>
        </w:tc>
        <w:tc>
          <w:tcPr>
            <w:tcW w:w="1166" w:type="dxa"/>
            <w:tcBorders>
              <w:top w:val="single" w:sz="4" w:space="0" w:color="000000"/>
              <w:left w:val="single" w:sz="4" w:space="0" w:color="000000"/>
              <w:bottom w:val="single" w:sz="4" w:space="0" w:color="000000"/>
              <w:right w:val="single" w:sz="4" w:space="0" w:color="000000"/>
            </w:tcBorders>
          </w:tcPr>
          <w:p w14:paraId="5C0CE56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98,7 </w:t>
            </w:r>
          </w:p>
          <w:p w14:paraId="75CA2FB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(47,7)</w:t>
            </w:r>
          </w:p>
        </w:tc>
        <w:tc>
          <w:tcPr>
            <w:tcW w:w="1171" w:type="dxa"/>
            <w:tcBorders>
              <w:top w:val="single" w:sz="4" w:space="0" w:color="000000"/>
              <w:left w:val="single" w:sz="4" w:space="0" w:color="000000"/>
              <w:bottom w:val="single" w:sz="4" w:space="0" w:color="000000"/>
              <w:right w:val="single" w:sz="4" w:space="0" w:color="000000"/>
            </w:tcBorders>
          </w:tcPr>
          <w:p w14:paraId="68960E6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124,5 (19,1)</w:t>
            </w:r>
          </w:p>
        </w:tc>
        <w:tc>
          <w:tcPr>
            <w:tcW w:w="1080" w:type="dxa"/>
            <w:tcBorders>
              <w:top w:val="single" w:sz="4" w:space="0" w:color="000000"/>
              <w:left w:val="single" w:sz="4" w:space="0" w:color="000000"/>
              <w:bottom w:val="single" w:sz="4" w:space="0" w:color="000000"/>
              <w:right w:val="single" w:sz="4" w:space="0" w:color="000000"/>
            </w:tcBorders>
          </w:tcPr>
          <w:p w14:paraId="5FB417E1"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35,8 </w:t>
            </w:r>
          </w:p>
          <w:p w14:paraId="1B04F9FE"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(20,9)</w:t>
            </w:r>
          </w:p>
        </w:tc>
        <w:tc>
          <w:tcPr>
            <w:tcW w:w="1166" w:type="dxa"/>
            <w:tcBorders>
              <w:top w:val="single" w:sz="4" w:space="0" w:color="000000"/>
              <w:left w:val="single" w:sz="4" w:space="0" w:color="000000"/>
              <w:bottom w:val="single" w:sz="4" w:space="0" w:color="000000"/>
              <w:right w:val="single" w:sz="4" w:space="0" w:color="000000"/>
            </w:tcBorders>
          </w:tcPr>
          <w:p w14:paraId="28F7444A"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81,8 </w:t>
            </w:r>
          </w:p>
          <w:p w14:paraId="31039B8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(23,9)</w:t>
            </w:r>
          </w:p>
        </w:tc>
      </w:tr>
      <w:tr w:rsidR="00A047E8" w:rsidRPr="00F66F27" w14:paraId="7441F5B4" w14:textId="77777777" w:rsidTr="00567DB0">
        <w:trPr>
          <w:trHeight w:val="768"/>
        </w:trPr>
        <w:tc>
          <w:tcPr>
            <w:tcW w:w="3082" w:type="dxa"/>
            <w:tcBorders>
              <w:top w:val="single" w:sz="4" w:space="0" w:color="000000"/>
              <w:left w:val="single" w:sz="4" w:space="0" w:color="000000"/>
              <w:bottom w:val="single" w:sz="4" w:space="0" w:color="000000"/>
              <w:right w:val="single" w:sz="4" w:space="0" w:color="000000"/>
            </w:tcBorders>
          </w:tcPr>
          <w:p w14:paraId="097F9694" w14:textId="77777777"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t</w:t>
            </w:r>
            <w:r w:rsidRPr="00F66F27">
              <w:rPr>
                <w:b/>
                <w:bCs/>
                <w:sz w:val="22"/>
                <w:szCs w:val="22"/>
                <w:vertAlign w:val="subscript"/>
                <w:lang w:val="sr-Latn-RS"/>
              </w:rPr>
              <w:t>½</w:t>
            </w:r>
            <w:r w:rsidRPr="00F66F27">
              <w:rPr>
                <w:b/>
                <w:bCs/>
                <w:sz w:val="22"/>
                <w:szCs w:val="22"/>
                <w:lang w:val="sr-Latn-RS"/>
              </w:rPr>
              <w:t>, sati</w:t>
            </w:r>
          </w:p>
        </w:tc>
        <w:tc>
          <w:tcPr>
            <w:tcW w:w="1080" w:type="dxa"/>
            <w:tcBorders>
              <w:top w:val="single" w:sz="4" w:space="0" w:color="000000"/>
              <w:left w:val="single" w:sz="4" w:space="0" w:color="000000"/>
              <w:bottom w:val="single" w:sz="4" w:space="0" w:color="000000"/>
              <w:right w:val="single" w:sz="4" w:space="0" w:color="000000"/>
            </w:tcBorders>
          </w:tcPr>
          <w:p w14:paraId="7EC0726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24,0</w:t>
            </w:r>
          </w:p>
        </w:tc>
        <w:tc>
          <w:tcPr>
            <w:tcW w:w="1171" w:type="dxa"/>
            <w:tcBorders>
              <w:top w:val="single" w:sz="4" w:space="0" w:color="000000"/>
              <w:left w:val="single" w:sz="4" w:space="0" w:color="000000"/>
              <w:bottom w:val="single" w:sz="4" w:space="0" w:color="000000"/>
              <w:right w:val="single" w:sz="4" w:space="0" w:color="000000"/>
            </w:tcBorders>
          </w:tcPr>
          <w:p w14:paraId="37F27E17"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28</w:t>
            </w:r>
          </w:p>
        </w:tc>
        <w:tc>
          <w:tcPr>
            <w:tcW w:w="1166" w:type="dxa"/>
            <w:tcBorders>
              <w:top w:val="single" w:sz="4" w:space="0" w:color="000000"/>
              <w:left w:val="single" w:sz="4" w:space="0" w:color="000000"/>
              <w:bottom w:val="single" w:sz="4" w:space="0" w:color="000000"/>
              <w:right w:val="single" w:sz="4" w:space="0" w:color="000000"/>
            </w:tcBorders>
          </w:tcPr>
          <w:p w14:paraId="6CDBFEB6"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23,3</w:t>
            </w:r>
          </w:p>
        </w:tc>
        <w:tc>
          <w:tcPr>
            <w:tcW w:w="1171" w:type="dxa"/>
            <w:tcBorders>
              <w:top w:val="single" w:sz="4" w:space="0" w:color="000000"/>
              <w:left w:val="single" w:sz="4" w:space="0" w:color="000000"/>
              <w:bottom w:val="single" w:sz="4" w:space="0" w:color="000000"/>
              <w:right w:val="single" w:sz="4" w:space="0" w:color="000000"/>
            </w:tcBorders>
          </w:tcPr>
          <w:p w14:paraId="4EC77B76"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30,5</w:t>
            </w:r>
          </w:p>
        </w:tc>
        <w:tc>
          <w:tcPr>
            <w:tcW w:w="1080" w:type="dxa"/>
            <w:tcBorders>
              <w:top w:val="single" w:sz="4" w:space="0" w:color="000000"/>
              <w:left w:val="single" w:sz="4" w:space="0" w:color="000000"/>
              <w:bottom w:val="single" w:sz="4" w:space="0" w:color="000000"/>
              <w:right w:val="single" w:sz="4" w:space="0" w:color="000000"/>
            </w:tcBorders>
          </w:tcPr>
          <w:p w14:paraId="55D834B5"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56,4 </w:t>
            </w:r>
          </w:p>
          <w:p w14:paraId="626AF199"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(5,81)</w:t>
            </w:r>
          </w:p>
        </w:tc>
        <w:tc>
          <w:tcPr>
            <w:tcW w:w="1166" w:type="dxa"/>
            <w:tcBorders>
              <w:top w:val="single" w:sz="4" w:space="0" w:color="000000"/>
              <w:left w:val="single" w:sz="4" w:space="0" w:color="000000"/>
              <w:bottom w:val="single" w:sz="4" w:space="0" w:color="000000"/>
              <w:right w:val="single" w:sz="4" w:space="0" w:color="000000"/>
            </w:tcBorders>
          </w:tcPr>
          <w:p w14:paraId="3BC35F5C"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49,8 </w:t>
            </w:r>
          </w:p>
          <w:p w14:paraId="512E3206"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(14,4)</w:t>
            </w:r>
          </w:p>
        </w:tc>
      </w:tr>
      <w:tr w:rsidR="00A047E8" w:rsidRPr="00F66F27" w14:paraId="6E75B256" w14:textId="77777777" w:rsidTr="00567DB0">
        <w:trPr>
          <w:trHeight w:val="518"/>
        </w:trPr>
        <w:tc>
          <w:tcPr>
            <w:tcW w:w="3082" w:type="dxa"/>
            <w:tcBorders>
              <w:top w:val="single" w:sz="4" w:space="0" w:color="000000"/>
              <w:left w:val="single" w:sz="4" w:space="0" w:color="000000"/>
              <w:bottom w:val="single" w:sz="4" w:space="0" w:color="000000"/>
              <w:right w:val="single" w:sz="4" w:space="0" w:color="000000"/>
            </w:tcBorders>
          </w:tcPr>
          <w:p w14:paraId="217BFF51" w14:textId="77777777" w:rsidR="00A047E8" w:rsidRPr="00F66F27" w:rsidRDefault="00A047E8" w:rsidP="00567DB0">
            <w:pPr>
              <w:tabs>
                <w:tab w:val="left" w:pos="540"/>
                <w:tab w:val="left" w:pos="569"/>
              </w:tabs>
              <w:jc w:val="both"/>
              <w:rPr>
                <w:bCs/>
                <w:sz w:val="22"/>
                <w:szCs w:val="22"/>
                <w:lang w:val="sr-Latn-RS"/>
              </w:rPr>
            </w:pPr>
          </w:p>
        </w:tc>
        <w:tc>
          <w:tcPr>
            <w:tcW w:w="1080" w:type="dxa"/>
            <w:tcBorders>
              <w:top w:val="single" w:sz="4" w:space="0" w:color="000000"/>
              <w:left w:val="single" w:sz="4" w:space="0" w:color="000000"/>
              <w:bottom w:val="single" w:sz="4" w:space="0" w:color="000000"/>
              <w:right w:val="single" w:sz="4" w:space="0" w:color="000000"/>
            </w:tcBorders>
          </w:tcPr>
          <w:p w14:paraId="2CFE82E5" w14:textId="77777777"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N = 6</w:t>
            </w:r>
          </w:p>
        </w:tc>
        <w:tc>
          <w:tcPr>
            <w:tcW w:w="1171" w:type="dxa"/>
            <w:tcBorders>
              <w:top w:val="single" w:sz="4" w:space="0" w:color="000000"/>
              <w:left w:val="single" w:sz="4" w:space="0" w:color="000000"/>
              <w:bottom w:val="single" w:sz="4" w:space="0" w:color="000000"/>
              <w:right w:val="single" w:sz="4" w:space="0" w:color="000000"/>
            </w:tcBorders>
          </w:tcPr>
          <w:p w14:paraId="3AF05512" w14:textId="77777777"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N = 14</w:t>
            </w:r>
          </w:p>
        </w:tc>
        <w:tc>
          <w:tcPr>
            <w:tcW w:w="1166" w:type="dxa"/>
            <w:tcBorders>
              <w:top w:val="single" w:sz="4" w:space="0" w:color="000000"/>
              <w:left w:val="single" w:sz="4" w:space="0" w:color="000000"/>
              <w:bottom w:val="single" w:sz="4" w:space="0" w:color="000000"/>
              <w:right w:val="single" w:sz="4" w:space="0" w:color="000000"/>
            </w:tcBorders>
          </w:tcPr>
          <w:p w14:paraId="30FC7120" w14:textId="77777777" w:rsidR="00A047E8" w:rsidRPr="00F66F27" w:rsidRDefault="00A047E8" w:rsidP="00CA6D84">
            <w:pPr>
              <w:tabs>
                <w:tab w:val="left" w:pos="540"/>
                <w:tab w:val="left" w:pos="569"/>
              </w:tabs>
              <w:jc w:val="both"/>
              <w:rPr>
                <w:bCs/>
                <w:sz w:val="22"/>
                <w:szCs w:val="22"/>
                <w:lang w:val="sr-Latn-RS"/>
              </w:rPr>
            </w:pPr>
            <w:r w:rsidRPr="00F66F27">
              <w:rPr>
                <w:b/>
                <w:bCs/>
                <w:sz w:val="22"/>
                <w:szCs w:val="22"/>
                <w:lang w:val="sr-Latn-RS"/>
              </w:rPr>
              <w:t>N = 13</w:t>
            </w:r>
          </w:p>
        </w:tc>
        <w:tc>
          <w:tcPr>
            <w:tcW w:w="1171" w:type="dxa"/>
            <w:tcBorders>
              <w:top w:val="single" w:sz="4" w:space="0" w:color="000000"/>
              <w:left w:val="single" w:sz="4" w:space="0" w:color="000000"/>
              <w:bottom w:val="single" w:sz="4" w:space="0" w:color="000000"/>
              <w:right w:val="single" w:sz="4" w:space="0" w:color="000000"/>
            </w:tcBorders>
          </w:tcPr>
          <w:p w14:paraId="5F8CAD71"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N = 19</w:t>
            </w:r>
          </w:p>
        </w:tc>
        <w:tc>
          <w:tcPr>
            <w:tcW w:w="1080" w:type="dxa"/>
            <w:tcBorders>
              <w:top w:val="single" w:sz="4" w:space="0" w:color="000000"/>
              <w:left w:val="single" w:sz="4" w:space="0" w:color="000000"/>
              <w:bottom w:val="single" w:sz="4" w:space="0" w:color="000000"/>
              <w:right w:val="single" w:sz="4" w:space="0" w:color="000000"/>
            </w:tcBorders>
          </w:tcPr>
          <w:p w14:paraId="32E6B991"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N = 6</w:t>
            </w:r>
          </w:p>
        </w:tc>
        <w:tc>
          <w:tcPr>
            <w:tcW w:w="1166" w:type="dxa"/>
            <w:tcBorders>
              <w:top w:val="single" w:sz="4" w:space="0" w:color="000000"/>
              <w:left w:val="single" w:sz="4" w:space="0" w:color="000000"/>
              <w:bottom w:val="single" w:sz="4" w:space="0" w:color="000000"/>
              <w:right w:val="single" w:sz="4" w:space="0" w:color="000000"/>
            </w:tcBorders>
          </w:tcPr>
          <w:p w14:paraId="5869D0A2" w14:textId="77777777" w:rsidR="00A047E8" w:rsidRPr="00F66F27" w:rsidRDefault="00A047E8">
            <w:pPr>
              <w:tabs>
                <w:tab w:val="left" w:pos="540"/>
                <w:tab w:val="left" w:pos="569"/>
              </w:tabs>
              <w:jc w:val="both"/>
              <w:rPr>
                <w:bCs/>
                <w:sz w:val="22"/>
                <w:szCs w:val="22"/>
                <w:lang w:val="sr-Latn-RS"/>
              </w:rPr>
            </w:pPr>
            <w:r w:rsidRPr="00F66F27">
              <w:rPr>
                <w:b/>
                <w:bCs/>
                <w:sz w:val="22"/>
                <w:szCs w:val="22"/>
                <w:lang w:val="sr-Latn-RS"/>
              </w:rPr>
              <w:t>N = 5</w:t>
            </w:r>
          </w:p>
        </w:tc>
      </w:tr>
      <w:tr w:rsidR="00A047E8" w:rsidRPr="00F66F27" w14:paraId="475427B6" w14:textId="77777777" w:rsidTr="00567DB0">
        <w:trPr>
          <w:trHeight w:val="1018"/>
        </w:trPr>
        <w:tc>
          <w:tcPr>
            <w:tcW w:w="3082" w:type="dxa"/>
            <w:tcBorders>
              <w:top w:val="single" w:sz="4" w:space="0" w:color="000000"/>
              <w:left w:val="single" w:sz="4" w:space="0" w:color="000000"/>
              <w:bottom w:val="single" w:sz="4" w:space="0" w:color="000000"/>
              <w:right w:val="single" w:sz="4" w:space="0" w:color="000000"/>
            </w:tcBorders>
          </w:tcPr>
          <w:p w14:paraId="34478521" w14:textId="6D42BA51"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Klirens</w:t>
            </w:r>
            <w:r w:rsidRPr="00F66F27">
              <w:rPr>
                <w:b/>
                <w:bCs/>
                <w:sz w:val="22"/>
                <w:szCs w:val="22"/>
                <w:vertAlign w:val="superscript"/>
                <w:lang w:val="sr-Latn-RS"/>
              </w:rPr>
              <w:t>c</w:t>
            </w:r>
            <w:r w:rsidRPr="00F66F27">
              <w:rPr>
                <w:b/>
                <w:bCs/>
                <w:sz w:val="22"/>
                <w:szCs w:val="22"/>
                <w:lang w:val="sr-Latn-RS"/>
              </w:rPr>
              <w:t xml:space="preserve">, </w:t>
            </w:r>
            <w:r w:rsidR="008373A5" w:rsidRPr="00F66F27">
              <w:rPr>
                <w:b/>
                <w:bCs/>
                <w:sz w:val="22"/>
                <w:szCs w:val="22"/>
                <w:lang w:val="sr-Latn-RS"/>
              </w:rPr>
              <w:t>l</w:t>
            </w:r>
            <w:r w:rsidRPr="00F66F27">
              <w:rPr>
                <w:b/>
                <w:bCs/>
                <w:sz w:val="22"/>
                <w:szCs w:val="22"/>
                <w:lang w:val="sr-Latn-RS"/>
              </w:rPr>
              <w:t>/h/kg</w:t>
            </w:r>
          </w:p>
        </w:tc>
        <w:tc>
          <w:tcPr>
            <w:tcW w:w="1080" w:type="dxa"/>
            <w:tcBorders>
              <w:top w:val="single" w:sz="4" w:space="0" w:color="000000"/>
              <w:left w:val="single" w:sz="4" w:space="0" w:color="000000"/>
              <w:bottom w:val="single" w:sz="4" w:space="0" w:color="000000"/>
              <w:right w:val="single" w:sz="4" w:space="0" w:color="000000"/>
            </w:tcBorders>
          </w:tcPr>
          <w:p w14:paraId="36CB0E71"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0,31 </w:t>
            </w:r>
          </w:p>
          <w:p w14:paraId="26F5DB85"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(34,7)</w:t>
            </w:r>
          </w:p>
        </w:tc>
        <w:tc>
          <w:tcPr>
            <w:tcW w:w="1171" w:type="dxa"/>
            <w:tcBorders>
              <w:top w:val="single" w:sz="4" w:space="0" w:color="000000"/>
              <w:left w:val="single" w:sz="4" w:space="0" w:color="000000"/>
              <w:bottom w:val="single" w:sz="4" w:space="0" w:color="000000"/>
              <w:right w:val="single" w:sz="4" w:space="0" w:color="000000"/>
            </w:tcBorders>
          </w:tcPr>
          <w:p w14:paraId="40F34852"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 xml:space="preserve">0,23 </w:t>
            </w:r>
          </w:p>
          <w:p w14:paraId="502A44CF"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(51,3)</w:t>
            </w:r>
          </w:p>
        </w:tc>
        <w:tc>
          <w:tcPr>
            <w:tcW w:w="1166" w:type="dxa"/>
            <w:tcBorders>
              <w:top w:val="single" w:sz="4" w:space="0" w:color="000000"/>
              <w:left w:val="single" w:sz="4" w:space="0" w:color="000000"/>
              <w:bottom w:val="single" w:sz="4" w:space="0" w:color="000000"/>
              <w:right w:val="single" w:sz="4" w:space="0" w:color="000000"/>
            </w:tcBorders>
          </w:tcPr>
          <w:p w14:paraId="009E9CEF"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0,19 </w:t>
            </w:r>
          </w:p>
          <w:p w14:paraId="5FF7273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(46,8)</w:t>
            </w:r>
          </w:p>
        </w:tc>
        <w:tc>
          <w:tcPr>
            <w:tcW w:w="1171" w:type="dxa"/>
            <w:tcBorders>
              <w:top w:val="single" w:sz="4" w:space="0" w:color="000000"/>
              <w:left w:val="single" w:sz="4" w:space="0" w:color="000000"/>
              <w:bottom w:val="single" w:sz="4" w:space="0" w:color="000000"/>
              <w:right w:val="single" w:sz="4" w:space="0" w:color="000000"/>
            </w:tcBorders>
          </w:tcPr>
          <w:p w14:paraId="27A8FB4C"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0,16 </w:t>
            </w:r>
          </w:p>
          <w:p w14:paraId="18BD5107"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(27,8)</w:t>
            </w:r>
          </w:p>
        </w:tc>
        <w:tc>
          <w:tcPr>
            <w:tcW w:w="1080" w:type="dxa"/>
            <w:tcBorders>
              <w:top w:val="single" w:sz="4" w:space="0" w:color="000000"/>
              <w:left w:val="single" w:sz="4" w:space="0" w:color="000000"/>
              <w:bottom w:val="single" w:sz="4" w:space="0" w:color="000000"/>
              <w:right w:val="single" w:sz="4" w:space="0" w:color="000000"/>
            </w:tcBorders>
          </w:tcPr>
          <w:p w14:paraId="31DA38C9"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0,10 </w:t>
            </w:r>
          </w:p>
          <w:p w14:paraId="1BC13630"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(0,04)</w:t>
            </w:r>
          </w:p>
        </w:tc>
        <w:tc>
          <w:tcPr>
            <w:tcW w:w="1166" w:type="dxa"/>
            <w:tcBorders>
              <w:top w:val="single" w:sz="4" w:space="0" w:color="000000"/>
              <w:left w:val="single" w:sz="4" w:space="0" w:color="000000"/>
              <w:bottom w:val="single" w:sz="4" w:space="0" w:color="000000"/>
              <w:right w:val="single" w:sz="4" w:space="0" w:color="000000"/>
            </w:tcBorders>
          </w:tcPr>
          <w:p w14:paraId="5E4887A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0,13 </w:t>
            </w:r>
          </w:p>
          <w:p w14:paraId="1F883489"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(0,05)</w:t>
            </w:r>
          </w:p>
        </w:tc>
      </w:tr>
      <w:tr w:rsidR="00A047E8" w:rsidRPr="00F66F27" w14:paraId="31D1053E" w14:textId="77777777" w:rsidTr="00567DB0">
        <w:trPr>
          <w:trHeight w:val="518"/>
        </w:trPr>
        <w:tc>
          <w:tcPr>
            <w:tcW w:w="3082" w:type="dxa"/>
            <w:tcBorders>
              <w:top w:val="single" w:sz="4" w:space="0" w:color="000000"/>
              <w:left w:val="single" w:sz="4" w:space="0" w:color="000000"/>
              <w:bottom w:val="single" w:sz="4" w:space="0" w:color="000000"/>
              <w:right w:val="single" w:sz="4" w:space="0" w:color="000000"/>
            </w:tcBorders>
          </w:tcPr>
          <w:p w14:paraId="028456F3" w14:textId="1F446A00" w:rsidR="00A047E8" w:rsidRPr="00F66F27" w:rsidRDefault="00A047E8" w:rsidP="00567DB0">
            <w:pPr>
              <w:tabs>
                <w:tab w:val="left" w:pos="540"/>
                <w:tab w:val="left" w:pos="569"/>
              </w:tabs>
              <w:jc w:val="both"/>
              <w:rPr>
                <w:bCs/>
                <w:sz w:val="22"/>
                <w:szCs w:val="22"/>
                <w:lang w:val="sr-Latn-RS"/>
              </w:rPr>
            </w:pPr>
            <w:r w:rsidRPr="00F66F27">
              <w:rPr>
                <w:b/>
                <w:bCs/>
                <w:sz w:val="22"/>
                <w:szCs w:val="22"/>
                <w:lang w:val="sr-Latn-RS"/>
              </w:rPr>
              <w:t>Volumen distribucije</w:t>
            </w:r>
            <w:r w:rsidRPr="00F66F27">
              <w:rPr>
                <w:b/>
                <w:bCs/>
                <w:sz w:val="22"/>
                <w:szCs w:val="22"/>
                <w:vertAlign w:val="superscript"/>
                <w:lang w:val="sr-Latn-RS"/>
              </w:rPr>
              <w:t>c, d</w:t>
            </w:r>
            <w:r w:rsidRPr="00F66F27">
              <w:rPr>
                <w:b/>
                <w:bCs/>
                <w:sz w:val="22"/>
                <w:szCs w:val="22"/>
                <w:lang w:val="sr-Latn-RS"/>
              </w:rPr>
              <w:t xml:space="preserve">, </w:t>
            </w:r>
            <w:r w:rsidR="008373A5" w:rsidRPr="00F66F27">
              <w:rPr>
                <w:b/>
                <w:bCs/>
                <w:sz w:val="22"/>
                <w:szCs w:val="22"/>
                <w:lang w:val="sr-Latn-RS"/>
              </w:rPr>
              <w:t>l</w:t>
            </w:r>
            <w:r w:rsidRPr="00F66F27">
              <w:rPr>
                <w:b/>
                <w:bCs/>
                <w:sz w:val="22"/>
                <w:szCs w:val="22"/>
                <w:lang w:val="sr-Latn-RS"/>
              </w:rPr>
              <w:t>/kg</w:t>
            </w:r>
          </w:p>
        </w:tc>
        <w:tc>
          <w:tcPr>
            <w:tcW w:w="1080" w:type="dxa"/>
            <w:tcBorders>
              <w:top w:val="single" w:sz="4" w:space="0" w:color="000000"/>
              <w:left w:val="single" w:sz="4" w:space="0" w:color="000000"/>
              <w:bottom w:val="single" w:sz="4" w:space="0" w:color="000000"/>
              <w:right w:val="single" w:sz="4" w:space="0" w:color="000000"/>
            </w:tcBorders>
          </w:tcPr>
          <w:p w14:paraId="2A0855FC"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 xml:space="preserve">6,08 </w:t>
            </w:r>
          </w:p>
          <w:p w14:paraId="1CD776B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lang w:val="sr-Latn-RS"/>
              </w:rPr>
              <w:t>(36,5)</w:t>
            </w:r>
          </w:p>
        </w:tc>
        <w:tc>
          <w:tcPr>
            <w:tcW w:w="1171" w:type="dxa"/>
            <w:tcBorders>
              <w:top w:val="single" w:sz="4" w:space="0" w:color="000000"/>
              <w:left w:val="single" w:sz="4" w:space="0" w:color="000000"/>
              <w:bottom w:val="single" w:sz="4" w:space="0" w:color="000000"/>
              <w:right w:val="single" w:sz="4" w:space="0" w:color="000000"/>
            </w:tcBorders>
          </w:tcPr>
          <w:p w14:paraId="10F351D6"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lang w:val="sr-Latn-RS"/>
              </w:rPr>
              <w:t xml:space="preserve">5,29 </w:t>
            </w:r>
          </w:p>
          <w:p w14:paraId="6197270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(57,8)</w:t>
            </w:r>
          </w:p>
        </w:tc>
        <w:tc>
          <w:tcPr>
            <w:tcW w:w="1166" w:type="dxa"/>
            <w:tcBorders>
              <w:top w:val="single" w:sz="4" w:space="0" w:color="000000"/>
              <w:left w:val="single" w:sz="4" w:space="0" w:color="000000"/>
              <w:bottom w:val="single" w:sz="4" w:space="0" w:color="000000"/>
              <w:right w:val="single" w:sz="4" w:space="0" w:color="000000"/>
            </w:tcBorders>
          </w:tcPr>
          <w:p w14:paraId="7EC21348"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6,26 </w:t>
            </w:r>
          </w:p>
          <w:p w14:paraId="766AB121"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(40,0)</w:t>
            </w:r>
          </w:p>
        </w:tc>
        <w:tc>
          <w:tcPr>
            <w:tcW w:w="1171" w:type="dxa"/>
            <w:tcBorders>
              <w:top w:val="single" w:sz="4" w:space="0" w:color="000000"/>
              <w:left w:val="single" w:sz="4" w:space="0" w:color="000000"/>
              <w:bottom w:val="single" w:sz="4" w:space="0" w:color="000000"/>
              <w:right w:val="single" w:sz="4" w:space="0" w:color="000000"/>
            </w:tcBorders>
          </w:tcPr>
          <w:p w14:paraId="761A487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6,20 </w:t>
            </w:r>
          </w:p>
          <w:p w14:paraId="695B7C82"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(29,0)</w:t>
            </w:r>
          </w:p>
        </w:tc>
        <w:tc>
          <w:tcPr>
            <w:tcW w:w="1080" w:type="dxa"/>
            <w:tcBorders>
              <w:top w:val="single" w:sz="4" w:space="0" w:color="000000"/>
              <w:left w:val="single" w:sz="4" w:space="0" w:color="000000"/>
              <w:bottom w:val="single" w:sz="4" w:space="0" w:color="000000"/>
              <w:right w:val="single" w:sz="4" w:space="0" w:color="000000"/>
            </w:tcBorders>
          </w:tcPr>
          <w:p w14:paraId="75C481BB"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7,91 </w:t>
            </w:r>
          </w:p>
          <w:p w14:paraId="0EB1E277"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(2,53)</w:t>
            </w:r>
          </w:p>
        </w:tc>
        <w:tc>
          <w:tcPr>
            <w:tcW w:w="1166" w:type="dxa"/>
            <w:tcBorders>
              <w:top w:val="single" w:sz="4" w:space="0" w:color="000000"/>
              <w:left w:val="single" w:sz="4" w:space="0" w:color="000000"/>
              <w:bottom w:val="single" w:sz="4" w:space="0" w:color="000000"/>
              <w:right w:val="single" w:sz="4" w:space="0" w:color="000000"/>
            </w:tcBorders>
          </w:tcPr>
          <w:p w14:paraId="5949A8B3"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9,56 </w:t>
            </w:r>
          </w:p>
          <w:p w14:paraId="79D9C114"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(4,21)</w:t>
            </w:r>
          </w:p>
        </w:tc>
      </w:tr>
    </w:tbl>
    <w:p w14:paraId="3AC2E16F"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a</w:t>
      </w:r>
      <w:r w:rsidRPr="00F66F27">
        <w:rPr>
          <w:bCs/>
          <w:sz w:val="22"/>
          <w:szCs w:val="22"/>
          <w:lang w:val="sr-Latn-RS"/>
        </w:rPr>
        <w:t xml:space="preserve"> Farmakokinetički parametri izraženi kao geometrijska sredina (CV) osim za t½ koji je medijana.</w:t>
      </w:r>
    </w:p>
    <w:p w14:paraId="614F24DB"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b</w:t>
      </w:r>
      <w:r w:rsidRPr="00F66F27">
        <w:rPr>
          <w:bCs/>
          <w:sz w:val="22"/>
          <w:szCs w:val="22"/>
          <w:lang w:val="sr-Latn-RS"/>
        </w:rPr>
        <w:t xml:space="preserve"> Farmakokinetički parametri izraženi kao aritmetička sredina (SD).</w:t>
      </w:r>
    </w:p>
    <w:p w14:paraId="3445D4FA" w14:textId="77777777" w:rsidR="00A047E8" w:rsidRPr="00F66F27" w:rsidRDefault="00A047E8" w:rsidP="00567DB0">
      <w:pPr>
        <w:tabs>
          <w:tab w:val="left" w:pos="540"/>
          <w:tab w:val="left" w:pos="569"/>
        </w:tabs>
        <w:jc w:val="both"/>
        <w:rPr>
          <w:bCs/>
          <w:sz w:val="22"/>
          <w:szCs w:val="22"/>
          <w:lang w:val="sr-Latn-RS"/>
        </w:rPr>
      </w:pPr>
      <w:r w:rsidRPr="00F66F27">
        <w:rPr>
          <w:bCs/>
          <w:sz w:val="22"/>
          <w:szCs w:val="22"/>
          <w:vertAlign w:val="superscript"/>
          <w:lang w:val="sr-Latn-RS"/>
        </w:rPr>
        <w:t>c</w:t>
      </w:r>
      <w:r w:rsidRPr="00F66F27">
        <w:rPr>
          <w:bCs/>
          <w:sz w:val="22"/>
          <w:szCs w:val="22"/>
          <w:lang w:val="sr-Latn-RS"/>
        </w:rPr>
        <w:t xml:space="preserve"> Klirens i volumen distribucije kod pedijatrijskih pacijenata izračunati su prilagođeno tjelesnoj masi, kombinovano za obje dozne grupe od 10 mikrograma/kg i 20 mikrograma/kg. Za odrasle pacijente različite doze naznačene su u naslovima kolona.</w:t>
      </w:r>
    </w:p>
    <w:p w14:paraId="7608587A" w14:textId="77777777" w:rsidR="00A047E8" w:rsidRPr="00F66F27" w:rsidRDefault="00A047E8" w:rsidP="00CA6D84">
      <w:pPr>
        <w:tabs>
          <w:tab w:val="left" w:pos="540"/>
          <w:tab w:val="left" w:pos="569"/>
        </w:tabs>
        <w:jc w:val="both"/>
        <w:rPr>
          <w:bCs/>
          <w:sz w:val="22"/>
          <w:szCs w:val="22"/>
          <w:lang w:val="sr-Latn-RS"/>
        </w:rPr>
      </w:pPr>
      <w:r w:rsidRPr="00F66F27">
        <w:rPr>
          <w:bCs/>
          <w:sz w:val="22"/>
          <w:szCs w:val="22"/>
          <w:vertAlign w:val="superscript"/>
          <w:lang w:val="sr-Latn-RS"/>
        </w:rPr>
        <w:t>d</w:t>
      </w:r>
      <w:r w:rsidRPr="00F66F27">
        <w:rPr>
          <w:bCs/>
          <w:sz w:val="22"/>
          <w:szCs w:val="22"/>
          <w:lang w:val="sr-Latn-RS"/>
        </w:rPr>
        <w:t xml:space="preserve"> Volumen distribucije u stanju dinamičke ravnoteže (Vss) naveden je za pedijatrijske pacijente sa malignom neoplazmom, a konačni volumen distribucije (Vz) za odrasle pacijente sa malignom neoplazmom.</w:t>
      </w:r>
    </w:p>
    <w:p w14:paraId="39374279" w14:textId="77777777" w:rsidR="00A047E8" w:rsidRPr="00F66F27" w:rsidRDefault="00A047E8">
      <w:pPr>
        <w:tabs>
          <w:tab w:val="left" w:pos="540"/>
          <w:tab w:val="left" w:pos="569"/>
        </w:tabs>
        <w:jc w:val="both"/>
        <w:rPr>
          <w:bCs/>
          <w:sz w:val="22"/>
          <w:szCs w:val="22"/>
          <w:lang w:val="sr-Latn-RS"/>
        </w:rPr>
      </w:pPr>
    </w:p>
    <w:p w14:paraId="17FDE311" w14:textId="77777777" w:rsidR="00A047E8" w:rsidRPr="00F66F27" w:rsidRDefault="00A047E8">
      <w:pPr>
        <w:tabs>
          <w:tab w:val="left" w:pos="540"/>
          <w:tab w:val="left" w:pos="569"/>
        </w:tabs>
        <w:jc w:val="both"/>
        <w:rPr>
          <w:b/>
          <w:bCs/>
          <w:sz w:val="22"/>
          <w:szCs w:val="22"/>
          <w:lang w:val="sr-Latn-RS"/>
        </w:rPr>
      </w:pPr>
      <w:r w:rsidRPr="00F66F27">
        <w:rPr>
          <w:bCs/>
          <w:i/>
          <w:sz w:val="22"/>
          <w:szCs w:val="22"/>
          <w:lang w:val="sr-Latn-RS"/>
        </w:rPr>
        <w:t>Oštećenje funkcije bubrega</w:t>
      </w:r>
    </w:p>
    <w:p w14:paraId="01FCC51E"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Blago do umjereno oštećenje bubrega ne utiče značajno na farmakokinetiku palonosetrona. Teško oštećenje bubrega smanjuje bubrežni klirens, ali ukupni tjelesni klirens kod ovih pacijenata sličan je kao kod zdravih osoba. Nije potrebno prilagođavanje doze kod pacijenata sa bubrežnom insuficijencijom. Nema podataka o farmakokinetici lijeka kod pacijenata na hemodijalizi.</w:t>
      </w:r>
    </w:p>
    <w:p w14:paraId="5922BD61" w14:textId="77777777" w:rsidR="00A047E8" w:rsidRPr="00F66F27" w:rsidRDefault="00A047E8">
      <w:pPr>
        <w:tabs>
          <w:tab w:val="left" w:pos="540"/>
          <w:tab w:val="left" w:pos="569"/>
        </w:tabs>
        <w:jc w:val="both"/>
        <w:rPr>
          <w:bCs/>
          <w:sz w:val="22"/>
          <w:szCs w:val="22"/>
          <w:lang w:val="sr-Latn-RS"/>
        </w:rPr>
      </w:pPr>
    </w:p>
    <w:p w14:paraId="24C815E6" w14:textId="77777777" w:rsidR="00A047E8" w:rsidRPr="00F66F27" w:rsidRDefault="00A047E8">
      <w:pPr>
        <w:tabs>
          <w:tab w:val="left" w:pos="540"/>
          <w:tab w:val="left" w:pos="569"/>
        </w:tabs>
        <w:jc w:val="both"/>
        <w:rPr>
          <w:b/>
          <w:bCs/>
          <w:sz w:val="22"/>
          <w:szCs w:val="22"/>
          <w:lang w:val="sr-Latn-RS"/>
        </w:rPr>
      </w:pPr>
      <w:r w:rsidRPr="00F66F27">
        <w:rPr>
          <w:bCs/>
          <w:i/>
          <w:sz w:val="22"/>
          <w:szCs w:val="22"/>
          <w:lang w:val="sr-Latn-RS"/>
        </w:rPr>
        <w:t>Oštećenje funkcije jetre</w:t>
      </w:r>
    </w:p>
    <w:p w14:paraId="3741B99A" w14:textId="7D0ABEB0" w:rsidR="0072020E" w:rsidRPr="00F66F27" w:rsidRDefault="00A047E8">
      <w:pPr>
        <w:tabs>
          <w:tab w:val="left" w:pos="540"/>
          <w:tab w:val="left" w:pos="569"/>
        </w:tabs>
        <w:jc w:val="both"/>
        <w:rPr>
          <w:bCs/>
          <w:sz w:val="22"/>
          <w:szCs w:val="22"/>
          <w:lang w:val="sr-Latn-RS"/>
        </w:rPr>
      </w:pPr>
      <w:r w:rsidRPr="00F66F27">
        <w:rPr>
          <w:bCs/>
          <w:sz w:val="22"/>
          <w:szCs w:val="22"/>
          <w:lang w:val="sr-Latn-RS"/>
        </w:rPr>
        <w:t>Oštećenje jetre ne utiče značajno na ukupni tjelesni klirens palonosetrona u poređenju sa zdravim osobama. Iako su terminalno poluvrijeme eliminacije i srednja vrijednost koncentracije lijeka u krvi povećani kod osoba sa teškim oštećenjem jetre, nije potrebna redukcija doze.</w:t>
      </w:r>
    </w:p>
    <w:p w14:paraId="5F54B735" w14:textId="77777777" w:rsidR="00A047E8" w:rsidRPr="00F66F27" w:rsidRDefault="00A047E8">
      <w:pPr>
        <w:tabs>
          <w:tab w:val="left" w:pos="540"/>
          <w:tab w:val="left" w:pos="569"/>
        </w:tabs>
        <w:jc w:val="both"/>
        <w:rPr>
          <w:bCs/>
          <w:sz w:val="22"/>
          <w:szCs w:val="22"/>
          <w:lang w:val="sr-Latn-RS"/>
        </w:rPr>
      </w:pPr>
    </w:p>
    <w:p w14:paraId="6F7A196A" w14:textId="77777777" w:rsidR="0072020E" w:rsidRPr="00F66F27" w:rsidRDefault="0072020E">
      <w:pPr>
        <w:tabs>
          <w:tab w:val="left" w:pos="540"/>
          <w:tab w:val="left" w:pos="569"/>
        </w:tabs>
        <w:jc w:val="both"/>
        <w:rPr>
          <w:b/>
          <w:bCs/>
          <w:sz w:val="22"/>
          <w:szCs w:val="22"/>
          <w:lang w:val="sr-Latn-RS"/>
        </w:rPr>
      </w:pPr>
      <w:r w:rsidRPr="00F66F27">
        <w:rPr>
          <w:b/>
          <w:bCs/>
          <w:sz w:val="22"/>
          <w:szCs w:val="22"/>
          <w:lang w:val="sr-Latn-RS"/>
        </w:rPr>
        <w:t xml:space="preserve">5.3. </w:t>
      </w:r>
      <w:r w:rsidR="00480FB1" w:rsidRPr="00F66F27">
        <w:rPr>
          <w:b/>
          <w:bCs/>
          <w:sz w:val="22"/>
          <w:szCs w:val="22"/>
          <w:lang w:val="sr-Latn-RS"/>
        </w:rPr>
        <w:tab/>
      </w:r>
      <w:r w:rsidRPr="00F66F27">
        <w:rPr>
          <w:b/>
          <w:bCs/>
          <w:sz w:val="22"/>
          <w:szCs w:val="22"/>
          <w:lang w:val="sr-Latn-RS"/>
        </w:rPr>
        <w:t xml:space="preserve">Pretklinički podaci o bezbjednosti </w:t>
      </w:r>
    </w:p>
    <w:p w14:paraId="3A2DFADC" w14:textId="5B6F91AF" w:rsidR="00836B35" w:rsidRPr="00F66F27" w:rsidRDefault="00836B35">
      <w:pPr>
        <w:tabs>
          <w:tab w:val="left" w:pos="540"/>
          <w:tab w:val="left" w:pos="569"/>
        </w:tabs>
        <w:jc w:val="both"/>
        <w:rPr>
          <w:bCs/>
          <w:sz w:val="22"/>
          <w:szCs w:val="22"/>
          <w:lang w:val="sr-Latn-RS"/>
        </w:rPr>
      </w:pPr>
    </w:p>
    <w:p w14:paraId="1EE5BBBD"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Pretklinička ispitivanja su rađena samo sa dozama koje su znatno veće od maksimalno dozvoljenih za ljude, i imaju mali klinički značaj.</w:t>
      </w:r>
    </w:p>
    <w:p w14:paraId="6E600F6F" w14:textId="77777777" w:rsidR="00A047E8" w:rsidRPr="00F66F27" w:rsidRDefault="00A047E8">
      <w:pPr>
        <w:tabs>
          <w:tab w:val="left" w:pos="540"/>
          <w:tab w:val="left" w:pos="569"/>
        </w:tabs>
        <w:jc w:val="both"/>
        <w:rPr>
          <w:bCs/>
          <w:sz w:val="22"/>
          <w:szCs w:val="22"/>
          <w:lang w:val="sr-Latn-RS"/>
        </w:rPr>
      </w:pPr>
    </w:p>
    <w:p w14:paraId="763D03FE"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lastRenderedPageBreak/>
        <w:t>Pretkliničke studije ukazuju da palonosetron, samo u vrlo velikim koncentracijama, može da blokira jonske kanale, uključene u depolarizaciju i repolarizaciju komora i da produži trajanje akcionog potencijala.</w:t>
      </w:r>
    </w:p>
    <w:p w14:paraId="1DCF0C0E" w14:textId="77777777" w:rsidR="00A047E8" w:rsidRPr="00F66F27" w:rsidRDefault="00A047E8">
      <w:pPr>
        <w:tabs>
          <w:tab w:val="left" w:pos="540"/>
          <w:tab w:val="left" w:pos="569"/>
        </w:tabs>
        <w:jc w:val="both"/>
        <w:rPr>
          <w:bCs/>
          <w:sz w:val="22"/>
          <w:szCs w:val="22"/>
          <w:lang w:val="sr-Latn-RS"/>
        </w:rPr>
      </w:pPr>
    </w:p>
    <w:p w14:paraId="2B0E3467" w14:textId="0A8E802A" w:rsidR="00A047E8" w:rsidRPr="00F66F27" w:rsidRDefault="00A047E8">
      <w:pPr>
        <w:tabs>
          <w:tab w:val="left" w:pos="540"/>
          <w:tab w:val="left" w:pos="569"/>
        </w:tabs>
        <w:jc w:val="both"/>
        <w:rPr>
          <w:bCs/>
          <w:sz w:val="22"/>
          <w:szCs w:val="22"/>
          <w:lang w:val="sr-Latn-RS"/>
        </w:rPr>
      </w:pPr>
      <w:r w:rsidRPr="00F66F27">
        <w:rPr>
          <w:bCs/>
          <w:sz w:val="22"/>
          <w:szCs w:val="22"/>
          <w:lang w:val="sr-Latn-RS"/>
        </w:rPr>
        <w:t xml:space="preserve">Rezultati studija na životinjama ne ukazuju na direktne ili indirektne štetne efekte lijeka na trudnoću, razvoj embriona/ploda, porođaj ili postnatalni razvoj. Za sada su dostupni oskudni podaci o prolazu palonosterona kroz placentu (vidjeti </w:t>
      </w:r>
      <w:r w:rsidR="008373A5" w:rsidRPr="00F66F27">
        <w:rPr>
          <w:bCs/>
          <w:sz w:val="22"/>
          <w:szCs w:val="22"/>
          <w:lang w:val="sr-Latn-RS"/>
        </w:rPr>
        <w:t>dio</w:t>
      </w:r>
      <w:r w:rsidRPr="00F66F27">
        <w:rPr>
          <w:bCs/>
          <w:sz w:val="22"/>
          <w:szCs w:val="22"/>
          <w:lang w:val="sr-Latn-RS"/>
        </w:rPr>
        <w:t xml:space="preserve"> 4.6)</w:t>
      </w:r>
    </w:p>
    <w:p w14:paraId="5AFD198D" w14:textId="77777777" w:rsidR="00A047E8" w:rsidRPr="00F66F27" w:rsidRDefault="00A047E8">
      <w:pPr>
        <w:tabs>
          <w:tab w:val="left" w:pos="540"/>
          <w:tab w:val="left" w:pos="569"/>
        </w:tabs>
        <w:jc w:val="both"/>
        <w:rPr>
          <w:bCs/>
          <w:sz w:val="22"/>
          <w:szCs w:val="22"/>
          <w:lang w:val="sr-Latn-RS"/>
        </w:rPr>
      </w:pPr>
    </w:p>
    <w:p w14:paraId="3ACA10A9" w14:textId="77777777" w:rsidR="00A047E8" w:rsidRPr="00F66F27" w:rsidRDefault="00A047E8">
      <w:pPr>
        <w:tabs>
          <w:tab w:val="left" w:pos="540"/>
          <w:tab w:val="left" w:pos="569"/>
        </w:tabs>
        <w:jc w:val="both"/>
        <w:rPr>
          <w:bCs/>
          <w:sz w:val="22"/>
          <w:szCs w:val="22"/>
          <w:lang w:val="sr-Latn-RS"/>
        </w:rPr>
      </w:pPr>
      <w:r w:rsidRPr="00F66F27">
        <w:rPr>
          <w:bCs/>
          <w:sz w:val="22"/>
          <w:szCs w:val="22"/>
          <w:lang w:val="sr-Latn-RS"/>
        </w:rPr>
        <w:t>Palonosteron nema mutageni potencijal. Velike doze palonosetrona (bar 30 puta veće od terapijskih doza kod ljudi) primjenjivane svakodnevno tokom dvije godine prouzrokovale su povećanu stopu tumora jetre, endokrinih tumora (štitaste žlijezde, hipofize, pankreasa, nadbubrežnih žlijezda) i tumora kože kod pacova, ali ne i kod miševa. Tačni mehanizmi još nijesu potpuno poznati, ali usljed velikih doza koje su ovdje primjenjivane, i činjenice da se lijek Aloxi primjenjuje kod ljudi kao pojedinačna doza, navedeni nalazi ne smatraju se značajnim za kliničku praksu.</w:t>
      </w:r>
    </w:p>
    <w:p w14:paraId="6234CE93" w14:textId="77777777" w:rsidR="00A047E8" w:rsidRPr="00F66F27" w:rsidRDefault="00A047E8">
      <w:pPr>
        <w:tabs>
          <w:tab w:val="left" w:pos="540"/>
          <w:tab w:val="left" w:pos="569"/>
        </w:tabs>
        <w:jc w:val="both"/>
        <w:rPr>
          <w:bCs/>
          <w:sz w:val="22"/>
          <w:szCs w:val="22"/>
          <w:lang w:val="sr-Latn-RS"/>
        </w:rPr>
      </w:pPr>
    </w:p>
    <w:p w14:paraId="10FD8D6F" w14:textId="77777777" w:rsidR="00396DFD" w:rsidRPr="00F66F27" w:rsidRDefault="00396DFD" w:rsidP="004321FB">
      <w:pPr>
        <w:tabs>
          <w:tab w:val="left" w:pos="540"/>
          <w:tab w:val="left" w:pos="569"/>
        </w:tabs>
        <w:jc w:val="both"/>
        <w:rPr>
          <w:b/>
          <w:bCs/>
          <w:sz w:val="22"/>
          <w:szCs w:val="22"/>
          <w:lang w:val="sr-Latn-RS"/>
        </w:rPr>
      </w:pPr>
    </w:p>
    <w:p w14:paraId="6A27A80C" w14:textId="77777777" w:rsidR="0072020E" w:rsidRPr="00F66F27" w:rsidRDefault="0072020E" w:rsidP="004321FB">
      <w:pPr>
        <w:tabs>
          <w:tab w:val="left" w:pos="540"/>
          <w:tab w:val="left" w:pos="569"/>
        </w:tabs>
        <w:jc w:val="both"/>
        <w:rPr>
          <w:b/>
          <w:bCs/>
          <w:sz w:val="22"/>
          <w:szCs w:val="22"/>
          <w:lang w:val="sr-Latn-RS"/>
        </w:rPr>
      </w:pPr>
      <w:r w:rsidRPr="00F66F27">
        <w:rPr>
          <w:b/>
          <w:bCs/>
          <w:sz w:val="22"/>
          <w:szCs w:val="22"/>
          <w:lang w:val="sr-Latn-RS"/>
        </w:rPr>
        <w:t xml:space="preserve">6. </w:t>
      </w:r>
      <w:r w:rsidR="00480FB1" w:rsidRPr="00F66F27">
        <w:rPr>
          <w:b/>
          <w:bCs/>
          <w:sz w:val="22"/>
          <w:szCs w:val="22"/>
          <w:lang w:val="sr-Latn-RS"/>
        </w:rPr>
        <w:tab/>
      </w:r>
      <w:r w:rsidRPr="00F66F27">
        <w:rPr>
          <w:b/>
          <w:bCs/>
          <w:sz w:val="22"/>
          <w:szCs w:val="22"/>
          <w:lang w:val="sr-Latn-RS"/>
        </w:rPr>
        <w:t>FARMACEUTSKI PODACI</w:t>
      </w:r>
    </w:p>
    <w:p w14:paraId="0E66D491" w14:textId="77777777" w:rsidR="00836B35" w:rsidRPr="00F66F27" w:rsidRDefault="00836B35" w:rsidP="004321FB">
      <w:pPr>
        <w:tabs>
          <w:tab w:val="left" w:pos="540"/>
          <w:tab w:val="left" w:pos="569"/>
        </w:tabs>
        <w:jc w:val="both"/>
        <w:rPr>
          <w:bCs/>
          <w:sz w:val="22"/>
          <w:szCs w:val="22"/>
          <w:lang w:val="sr-Latn-RS"/>
        </w:rPr>
      </w:pPr>
    </w:p>
    <w:p w14:paraId="19F569FD" w14:textId="77777777" w:rsidR="0072020E" w:rsidRPr="00F66F27" w:rsidRDefault="0072020E" w:rsidP="004321FB">
      <w:pPr>
        <w:tabs>
          <w:tab w:val="left" w:pos="540"/>
          <w:tab w:val="left" w:pos="569"/>
        </w:tabs>
        <w:jc w:val="both"/>
        <w:rPr>
          <w:b/>
          <w:bCs/>
          <w:sz w:val="22"/>
          <w:szCs w:val="22"/>
          <w:lang w:val="sr-Latn-RS"/>
        </w:rPr>
      </w:pPr>
      <w:r w:rsidRPr="00F66F27">
        <w:rPr>
          <w:b/>
          <w:bCs/>
          <w:sz w:val="22"/>
          <w:szCs w:val="22"/>
          <w:lang w:val="sr-Latn-RS"/>
        </w:rPr>
        <w:t xml:space="preserve">6.1. </w:t>
      </w:r>
      <w:r w:rsidR="00480FB1" w:rsidRPr="00F66F27">
        <w:rPr>
          <w:b/>
          <w:bCs/>
          <w:sz w:val="22"/>
          <w:szCs w:val="22"/>
          <w:lang w:val="sr-Latn-RS"/>
        </w:rPr>
        <w:tab/>
      </w:r>
      <w:r w:rsidRPr="00F66F27">
        <w:rPr>
          <w:b/>
          <w:bCs/>
          <w:sz w:val="22"/>
          <w:szCs w:val="22"/>
          <w:lang w:val="sr-Latn-RS"/>
        </w:rPr>
        <w:t>Lista pomoćnih supstanci</w:t>
      </w:r>
      <w:r w:rsidR="002E0135" w:rsidRPr="00F66F27">
        <w:rPr>
          <w:b/>
          <w:bCs/>
          <w:sz w:val="22"/>
          <w:szCs w:val="22"/>
          <w:lang w:val="sr-Latn-RS"/>
        </w:rPr>
        <w:t xml:space="preserve"> (ekscipijenasa)</w:t>
      </w:r>
    </w:p>
    <w:p w14:paraId="0BE4C978" w14:textId="77777777" w:rsidR="004D5A28" w:rsidRPr="00F66F27" w:rsidRDefault="00A047E8" w:rsidP="00E66472">
      <w:pPr>
        <w:tabs>
          <w:tab w:val="left" w:pos="540"/>
          <w:tab w:val="left" w:pos="569"/>
        </w:tabs>
        <w:rPr>
          <w:bCs/>
          <w:sz w:val="22"/>
          <w:szCs w:val="22"/>
          <w:lang w:val="sr-Latn-RS"/>
        </w:rPr>
      </w:pPr>
      <w:r w:rsidRPr="00F66F27">
        <w:rPr>
          <w:bCs/>
          <w:sz w:val="22"/>
          <w:szCs w:val="22"/>
          <w:lang w:val="sr-Latn-RS"/>
        </w:rPr>
        <w:t>manitol;</w:t>
      </w:r>
      <w:r w:rsidRPr="00F66F27">
        <w:rPr>
          <w:bCs/>
          <w:sz w:val="22"/>
          <w:szCs w:val="22"/>
          <w:lang w:val="sr-Latn-RS"/>
        </w:rPr>
        <w:br/>
        <w:t xml:space="preserve">dinatrijum edetat; </w:t>
      </w:r>
    </w:p>
    <w:p w14:paraId="656C9355" w14:textId="6B03CD38" w:rsidR="00A047E8" w:rsidRPr="00F66F27" w:rsidRDefault="00A047E8" w:rsidP="00E66472">
      <w:pPr>
        <w:tabs>
          <w:tab w:val="left" w:pos="540"/>
          <w:tab w:val="left" w:pos="569"/>
        </w:tabs>
        <w:rPr>
          <w:bCs/>
          <w:sz w:val="22"/>
          <w:szCs w:val="22"/>
          <w:lang w:val="sr-Latn-RS"/>
        </w:rPr>
      </w:pPr>
      <w:r w:rsidRPr="00F66F27">
        <w:rPr>
          <w:bCs/>
          <w:sz w:val="22"/>
          <w:szCs w:val="22"/>
          <w:lang w:val="sr-Latn-RS"/>
        </w:rPr>
        <w:t>natrijum citrat;</w:t>
      </w:r>
    </w:p>
    <w:p w14:paraId="6D6859E7" w14:textId="2F013010" w:rsidR="002C2269" w:rsidRPr="00F66F27" w:rsidRDefault="00A047E8" w:rsidP="00E66472">
      <w:pPr>
        <w:tabs>
          <w:tab w:val="left" w:pos="540"/>
          <w:tab w:val="left" w:pos="569"/>
        </w:tabs>
        <w:rPr>
          <w:bCs/>
          <w:sz w:val="22"/>
          <w:szCs w:val="22"/>
          <w:lang w:val="sr-Latn-RS"/>
        </w:rPr>
      </w:pPr>
      <w:r w:rsidRPr="00F66F27">
        <w:rPr>
          <w:bCs/>
          <w:sz w:val="22"/>
          <w:szCs w:val="22"/>
          <w:lang w:val="sr-Latn-RS"/>
        </w:rPr>
        <w:t xml:space="preserve">limunska kiselina, monohidrat; </w:t>
      </w:r>
      <w:r w:rsidRPr="00F66F27">
        <w:rPr>
          <w:bCs/>
          <w:sz w:val="22"/>
          <w:szCs w:val="22"/>
          <w:lang w:val="sr-Latn-RS"/>
        </w:rPr>
        <w:br/>
        <w:t>natrijum</w:t>
      </w:r>
      <w:r w:rsidR="003426D3" w:rsidRPr="00F66F27">
        <w:rPr>
          <w:bCs/>
          <w:sz w:val="22"/>
          <w:szCs w:val="22"/>
          <w:lang w:val="sr-Latn-RS"/>
        </w:rPr>
        <w:t xml:space="preserve"> </w:t>
      </w:r>
      <w:r w:rsidRPr="00F66F27">
        <w:rPr>
          <w:bCs/>
          <w:sz w:val="22"/>
          <w:szCs w:val="22"/>
          <w:lang w:val="sr-Latn-RS"/>
        </w:rPr>
        <w:t xml:space="preserve">hidroksid </w:t>
      </w:r>
      <w:r w:rsidR="002C2269" w:rsidRPr="00F66F27">
        <w:rPr>
          <w:bCs/>
          <w:sz w:val="22"/>
          <w:szCs w:val="22"/>
          <w:lang w:val="sr-Latn-RS"/>
        </w:rPr>
        <w:t>(za podešavanje pH);</w:t>
      </w:r>
    </w:p>
    <w:p w14:paraId="115D1D31" w14:textId="461B8FA7" w:rsidR="00A047E8" w:rsidRPr="00F66F27" w:rsidRDefault="00A047E8" w:rsidP="00E66472">
      <w:pPr>
        <w:tabs>
          <w:tab w:val="left" w:pos="540"/>
          <w:tab w:val="left" w:pos="569"/>
        </w:tabs>
        <w:rPr>
          <w:bCs/>
          <w:sz w:val="22"/>
          <w:szCs w:val="22"/>
          <w:lang w:val="sr-Latn-RS"/>
        </w:rPr>
      </w:pPr>
      <w:r w:rsidRPr="00F66F27">
        <w:rPr>
          <w:bCs/>
          <w:sz w:val="22"/>
          <w:szCs w:val="22"/>
          <w:lang w:val="sr-Latn-RS"/>
        </w:rPr>
        <w:t>hlorovodonična kiselina</w:t>
      </w:r>
      <w:r w:rsidR="002C2269" w:rsidRPr="00F66F27">
        <w:rPr>
          <w:bCs/>
          <w:sz w:val="22"/>
          <w:szCs w:val="22"/>
          <w:lang w:val="sr-Latn-RS"/>
        </w:rPr>
        <w:t xml:space="preserve"> (za podešavanje pH)</w:t>
      </w:r>
      <w:r w:rsidRPr="00F66F27">
        <w:rPr>
          <w:bCs/>
          <w:sz w:val="22"/>
          <w:szCs w:val="22"/>
          <w:lang w:val="sr-Latn-RS"/>
        </w:rPr>
        <w:t xml:space="preserve">; </w:t>
      </w:r>
      <w:r w:rsidRPr="00F66F27">
        <w:rPr>
          <w:bCs/>
          <w:sz w:val="22"/>
          <w:szCs w:val="22"/>
          <w:lang w:val="sr-Latn-RS"/>
        </w:rPr>
        <w:br/>
        <w:t>voda za injekcije.</w:t>
      </w:r>
    </w:p>
    <w:p w14:paraId="76EFC1EF" w14:textId="77777777" w:rsidR="0072020E" w:rsidRPr="00F66F27" w:rsidRDefault="0072020E" w:rsidP="004321FB">
      <w:pPr>
        <w:tabs>
          <w:tab w:val="left" w:pos="540"/>
          <w:tab w:val="left" w:pos="569"/>
        </w:tabs>
        <w:jc w:val="both"/>
        <w:rPr>
          <w:bCs/>
          <w:sz w:val="22"/>
          <w:szCs w:val="22"/>
          <w:lang w:val="sr-Latn-RS"/>
        </w:rPr>
      </w:pPr>
    </w:p>
    <w:p w14:paraId="66EFE269" w14:textId="77777777" w:rsidR="0072020E" w:rsidRPr="00F66F27" w:rsidRDefault="0072020E" w:rsidP="004321FB">
      <w:pPr>
        <w:tabs>
          <w:tab w:val="left" w:pos="540"/>
          <w:tab w:val="left" w:pos="569"/>
        </w:tabs>
        <w:jc w:val="both"/>
        <w:rPr>
          <w:b/>
          <w:bCs/>
          <w:sz w:val="22"/>
          <w:szCs w:val="22"/>
          <w:lang w:val="sr-Latn-RS"/>
        </w:rPr>
      </w:pPr>
      <w:r w:rsidRPr="00F66F27">
        <w:rPr>
          <w:b/>
          <w:bCs/>
          <w:sz w:val="22"/>
          <w:szCs w:val="22"/>
          <w:lang w:val="sr-Latn-RS"/>
        </w:rPr>
        <w:t xml:space="preserve">6.2. </w:t>
      </w:r>
      <w:r w:rsidR="00480FB1" w:rsidRPr="00F66F27">
        <w:rPr>
          <w:b/>
          <w:bCs/>
          <w:sz w:val="22"/>
          <w:szCs w:val="22"/>
          <w:lang w:val="sr-Latn-RS"/>
        </w:rPr>
        <w:tab/>
      </w:r>
      <w:r w:rsidRPr="00F66F27">
        <w:rPr>
          <w:b/>
          <w:bCs/>
          <w:sz w:val="22"/>
          <w:szCs w:val="22"/>
          <w:lang w:val="sr-Latn-RS"/>
        </w:rPr>
        <w:t>Inkompatibilnost</w:t>
      </w:r>
      <w:r w:rsidR="002846DB" w:rsidRPr="00F66F27">
        <w:rPr>
          <w:b/>
          <w:bCs/>
          <w:sz w:val="22"/>
          <w:szCs w:val="22"/>
          <w:lang w:val="sr-Latn-RS"/>
        </w:rPr>
        <w:t>i</w:t>
      </w:r>
    </w:p>
    <w:p w14:paraId="06814CCC" w14:textId="77777777"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Aloxi, rastvor za injekcije, se ne smije miješati sa drugim ljekovima.</w:t>
      </w:r>
    </w:p>
    <w:p w14:paraId="1BCDC843" w14:textId="77777777" w:rsidR="0072020E" w:rsidRPr="00F66F27" w:rsidRDefault="0072020E" w:rsidP="004321FB">
      <w:pPr>
        <w:tabs>
          <w:tab w:val="left" w:pos="540"/>
          <w:tab w:val="left" w:pos="569"/>
        </w:tabs>
        <w:jc w:val="both"/>
        <w:rPr>
          <w:bCs/>
          <w:sz w:val="22"/>
          <w:szCs w:val="22"/>
          <w:lang w:val="sr-Latn-RS"/>
        </w:rPr>
      </w:pPr>
    </w:p>
    <w:p w14:paraId="40887E51" w14:textId="77777777" w:rsidR="0072020E" w:rsidRPr="00F66F27" w:rsidRDefault="0072020E" w:rsidP="004321FB">
      <w:pPr>
        <w:tabs>
          <w:tab w:val="left" w:pos="540"/>
          <w:tab w:val="left" w:pos="569"/>
        </w:tabs>
        <w:jc w:val="both"/>
        <w:rPr>
          <w:b/>
          <w:bCs/>
          <w:sz w:val="22"/>
          <w:szCs w:val="22"/>
          <w:lang w:val="sr-Latn-RS"/>
        </w:rPr>
      </w:pPr>
      <w:r w:rsidRPr="00F66F27">
        <w:rPr>
          <w:b/>
          <w:bCs/>
          <w:sz w:val="22"/>
          <w:szCs w:val="22"/>
          <w:lang w:val="sr-Latn-RS"/>
        </w:rPr>
        <w:t>6.3.</w:t>
      </w:r>
      <w:r w:rsidR="00C05DF8" w:rsidRPr="00F66F27">
        <w:rPr>
          <w:b/>
          <w:bCs/>
          <w:sz w:val="22"/>
          <w:szCs w:val="22"/>
          <w:lang w:val="sr-Latn-RS"/>
        </w:rPr>
        <w:t xml:space="preserve"> </w:t>
      </w:r>
      <w:r w:rsidR="00480FB1" w:rsidRPr="00F66F27">
        <w:rPr>
          <w:b/>
          <w:bCs/>
          <w:sz w:val="22"/>
          <w:szCs w:val="22"/>
          <w:lang w:val="sr-Latn-RS"/>
        </w:rPr>
        <w:tab/>
      </w:r>
      <w:r w:rsidRPr="00F66F27">
        <w:rPr>
          <w:b/>
          <w:bCs/>
          <w:sz w:val="22"/>
          <w:szCs w:val="22"/>
          <w:lang w:val="sr-Latn-RS"/>
        </w:rPr>
        <w:t>Rok upotrebe</w:t>
      </w:r>
    </w:p>
    <w:p w14:paraId="326DA41F" w14:textId="77777777"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5 godina.</w:t>
      </w:r>
    </w:p>
    <w:p w14:paraId="333E03D2" w14:textId="77777777" w:rsidR="00A047E8" w:rsidRPr="00F66F27" w:rsidRDefault="00A047E8" w:rsidP="004321FB">
      <w:pPr>
        <w:tabs>
          <w:tab w:val="left" w:pos="540"/>
          <w:tab w:val="left" w:pos="569"/>
        </w:tabs>
        <w:jc w:val="both"/>
        <w:rPr>
          <w:bCs/>
          <w:sz w:val="22"/>
          <w:szCs w:val="22"/>
          <w:lang w:val="sr-Latn-RS"/>
        </w:rPr>
      </w:pPr>
    </w:p>
    <w:p w14:paraId="6D254F80" w14:textId="77777777" w:rsidR="00A047E8" w:rsidRPr="00F66F27" w:rsidRDefault="00A047E8" w:rsidP="004321FB">
      <w:pPr>
        <w:tabs>
          <w:tab w:val="left" w:pos="540"/>
          <w:tab w:val="left" w:pos="569"/>
        </w:tabs>
        <w:jc w:val="both"/>
        <w:rPr>
          <w:bCs/>
          <w:i/>
          <w:sz w:val="22"/>
          <w:szCs w:val="22"/>
          <w:lang w:val="sr-Latn-RS"/>
        </w:rPr>
      </w:pPr>
      <w:r w:rsidRPr="00F66F27">
        <w:rPr>
          <w:bCs/>
          <w:i/>
          <w:sz w:val="22"/>
          <w:szCs w:val="22"/>
          <w:lang w:val="sr-Latn-RS"/>
        </w:rPr>
        <w:t>Rok upotrebe nakon prvog otvaranja</w:t>
      </w:r>
    </w:p>
    <w:p w14:paraId="4B67D4E4" w14:textId="77777777"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Nakon prvog otvaranja, lijek treba odmah upotrijebiti.</w:t>
      </w:r>
    </w:p>
    <w:p w14:paraId="695EFE2D" w14:textId="77777777"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Po otvaranju bočice, neiskorišćen rastvor treba odbaciti.</w:t>
      </w:r>
    </w:p>
    <w:p w14:paraId="4F62CA4F" w14:textId="77777777" w:rsidR="0072020E" w:rsidRPr="00F66F27" w:rsidRDefault="0072020E" w:rsidP="004321FB">
      <w:pPr>
        <w:tabs>
          <w:tab w:val="left" w:pos="540"/>
          <w:tab w:val="left" w:pos="569"/>
        </w:tabs>
        <w:jc w:val="both"/>
        <w:rPr>
          <w:bCs/>
          <w:sz w:val="22"/>
          <w:szCs w:val="22"/>
          <w:lang w:val="sr-Latn-RS"/>
        </w:rPr>
      </w:pPr>
    </w:p>
    <w:p w14:paraId="1BF80D39" w14:textId="77777777" w:rsidR="0072020E" w:rsidRPr="00F66F27" w:rsidRDefault="0072020E" w:rsidP="004321FB">
      <w:pPr>
        <w:tabs>
          <w:tab w:val="left" w:pos="540"/>
          <w:tab w:val="left" w:pos="569"/>
        </w:tabs>
        <w:jc w:val="both"/>
        <w:rPr>
          <w:b/>
          <w:bCs/>
          <w:sz w:val="22"/>
          <w:szCs w:val="22"/>
          <w:lang w:val="sr-Latn-RS"/>
        </w:rPr>
      </w:pPr>
      <w:r w:rsidRPr="00F66F27">
        <w:rPr>
          <w:b/>
          <w:bCs/>
          <w:sz w:val="22"/>
          <w:szCs w:val="22"/>
          <w:lang w:val="sr-Latn-RS"/>
        </w:rPr>
        <w:t xml:space="preserve">6.4. </w:t>
      </w:r>
      <w:r w:rsidR="00480FB1" w:rsidRPr="00F66F27">
        <w:rPr>
          <w:b/>
          <w:bCs/>
          <w:sz w:val="22"/>
          <w:szCs w:val="22"/>
          <w:lang w:val="sr-Latn-RS"/>
        </w:rPr>
        <w:tab/>
      </w:r>
      <w:r w:rsidRPr="00F66F27">
        <w:rPr>
          <w:b/>
          <w:bCs/>
          <w:sz w:val="22"/>
          <w:szCs w:val="22"/>
          <w:lang w:val="sr-Latn-RS"/>
        </w:rPr>
        <w:t>Posebne mjere upozorenja pri čuvanju</w:t>
      </w:r>
      <w:r w:rsidR="00F8570A" w:rsidRPr="00F66F27">
        <w:rPr>
          <w:b/>
          <w:bCs/>
          <w:sz w:val="22"/>
          <w:szCs w:val="22"/>
          <w:lang w:val="sr-Latn-RS"/>
        </w:rPr>
        <w:t xml:space="preserve"> lijeka</w:t>
      </w:r>
    </w:p>
    <w:p w14:paraId="161FF2FD" w14:textId="102B172E" w:rsidR="00EC2532" w:rsidRPr="00F66F27" w:rsidRDefault="00EC2532" w:rsidP="004321FB">
      <w:pPr>
        <w:tabs>
          <w:tab w:val="left" w:pos="540"/>
          <w:tab w:val="left" w:pos="569"/>
        </w:tabs>
        <w:jc w:val="both"/>
        <w:rPr>
          <w:bCs/>
          <w:sz w:val="22"/>
          <w:szCs w:val="22"/>
          <w:lang w:val="sr-Latn-RS"/>
        </w:rPr>
      </w:pPr>
    </w:p>
    <w:p w14:paraId="075B2A0A" w14:textId="77777777"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Lijek ne zahtijeva posebne uslove čuvanja. Za uslove čuvanja nakon prvog otvaranja lijeka, vidjeti odjeljak 6.3.</w:t>
      </w:r>
    </w:p>
    <w:p w14:paraId="602505C4" w14:textId="77777777" w:rsidR="00A047E8" w:rsidRPr="00F66F27" w:rsidRDefault="00A047E8" w:rsidP="004321FB">
      <w:pPr>
        <w:tabs>
          <w:tab w:val="left" w:pos="540"/>
          <w:tab w:val="left" w:pos="569"/>
        </w:tabs>
        <w:jc w:val="both"/>
        <w:rPr>
          <w:bCs/>
          <w:sz w:val="22"/>
          <w:szCs w:val="22"/>
          <w:lang w:val="sr-Latn-RS"/>
        </w:rPr>
      </w:pPr>
    </w:p>
    <w:p w14:paraId="62B99EFD" w14:textId="77777777" w:rsidR="0072020E" w:rsidRPr="00F66F27" w:rsidRDefault="0072020E" w:rsidP="004321FB">
      <w:pPr>
        <w:tabs>
          <w:tab w:val="left" w:pos="540"/>
          <w:tab w:val="left" w:pos="569"/>
        </w:tabs>
        <w:jc w:val="both"/>
        <w:rPr>
          <w:b/>
          <w:bCs/>
          <w:sz w:val="22"/>
          <w:szCs w:val="22"/>
          <w:lang w:val="sr-Latn-RS"/>
        </w:rPr>
      </w:pPr>
      <w:r w:rsidRPr="00F66F27">
        <w:rPr>
          <w:b/>
          <w:bCs/>
          <w:sz w:val="22"/>
          <w:szCs w:val="22"/>
          <w:lang w:val="sr-Latn-RS"/>
        </w:rPr>
        <w:t xml:space="preserve">6.5. </w:t>
      </w:r>
      <w:r w:rsidR="00480FB1" w:rsidRPr="00F66F27">
        <w:rPr>
          <w:b/>
          <w:bCs/>
          <w:sz w:val="22"/>
          <w:szCs w:val="22"/>
          <w:lang w:val="sr-Latn-RS"/>
        </w:rPr>
        <w:tab/>
      </w:r>
      <w:r w:rsidR="002846DB" w:rsidRPr="00F66F27">
        <w:rPr>
          <w:b/>
          <w:bCs/>
          <w:sz w:val="22"/>
          <w:szCs w:val="22"/>
          <w:lang w:val="sr-Latn-RS"/>
        </w:rPr>
        <w:t xml:space="preserve">Vrsta i sadržaj </w:t>
      </w:r>
      <w:r w:rsidR="00F8570A" w:rsidRPr="00F66F27">
        <w:rPr>
          <w:b/>
          <w:bCs/>
          <w:sz w:val="22"/>
          <w:szCs w:val="22"/>
          <w:lang w:val="sr-Latn-RS"/>
        </w:rPr>
        <w:t>pakovanja</w:t>
      </w:r>
      <w:r w:rsidR="00C06864" w:rsidRPr="00F66F27">
        <w:rPr>
          <w:b/>
          <w:bCs/>
          <w:sz w:val="22"/>
          <w:szCs w:val="22"/>
          <w:lang w:val="sr-Latn-RS"/>
        </w:rPr>
        <w:t xml:space="preserve"> </w:t>
      </w:r>
    </w:p>
    <w:p w14:paraId="061529E7" w14:textId="7CC5101F" w:rsidR="0072020E" w:rsidRPr="00F66F27" w:rsidRDefault="0072020E" w:rsidP="004321FB">
      <w:pPr>
        <w:tabs>
          <w:tab w:val="left" w:pos="540"/>
          <w:tab w:val="left" w:pos="569"/>
        </w:tabs>
        <w:jc w:val="both"/>
        <w:rPr>
          <w:bCs/>
          <w:sz w:val="22"/>
          <w:szCs w:val="22"/>
          <w:lang w:val="sr-Latn-RS"/>
        </w:rPr>
      </w:pPr>
    </w:p>
    <w:p w14:paraId="72D704AB" w14:textId="3F6421F8"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Aloxi, rastvor za injekciju, 250 mikrograma/5 m</w:t>
      </w:r>
      <w:r w:rsidR="004D5A28" w:rsidRPr="00F66F27">
        <w:rPr>
          <w:bCs/>
          <w:sz w:val="22"/>
          <w:szCs w:val="22"/>
          <w:lang w:val="sr-Latn-RS"/>
        </w:rPr>
        <w:t>l</w:t>
      </w:r>
      <w:r w:rsidRPr="00F66F27">
        <w:rPr>
          <w:bCs/>
          <w:sz w:val="22"/>
          <w:szCs w:val="22"/>
          <w:lang w:val="sr-Latn-RS"/>
        </w:rPr>
        <w:t xml:space="preserve">: </w:t>
      </w:r>
    </w:p>
    <w:p w14:paraId="3DDAF993" w14:textId="745DDB00" w:rsidR="00A047E8" w:rsidRPr="00F66F27" w:rsidRDefault="006B2B95" w:rsidP="004321FB">
      <w:pPr>
        <w:tabs>
          <w:tab w:val="left" w:pos="540"/>
          <w:tab w:val="left" w:pos="569"/>
        </w:tabs>
        <w:jc w:val="both"/>
        <w:rPr>
          <w:bCs/>
          <w:sz w:val="22"/>
          <w:szCs w:val="22"/>
          <w:lang w:val="sr-Latn-RS"/>
        </w:rPr>
      </w:pPr>
      <w:r w:rsidRPr="00F66F27">
        <w:rPr>
          <w:bCs/>
          <w:sz w:val="22"/>
          <w:szCs w:val="22"/>
          <w:lang w:val="sr-Latn-RS"/>
        </w:rPr>
        <w:t xml:space="preserve">Unutrašnje pakovanje je </w:t>
      </w:r>
      <w:r w:rsidR="00A047E8" w:rsidRPr="00F66F27">
        <w:rPr>
          <w:bCs/>
          <w:sz w:val="22"/>
          <w:szCs w:val="22"/>
          <w:lang w:val="sr-Latn-RS"/>
        </w:rPr>
        <w:t xml:space="preserve">1 bočica (od bezbojnog stakla I hidrolitičke grupe, sa čepom od silikonizovane hlorbutil gume, aluminijumskom kapicom i plastičnim </w:t>
      </w:r>
      <w:r w:rsidR="00A047E8" w:rsidRPr="00F66F27">
        <w:rPr>
          <w:bCs/>
          <w:i/>
          <w:sz w:val="22"/>
          <w:szCs w:val="22"/>
          <w:lang w:val="sr-Latn-RS"/>
        </w:rPr>
        <w:t xml:space="preserve">flip-off </w:t>
      </w:r>
      <w:r w:rsidR="00A047E8" w:rsidRPr="00F66F27">
        <w:rPr>
          <w:bCs/>
          <w:sz w:val="22"/>
          <w:szCs w:val="22"/>
          <w:lang w:val="sr-Latn-RS"/>
        </w:rPr>
        <w:t>poklopcem).</w:t>
      </w:r>
    </w:p>
    <w:p w14:paraId="14A55425" w14:textId="77777777"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Spoljašnje pakovanje je složiva kartonska kutija u kojoj se nalazi jedna bočica i Uputstvo za lijek.</w:t>
      </w:r>
    </w:p>
    <w:p w14:paraId="2F087757" w14:textId="77777777" w:rsidR="00A047E8" w:rsidRPr="00F66F27" w:rsidRDefault="00A047E8" w:rsidP="004321FB">
      <w:pPr>
        <w:tabs>
          <w:tab w:val="left" w:pos="540"/>
          <w:tab w:val="left" w:pos="569"/>
        </w:tabs>
        <w:jc w:val="both"/>
        <w:rPr>
          <w:bCs/>
          <w:sz w:val="22"/>
          <w:szCs w:val="22"/>
          <w:lang w:val="sr-Latn-RS"/>
        </w:rPr>
      </w:pPr>
    </w:p>
    <w:p w14:paraId="74F53C29" w14:textId="77777777" w:rsidR="002846DB" w:rsidRPr="00F66F27" w:rsidRDefault="0072020E" w:rsidP="004321FB">
      <w:pPr>
        <w:tabs>
          <w:tab w:val="left" w:pos="540"/>
          <w:tab w:val="left" w:pos="569"/>
        </w:tabs>
        <w:jc w:val="both"/>
        <w:rPr>
          <w:b/>
          <w:bCs/>
          <w:sz w:val="22"/>
          <w:szCs w:val="22"/>
          <w:lang w:val="sr-Latn-RS"/>
        </w:rPr>
      </w:pPr>
      <w:r w:rsidRPr="00F66F27">
        <w:rPr>
          <w:b/>
          <w:bCs/>
          <w:sz w:val="22"/>
          <w:szCs w:val="22"/>
          <w:lang w:val="sr-Latn-RS"/>
        </w:rPr>
        <w:t xml:space="preserve">6.6. </w:t>
      </w:r>
      <w:r w:rsidR="00480FB1" w:rsidRPr="00F66F27">
        <w:rPr>
          <w:b/>
          <w:bCs/>
          <w:sz w:val="22"/>
          <w:szCs w:val="22"/>
          <w:lang w:val="sr-Latn-RS"/>
        </w:rPr>
        <w:tab/>
      </w:r>
      <w:r w:rsidRPr="00F66F27">
        <w:rPr>
          <w:b/>
          <w:bCs/>
          <w:color w:val="000000"/>
          <w:sz w:val="22"/>
          <w:szCs w:val="22"/>
          <w:lang w:val="sr-Latn-RS"/>
        </w:rPr>
        <w:t>Posebne mjere opreza pri odlaganju materijala koji treba odbaciti nakon primjene lijeka</w:t>
      </w:r>
      <w:r w:rsidRPr="00F66F27">
        <w:rPr>
          <w:b/>
          <w:bCs/>
          <w:sz w:val="22"/>
          <w:szCs w:val="22"/>
          <w:lang w:val="sr-Latn-RS"/>
        </w:rPr>
        <w:t xml:space="preserve"> </w:t>
      </w:r>
      <w:r w:rsidR="00310F03" w:rsidRPr="00F66F27">
        <w:rPr>
          <w:b/>
          <w:bCs/>
          <w:sz w:val="22"/>
          <w:szCs w:val="22"/>
          <w:lang w:val="sr-Latn-RS"/>
        </w:rPr>
        <w:t>(i druga uputs</w:t>
      </w:r>
      <w:r w:rsidR="004109FA" w:rsidRPr="00F66F27">
        <w:rPr>
          <w:b/>
          <w:bCs/>
          <w:sz w:val="22"/>
          <w:szCs w:val="22"/>
          <w:lang w:val="sr-Latn-RS"/>
        </w:rPr>
        <w:t>t</w:t>
      </w:r>
      <w:r w:rsidR="00310F03" w:rsidRPr="00F66F27">
        <w:rPr>
          <w:b/>
          <w:bCs/>
          <w:sz w:val="22"/>
          <w:szCs w:val="22"/>
          <w:lang w:val="sr-Latn-RS"/>
        </w:rPr>
        <w:t xml:space="preserve">va za rukovanje lijekom) </w:t>
      </w:r>
    </w:p>
    <w:p w14:paraId="7F11E867" w14:textId="0FC476D6" w:rsidR="00B66A70" w:rsidRPr="00F66F27" w:rsidRDefault="00B66A70" w:rsidP="004321FB">
      <w:pPr>
        <w:tabs>
          <w:tab w:val="left" w:pos="540"/>
          <w:tab w:val="left" w:pos="569"/>
        </w:tabs>
        <w:jc w:val="both"/>
        <w:rPr>
          <w:b/>
          <w:bCs/>
          <w:sz w:val="22"/>
          <w:szCs w:val="22"/>
          <w:lang w:val="sr-Latn-RS"/>
        </w:rPr>
      </w:pPr>
    </w:p>
    <w:p w14:paraId="16430987" w14:textId="77777777"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Za jednokratnu primjenu, svu neiskorišćenu količinu rastvora treba odbaciti.</w:t>
      </w:r>
    </w:p>
    <w:p w14:paraId="24D136F8" w14:textId="77777777" w:rsidR="00A047E8" w:rsidRPr="00F66F27" w:rsidRDefault="00A047E8" w:rsidP="004321FB">
      <w:pPr>
        <w:tabs>
          <w:tab w:val="left" w:pos="540"/>
          <w:tab w:val="left" w:pos="569"/>
        </w:tabs>
        <w:jc w:val="both"/>
        <w:rPr>
          <w:bCs/>
          <w:sz w:val="22"/>
          <w:szCs w:val="22"/>
          <w:lang w:val="sr-Latn-RS"/>
        </w:rPr>
      </w:pPr>
    </w:p>
    <w:p w14:paraId="0936810B" w14:textId="77777777" w:rsidR="00A047E8" w:rsidRPr="00F66F27" w:rsidRDefault="00A047E8" w:rsidP="004321FB">
      <w:pPr>
        <w:tabs>
          <w:tab w:val="left" w:pos="540"/>
          <w:tab w:val="left" w:pos="569"/>
        </w:tabs>
        <w:jc w:val="both"/>
        <w:rPr>
          <w:bCs/>
          <w:sz w:val="22"/>
          <w:szCs w:val="22"/>
          <w:lang w:val="sr-Latn-RS"/>
        </w:rPr>
      </w:pPr>
      <w:r w:rsidRPr="00F66F27">
        <w:rPr>
          <w:bCs/>
          <w:sz w:val="22"/>
          <w:szCs w:val="22"/>
          <w:lang w:val="sr-Latn-RS"/>
        </w:rPr>
        <w:t>Svu neiskorišćenu količinu lijeka ili otpadnog materijala nakon njegove upotrebe treba ukloniti, u skladu sa važećim propisima.</w:t>
      </w:r>
    </w:p>
    <w:p w14:paraId="7F0FA53D" w14:textId="3AD3BD36" w:rsidR="00A047E8" w:rsidRPr="00F66F27" w:rsidRDefault="00A047E8" w:rsidP="004321FB">
      <w:pPr>
        <w:tabs>
          <w:tab w:val="left" w:pos="540"/>
          <w:tab w:val="left" w:pos="569"/>
        </w:tabs>
        <w:jc w:val="both"/>
        <w:rPr>
          <w:b/>
          <w:bCs/>
          <w:sz w:val="22"/>
          <w:szCs w:val="22"/>
          <w:lang w:val="sr-Latn-RS"/>
        </w:rPr>
      </w:pPr>
    </w:p>
    <w:p w14:paraId="680E90B7" w14:textId="77777777" w:rsidR="00F62272" w:rsidRPr="00F66F27" w:rsidRDefault="00F62272" w:rsidP="004321FB">
      <w:pPr>
        <w:tabs>
          <w:tab w:val="left" w:pos="540"/>
          <w:tab w:val="left" w:pos="569"/>
        </w:tabs>
        <w:jc w:val="both"/>
        <w:rPr>
          <w:b/>
          <w:bCs/>
          <w:sz w:val="22"/>
          <w:szCs w:val="22"/>
          <w:lang w:val="sr-Latn-RS"/>
        </w:rPr>
      </w:pPr>
    </w:p>
    <w:p w14:paraId="6D0DACD4" w14:textId="77777777" w:rsidR="0072020E" w:rsidRPr="00F66F27" w:rsidRDefault="0072020E" w:rsidP="004321FB">
      <w:pPr>
        <w:tabs>
          <w:tab w:val="left" w:pos="540"/>
          <w:tab w:val="left" w:pos="569"/>
        </w:tabs>
        <w:jc w:val="both"/>
        <w:rPr>
          <w:bCs/>
          <w:sz w:val="22"/>
          <w:szCs w:val="22"/>
          <w:lang w:val="sr-Latn-RS"/>
        </w:rPr>
      </w:pPr>
    </w:p>
    <w:p w14:paraId="40AC3322" w14:textId="423E2989" w:rsidR="00F8570A" w:rsidRPr="00F66F27" w:rsidRDefault="0072020E" w:rsidP="004321FB">
      <w:pPr>
        <w:tabs>
          <w:tab w:val="left" w:pos="540"/>
          <w:tab w:val="left" w:pos="569"/>
        </w:tabs>
        <w:jc w:val="both"/>
        <w:rPr>
          <w:b/>
          <w:bCs/>
          <w:sz w:val="22"/>
          <w:szCs w:val="22"/>
          <w:lang w:val="sr-Latn-RS"/>
        </w:rPr>
      </w:pPr>
      <w:r w:rsidRPr="00F66F27">
        <w:rPr>
          <w:b/>
          <w:bCs/>
          <w:sz w:val="22"/>
          <w:szCs w:val="22"/>
          <w:lang w:val="sr-Latn-RS"/>
        </w:rPr>
        <w:t xml:space="preserve">7. </w:t>
      </w:r>
      <w:r w:rsidR="00480FB1" w:rsidRPr="00F66F27">
        <w:rPr>
          <w:b/>
          <w:bCs/>
          <w:sz w:val="22"/>
          <w:szCs w:val="22"/>
          <w:lang w:val="sr-Latn-RS"/>
        </w:rPr>
        <w:tab/>
      </w:r>
      <w:r w:rsidRPr="00F66F27">
        <w:rPr>
          <w:b/>
          <w:bCs/>
          <w:sz w:val="22"/>
          <w:szCs w:val="22"/>
          <w:lang w:val="sr-Latn-RS"/>
        </w:rPr>
        <w:t>NOSILAC DOZVOLE</w:t>
      </w:r>
      <w:r w:rsidR="00483928" w:rsidRPr="00F66F27">
        <w:rPr>
          <w:b/>
          <w:bCs/>
          <w:sz w:val="22"/>
          <w:szCs w:val="22"/>
          <w:lang w:val="sr-Latn-RS"/>
        </w:rPr>
        <w:t xml:space="preserve"> </w:t>
      </w:r>
    </w:p>
    <w:p w14:paraId="4546C1F4" w14:textId="77777777" w:rsidR="00F62272" w:rsidRPr="00F66F27" w:rsidRDefault="00F62272" w:rsidP="00E22825">
      <w:pPr>
        <w:tabs>
          <w:tab w:val="left" w:pos="540"/>
          <w:tab w:val="left" w:pos="569"/>
        </w:tabs>
        <w:jc w:val="both"/>
        <w:rPr>
          <w:sz w:val="22"/>
          <w:szCs w:val="22"/>
          <w:lang w:val="sr-Latn-RS"/>
        </w:rPr>
      </w:pPr>
    </w:p>
    <w:p w14:paraId="7D2B6FDD" w14:textId="62E6A4A2" w:rsidR="00E22825" w:rsidRPr="00F66F27" w:rsidRDefault="00E22825" w:rsidP="00E22825">
      <w:pPr>
        <w:tabs>
          <w:tab w:val="left" w:pos="540"/>
          <w:tab w:val="left" w:pos="569"/>
        </w:tabs>
        <w:jc w:val="both"/>
        <w:rPr>
          <w:sz w:val="22"/>
          <w:szCs w:val="22"/>
          <w:lang w:val="sr-Latn-RS"/>
        </w:rPr>
      </w:pPr>
      <w:r w:rsidRPr="00F66F27">
        <w:rPr>
          <w:sz w:val="22"/>
          <w:szCs w:val="22"/>
          <w:lang w:val="sr-Latn-RS"/>
        </w:rPr>
        <w:t>PharmaSwiss - Montenegro, PharmaSwiss doo Beograd, dio stranog društva u Podgorici</w:t>
      </w:r>
    </w:p>
    <w:p w14:paraId="65CC5358" w14:textId="066F5BD6" w:rsidR="00E22825" w:rsidRPr="00F66F27" w:rsidRDefault="00E22825" w:rsidP="00E22825">
      <w:pPr>
        <w:tabs>
          <w:tab w:val="left" w:pos="540"/>
          <w:tab w:val="left" w:pos="569"/>
        </w:tabs>
        <w:jc w:val="both"/>
        <w:rPr>
          <w:sz w:val="22"/>
          <w:szCs w:val="22"/>
          <w:lang w:val="sr-Latn-RS"/>
        </w:rPr>
      </w:pPr>
      <w:r w:rsidRPr="00F66F27">
        <w:rPr>
          <w:sz w:val="22"/>
          <w:szCs w:val="22"/>
          <w:lang w:val="sr-Latn-RS"/>
        </w:rPr>
        <w:t>Rimski trg br. 16, Podgorica, Crna Gora</w:t>
      </w:r>
    </w:p>
    <w:p w14:paraId="29326B68" w14:textId="77777777" w:rsidR="00C61BE0" w:rsidRPr="00F66F27" w:rsidRDefault="00C61BE0" w:rsidP="004321FB">
      <w:pPr>
        <w:tabs>
          <w:tab w:val="left" w:pos="540"/>
          <w:tab w:val="left" w:pos="569"/>
        </w:tabs>
        <w:jc w:val="both"/>
        <w:rPr>
          <w:bCs/>
          <w:sz w:val="22"/>
          <w:szCs w:val="22"/>
          <w:lang w:val="sr-Latn-RS"/>
        </w:rPr>
      </w:pPr>
    </w:p>
    <w:p w14:paraId="0E4F3646" w14:textId="77777777" w:rsidR="00C37FD7" w:rsidRPr="00F66F27" w:rsidRDefault="00C37FD7" w:rsidP="004321FB">
      <w:pPr>
        <w:tabs>
          <w:tab w:val="left" w:pos="540"/>
          <w:tab w:val="left" w:pos="569"/>
        </w:tabs>
        <w:jc w:val="both"/>
        <w:rPr>
          <w:bCs/>
          <w:sz w:val="22"/>
          <w:szCs w:val="22"/>
          <w:lang w:val="sr-Latn-RS"/>
        </w:rPr>
      </w:pPr>
    </w:p>
    <w:p w14:paraId="7FA77EB4" w14:textId="77777777" w:rsidR="00511AB0" w:rsidRPr="00F66F27" w:rsidRDefault="0072020E" w:rsidP="004321FB">
      <w:pPr>
        <w:tabs>
          <w:tab w:val="left" w:pos="540"/>
          <w:tab w:val="left" w:pos="569"/>
          <w:tab w:val="left" w:pos="6690"/>
        </w:tabs>
        <w:jc w:val="both"/>
        <w:rPr>
          <w:b/>
          <w:bCs/>
          <w:sz w:val="22"/>
          <w:szCs w:val="22"/>
          <w:lang w:val="sr-Latn-RS"/>
        </w:rPr>
      </w:pPr>
      <w:r w:rsidRPr="00F66F27">
        <w:rPr>
          <w:b/>
          <w:bCs/>
          <w:sz w:val="22"/>
          <w:szCs w:val="22"/>
          <w:lang w:val="sr-Latn-RS"/>
        </w:rPr>
        <w:t xml:space="preserve">8. </w:t>
      </w:r>
      <w:r w:rsidR="00480FB1" w:rsidRPr="00F66F27">
        <w:rPr>
          <w:b/>
          <w:bCs/>
          <w:sz w:val="22"/>
          <w:szCs w:val="22"/>
          <w:lang w:val="sr-Latn-RS"/>
        </w:rPr>
        <w:tab/>
      </w:r>
      <w:r w:rsidRPr="00F66F27">
        <w:rPr>
          <w:b/>
          <w:bCs/>
          <w:sz w:val="22"/>
          <w:szCs w:val="22"/>
          <w:lang w:val="sr-Latn-RS"/>
        </w:rPr>
        <w:t>BROJ DOZVOLE</w:t>
      </w:r>
      <w:r w:rsidR="008A6D43" w:rsidRPr="00F66F27">
        <w:rPr>
          <w:b/>
          <w:bCs/>
          <w:sz w:val="22"/>
          <w:szCs w:val="22"/>
          <w:lang w:val="sr-Latn-RS"/>
        </w:rPr>
        <w:t xml:space="preserve"> ZA STAVLJANJE LIJEKA U PROMET</w:t>
      </w:r>
    </w:p>
    <w:p w14:paraId="7AE9FA25" w14:textId="77777777" w:rsidR="00511AB0" w:rsidRPr="00F66F27" w:rsidRDefault="00511AB0" w:rsidP="004321FB">
      <w:pPr>
        <w:tabs>
          <w:tab w:val="left" w:pos="540"/>
          <w:tab w:val="left" w:pos="569"/>
          <w:tab w:val="left" w:pos="6690"/>
        </w:tabs>
        <w:jc w:val="both"/>
        <w:rPr>
          <w:b/>
          <w:bCs/>
          <w:sz w:val="22"/>
          <w:szCs w:val="22"/>
          <w:lang w:val="sr-Latn-RS"/>
        </w:rPr>
      </w:pPr>
    </w:p>
    <w:p w14:paraId="0FE1C578" w14:textId="6F6EF73B" w:rsidR="0072020E" w:rsidRPr="00F66F27" w:rsidRDefault="00511AB0" w:rsidP="004321FB">
      <w:pPr>
        <w:tabs>
          <w:tab w:val="left" w:pos="540"/>
          <w:tab w:val="left" w:pos="569"/>
          <w:tab w:val="left" w:pos="6690"/>
        </w:tabs>
        <w:jc w:val="both"/>
        <w:rPr>
          <w:b/>
          <w:bCs/>
          <w:sz w:val="22"/>
          <w:szCs w:val="22"/>
          <w:lang w:val="sr-Latn-RS"/>
        </w:rPr>
      </w:pPr>
      <w:r w:rsidRPr="00F66F27">
        <w:rPr>
          <w:sz w:val="22"/>
          <w:szCs w:val="22"/>
          <w:lang w:val="sr-Latn-RS" w:eastAsia="sr-Latn-ME"/>
        </w:rPr>
        <w:t>2030/24/2306 - 8503</w:t>
      </w:r>
      <w:r w:rsidR="00A047E8" w:rsidRPr="00F66F27">
        <w:rPr>
          <w:b/>
          <w:bCs/>
          <w:sz w:val="22"/>
          <w:szCs w:val="22"/>
          <w:lang w:val="sr-Latn-RS"/>
        </w:rPr>
        <w:tab/>
      </w:r>
    </w:p>
    <w:p w14:paraId="15B87D6B" w14:textId="61B03EE5" w:rsidR="00A047E8" w:rsidRPr="00F66F27" w:rsidRDefault="00A047E8" w:rsidP="004321FB">
      <w:pPr>
        <w:tabs>
          <w:tab w:val="left" w:pos="540"/>
          <w:tab w:val="left" w:pos="569"/>
          <w:tab w:val="left" w:pos="6690"/>
        </w:tabs>
        <w:jc w:val="both"/>
        <w:rPr>
          <w:b/>
          <w:bCs/>
          <w:sz w:val="22"/>
          <w:szCs w:val="22"/>
          <w:lang w:val="sr-Latn-RS"/>
        </w:rPr>
      </w:pPr>
    </w:p>
    <w:p w14:paraId="44087C30" w14:textId="77777777" w:rsidR="00A047E8" w:rsidRPr="00F66F27" w:rsidRDefault="00A047E8" w:rsidP="004321FB">
      <w:pPr>
        <w:tabs>
          <w:tab w:val="left" w:pos="540"/>
          <w:tab w:val="left" w:pos="569"/>
        </w:tabs>
        <w:jc w:val="both"/>
        <w:rPr>
          <w:bCs/>
          <w:sz w:val="22"/>
          <w:szCs w:val="22"/>
          <w:lang w:val="sr-Latn-RS"/>
        </w:rPr>
      </w:pPr>
    </w:p>
    <w:p w14:paraId="58E40C95" w14:textId="77777777" w:rsidR="0072020E" w:rsidRPr="00F66F27" w:rsidRDefault="0072020E" w:rsidP="004321FB">
      <w:pPr>
        <w:tabs>
          <w:tab w:val="left" w:pos="540"/>
          <w:tab w:val="left" w:pos="569"/>
        </w:tabs>
        <w:jc w:val="both"/>
        <w:rPr>
          <w:b/>
          <w:bCs/>
          <w:sz w:val="22"/>
          <w:szCs w:val="22"/>
          <w:lang w:val="sr-Latn-RS"/>
        </w:rPr>
      </w:pPr>
      <w:r w:rsidRPr="00F66F27">
        <w:rPr>
          <w:b/>
          <w:bCs/>
          <w:sz w:val="22"/>
          <w:szCs w:val="22"/>
          <w:lang w:val="sr-Latn-RS"/>
        </w:rPr>
        <w:t xml:space="preserve">9. </w:t>
      </w:r>
      <w:r w:rsidR="00480FB1" w:rsidRPr="00F66F27">
        <w:rPr>
          <w:b/>
          <w:bCs/>
          <w:sz w:val="22"/>
          <w:szCs w:val="22"/>
          <w:lang w:val="sr-Latn-RS"/>
        </w:rPr>
        <w:tab/>
      </w:r>
      <w:r w:rsidRPr="00F66F27">
        <w:rPr>
          <w:b/>
          <w:bCs/>
          <w:sz w:val="22"/>
          <w:szCs w:val="22"/>
          <w:lang w:val="sr-Latn-RS"/>
        </w:rPr>
        <w:t xml:space="preserve">DATUM </w:t>
      </w:r>
      <w:r w:rsidR="00C05DF8" w:rsidRPr="00F66F27">
        <w:rPr>
          <w:b/>
          <w:bCs/>
          <w:sz w:val="22"/>
          <w:szCs w:val="22"/>
          <w:lang w:val="sr-Latn-RS"/>
        </w:rPr>
        <w:t xml:space="preserve">PRVE </w:t>
      </w:r>
      <w:r w:rsidR="008A6D43" w:rsidRPr="00F66F27">
        <w:rPr>
          <w:b/>
          <w:bCs/>
          <w:sz w:val="22"/>
          <w:szCs w:val="22"/>
          <w:lang w:val="sr-Latn-RS"/>
        </w:rPr>
        <w:t>DOZVOLE</w:t>
      </w:r>
      <w:r w:rsidR="00C05DF8" w:rsidRPr="00F66F27">
        <w:rPr>
          <w:b/>
          <w:bCs/>
          <w:sz w:val="22"/>
          <w:szCs w:val="22"/>
          <w:lang w:val="sr-Latn-RS"/>
        </w:rPr>
        <w:t>/OBNOVE DOZVOLE</w:t>
      </w:r>
      <w:r w:rsidR="008A6D43" w:rsidRPr="00F66F27">
        <w:rPr>
          <w:b/>
          <w:bCs/>
          <w:sz w:val="22"/>
          <w:szCs w:val="22"/>
          <w:lang w:val="sr-Latn-RS"/>
        </w:rPr>
        <w:t xml:space="preserve"> ZA STAVLJANJE LIJEKA U PROMET</w:t>
      </w:r>
    </w:p>
    <w:p w14:paraId="3FC3919C" w14:textId="0ED51D30" w:rsidR="0072020E" w:rsidRPr="00F66F27" w:rsidRDefault="0072020E" w:rsidP="004321FB">
      <w:pPr>
        <w:tabs>
          <w:tab w:val="left" w:pos="540"/>
          <w:tab w:val="left" w:pos="569"/>
        </w:tabs>
        <w:jc w:val="both"/>
        <w:rPr>
          <w:bCs/>
          <w:sz w:val="22"/>
          <w:szCs w:val="22"/>
          <w:lang w:val="sr-Latn-RS"/>
        </w:rPr>
      </w:pPr>
    </w:p>
    <w:p w14:paraId="7D8D934A" w14:textId="28EB86A1" w:rsidR="00511AB0" w:rsidRPr="00F66F27" w:rsidRDefault="00511AB0" w:rsidP="00511AB0">
      <w:pPr>
        <w:jc w:val="both"/>
        <w:rPr>
          <w:sz w:val="22"/>
          <w:szCs w:val="22"/>
          <w:lang w:val="sr-Latn-RS"/>
        </w:rPr>
      </w:pPr>
      <w:r w:rsidRPr="00F66F27">
        <w:rPr>
          <w:color w:val="000000"/>
          <w:spacing w:val="5"/>
          <w:sz w:val="22"/>
          <w:szCs w:val="22"/>
          <w:lang w:val="sr-Latn-RS"/>
        </w:rPr>
        <w:t xml:space="preserve">Datum prve dozvole: </w:t>
      </w:r>
      <w:r w:rsidRPr="00F66F27">
        <w:rPr>
          <w:sz w:val="22"/>
          <w:szCs w:val="22"/>
          <w:lang w:val="sr-Latn-RS" w:eastAsia="sr-Latn-ME"/>
        </w:rPr>
        <w:t>04.10.2013. godine</w:t>
      </w:r>
    </w:p>
    <w:p w14:paraId="3B5881AF" w14:textId="558C8061" w:rsidR="00511AB0" w:rsidRPr="00F66F27" w:rsidRDefault="00511AB0" w:rsidP="00511AB0">
      <w:pPr>
        <w:tabs>
          <w:tab w:val="left" w:pos="540"/>
          <w:tab w:val="left" w:pos="569"/>
        </w:tabs>
        <w:jc w:val="both"/>
        <w:rPr>
          <w:bCs/>
          <w:sz w:val="22"/>
          <w:szCs w:val="22"/>
          <w:lang w:val="sr-Latn-RS"/>
        </w:rPr>
      </w:pPr>
      <w:r w:rsidRPr="00F66F27">
        <w:rPr>
          <w:bCs/>
          <w:sz w:val="22"/>
          <w:szCs w:val="22"/>
          <w:lang w:val="sr-Latn-RS"/>
        </w:rPr>
        <w:t xml:space="preserve">Datum poslednje obnove dozvole: </w:t>
      </w:r>
      <w:r w:rsidRPr="00F66F27">
        <w:rPr>
          <w:sz w:val="22"/>
          <w:szCs w:val="22"/>
          <w:lang w:val="sr-Latn-RS" w:eastAsia="sr-Latn-ME"/>
        </w:rPr>
        <w:t>19.04.2024. godine</w:t>
      </w:r>
    </w:p>
    <w:p w14:paraId="20CD8644" w14:textId="77777777" w:rsidR="00511AB0" w:rsidRPr="00F66F27" w:rsidRDefault="00511AB0" w:rsidP="004321FB">
      <w:pPr>
        <w:tabs>
          <w:tab w:val="left" w:pos="540"/>
          <w:tab w:val="left" w:pos="569"/>
        </w:tabs>
        <w:jc w:val="both"/>
        <w:rPr>
          <w:bCs/>
          <w:sz w:val="22"/>
          <w:szCs w:val="22"/>
          <w:lang w:val="sr-Latn-RS"/>
        </w:rPr>
      </w:pPr>
    </w:p>
    <w:p w14:paraId="4CB5F393" w14:textId="77777777" w:rsidR="00836B35" w:rsidRPr="00F66F27" w:rsidRDefault="00836B35" w:rsidP="004321FB">
      <w:pPr>
        <w:tabs>
          <w:tab w:val="left" w:pos="540"/>
          <w:tab w:val="left" w:pos="569"/>
        </w:tabs>
        <w:jc w:val="both"/>
        <w:rPr>
          <w:bCs/>
          <w:sz w:val="22"/>
          <w:szCs w:val="22"/>
          <w:lang w:val="sr-Latn-RS"/>
        </w:rPr>
      </w:pPr>
    </w:p>
    <w:p w14:paraId="7B4E2970" w14:textId="77777777" w:rsidR="003F6A59" w:rsidRPr="00F66F27" w:rsidRDefault="0072020E" w:rsidP="004321FB">
      <w:pPr>
        <w:tabs>
          <w:tab w:val="left" w:pos="540"/>
          <w:tab w:val="left" w:pos="569"/>
        </w:tabs>
        <w:ind w:left="540" w:hanging="540"/>
        <w:jc w:val="both"/>
        <w:rPr>
          <w:bCs/>
          <w:sz w:val="22"/>
          <w:szCs w:val="22"/>
          <w:lang w:val="sr-Latn-RS"/>
        </w:rPr>
      </w:pPr>
      <w:r w:rsidRPr="00F66F27">
        <w:rPr>
          <w:b/>
          <w:bCs/>
          <w:sz w:val="22"/>
          <w:szCs w:val="22"/>
          <w:lang w:val="sr-Latn-RS"/>
        </w:rPr>
        <w:t xml:space="preserve">10. </w:t>
      </w:r>
      <w:r w:rsidR="00480FB1" w:rsidRPr="00F66F27">
        <w:rPr>
          <w:b/>
          <w:bCs/>
          <w:sz w:val="22"/>
          <w:szCs w:val="22"/>
          <w:lang w:val="sr-Latn-RS"/>
        </w:rPr>
        <w:tab/>
      </w:r>
      <w:r w:rsidR="002846DB" w:rsidRPr="00F66F27">
        <w:rPr>
          <w:b/>
          <w:bCs/>
          <w:sz w:val="22"/>
          <w:szCs w:val="22"/>
          <w:lang w:val="sr-Latn-RS"/>
        </w:rPr>
        <w:t>D</w:t>
      </w:r>
      <w:r w:rsidR="00EC2532" w:rsidRPr="00F66F27">
        <w:rPr>
          <w:b/>
          <w:bCs/>
          <w:sz w:val="22"/>
          <w:szCs w:val="22"/>
          <w:lang w:val="sr-Latn-RS"/>
        </w:rPr>
        <w:t xml:space="preserve">ATUM REVIZIJE TEKSTA </w:t>
      </w:r>
    </w:p>
    <w:p w14:paraId="0098A221" w14:textId="77777777" w:rsidR="003F6A59" w:rsidRPr="00F66F27" w:rsidRDefault="003F6A59" w:rsidP="004321FB">
      <w:pPr>
        <w:tabs>
          <w:tab w:val="left" w:pos="540"/>
          <w:tab w:val="left" w:pos="569"/>
        </w:tabs>
        <w:jc w:val="both"/>
        <w:rPr>
          <w:bCs/>
          <w:sz w:val="22"/>
          <w:szCs w:val="22"/>
          <w:lang w:val="sr-Latn-RS"/>
        </w:rPr>
      </w:pPr>
    </w:p>
    <w:p w14:paraId="6A4FCC66" w14:textId="32008AAF" w:rsidR="003F6A59" w:rsidRPr="00F66F27" w:rsidRDefault="00511AB0" w:rsidP="004321FB">
      <w:pPr>
        <w:jc w:val="both"/>
        <w:rPr>
          <w:sz w:val="22"/>
          <w:szCs w:val="22"/>
          <w:lang w:val="sr-Latn-RS"/>
        </w:rPr>
      </w:pPr>
      <w:r w:rsidRPr="00F66F27">
        <w:rPr>
          <w:bCs/>
          <w:sz w:val="22"/>
          <w:szCs w:val="22"/>
          <w:lang w:val="sr-Latn-RS"/>
        </w:rPr>
        <w:t>April, 2024. godine</w:t>
      </w:r>
      <w:bookmarkEnd w:id="0"/>
    </w:p>
    <w:sectPr w:rsidR="003F6A59" w:rsidRPr="00F66F27"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44068" w14:textId="77777777" w:rsidR="00C07D94" w:rsidRDefault="00C07D94">
      <w:r>
        <w:separator/>
      </w:r>
    </w:p>
  </w:endnote>
  <w:endnote w:type="continuationSeparator" w:id="0">
    <w:p w14:paraId="63F5DC2F" w14:textId="77777777" w:rsidR="00C07D94" w:rsidRDefault="00C0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F68C" w14:textId="4F27CEDC" w:rsidR="00482ACD" w:rsidRPr="00B23F69" w:rsidRDefault="00482AC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66F27">
      <w:rPr>
        <w:noProof/>
        <w:sz w:val="22"/>
        <w:szCs w:val="22"/>
      </w:rPr>
      <w:t>13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66F27">
      <w:rPr>
        <w:noProof/>
        <w:sz w:val="22"/>
        <w:szCs w:val="22"/>
      </w:rPr>
      <w:t>13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04F92" w14:textId="77777777" w:rsidR="00C07D94" w:rsidRDefault="00C07D94">
      <w:r>
        <w:separator/>
      </w:r>
    </w:p>
  </w:footnote>
  <w:footnote w:type="continuationSeparator" w:id="0">
    <w:p w14:paraId="7072EA8A" w14:textId="77777777" w:rsidR="00C07D94" w:rsidRDefault="00C0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0D0A9E"/>
    <w:multiLevelType w:val="hybridMultilevel"/>
    <w:tmpl w:val="FAC6FFE2"/>
    <w:lvl w:ilvl="0" w:tplc="2CAA049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BE19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EC98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A04C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80A9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ACF6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90EC3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201C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2A6D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670"/>
    <w:rsid w:val="000176CA"/>
    <w:rsid w:val="00036FA0"/>
    <w:rsid w:val="0003793F"/>
    <w:rsid w:val="00054325"/>
    <w:rsid w:val="00057E35"/>
    <w:rsid w:val="00073A7C"/>
    <w:rsid w:val="00076726"/>
    <w:rsid w:val="00080303"/>
    <w:rsid w:val="000A3E7F"/>
    <w:rsid w:val="000A3F58"/>
    <w:rsid w:val="000D2343"/>
    <w:rsid w:val="000D3449"/>
    <w:rsid w:val="000D425A"/>
    <w:rsid w:val="000D60CC"/>
    <w:rsid w:val="000E2084"/>
    <w:rsid w:val="000E4743"/>
    <w:rsid w:val="000E6F55"/>
    <w:rsid w:val="000F5DC3"/>
    <w:rsid w:val="000F77FA"/>
    <w:rsid w:val="000F79EA"/>
    <w:rsid w:val="00107BF7"/>
    <w:rsid w:val="00126F53"/>
    <w:rsid w:val="00140303"/>
    <w:rsid w:val="0014766D"/>
    <w:rsid w:val="001536CC"/>
    <w:rsid w:val="001A3FBA"/>
    <w:rsid w:val="001A5518"/>
    <w:rsid w:val="001B1C6A"/>
    <w:rsid w:val="001B6979"/>
    <w:rsid w:val="001C1263"/>
    <w:rsid w:val="001C1417"/>
    <w:rsid w:val="001E390B"/>
    <w:rsid w:val="001F42FB"/>
    <w:rsid w:val="001F719A"/>
    <w:rsid w:val="002031B3"/>
    <w:rsid w:val="00215931"/>
    <w:rsid w:val="00224C91"/>
    <w:rsid w:val="00227BDB"/>
    <w:rsid w:val="00234CB1"/>
    <w:rsid w:val="002352F8"/>
    <w:rsid w:val="002464BB"/>
    <w:rsid w:val="002510A5"/>
    <w:rsid w:val="00254A0A"/>
    <w:rsid w:val="002570B9"/>
    <w:rsid w:val="00266046"/>
    <w:rsid w:val="002846DB"/>
    <w:rsid w:val="00284CCD"/>
    <w:rsid w:val="002B0F7F"/>
    <w:rsid w:val="002C2269"/>
    <w:rsid w:val="002C6637"/>
    <w:rsid w:val="002D2B34"/>
    <w:rsid w:val="002E0135"/>
    <w:rsid w:val="002E37A5"/>
    <w:rsid w:val="003019DE"/>
    <w:rsid w:val="00310F03"/>
    <w:rsid w:val="003247D2"/>
    <w:rsid w:val="00333AD5"/>
    <w:rsid w:val="003426D3"/>
    <w:rsid w:val="003445C1"/>
    <w:rsid w:val="00347F60"/>
    <w:rsid w:val="00355B61"/>
    <w:rsid w:val="00362686"/>
    <w:rsid w:val="00371510"/>
    <w:rsid w:val="003952E2"/>
    <w:rsid w:val="00396DFD"/>
    <w:rsid w:val="003A7059"/>
    <w:rsid w:val="003B7A36"/>
    <w:rsid w:val="003C17AB"/>
    <w:rsid w:val="003C7823"/>
    <w:rsid w:val="003E1DCC"/>
    <w:rsid w:val="003F11A1"/>
    <w:rsid w:val="003F6A59"/>
    <w:rsid w:val="004065C8"/>
    <w:rsid w:val="004109FA"/>
    <w:rsid w:val="00411B4B"/>
    <w:rsid w:val="00415BEE"/>
    <w:rsid w:val="00427F85"/>
    <w:rsid w:val="004321FB"/>
    <w:rsid w:val="00436F42"/>
    <w:rsid w:val="004378B4"/>
    <w:rsid w:val="00451314"/>
    <w:rsid w:val="00452E9D"/>
    <w:rsid w:val="004534C7"/>
    <w:rsid w:val="004671AA"/>
    <w:rsid w:val="00480FB1"/>
    <w:rsid w:val="00482ACD"/>
    <w:rsid w:val="00483928"/>
    <w:rsid w:val="004962C4"/>
    <w:rsid w:val="004C331F"/>
    <w:rsid w:val="004D5A28"/>
    <w:rsid w:val="004D6103"/>
    <w:rsid w:val="004E3BCE"/>
    <w:rsid w:val="004E70AD"/>
    <w:rsid w:val="004F0E97"/>
    <w:rsid w:val="004F5969"/>
    <w:rsid w:val="00501DD1"/>
    <w:rsid w:val="00511A40"/>
    <w:rsid w:val="00511AB0"/>
    <w:rsid w:val="00515C21"/>
    <w:rsid w:val="00530BD7"/>
    <w:rsid w:val="00545CD2"/>
    <w:rsid w:val="005476F3"/>
    <w:rsid w:val="00567DB0"/>
    <w:rsid w:val="00572527"/>
    <w:rsid w:val="005727C2"/>
    <w:rsid w:val="00573E40"/>
    <w:rsid w:val="00576348"/>
    <w:rsid w:val="005A0B2E"/>
    <w:rsid w:val="005A23D2"/>
    <w:rsid w:val="005A36CB"/>
    <w:rsid w:val="005B49B8"/>
    <w:rsid w:val="005C0741"/>
    <w:rsid w:val="005C5EF4"/>
    <w:rsid w:val="005E2E0B"/>
    <w:rsid w:val="005E7A7D"/>
    <w:rsid w:val="00602457"/>
    <w:rsid w:val="00644FC3"/>
    <w:rsid w:val="00646BD1"/>
    <w:rsid w:val="006561C2"/>
    <w:rsid w:val="00671CB3"/>
    <w:rsid w:val="00674BAF"/>
    <w:rsid w:val="00682200"/>
    <w:rsid w:val="00692BF6"/>
    <w:rsid w:val="006A1497"/>
    <w:rsid w:val="006B0BD1"/>
    <w:rsid w:val="006B2B95"/>
    <w:rsid w:val="006B5404"/>
    <w:rsid w:val="006D20A5"/>
    <w:rsid w:val="006D37BF"/>
    <w:rsid w:val="007013CB"/>
    <w:rsid w:val="00702E22"/>
    <w:rsid w:val="0072020E"/>
    <w:rsid w:val="007642F8"/>
    <w:rsid w:val="00786071"/>
    <w:rsid w:val="007A3ECB"/>
    <w:rsid w:val="007C2064"/>
    <w:rsid w:val="007D7BB3"/>
    <w:rsid w:val="007E2831"/>
    <w:rsid w:val="007E5BE0"/>
    <w:rsid w:val="00824AB9"/>
    <w:rsid w:val="00836B35"/>
    <w:rsid w:val="008373A5"/>
    <w:rsid w:val="00843BDE"/>
    <w:rsid w:val="00855AD7"/>
    <w:rsid w:val="0087588C"/>
    <w:rsid w:val="0089705C"/>
    <w:rsid w:val="008A6D43"/>
    <w:rsid w:val="008B491E"/>
    <w:rsid w:val="008C1A28"/>
    <w:rsid w:val="008C2E98"/>
    <w:rsid w:val="008E49BD"/>
    <w:rsid w:val="008E53E9"/>
    <w:rsid w:val="008E5771"/>
    <w:rsid w:val="008F4ACF"/>
    <w:rsid w:val="00924166"/>
    <w:rsid w:val="00940B9B"/>
    <w:rsid w:val="0095676E"/>
    <w:rsid w:val="00956983"/>
    <w:rsid w:val="00963CF0"/>
    <w:rsid w:val="00964BB1"/>
    <w:rsid w:val="00972644"/>
    <w:rsid w:val="009775D9"/>
    <w:rsid w:val="00997175"/>
    <w:rsid w:val="009A1847"/>
    <w:rsid w:val="009B062A"/>
    <w:rsid w:val="009B3B33"/>
    <w:rsid w:val="009E7C6F"/>
    <w:rsid w:val="009F1793"/>
    <w:rsid w:val="009F2D23"/>
    <w:rsid w:val="00A01D69"/>
    <w:rsid w:val="00A02335"/>
    <w:rsid w:val="00A047E8"/>
    <w:rsid w:val="00A053DA"/>
    <w:rsid w:val="00A46C9A"/>
    <w:rsid w:val="00A619F3"/>
    <w:rsid w:val="00A62A73"/>
    <w:rsid w:val="00A87FF6"/>
    <w:rsid w:val="00A92A26"/>
    <w:rsid w:val="00AA0A3B"/>
    <w:rsid w:val="00AA2763"/>
    <w:rsid w:val="00AA33B6"/>
    <w:rsid w:val="00AB4B85"/>
    <w:rsid w:val="00AB50CA"/>
    <w:rsid w:val="00AB6D64"/>
    <w:rsid w:val="00AC53CE"/>
    <w:rsid w:val="00AC7C30"/>
    <w:rsid w:val="00AD2193"/>
    <w:rsid w:val="00AF2AC7"/>
    <w:rsid w:val="00AF74CE"/>
    <w:rsid w:val="00B208DB"/>
    <w:rsid w:val="00B23F69"/>
    <w:rsid w:val="00B60619"/>
    <w:rsid w:val="00B65705"/>
    <w:rsid w:val="00B66A70"/>
    <w:rsid w:val="00B67366"/>
    <w:rsid w:val="00B80EE1"/>
    <w:rsid w:val="00B84135"/>
    <w:rsid w:val="00C04D34"/>
    <w:rsid w:val="00C05DF8"/>
    <w:rsid w:val="00C06864"/>
    <w:rsid w:val="00C07D94"/>
    <w:rsid w:val="00C10F54"/>
    <w:rsid w:val="00C23D8D"/>
    <w:rsid w:val="00C37AA3"/>
    <w:rsid w:val="00C37FD7"/>
    <w:rsid w:val="00C43419"/>
    <w:rsid w:val="00C44CF3"/>
    <w:rsid w:val="00C61BE0"/>
    <w:rsid w:val="00C6707E"/>
    <w:rsid w:val="00C70B0E"/>
    <w:rsid w:val="00C773CA"/>
    <w:rsid w:val="00C83785"/>
    <w:rsid w:val="00C94C0D"/>
    <w:rsid w:val="00CA1FEB"/>
    <w:rsid w:val="00CA6D84"/>
    <w:rsid w:val="00CD4F85"/>
    <w:rsid w:val="00CD6F02"/>
    <w:rsid w:val="00CE246D"/>
    <w:rsid w:val="00CF07A0"/>
    <w:rsid w:val="00CF3E03"/>
    <w:rsid w:val="00D0082A"/>
    <w:rsid w:val="00D21455"/>
    <w:rsid w:val="00D47634"/>
    <w:rsid w:val="00D709B3"/>
    <w:rsid w:val="00D960C0"/>
    <w:rsid w:val="00DA2ED6"/>
    <w:rsid w:val="00DB76B8"/>
    <w:rsid w:val="00DC2EA1"/>
    <w:rsid w:val="00DD6AAF"/>
    <w:rsid w:val="00DE3F5C"/>
    <w:rsid w:val="00DF1D20"/>
    <w:rsid w:val="00E21324"/>
    <w:rsid w:val="00E22825"/>
    <w:rsid w:val="00E246B9"/>
    <w:rsid w:val="00E31FEA"/>
    <w:rsid w:val="00E338DB"/>
    <w:rsid w:val="00E45169"/>
    <w:rsid w:val="00E47787"/>
    <w:rsid w:val="00E51C30"/>
    <w:rsid w:val="00E64180"/>
    <w:rsid w:val="00E66472"/>
    <w:rsid w:val="00E74AEE"/>
    <w:rsid w:val="00E868E5"/>
    <w:rsid w:val="00E9237A"/>
    <w:rsid w:val="00E939FA"/>
    <w:rsid w:val="00EA5765"/>
    <w:rsid w:val="00EC2532"/>
    <w:rsid w:val="00ED7812"/>
    <w:rsid w:val="00EF3B86"/>
    <w:rsid w:val="00F24BC8"/>
    <w:rsid w:val="00F317E9"/>
    <w:rsid w:val="00F34554"/>
    <w:rsid w:val="00F45F77"/>
    <w:rsid w:val="00F5167F"/>
    <w:rsid w:val="00F52258"/>
    <w:rsid w:val="00F62272"/>
    <w:rsid w:val="00F66F27"/>
    <w:rsid w:val="00F8570A"/>
    <w:rsid w:val="00F91C7B"/>
    <w:rsid w:val="00FD6BA2"/>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74AD1"/>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2464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46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934C-6027-4AE7-8601-869B207F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4979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33299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10</cp:revision>
  <dcterms:created xsi:type="dcterms:W3CDTF">2024-04-17T08:19:00Z</dcterms:created>
  <dcterms:modified xsi:type="dcterms:W3CDTF">2024-04-19T11:38:00Z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