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6EC96" w14:textId="3D8FF96F" w:rsidR="00CE09F3" w:rsidRPr="00CD6B00" w:rsidRDefault="00CE09F3" w:rsidP="00D72925">
      <w:pPr>
        <w:jc w:val="center"/>
        <w:rPr>
          <w:b/>
          <w:bCs/>
          <w:iCs/>
          <w:szCs w:val="22"/>
          <w:u w:val="single"/>
          <w:lang w:val="hr-HR"/>
        </w:rPr>
      </w:pPr>
      <w:r w:rsidRPr="00CD6B00">
        <w:rPr>
          <w:b/>
          <w:bCs/>
          <w:iCs/>
          <w:szCs w:val="22"/>
          <w:u w:val="single"/>
          <w:lang w:val="hr-HR"/>
        </w:rPr>
        <w:t>SAŽETAK KARAKTERISTIKA L</w:t>
      </w:r>
      <w:r w:rsidR="00935053" w:rsidRPr="00CD6B00">
        <w:rPr>
          <w:b/>
          <w:bCs/>
          <w:iCs/>
          <w:szCs w:val="22"/>
          <w:u w:val="single"/>
          <w:lang w:val="hr-HR"/>
        </w:rPr>
        <w:t>IJ</w:t>
      </w:r>
      <w:r w:rsidRPr="00CD6B00">
        <w:rPr>
          <w:b/>
          <w:bCs/>
          <w:iCs/>
          <w:szCs w:val="22"/>
          <w:u w:val="single"/>
          <w:lang w:val="hr-HR"/>
        </w:rPr>
        <w:t>EKA</w:t>
      </w:r>
    </w:p>
    <w:p w14:paraId="47C6D4AA" w14:textId="678C126A" w:rsidR="00383195" w:rsidRPr="00CD6B00" w:rsidRDefault="003E3EC7" w:rsidP="00D72925">
      <w:pPr>
        <w:rPr>
          <w:color w:val="FF0000"/>
          <w:szCs w:val="22"/>
          <w:lang w:val="hr-HR"/>
        </w:rPr>
      </w:pPr>
      <w:r w:rsidRPr="00CD6B00">
        <w:rPr>
          <w:color w:val="FF0000"/>
          <w:szCs w:val="22"/>
          <w:lang w:val="hr-HR"/>
        </w:rPr>
        <w:t xml:space="preserve"> </w:t>
      </w:r>
    </w:p>
    <w:p w14:paraId="31D9654F" w14:textId="77777777" w:rsidR="00CE09F3" w:rsidRPr="00CD6B00" w:rsidRDefault="00CE09F3" w:rsidP="00D72925">
      <w:pPr>
        <w:rPr>
          <w:b/>
          <w:bCs/>
          <w:color w:val="FF0000"/>
          <w:szCs w:val="22"/>
          <w:lang w:val="hr-HR"/>
        </w:rPr>
      </w:pPr>
    </w:p>
    <w:p w14:paraId="7C106295" w14:textId="09B8EEFD" w:rsidR="00CE09F3" w:rsidRPr="008C59C8" w:rsidRDefault="00935053" w:rsidP="00D72925">
      <w:pPr>
        <w:pStyle w:val="NASLOV123"/>
        <w:numPr>
          <w:ilvl w:val="0"/>
          <w:numId w:val="8"/>
        </w:numPr>
        <w:spacing w:before="0" w:after="0"/>
        <w:ind w:hanging="720"/>
        <w:jc w:val="both"/>
        <w:rPr>
          <w:lang w:val="hr-HR"/>
        </w:rPr>
      </w:pPr>
      <w:r w:rsidRPr="00913317">
        <w:rPr>
          <w:lang w:val="hr-HR"/>
        </w:rPr>
        <w:t>NAZIV</w:t>
      </w:r>
      <w:r w:rsidR="00CE09F3" w:rsidRPr="00913317">
        <w:rPr>
          <w:lang w:val="hr-HR"/>
        </w:rPr>
        <w:t xml:space="preserve"> L</w:t>
      </w:r>
      <w:r w:rsidRPr="00913317">
        <w:rPr>
          <w:lang w:val="hr-HR"/>
        </w:rPr>
        <w:t>IJ</w:t>
      </w:r>
      <w:r w:rsidR="00CE09F3" w:rsidRPr="00913317">
        <w:rPr>
          <w:lang w:val="hr-HR"/>
        </w:rPr>
        <w:t>EKA</w:t>
      </w:r>
    </w:p>
    <w:p w14:paraId="16B51B7B" w14:textId="77777777" w:rsidR="00A71908" w:rsidRPr="008C59C8" w:rsidRDefault="00A71908" w:rsidP="00D72925">
      <w:pPr>
        <w:pStyle w:val="NASLOV123"/>
        <w:spacing w:before="0" w:after="0"/>
        <w:jc w:val="both"/>
        <w:rPr>
          <w:lang w:val="hr-HR"/>
        </w:rPr>
      </w:pPr>
    </w:p>
    <w:p w14:paraId="1BA2FAFF" w14:textId="49025D95" w:rsidR="006131C3" w:rsidRPr="00723F41" w:rsidRDefault="000F1AF6" w:rsidP="00D72925">
      <w:pPr>
        <w:rPr>
          <w:bCs/>
          <w:szCs w:val="22"/>
          <w:lang w:val="hr-HR"/>
        </w:rPr>
      </w:pPr>
      <w:r w:rsidRPr="00D837A3">
        <w:rPr>
          <w:bCs/>
          <w:szCs w:val="22"/>
          <w:lang w:val="hr-HR"/>
        </w:rPr>
        <w:t>Vfend</w:t>
      </w:r>
      <w:r w:rsidR="00671613" w:rsidRPr="003307B5">
        <w:rPr>
          <w:bCs/>
          <w:szCs w:val="22"/>
          <w:lang w:val="hr-HR"/>
        </w:rPr>
        <w:t xml:space="preserve">, </w:t>
      </w:r>
      <w:r w:rsidRPr="0029457E">
        <w:rPr>
          <w:bCs/>
          <w:szCs w:val="22"/>
          <w:lang w:val="hr-HR"/>
        </w:rPr>
        <w:t>200 mg, prašak za rastvor za infuziju</w:t>
      </w:r>
    </w:p>
    <w:p w14:paraId="5683CEB2" w14:textId="77777777" w:rsidR="006131C3" w:rsidRPr="00913317" w:rsidRDefault="006131C3" w:rsidP="00D72925">
      <w:pPr>
        <w:rPr>
          <w:szCs w:val="22"/>
          <w:lang w:val="hr-HR"/>
        </w:rPr>
      </w:pPr>
    </w:p>
    <w:p w14:paraId="199D5623" w14:textId="77777777" w:rsidR="006131C3" w:rsidRPr="00913317" w:rsidRDefault="00CE09F3" w:rsidP="00D72925">
      <w:pPr>
        <w:rPr>
          <w:szCs w:val="22"/>
          <w:lang w:val="hr-HR"/>
        </w:rPr>
      </w:pPr>
      <w:r w:rsidRPr="00913317">
        <w:rPr>
          <w:szCs w:val="22"/>
          <w:lang w:val="hr-HR"/>
        </w:rPr>
        <w:t>INN:</w:t>
      </w:r>
      <w:r w:rsidR="000F1AF6" w:rsidRPr="00913317">
        <w:rPr>
          <w:szCs w:val="22"/>
          <w:lang w:val="hr-HR"/>
        </w:rPr>
        <w:t xml:space="preserve"> vorikonazol</w:t>
      </w:r>
    </w:p>
    <w:p w14:paraId="43FE3D87" w14:textId="13DE6054" w:rsidR="006131C3" w:rsidRPr="00913317" w:rsidRDefault="006131C3" w:rsidP="00D72925">
      <w:pPr>
        <w:rPr>
          <w:bCs/>
          <w:i/>
          <w:iCs/>
          <w:color w:val="FF0000"/>
          <w:szCs w:val="22"/>
          <w:lang w:val="hr-HR"/>
        </w:rPr>
      </w:pPr>
    </w:p>
    <w:p w14:paraId="55222F63" w14:textId="77777777" w:rsidR="00A71908" w:rsidRPr="00913317" w:rsidRDefault="00A71908" w:rsidP="00D72925">
      <w:pPr>
        <w:rPr>
          <w:bCs/>
          <w:i/>
          <w:iCs/>
          <w:color w:val="FF0000"/>
          <w:szCs w:val="22"/>
          <w:lang w:val="hr-HR"/>
        </w:rPr>
      </w:pPr>
    </w:p>
    <w:p w14:paraId="0B8B4275" w14:textId="1282025C" w:rsidR="00CE09F3" w:rsidRPr="00913317" w:rsidRDefault="00491C25" w:rsidP="00D72925">
      <w:pPr>
        <w:pStyle w:val="NASLOV123"/>
        <w:spacing w:before="0" w:after="0"/>
        <w:jc w:val="both"/>
        <w:rPr>
          <w:lang w:val="hr-HR"/>
        </w:rPr>
      </w:pPr>
      <w:r w:rsidRPr="00913317">
        <w:rPr>
          <w:lang w:val="hr-HR"/>
        </w:rPr>
        <w:t>2.</w:t>
      </w:r>
      <w:r w:rsidRPr="00913317">
        <w:rPr>
          <w:lang w:val="hr-HR"/>
        </w:rPr>
        <w:tab/>
      </w:r>
      <w:r w:rsidR="00CE09F3" w:rsidRPr="00913317">
        <w:rPr>
          <w:lang w:val="hr-HR"/>
        </w:rPr>
        <w:t>KVALITATIVNI I KVANTITATIVNI SASTAV</w:t>
      </w:r>
    </w:p>
    <w:p w14:paraId="7E8DF443" w14:textId="77777777" w:rsidR="00A71908" w:rsidRPr="00913317" w:rsidRDefault="00A71908" w:rsidP="00D72925">
      <w:pPr>
        <w:tabs>
          <w:tab w:val="clear" w:pos="284"/>
          <w:tab w:val="left" w:pos="0"/>
        </w:tabs>
        <w:rPr>
          <w:szCs w:val="22"/>
          <w:lang w:val="hr-HR"/>
        </w:rPr>
      </w:pPr>
    </w:p>
    <w:p w14:paraId="788130E2" w14:textId="62840A59" w:rsidR="006131C3" w:rsidRPr="00913317" w:rsidRDefault="000F1AF6" w:rsidP="00D72925">
      <w:pPr>
        <w:tabs>
          <w:tab w:val="clear" w:pos="284"/>
          <w:tab w:val="left" w:pos="0"/>
        </w:tabs>
        <w:rPr>
          <w:szCs w:val="22"/>
          <w:lang w:val="hr-HR"/>
        </w:rPr>
      </w:pPr>
      <w:r w:rsidRPr="00913317">
        <w:rPr>
          <w:szCs w:val="22"/>
          <w:lang w:val="hr-HR"/>
        </w:rPr>
        <w:t>Jedna bočica sadrži 200 mg vorikonazola.</w:t>
      </w:r>
    </w:p>
    <w:p w14:paraId="0F3D38A7" w14:textId="628A9552" w:rsidR="006131C3" w:rsidRPr="00913317" w:rsidRDefault="000F1AF6" w:rsidP="00D72925">
      <w:pPr>
        <w:tabs>
          <w:tab w:val="clear" w:pos="284"/>
          <w:tab w:val="left" w:pos="0"/>
        </w:tabs>
        <w:rPr>
          <w:szCs w:val="22"/>
          <w:lang w:val="hr-HR"/>
        </w:rPr>
      </w:pPr>
      <w:r w:rsidRPr="00913317">
        <w:rPr>
          <w:szCs w:val="22"/>
          <w:lang w:val="hr-HR"/>
        </w:rPr>
        <w:t xml:space="preserve">Jedan mililitar rastvora </w:t>
      </w:r>
      <w:r w:rsidR="00270DAE" w:rsidRPr="00913317">
        <w:rPr>
          <w:szCs w:val="22"/>
          <w:lang w:val="hr-HR"/>
        </w:rPr>
        <w:t>nakon</w:t>
      </w:r>
      <w:r w:rsidRPr="00913317">
        <w:rPr>
          <w:szCs w:val="22"/>
          <w:lang w:val="hr-HR"/>
        </w:rPr>
        <w:t xml:space="preserve"> rekonstitucije sadrži 10 mg vorikonazola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6.6). Nakon rekonstitucije rastvor se mora dalje razblažiti pr</w:t>
      </w:r>
      <w:r w:rsidR="0041631E" w:rsidRPr="00913317">
        <w:rPr>
          <w:szCs w:val="22"/>
          <w:lang w:val="hr-HR"/>
        </w:rPr>
        <w:t>ij</w:t>
      </w:r>
      <w:r w:rsidRPr="00913317">
        <w:rPr>
          <w:szCs w:val="22"/>
          <w:lang w:val="hr-HR"/>
        </w:rPr>
        <w:t xml:space="preserve">e </w:t>
      </w:r>
      <w:r w:rsidR="004D45E7" w:rsidRPr="00913317">
        <w:rPr>
          <w:szCs w:val="22"/>
          <w:lang w:val="hr-HR"/>
        </w:rPr>
        <w:t>primjen</w:t>
      </w:r>
      <w:r w:rsidRPr="00913317">
        <w:rPr>
          <w:szCs w:val="22"/>
          <w:lang w:val="hr-HR"/>
        </w:rPr>
        <w:t xml:space="preserve">e </w:t>
      </w:r>
      <w:r w:rsidR="004D45E7" w:rsidRPr="00913317">
        <w:rPr>
          <w:szCs w:val="22"/>
          <w:lang w:val="hr-HR"/>
        </w:rPr>
        <w:t>lijek</w:t>
      </w:r>
      <w:r w:rsidRPr="00913317">
        <w:rPr>
          <w:szCs w:val="22"/>
          <w:lang w:val="hr-HR"/>
        </w:rPr>
        <w:t>a.</w:t>
      </w:r>
    </w:p>
    <w:p w14:paraId="3AB31D62" w14:textId="77777777" w:rsidR="006131C3" w:rsidRPr="00913317" w:rsidRDefault="006131C3" w:rsidP="00D72925">
      <w:pPr>
        <w:tabs>
          <w:tab w:val="clear" w:pos="284"/>
          <w:tab w:val="left" w:pos="0"/>
        </w:tabs>
        <w:rPr>
          <w:szCs w:val="22"/>
          <w:lang w:val="hr-HR"/>
        </w:rPr>
      </w:pPr>
    </w:p>
    <w:p w14:paraId="31D285F5" w14:textId="17A0E612" w:rsidR="007F5CD4" w:rsidRPr="00913317" w:rsidRDefault="00491C25" w:rsidP="00D72925">
      <w:pPr>
        <w:pStyle w:val="CommentText"/>
        <w:rPr>
          <w:sz w:val="22"/>
          <w:szCs w:val="22"/>
          <w:lang w:val="hr-HR"/>
        </w:rPr>
      </w:pPr>
      <w:r w:rsidRPr="00913317">
        <w:rPr>
          <w:sz w:val="22"/>
          <w:szCs w:val="22"/>
          <w:lang w:val="hr-HR"/>
        </w:rPr>
        <w:t xml:space="preserve">Pomoćne supstance </w:t>
      </w:r>
      <w:r w:rsidR="003256B9" w:rsidRPr="00913317">
        <w:rPr>
          <w:sz w:val="22"/>
          <w:szCs w:val="22"/>
          <w:lang w:val="hr-HR"/>
        </w:rPr>
        <w:t>sa potvrđenim dejstvom:</w:t>
      </w:r>
    </w:p>
    <w:p w14:paraId="010F7CBE" w14:textId="2B1141EF" w:rsidR="006131C3" w:rsidRPr="00913317" w:rsidRDefault="0036419F" w:rsidP="00D72925">
      <w:pPr>
        <w:tabs>
          <w:tab w:val="clear" w:pos="284"/>
          <w:tab w:val="left" w:pos="0"/>
        </w:tabs>
        <w:rPr>
          <w:szCs w:val="22"/>
          <w:lang w:val="hr-HR"/>
        </w:rPr>
      </w:pPr>
      <w:r w:rsidRPr="00913317">
        <w:rPr>
          <w:szCs w:val="22"/>
          <w:lang w:val="hr-HR"/>
        </w:rPr>
        <w:t>J</w:t>
      </w:r>
      <w:r w:rsidR="000F1AF6" w:rsidRPr="00913317">
        <w:rPr>
          <w:szCs w:val="22"/>
          <w:lang w:val="hr-HR"/>
        </w:rPr>
        <w:t>edna bočica sadrži 2</w:t>
      </w:r>
      <w:r w:rsidR="003A4AA2" w:rsidRPr="00913317">
        <w:rPr>
          <w:szCs w:val="22"/>
          <w:lang w:val="hr-HR"/>
        </w:rPr>
        <w:t>21 </w:t>
      </w:r>
      <w:r w:rsidR="000F1AF6" w:rsidRPr="00913317">
        <w:rPr>
          <w:szCs w:val="22"/>
          <w:lang w:val="hr-HR"/>
        </w:rPr>
        <w:t xml:space="preserve">mg natrijuma. </w:t>
      </w:r>
    </w:p>
    <w:p w14:paraId="7D6D7627" w14:textId="00BC5110" w:rsidR="00491C25" w:rsidRPr="00913317" w:rsidRDefault="00491C25" w:rsidP="00D72925">
      <w:pPr>
        <w:tabs>
          <w:tab w:val="clear" w:pos="284"/>
          <w:tab w:val="left" w:pos="0"/>
        </w:tabs>
        <w:rPr>
          <w:szCs w:val="22"/>
          <w:lang w:val="hr-HR"/>
        </w:rPr>
      </w:pPr>
      <w:r w:rsidRPr="00913317">
        <w:rPr>
          <w:szCs w:val="22"/>
          <w:lang w:val="hr-HR"/>
        </w:rPr>
        <w:t>Jedna bočica sadrži 3</w:t>
      </w:r>
      <w:r w:rsidR="0054718D">
        <w:rPr>
          <w:szCs w:val="22"/>
          <w:lang w:val="hr-HR"/>
        </w:rPr>
        <w:t>.</w:t>
      </w:r>
      <w:r w:rsidRPr="00913317">
        <w:rPr>
          <w:szCs w:val="22"/>
          <w:lang w:val="hr-HR"/>
        </w:rPr>
        <w:t>200 mg ciklodekstrina.</w:t>
      </w:r>
    </w:p>
    <w:p w14:paraId="4A313341" w14:textId="77777777" w:rsidR="006131C3" w:rsidRPr="00913317" w:rsidRDefault="006131C3" w:rsidP="00D72925">
      <w:pPr>
        <w:ind w:right="691"/>
        <w:rPr>
          <w:color w:val="FF0000"/>
          <w:szCs w:val="22"/>
          <w:lang w:val="hr-HR"/>
        </w:rPr>
      </w:pPr>
    </w:p>
    <w:p w14:paraId="2AC729AA" w14:textId="77777777" w:rsidR="00935053" w:rsidRPr="00913317" w:rsidRDefault="00935053" w:rsidP="00D72925">
      <w:pPr>
        <w:rPr>
          <w:szCs w:val="22"/>
          <w:lang w:val="hr-HR"/>
        </w:rPr>
      </w:pPr>
      <w:r w:rsidRPr="00913317">
        <w:rPr>
          <w:szCs w:val="22"/>
          <w:lang w:val="hr-HR"/>
        </w:rPr>
        <w:t>Za spisak svih ekscipijenasa, pogledati dio 6.1.</w:t>
      </w:r>
    </w:p>
    <w:p w14:paraId="6F289A35" w14:textId="1DFBC590" w:rsidR="006131C3" w:rsidRPr="00913317" w:rsidRDefault="006131C3" w:rsidP="00D72925">
      <w:pPr>
        <w:rPr>
          <w:color w:val="FF0000"/>
          <w:szCs w:val="22"/>
          <w:lang w:val="hr-HR"/>
        </w:rPr>
      </w:pPr>
    </w:p>
    <w:p w14:paraId="5ED6E2FA" w14:textId="77777777" w:rsidR="00A71908" w:rsidRPr="00913317" w:rsidRDefault="00A71908" w:rsidP="00D72925">
      <w:pPr>
        <w:rPr>
          <w:color w:val="FF0000"/>
          <w:szCs w:val="22"/>
          <w:lang w:val="hr-HR"/>
        </w:rPr>
      </w:pPr>
    </w:p>
    <w:p w14:paraId="03B0DDC4" w14:textId="501B48DD" w:rsidR="00CE09F3" w:rsidRPr="00913317" w:rsidRDefault="00CE09F3" w:rsidP="00D72925">
      <w:pPr>
        <w:pStyle w:val="NASLOV123"/>
        <w:numPr>
          <w:ilvl w:val="0"/>
          <w:numId w:val="9"/>
        </w:numPr>
        <w:spacing w:before="0" w:after="0"/>
        <w:ind w:hanging="720"/>
        <w:jc w:val="both"/>
        <w:rPr>
          <w:lang w:val="hr-HR"/>
        </w:rPr>
      </w:pPr>
      <w:r w:rsidRPr="00913317">
        <w:rPr>
          <w:lang w:val="hr-HR"/>
        </w:rPr>
        <w:t>FARMACEUTSKI OBLIK</w:t>
      </w:r>
    </w:p>
    <w:p w14:paraId="183B6909" w14:textId="77777777" w:rsidR="00A71908" w:rsidRPr="00913317" w:rsidRDefault="00A71908" w:rsidP="00D72925">
      <w:pPr>
        <w:rPr>
          <w:szCs w:val="22"/>
          <w:lang w:val="hr-HR"/>
        </w:rPr>
      </w:pPr>
    </w:p>
    <w:p w14:paraId="33385B15" w14:textId="64A49029" w:rsidR="000F1AF6" w:rsidRPr="00913317" w:rsidRDefault="000F1AF6" w:rsidP="00D72925">
      <w:pPr>
        <w:rPr>
          <w:szCs w:val="22"/>
          <w:lang w:val="hr-HR"/>
        </w:rPr>
      </w:pPr>
      <w:r w:rsidRPr="00913317">
        <w:rPr>
          <w:szCs w:val="22"/>
          <w:lang w:val="hr-HR"/>
        </w:rPr>
        <w:t>Prašak za rastvor za infuziju.</w:t>
      </w:r>
    </w:p>
    <w:p w14:paraId="140AF4EC" w14:textId="4BD3AEF9" w:rsidR="006131C3" w:rsidRPr="00913317" w:rsidRDefault="000F1AF6" w:rsidP="00D72925">
      <w:pPr>
        <w:rPr>
          <w:szCs w:val="22"/>
          <w:lang w:val="hr-HR"/>
        </w:rPr>
      </w:pPr>
      <w:r w:rsidRPr="00913317">
        <w:rPr>
          <w:szCs w:val="22"/>
          <w:lang w:val="hr-HR"/>
        </w:rPr>
        <w:t>Liofilizirani prašak b</w:t>
      </w:r>
      <w:r w:rsidR="009F7B52" w:rsidRPr="00913317">
        <w:rPr>
          <w:szCs w:val="22"/>
          <w:lang w:val="hr-HR"/>
        </w:rPr>
        <w:t>ij</w:t>
      </w:r>
      <w:r w:rsidRPr="00913317">
        <w:rPr>
          <w:szCs w:val="22"/>
          <w:lang w:val="hr-HR"/>
        </w:rPr>
        <w:t>ele boje.</w:t>
      </w:r>
    </w:p>
    <w:p w14:paraId="0362AF5F" w14:textId="7358E961" w:rsidR="006131C3" w:rsidRPr="00913317" w:rsidRDefault="000F1AF6" w:rsidP="00D72925">
      <w:pPr>
        <w:rPr>
          <w:szCs w:val="22"/>
          <w:lang w:val="hr-HR"/>
        </w:rPr>
      </w:pPr>
      <w:r w:rsidRPr="00913317">
        <w:rPr>
          <w:szCs w:val="22"/>
          <w:lang w:val="hr-HR"/>
        </w:rPr>
        <w:t>Rekonstituisani rastvor: bistar, bezbojan rastvor.</w:t>
      </w:r>
    </w:p>
    <w:p w14:paraId="7BEE7460" w14:textId="5DF12B81" w:rsidR="006131C3" w:rsidRPr="00913317" w:rsidRDefault="006131C3" w:rsidP="00D72925">
      <w:pPr>
        <w:rPr>
          <w:szCs w:val="22"/>
          <w:lang w:val="hr-HR"/>
        </w:rPr>
      </w:pPr>
    </w:p>
    <w:p w14:paraId="081EDE1E" w14:textId="77777777" w:rsidR="00A71908" w:rsidRPr="00913317" w:rsidRDefault="00A71908" w:rsidP="00D72925">
      <w:pPr>
        <w:rPr>
          <w:szCs w:val="22"/>
          <w:lang w:val="hr-HR"/>
        </w:rPr>
      </w:pPr>
    </w:p>
    <w:p w14:paraId="05F36ECE" w14:textId="41C7145C" w:rsidR="00CE09F3" w:rsidRPr="00913317" w:rsidRDefault="00CE09F3" w:rsidP="00D72925">
      <w:pPr>
        <w:pStyle w:val="NASLOV123"/>
        <w:spacing w:before="0" w:after="0"/>
        <w:jc w:val="both"/>
        <w:rPr>
          <w:lang w:val="hr-HR"/>
        </w:rPr>
      </w:pPr>
      <w:r w:rsidRPr="00913317">
        <w:rPr>
          <w:lang w:val="hr-HR"/>
        </w:rPr>
        <w:t>4.</w:t>
      </w:r>
      <w:r w:rsidR="00491C25" w:rsidRPr="00913317">
        <w:rPr>
          <w:lang w:val="hr-HR"/>
        </w:rPr>
        <w:tab/>
      </w:r>
      <w:r w:rsidRPr="00913317">
        <w:rPr>
          <w:lang w:val="hr-HR"/>
        </w:rPr>
        <w:t>KLINIČKI PODACI</w:t>
      </w:r>
    </w:p>
    <w:p w14:paraId="59910700" w14:textId="77777777" w:rsidR="00A71908" w:rsidRPr="00913317" w:rsidRDefault="00A71908" w:rsidP="00D72925">
      <w:pPr>
        <w:rPr>
          <w:b/>
          <w:bCs/>
          <w:szCs w:val="22"/>
          <w:lang w:val="hr-HR"/>
        </w:rPr>
      </w:pPr>
    </w:p>
    <w:p w14:paraId="66EE85E9" w14:textId="15758C38" w:rsidR="006131C3" w:rsidRPr="00913317" w:rsidRDefault="00CE09F3" w:rsidP="00D72925">
      <w:pPr>
        <w:rPr>
          <w:b/>
          <w:bCs/>
          <w:szCs w:val="22"/>
          <w:lang w:val="hr-HR"/>
        </w:rPr>
      </w:pPr>
      <w:r w:rsidRPr="00913317">
        <w:rPr>
          <w:b/>
          <w:bCs/>
          <w:szCs w:val="22"/>
          <w:lang w:val="hr-HR"/>
        </w:rPr>
        <w:t>4.1.</w:t>
      </w:r>
      <w:r w:rsidR="00491C25" w:rsidRPr="00913317">
        <w:rPr>
          <w:b/>
          <w:bCs/>
          <w:szCs w:val="22"/>
          <w:lang w:val="hr-HR"/>
        </w:rPr>
        <w:tab/>
      </w:r>
      <w:r w:rsidRPr="00913317">
        <w:rPr>
          <w:b/>
          <w:bCs/>
          <w:szCs w:val="22"/>
          <w:lang w:val="hr-HR"/>
        </w:rPr>
        <w:t>Terapijske indikacije</w:t>
      </w:r>
    </w:p>
    <w:p w14:paraId="67943ADF" w14:textId="77777777" w:rsidR="006131C3" w:rsidRPr="00913317" w:rsidRDefault="006131C3" w:rsidP="00D72925">
      <w:pPr>
        <w:tabs>
          <w:tab w:val="clear" w:pos="284"/>
          <w:tab w:val="left" w:pos="0"/>
        </w:tabs>
        <w:rPr>
          <w:szCs w:val="22"/>
          <w:lang w:val="hr-HR"/>
        </w:rPr>
      </w:pPr>
    </w:p>
    <w:p w14:paraId="3CA36730" w14:textId="6227F2AC" w:rsidR="006131C3" w:rsidRPr="00913317" w:rsidRDefault="004D45E7" w:rsidP="00D72925">
      <w:pPr>
        <w:tabs>
          <w:tab w:val="clear" w:pos="284"/>
          <w:tab w:val="left" w:pos="0"/>
        </w:tabs>
        <w:rPr>
          <w:szCs w:val="22"/>
          <w:lang w:val="hr-HR"/>
        </w:rPr>
      </w:pPr>
      <w:r w:rsidRPr="00913317">
        <w:rPr>
          <w:szCs w:val="22"/>
          <w:lang w:val="hr-HR"/>
        </w:rPr>
        <w:t>Lijek</w:t>
      </w:r>
      <w:r w:rsidR="000F1AF6" w:rsidRPr="00913317">
        <w:rPr>
          <w:szCs w:val="22"/>
          <w:lang w:val="hr-HR"/>
        </w:rPr>
        <w:t xml:space="preserve"> Vfend je antigljivični </w:t>
      </w:r>
      <w:r w:rsidRPr="00913317">
        <w:rPr>
          <w:szCs w:val="22"/>
          <w:lang w:val="hr-HR"/>
        </w:rPr>
        <w:t>lijek</w:t>
      </w:r>
      <w:r w:rsidR="000F1AF6" w:rsidRPr="00913317">
        <w:rPr>
          <w:szCs w:val="22"/>
          <w:lang w:val="hr-HR"/>
        </w:rPr>
        <w:t xml:space="preserve"> širokog spektra iz grupe triazola, indikovan za </w:t>
      </w:r>
      <w:r w:rsidRPr="00913317">
        <w:rPr>
          <w:szCs w:val="22"/>
          <w:lang w:val="hr-HR"/>
        </w:rPr>
        <w:t>primjen</w:t>
      </w:r>
      <w:r w:rsidR="000F1AF6" w:rsidRPr="00913317">
        <w:rPr>
          <w:szCs w:val="22"/>
          <w:lang w:val="hr-HR"/>
        </w:rPr>
        <w:t>u kod odraslih i d</w:t>
      </w:r>
      <w:r w:rsidR="009F7B52" w:rsidRPr="00913317">
        <w:rPr>
          <w:szCs w:val="22"/>
          <w:lang w:val="hr-HR"/>
        </w:rPr>
        <w:t>j</w:t>
      </w:r>
      <w:r w:rsidR="000F1AF6" w:rsidRPr="00913317">
        <w:rPr>
          <w:szCs w:val="22"/>
          <w:lang w:val="hr-HR"/>
        </w:rPr>
        <w:t xml:space="preserve">ece uzrasta od 2 </w:t>
      </w:r>
      <w:r w:rsidR="005A76FE" w:rsidRPr="00913317">
        <w:rPr>
          <w:szCs w:val="22"/>
          <w:lang w:val="hr-HR"/>
        </w:rPr>
        <w:t> </w:t>
      </w:r>
      <w:r w:rsidR="000F1AF6" w:rsidRPr="00913317">
        <w:rPr>
          <w:szCs w:val="22"/>
          <w:lang w:val="hr-HR"/>
        </w:rPr>
        <w:t xml:space="preserve">godine i </w:t>
      </w:r>
      <w:r w:rsidR="006131C3" w:rsidRPr="00913317">
        <w:rPr>
          <w:szCs w:val="22"/>
          <w:lang w:val="hr-HR"/>
        </w:rPr>
        <w:t>starij</w:t>
      </w:r>
      <w:r w:rsidR="009D538B" w:rsidRPr="00913317">
        <w:rPr>
          <w:szCs w:val="22"/>
          <w:lang w:val="hr-HR"/>
        </w:rPr>
        <w:t>u</w:t>
      </w:r>
      <w:r w:rsidR="000F1AF6" w:rsidRPr="00913317">
        <w:rPr>
          <w:szCs w:val="22"/>
          <w:lang w:val="hr-HR"/>
        </w:rPr>
        <w:t xml:space="preserve"> za:</w:t>
      </w:r>
    </w:p>
    <w:p w14:paraId="63BA5EAC" w14:textId="77777777" w:rsidR="006131C3" w:rsidRPr="00913317" w:rsidRDefault="000F1AF6" w:rsidP="00D72925">
      <w:pPr>
        <w:tabs>
          <w:tab w:val="clear" w:pos="284"/>
          <w:tab w:val="left" w:pos="0"/>
        </w:tabs>
        <w:rPr>
          <w:szCs w:val="22"/>
          <w:lang w:val="hr-HR"/>
        </w:rPr>
      </w:pPr>
      <w:r w:rsidRPr="00913317">
        <w:rPr>
          <w:szCs w:val="22"/>
          <w:lang w:val="hr-HR"/>
        </w:rPr>
        <w:t>Terapiju invazivne aspergiloze.</w:t>
      </w:r>
    </w:p>
    <w:p w14:paraId="7FCEDC33" w14:textId="77777777" w:rsidR="006131C3" w:rsidRPr="00913317" w:rsidRDefault="000F1AF6" w:rsidP="00D72925">
      <w:pPr>
        <w:tabs>
          <w:tab w:val="clear" w:pos="284"/>
          <w:tab w:val="left" w:pos="0"/>
        </w:tabs>
        <w:rPr>
          <w:szCs w:val="22"/>
          <w:lang w:val="hr-HR"/>
        </w:rPr>
      </w:pPr>
      <w:r w:rsidRPr="00913317">
        <w:rPr>
          <w:szCs w:val="22"/>
          <w:lang w:val="hr-HR"/>
        </w:rPr>
        <w:t>Terapiju kandidemije kod pacijenata bez neutropenije.</w:t>
      </w:r>
    </w:p>
    <w:p w14:paraId="3DE28A10" w14:textId="77777777" w:rsidR="006131C3" w:rsidRPr="00913317" w:rsidRDefault="000F1AF6" w:rsidP="00D72925">
      <w:pPr>
        <w:tabs>
          <w:tab w:val="clear" w:pos="284"/>
          <w:tab w:val="left" w:pos="0"/>
        </w:tabs>
        <w:rPr>
          <w:szCs w:val="22"/>
          <w:lang w:val="hr-HR"/>
        </w:rPr>
      </w:pPr>
      <w:r w:rsidRPr="00913317">
        <w:rPr>
          <w:szCs w:val="22"/>
          <w:lang w:val="hr-HR"/>
        </w:rPr>
        <w:t xml:space="preserve">Terapiju flukonazol-rezistentnih, </w:t>
      </w:r>
      <w:r w:rsidR="002D486F" w:rsidRPr="00913317">
        <w:rPr>
          <w:szCs w:val="22"/>
          <w:lang w:val="hr-HR"/>
        </w:rPr>
        <w:t>ozbiljnih</w:t>
      </w:r>
      <w:r w:rsidRPr="00913317">
        <w:rPr>
          <w:szCs w:val="22"/>
          <w:lang w:val="hr-HR"/>
        </w:rPr>
        <w:t xml:space="preserve">, invazivnih </w:t>
      </w:r>
      <w:r w:rsidRPr="00913317">
        <w:rPr>
          <w:i/>
          <w:szCs w:val="22"/>
          <w:lang w:val="hr-HR"/>
        </w:rPr>
        <w:t xml:space="preserve">Candida </w:t>
      </w:r>
      <w:r w:rsidRPr="00913317">
        <w:rPr>
          <w:szCs w:val="22"/>
          <w:lang w:val="hr-HR"/>
        </w:rPr>
        <w:t xml:space="preserve">infekcija (uključujući i </w:t>
      </w:r>
      <w:r w:rsidRPr="00913317">
        <w:rPr>
          <w:i/>
          <w:szCs w:val="22"/>
          <w:lang w:val="hr-HR"/>
        </w:rPr>
        <w:t>C. krusei</w:t>
      </w:r>
      <w:r w:rsidRPr="00913317">
        <w:rPr>
          <w:szCs w:val="22"/>
          <w:lang w:val="hr-HR"/>
        </w:rPr>
        <w:t xml:space="preserve">). </w:t>
      </w:r>
    </w:p>
    <w:p w14:paraId="36D7531E" w14:textId="77777777" w:rsidR="006131C3" w:rsidRPr="00913317" w:rsidRDefault="000F1AF6" w:rsidP="00D72925">
      <w:pPr>
        <w:tabs>
          <w:tab w:val="clear" w:pos="284"/>
          <w:tab w:val="left" w:pos="0"/>
        </w:tabs>
        <w:rPr>
          <w:i/>
          <w:szCs w:val="22"/>
          <w:lang w:val="hr-HR"/>
        </w:rPr>
      </w:pPr>
      <w:r w:rsidRPr="00913317">
        <w:rPr>
          <w:szCs w:val="22"/>
          <w:lang w:val="hr-HR"/>
        </w:rPr>
        <w:t xml:space="preserve">Terapiju </w:t>
      </w:r>
      <w:r w:rsidR="002D486F" w:rsidRPr="00913317">
        <w:rPr>
          <w:szCs w:val="22"/>
          <w:lang w:val="hr-HR"/>
        </w:rPr>
        <w:t>ozbiljnih</w:t>
      </w:r>
      <w:r w:rsidRPr="00913317">
        <w:rPr>
          <w:szCs w:val="22"/>
          <w:lang w:val="hr-HR"/>
        </w:rPr>
        <w:t xml:space="preserve"> gljivičnih infekcija izazvanih sa </w:t>
      </w:r>
      <w:r w:rsidRPr="00913317">
        <w:rPr>
          <w:i/>
          <w:szCs w:val="22"/>
          <w:lang w:val="hr-HR"/>
        </w:rPr>
        <w:t>Scedosporium</w:t>
      </w:r>
      <w:r w:rsidRPr="00913317">
        <w:rPr>
          <w:szCs w:val="22"/>
          <w:lang w:val="hr-HR"/>
        </w:rPr>
        <w:t xml:space="preserve"> </w:t>
      </w:r>
      <w:r w:rsidRPr="00913317">
        <w:rPr>
          <w:i/>
          <w:szCs w:val="22"/>
          <w:lang w:val="hr-HR"/>
        </w:rPr>
        <w:t>spp</w:t>
      </w:r>
      <w:r w:rsidRPr="00913317">
        <w:rPr>
          <w:szCs w:val="22"/>
          <w:lang w:val="hr-HR"/>
        </w:rPr>
        <w:t xml:space="preserve">. i </w:t>
      </w:r>
      <w:r w:rsidRPr="00913317">
        <w:rPr>
          <w:i/>
          <w:szCs w:val="22"/>
          <w:lang w:val="hr-HR"/>
        </w:rPr>
        <w:t>Fusarium</w:t>
      </w:r>
      <w:r w:rsidRPr="00913317">
        <w:rPr>
          <w:szCs w:val="22"/>
          <w:lang w:val="hr-HR"/>
        </w:rPr>
        <w:t xml:space="preserve"> </w:t>
      </w:r>
      <w:r w:rsidRPr="00913317">
        <w:rPr>
          <w:i/>
          <w:szCs w:val="22"/>
          <w:lang w:val="hr-HR"/>
        </w:rPr>
        <w:t>spp.</w:t>
      </w:r>
    </w:p>
    <w:p w14:paraId="7D9C6E6D" w14:textId="4FCE6CCD" w:rsidR="006131C3" w:rsidRPr="00913317" w:rsidRDefault="004D45E7" w:rsidP="00D72925">
      <w:pPr>
        <w:tabs>
          <w:tab w:val="left" w:pos="0"/>
        </w:tabs>
        <w:rPr>
          <w:szCs w:val="22"/>
          <w:lang w:val="hr-HR"/>
        </w:rPr>
      </w:pPr>
      <w:r w:rsidRPr="00913317">
        <w:rPr>
          <w:szCs w:val="22"/>
          <w:lang w:val="hr-HR"/>
        </w:rPr>
        <w:t>Lijek</w:t>
      </w:r>
      <w:r w:rsidR="000F1AF6" w:rsidRPr="00913317">
        <w:rPr>
          <w:szCs w:val="22"/>
          <w:lang w:val="hr-HR"/>
        </w:rPr>
        <w:t xml:space="preserve"> Vfend treba </w:t>
      </w:r>
      <w:r w:rsidRPr="00913317">
        <w:rPr>
          <w:szCs w:val="22"/>
          <w:lang w:val="hr-HR"/>
        </w:rPr>
        <w:t>primjen</w:t>
      </w:r>
      <w:r w:rsidR="000F1AF6" w:rsidRPr="00913317">
        <w:rPr>
          <w:szCs w:val="22"/>
          <w:lang w:val="hr-HR"/>
        </w:rPr>
        <w:t>jivati primarno kod pacijenata sa progresivnim gljivičnim infekcijama koje mogu da ugroze život.</w:t>
      </w:r>
    </w:p>
    <w:p w14:paraId="75454534" w14:textId="60BC057B" w:rsidR="006131C3" w:rsidRPr="00913317" w:rsidRDefault="000F1AF6" w:rsidP="00D72925">
      <w:pPr>
        <w:tabs>
          <w:tab w:val="left" w:pos="0"/>
        </w:tabs>
        <w:rPr>
          <w:b/>
          <w:bCs/>
          <w:szCs w:val="22"/>
          <w:lang w:val="hr-HR"/>
        </w:rPr>
      </w:pPr>
      <w:r w:rsidRPr="00913317">
        <w:rPr>
          <w:szCs w:val="22"/>
          <w:lang w:val="hr-HR"/>
        </w:rPr>
        <w:t>Profilaksa invazivnih gljivičnih infekcija kod visokorizičnih primalaca alogenog transplantata hematopoetskih matičnih ćelija (</w:t>
      </w:r>
      <w:r w:rsidR="002D486F" w:rsidRPr="00913317">
        <w:rPr>
          <w:szCs w:val="22"/>
          <w:lang w:val="hr-HR"/>
        </w:rPr>
        <w:t xml:space="preserve">engl. </w:t>
      </w:r>
      <w:r w:rsidRPr="00913317">
        <w:rPr>
          <w:i/>
          <w:szCs w:val="22"/>
          <w:lang w:val="hr-HR"/>
        </w:rPr>
        <w:t>hematopoietic stem cell transplant</w:t>
      </w:r>
      <w:r w:rsidR="005C0286" w:rsidRPr="00913317">
        <w:rPr>
          <w:i/>
          <w:szCs w:val="22"/>
          <w:lang w:val="hr-HR"/>
        </w:rPr>
        <w:t>,</w:t>
      </w:r>
      <w:r w:rsidR="002D486F" w:rsidRPr="00913317">
        <w:rPr>
          <w:szCs w:val="22"/>
          <w:lang w:val="hr-HR"/>
        </w:rPr>
        <w:t xml:space="preserve"> HSCT</w:t>
      </w:r>
      <w:r w:rsidRPr="00913317">
        <w:rPr>
          <w:szCs w:val="22"/>
          <w:lang w:val="hr-HR"/>
        </w:rPr>
        <w:t>).</w:t>
      </w:r>
    </w:p>
    <w:p w14:paraId="7D7CD499" w14:textId="77777777" w:rsidR="006131C3" w:rsidRPr="00913317" w:rsidRDefault="006131C3" w:rsidP="00D72925">
      <w:pPr>
        <w:rPr>
          <w:b/>
          <w:bCs/>
          <w:color w:val="FF0000"/>
          <w:szCs w:val="22"/>
          <w:lang w:val="hr-HR"/>
        </w:rPr>
      </w:pPr>
    </w:p>
    <w:p w14:paraId="38F4E366" w14:textId="74957529" w:rsidR="006131C3" w:rsidRPr="00913317" w:rsidRDefault="00CE09F3" w:rsidP="00D72925">
      <w:pPr>
        <w:rPr>
          <w:b/>
          <w:bCs/>
          <w:szCs w:val="22"/>
          <w:lang w:val="hr-HR"/>
        </w:rPr>
      </w:pPr>
      <w:r w:rsidRPr="00913317">
        <w:rPr>
          <w:b/>
          <w:bCs/>
          <w:szCs w:val="22"/>
          <w:lang w:val="hr-HR"/>
        </w:rPr>
        <w:t>4.2.</w:t>
      </w:r>
      <w:r w:rsidR="00491C25" w:rsidRPr="00913317">
        <w:rPr>
          <w:b/>
          <w:bCs/>
          <w:szCs w:val="22"/>
          <w:lang w:val="hr-HR"/>
        </w:rPr>
        <w:tab/>
      </w:r>
      <w:r w:rsidRPr="00913317">
        <w:rPr>
          <w:b/>
          <w:bCs/>
          <w:szCs w:val="22"/>
          <w:lang w:val="hr-HR"/>
        </w:rPr>
        <w:t>Doziranje i način prim</w:t>
      </w:r>
      <w:r w:rsidR="00096DB7" w:rsidRPr="00913317">
        <w:rPr>
          <w:b/>
          <w:bCs/>
          <w:szCs w:val="22"/>
          <w:lang w:val="hr-HR"/>
        </w:rPr>
        <w:t>j</w:t>
      </w:r>
      <w:r w:rsidRPr="00913317">
        <w:rPr>
          <w:b/>
          <w:bCs/>
          <w:szCs w:val="22"/>
          <w:lang w:val="hr-HR"/>
        </w:rPr>
        <w:t>ene</w:t>
      </w:r>
    </w:p>
    <w:p w14:paraId="25C49699" w14:textId="77777777" w:rsidR="006131C3" w:rsidRPr="00913317" w:rsidRDefault="006131C3" w:rsidP="00D72925">
      <w:pPr>
        <w:rPr>
          <w:szCs w:val="22"/>
          <w:lang w:val="hr-HR"/>
        </w:rPr>
      </w:pPr>
    </w:p>
    <w:p w14:paraId="01D23D8F" w14:textId="77777777" w:rsidR="006131C3" w:rsidRPr="00913317" w:rsidRDefault="005073A3" w:rsidP="00D72925">
      <w:pPr>
        <w:rPr>
          <w:szCs w:val="22"/>
          <w:u w:val="single"/>
          <w:lang w:val="hr-HR"/>
        </w:rPr>
      </w:pPr>
      <w:r w:rsidRPr="00913317">
        <w:rPr>
          <w:szCs w:val="22"/>
          <w:u w:val="single"/>
          <w:lang w:val="hr-HR"/>
        </w:rPr>
        <w:t>Doziranje</w:t>
      </w:r>
    </w:p>
    <w:p w14:paraId="79903F7B" w14:textId="550CD718" w:rsidR="006131C3" w:rsidRPr="00913317" w:rsidRDefault="000F1AF6" w:rsidP="00D72925">
      <w:pPr>
        <w:rPr>
          <w:szCs w:val="22"/>
          <w:lang w:val="hr-HR"/>
        </w:rPr>
      </w:pPr>
      <w:r w:rsidRPr="00913317">
        <w:rPr>
          <w:szCs w:val="22"/>
          <w:lang w:val="hr-HR"/>
        </w:rPr>
        <w:t>Poremećaje e</w:t>
      </w:r>
      <w:r w:rsidR="006E406F" w:rsidRPr="00913317">
        <w:rPr>
          <w:szCs w:val="22"/>
          <w:lang w:val="hr-HR"/>
        </w:rPr>
        <w:t>l</w:t>
      </w:r>
      <w:r w:rsidR="004D45E7" w:rsidRPr="00913317">
        <w:rPr>
          <w:szCs w:val="22"/>
          <w:lang w:val="hr-HR"/>
        </w:rPr>
        <w:t>ek</w:t>
      </w:r>
      <w:r w:rsidRPr="00913317">
        <w:rPr>
          <w:szCs w:val="22"/>
          <w:lang w:val="hr-HR"/>
        </w:rPr>
        <w:t>trolita kao što su hipokaliemija, hipomagneziemija, hipokalciemija treba pratiti i korigovati ako je potrebno, pr</w:t>
      </w:r>
      <w:r w:rsidR="006E406F" w:rsidRPr="00913317">
        <w:rPr>
          <w:szCs w:val="22"/>
          <w:lang w:val="hr-HR"/>
        </w:rPr>
        <w:t>ij</w:t>
      </w:r>
      <w:r w:rsidRPr="00913317">
        <w:rPr>
          <w:szCs w:val="22"/>
          <w:lang w:val="hr-HR"/>
        </w:rPr>
        <w:t xml:space="preserve">e i tokom </w:t>
      </w:r>
      <w:r w:rsidR="004D45E7" w:rsidRPr="00913317">
        <w:rPr>
          <w:szCs w:val="22"/>
          <w:lang w:val="hr-HR"/>
        </w:rPr>
        <w:t>primjen</w:t>
      </w:r>
      <w:r w:rsidRPr="00913317">
        <w:rPr>
          <w:szCs w:val="22"/>
          <w:lang w:val="hr-HR"/>
        </w:rPr>
        <w:t>e vorikonazola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4.4).</w:t>
      </w:r>
    </w:p>
    <w:p w14:paraId="133C285A" w14:textId="5573F5D6" w:rsidR="006131C3" w:rsidRPr="00913317" w:rsidRDefault="000F1AF6" w:rsidP="00D72925">
      <w:pPr>
        <w:rPr>
          <w:szCs w:val="22"/>
          <w:lang w:val="hr-HR"/>
        </w:rPr>
      </w:pPr>
      <w:r w:rsidRPr="00913317">
        <w:rPr>
          <w:szCs w:val="22"/>
          <w:lang w:val="hr-HR"/>
        </w:rPr>
        <w:t xml:space="preserve">Preporučuje se da se </w:t>
      </w:r>
      <w:r w:rsidR="004D45E7" w:rsidRPr="00913317">
        <w:rPr>
          <w:szCs w:val="22"/>
          <w:lang w:val="hr-HR"/>
        </w:rPr>
        <w:t>lijek</w:t>
      </w:r>
      <w:r w:rsidRPr="00913317">
        <w:rPr>
          <w:szCs w:val="22"/>
          <w:lang w:val="hr-HR"/>
        </w:rPr>
        <w:t xml:space="preserve"> Vfend </w:t>
      </w:r>
      <w:r w:rsidR="004D45E7" w:rsidRPr="00913317">
        <w:rPr>
          <w:szCs w:val="22"/>
          <w:lang w:val="hr-HR"/>
        </w:rPr>
        <w:t>primjen</w:t>
      </w:r>
      <w:r w:rsidRPr="00913317">
        <w:rPr>
          <w:szCs w:val="22"/>
          <w:lang w:val="hr-HR"/>
        </w:rPr>
        <w:t>juje maksimalnom brzinom od 3 mg/kg na sat, tokom 1 do 3</w:t>
      </w:r>
      <w:r w:rsidR="005A76FE" w:rsidRPr="00913317">
        <w:rPr>
          <w:szCs w:val="22"/>
          <w:lang w:val="pt-BR"/>
        </w:rPr>
        <w:t> </w:t>
      </w:r>
      <w:r w:rsidRPr="00913317">
        <w:rPr>
          <w:szCs w:val="22"/>
          <w:lang w:val="hr-HR"/>
        </w:rPr>
        <w:t>sata.</w:t>
      </w:r>
    </w:p>
    <w:p w14:paraId="05E4B28E" w14:textId="77777777" w:rsidR="006131C3" w:rsidRPr="00913317" w:rsidRDefault="006131C3" w:rsidP="00D72925">
      <w:pPr>
        <w:rPr>
          <w:szCs w:val="22"/>
          <w:lang w:val="hr-HR"/>
        </w:rPr>
      </w:pPr>
    </w:p>
    <w:p w14:paraId="13B36AF8" w14:textId="76D3CB6C" w:rsidR="006E406F" w:rsidRPr="00913317" w:rsidRDefault="006E406F" w:rsidP="00D72925">
      <w:pPr>
        <w:tabs>
          <w:tab w:val="clear" w:pos="284"/>
          <w:tab w:val="left" w:pos="180"/>
        </w:tabs>
        <w:rPr>
          <w:szCs w:val="22"/>
          <w:lang w:val="hr-HR"/>
        </w:rPr>
      </w:pPr>
      <w:r w:rsidRPr="00913317">
        <w:rPr>
          <w:szCs w:val="22"/>
          <w:lang w:val="hr-HR"/>
        </w:rPr>
        <w:t>U ze</w:t>
      </w:r>
      <w:r w:rsidR="006C3F92" w:rsidRPr="00913317">
        <w:rPr>
          <w:szCs w:val="22"/>
          <w:lang w:val="hr-HR"/>
        </w:rPr>
        <w:t>ml</w:t>
      </w:r>
      <w:r w:rsidRPr="00913317">
        <w:rPr>
          <w:szCs w:val="22"/>
          <w:lang w:val="hr-HR"/>
        </w:rPr>
        <w:t xml:space="preserve">jama EU </w:t>
      </w:r>
      <w:r w:rsidR="00B43914" w:rsidRPr="00913317">
        <w:rPr>
          <w:szCs w:val="22"/>
          <w:lang w:val="hr-HR"/>
        </w:rPr>
        <w:t xml:space="preserve">lijek </w:t>
      </w:r>
      <w:r w:rsidRPr="00913317">
        <w:rPr>
          <w:szCs w:val="22"/>
          <w:lang w:val="hr-HR"/>
        </w:rPr>
        <w:t>Vfend je dostupan i u obliku obloženih tableta od 50 mg i 200 mg,  praška i rastvarača za rastvor za infuziju od 200</w:t>
      </w:r>
      <w:r w:rsidR="00860AA2" w:rsidRPr="00913317">
        <w:rPr>
          <w:szCs w:val="22"/>
          <w:lang w:val="hr-HR"/>
        </w:rPr>
        <w:t xml:space="preserve"> </w:t>
      </w:r>
      <w:r w:rsidRPr="00913317">
        <w:rPr>
          <w:szCs w:val="22"/>
          <w:lang w:val="hr-HR"/>
        </w:rPr>
        <w:t>mg i prašaka za oralnu suspenziju 40 mg/</w:t>
      </w:r>
      <w:r w:rsidR="006C3F92" w:rsidRPr="00913317">
        <w:rPr>
          <w:szCs w:val="22"/>
          <w:lang w:val="hr-HR"/>
        </w:rPr>
        <w:t>ml</w:t>
      </w:r>
      <w:r w:rsidRPr="00913317">
        <w:rPr>
          <w:szCs w:val="22"/>
          <w:lang w:val="hr-HR"/>
        </w:rPr>
        <w:t>.</w:t>
      </w:r>
    </w:p>
    <w:p w14:paraId="7DB04050" w14:textId="07119A83" w:rsidR="00860AA2" w:rsidRPr="00913317" w:rsidRDefault="00860AA2" w:rsidP="00D72925">
      <w:pPr>
        <w:tabs>
          <w:tab w:val="clear" w:pos="284"/>
          <w:tab w:val="left" w:pos="180"/>
        </w:tabs>
        <w:rPr>
          <w:color w:val="FF0000"/>
          <w:szCs w:val="22"/>
          <w:lang w:val="hr-HR"/>
        </w:rPr>
      </w:pPr>
    </w:p>
    <w:p w14:paraId="48949D9F" w14:textId="77777777" w:rsidR="006131C3" w:rsidRPr="00913317" w:rsidRDefault="000F1AF6" w:rsidP="00D72925">
      <w:pPr>
        <w:tabs>
          <w:tab w:val="clear" w:pos="284"/>
          <w:tab w:val="left" w:pos="180"/>
        </w:tabs>
        <w:rPr>
          <w:szCs w:val="22"/>
          <w:u w:val="single"/>
          <w:lang w:val="hr-HR"/>
        </w:rPr>
      </w:pPr>
      <w:r w:rsidRPr="00913317">
        <w:rPr>
          <w:szCs w:val="22"/>
          <w:u w:val="single"/>
          <w:lang w:val="hr-HR"/>
        </w:rPr>
        <w:t>Terapija</w:t>
      </w:r>
    </w:p>
    <w:p w14:paraId="086FB541" w14:textId="77777777" w:rsidR="006131C3" w:rsidRPr="00913317" w:rsidRDefault="000F1AF6" w:rsidP="00D72925">
      <w:pPr>
        <w:rPr>
          <w:i/>
          <w:szCs w:val="22"/>
          <w:lang w:val="hr-HR"/>
        </w:rPr>
      </w:pPr>
      <w:r w:rsidRPr="00913317">
        <w:rPr>
          <w:i/>
          <w:szCs w:val="22"/>
          <w:lang w:val="hr-HR"/>
        </w:rPr>
        <w:lastRenderedPageBreak/>
        <w:t>Odrasli</w:t>
      </w:r>
    </w:p>
    <w:p w14:paraId="408945F2" w14:textId="68A493B3" w:rsidR="006131C3" w:rsidRPr="00913317" w:rsidRDefault="000F1AF6" w:rsidP="00D72925">
      <w:pPr>
        <w:tabs>
          <w:tab w:val="clear" w:pos="284"/>
          <w:tab w:val="left" w:pos="180"/>
        </w:tabs>
        <w:rPr>
          <w:szCs w:val="22"/>
          <w:u w:val="single"/>
          <w:lang w:val="hr-HR"/>
        </w:rPr>
      </w:pPr>
      <w:r w:rsidRPr="00913317">
        <w:rPr>
          <w:szCs w:val="22"/>
          <w:lang w:val="hr-HR"/>
        </w:rPr>
        <w:t xml:space="preserve">Terapija se mora započeti posebnim udarnim dozama i kod intravenske i kod oralne </w:t>
      </w:r>
      <w:r w:rsidR="004D45E7" w:rsidRPr="00913317">
        <w:rPr>
          <w:szCs w:val="22"/>
          <w:lang w:val="hr-HR"/>
        </w:rPr>
        <w:t>primjen</w:t>
      </w:r>
      <w:r w:rsidRPr="00913317">
        <w:rPr>
          <w:szCs w:val="22"/>
          <w:lang w:val="hr-HR"/>
        </w:rPr>
        <w:t xml:space="preserve">e </w:t>
      </w:r>
      <w:r w:rsidR="004D45E7" w:rsidRPr="00913317">
        <w:rPr>
          <w:szCs w:val="22"/>
          <w:lang w:val="hr-HR"/>
        </w:rPr>
        <w:t>lijek</w:t>
      </w:r>
      <w:r w:rsidRPr="00913317">
        <w:rPr>
          <w:szCs w:val="22"/>
          <w:lang w:val="hr-HR"/>
        </w:rPr>
        <w:t xml:space="preserve">a Vfend da bi se već prvog dana postigle koncentracije u plazmi slične onima u ravnotežnom stanju. Zbog visoke bioraspoloživosti nakon oralne </w:t>
      </w:r>
      <w:r w:rsidR="004D45E7" w:rsidRPr="00913317">
        <w:rPr>
          <w:szCs w:val="22"/>
          <w:lang w:val="hr-HR"/>
        </w:rPr>
        <w:t>primjen</w:t>
      </w:r>
      <w:r w:rsidRPr="00913317">
        <w:rPr>
          <w:szCs w:val="22"/>
          <w:lang w:val="hr-HR"/>
        </w:rPr>
        <w:t xml:space="preserve">e (96%,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5.2), moguć je prelazak sa intravenske na oralnu </w:t>
      </w:r>
      <w:r w:rsidR="004D45E7" w:rsidRPr="00913317">
        <w:rPr>
          <w:szCs w:val="22"/>
          <w:lang w:val="hr-HR"/>
        </w:rPr>
        <w:t>primjen</w:t>
      </w:r>
      <w:r w:rsidRPr="00913317">
        <w:rPr>
          <w:szCs w:val="22"/>
          <w:lang w:val="hr-HR"/>
        </w:rPr>
        <w:t>u i obrnuto, ako je klinički indikovan.</w:t>
      </w:r>
      <w:r w:rsidRPr="00913317">
        <w:rPr>
          <w:szCs w:val="22"/>
          <w:u w:val="single"/>
          <w:lang w:val="hr-HR"/>
        </w:rPr>
        <w:t xml:space="preserve"> </w:t>
      </w:r>
    </w:p>
    <w:p w14:paraId="6D4D2BC1" w14:textId="77777777" w:rsidR="006131C3" w:rsidRPr="00913317" w:rsidRDefault="006131C3" w:rsidP="00D72925">
      <w:pPr>
        <w:tabs>
          <w:tab w:val="clear" w:pos="284"/>
          <w:tab w:val="left" w:pos="180"/>
        </w:tabs>
        <w:rPr>
          <w:szCs w:val="22"/>
          <w:lang w:val="hr-HR"/>
        </w:rPr>
      </w:pPr>
    </w:p>
    <w:p w14:paraId="449478F5" w14:textId="635459F2" w:rsidR="006131C3" w:rsidRPr="00913317" w:rsidRDefault="000F1AF6" w:rsidP="00D72925">
      <w:pPr>
        <w:tabs>
          <w:tab w:val="clear" w:pos="284"/>
          <w:tab w:val="left" w:pos="180"/>
        </w:tabs>
        <w:rPr>
          <w:szCs w:val="22"/>
          <w:lang w:val="hr-HR"/>
        </w:rPr>
      </w:pPr>
      <w:r w:rsidRPr="00913317">
        <w:rPr>
          <w:szCs w:val="22"/>
          <w:lang w:val="hr-HR"/>
        </w:rPr>
        <w:t>Detaljne informacije o preporučenom doziranju se nalaze u sl</w:t>
      </w:r>
      <w:r w:rsidR="006E406F" w:rsidRPr="00913317">
        <w:rPr>
          <w:szCs w:val="22"/>
          <w:lang w:val="hr-HR"/>
        </w:rPr>
        <w:t>j</w:t>
      </w:r>
      <w:r w:rsidRPr="00913317">
        <w:rPr>
          <w:szCs w:val="22"/>
          <w:lang w:val="hr-HR"/>
        </w:rPr>
        <w:t>edećoj tabeli: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2348"/>
        <w:gridCol w:w="2428"/>
        <w:gridCol w:w="2429"/>
      </w:tblGrid>
      <w:tr w:rsidR="00935053" w:rsidRPr="00913317" w14:paraId="3459856C" w14:textId="77777777" w:rsidTr="0054718D">
        <w:trPr>
          <w:jc w:val="center"/>
        </w:trPr>
        <w:tc>
          <w:tcPr>
            <w:tcW w:w="1121" w:type="pct"/>
            <w:vMerge w:val="restart"/>
          </w:tcPr>
          <w:p w14:paraId="0EF133C9" w14:textId="77777777" w:rsidR="006131C3" w:rsidRPr="00913317" w:rsidRDefault="006131C3" w:rsidP="00D72925">
            <w:pPr>
              <w:rPr>
                <w:b/>
                <w:szCs w:val="22"/>
                <w:lang w:val="hr-HR"/>
              </w:rPr>
            </w:pPr>
          </w:p>
        </w:tc>
        <w:tc>
          <w:tcPr>
            <w:tcW w:w="1264" w:type="pct"/>
            <w:vMerge w:val="restart"/>
            <w:vAlign w:val="center"/>
          </w:tcPr>
          <w:p w14:paraId="565C6542" w14:textId="2B2D7A02" w:rsidR="006131C3" w:rsidRPr="00913317" w:rsidRDefault="000F1AF6" w:rsidP="00D72925">
            <w:pPr>
              <w:rPr>
                <w:szCs w:val="22"/>
                <w:lang w:val="hr-HR"/>
              </w:rPr>
            </w:pPr>
            <w:r w:rsidRPr="00913317">
              <w:rPr>
                <w:b/>
                <w:szCs w:val="22"/>
                <w:lang w:val="hr-HR"/>
              </w:rPr>
              <w:t xml:space="preserve">Intravenska </w:t>
            </w:r>
            <w:r w:rsidR="004D45E7" w:rsidRPr="00913317">
              <w:rPr>
                <w:b/>
                <w:szCs w:val="22"/>
                <w:lang w:val="hr-HR"/>
              </w:rPr>
              <w:t>primjen</w:t>
            </w:r>
            <w:r w:rsidRPr="00913317">
              <w:rPr>
                <w:b/>
                <w:szCs w:val="22"/>
                <w:lang w:val="hr-HR"/>
              </w:rPr>
              <w:t>a</w:t>
            </w:r>
          </w:p>
        </w:tc>
        <w:tc>
          <w:tcPr>
            <w:tcW w:w="2615" w:type="pct"/>
            <w:gridSpan w:val="2"/>
          </w:tcPr>
          <w:p w14:paraId="31A57A81" w14:textId="62CCDEEA" w:rsidR="006131C3" w:rsidRPr="00913317" w:rsidRDefault="000F1AF6" w:rsidP="00D72925">
            <w:pPr>
              <w:rPr>
                <w:szCs w:val="22"/>
                <w:lang w:val="hr-HR"/>
              </w:rPr>
            </w:pPr>
            <w:r w:rsidRPr="00913317">
              <w:rPr>
                <w:b/>
                <w:szCs w:val="22"/>
                <w:lang w:val="hr-HR"/>
              </w:rPr>
              <w:t xml:space="preserve">Oralna </w:t>
            </w:r>
            <w:r w:rsidR="004D45E7" w:rsidRPr="00913317">
              <w:rPr>
                <w:b/>
                <w:szCs w:val="22"/>
                <w:lang w:val="hr-HR"/>
              </w:rPr>
              <w:t>primjen</w:t>
            </w:r>
            <w:r w:rsidRPr="00913317">
              <w:rPr>
                <w:b/>
                <w:szCs w:val="22"/>
                <w:lang w:val="hr-HR"/>
              </w:rPr>
              <w:t>a</w:t>
            </w:r>
          </w:p>
        </w:tc>
      </w:tr>
      <w:tr w:rsidR="00935053" w:rsidRPr="00913317" w14:paraId="0E3EC2C1" w14:textId="77777777" w:rsidTr="0054718D">
        <w:trPr>
          <w:jc w:val="center"/>
        </w:trPr>
        <w:tc>
          <w:tcPr>
            <w:tcW w:w="1121" w:type="pct"/>
            <w:vMerge/>
          </w:tcPr>
          <w:p w14:paraId="696062EA" w14:textId="77777777" w:rsidR="006131C3" w:rsidRPr="00913317" w:rsidRDefault="006131C3" w:rsidP="00D72925">
            <w:pPr>
              <w:rPr>
                <w:b/>
                <w:szCs w:val="22"/>
                <w:lang w:val="hr-HR"/>
              </w:rPr>
            </w:pPr>
          </w:p>
        </w:tc>
        <w:tc>
          <w:tcPr>
            <w:tcW w:w="1264" w:type="pct"/>
            <w:vMerge/>
          </w:tcPr>
          <w:p w14:paraId="31BF8D51" w14:textId="77777777" w:rsidR="006131C3" w:rsidRPr="00913317" w:rsidRDefault="006131C3" w:rsidP="00D72925">
            <w:pPr>
              <w:rPr>
                <w:szCs w:val="22"/>
                <w:lang w:val="hr-HR"/>
              </w:rPr>
            </w:pPr>
          </w:p>
        </w:tc>
        <w:tc>
          <w:tcPr>
            <w:tcW w:w="1307" w:type="pct"/>
            <w:vAlign w:val="center"/>
          </w:tcPr>
          <w:p w14:paraId="1C9D1BE4" w14:textId="77777777" w:rsidR="006131C3" w:rsidRPr="00913317" w:rsidRDefault="000F1AF6" w:rsidP="00D72925">
            <w:pPr>
              <w:rPr>
                <w:szCs w:val="22"/>
                <w:lang w:val="hr-HR"/>
              </w:rPr>
            </w:pPr>
            <w:r w:rsidRPr="00913317">
              <w:rPr>
                <w:szCs w:val="22"/>
                <w:lang w:val="hr-HR"/>
              </w:rPr>
              <w:t>Pacijenti od ≥ 40 kg*</w:t>
            </w:r>
          </w:p>
        </w:tc>
        <w:tc>
          <w:tcPr>
            <w:tcW w:w="1308" w:type="pct"/>
            <w:vAlign w:val="center"/>
          </w:tcPr>
          <w:p w14:paraId="5243CDE6" w14:textId="77777777" w:rsidR="006131C3" w:rsidRPr="00913317" w:rsidRDefault="000F1AF6" w:rsidP="00D72925">
            <w:pPr>
              <w:rPr>
                <w:szCs w:val="22"/>
                <w:lang w:val="hr-HR"/>
              </w:rPr>
            </w:pPr>
            <w:r w:rsidRPr="00913317">
              <w:rPr>
                <w:szCs w:val="22"/>
                <w:lang w:val="hr-HR"/>
              </w:rPr>
              <w:t>Pacijenti &lt; 40 kg*</w:t>
            </w:r>
          </w:p>
        </w:tc>
      </w:tr>
      <w:tr w:rsidR="00935053" w:rsidRPr="00913317" w14:paraId="0706D80E" w14:textId="77777777" w:rsidTr="0054718D">
        <w:trPr>
          <w:jc w:val="center"/>
        </w:trPr>
        <w:tc>
          <w:tcPr>
            <w:tcW w:w="1121" w:type="pct"/>
          </w:tcPr>
          <w:p w14:paraId="18C2238F" w14:textId="77777777" w:rsidR="000F1AF6" w:rsidRPr="00913317" w:rsidRDefault="000F1AF6" w:rsidP="00D72925">
            <w:pPr>
              <w:rPr>
                <w:b/>
                <w:szCs w:val="22"/>
                <w:lang w:val="hr-HR"/>
              </w:rPr>
            </w:pPr>
            <w:r w:rsidRPr="00913317">
              <w:rPr>
                <w:b/>
                <w:szCs w:val="22"/>
                <w:lang w:val="hr-HR"/>
              </w:rPr>
              <w:t>Udarna doza</w:t>
            </w:r>
            <w:r w:rsidRPr="00913317">
              <w:rPr>
                <w:b/>
                <w:szCs w:val="22"/>
                <w:lang w:val="hr-HR"/>
              </w:rPr>
              <w:br/>
              <w:t>(u prva 24 sata)</w:t>
            </w:r>
          </w:p>
        </w:tc>
        <w:tc>
          <w:tcPr>
            <w:tcW w:w="1264" w:type="pct"/>
            <w:vAlign w:val="center"/>
          </w:tcPr>
          <w:p w14:paraId="6ADAD653" w14:textId="77777777" w:rsidR="006131C3" w:rsidRPr="00913317" w:rsidRDefault="000F1AF6" w:rsidP="00D72925">
            <w:pPr>
              <w:rPr>
                <w:szCs w:val="22"/>
                <w:lang w:val="hr-HR"/>
              </w:rPr>
            </w:pPr>
            <w:r w:rsidRPr="00913317">
              <w:rPr>
                <w:szCs w:val="22"/>
                <w:lang w:val="hr-HR"/>
              </w:rPr>
              <w:t>6 mg/kg svakih 12 sati</w:t>
            </w:r>
          </w:p>
        </w:tc>
        <w:tc>
          <w:tcPr>
            <w:tcW w:w="1307" w:type="pct"/>
            <w:vAlign w:val="center"/>
          </w:tcPr>
          <w:p w14:paraId="685D22E3" w14:textId="77777777" w:rsidR="006131C3" w:rsidRPr="00913317" w:rsidRDefault="000F1AF6" w:rsidP="00D72925">
            <w:pPr>
              <w:rPr>
                <w:szCs w:val="22"/>
                <w:lang w:val="hr-HR"/>
              </w:rPr>
            </w:pPr>
            <w:r w:rsidRPr="00913317">
              <w:rPr>
                <w:szCs w:val="22"/>
                <w:lang w:val="hr-HR"/>
              </w:rPr>
              <w:t>400 mg svakih 12 h</w:t>
            </w:r>
          </w:p>
        </w:tc>
        <w:tc>
          <w:tcPr>
            <w:tcW w:w="1308" w:type="pct"/>
            <w:vAlign w:val="center"/>
          </w:tcPr>
          <w:p w14:paraId="58105E84" w14:textId="77777777" w:rsidR="006131C3" w:rsidRPr="00913317" w:rsidRDefault="000F1AF6" w:rsidP="00D72925">
            <w:pPr>
              <w:rPr>
                <w:szCs w:val="22"/>
                <w:lang w:val="hr-HR"/>
              </w:rPr>
            </w:pPr>
            <w:r w:rsidRPr="00913317">
              <w:rPr>
                <w:szCs w:val="22"/>
                <w:lang w:val="hr-HR"/>
              </w:rPr>
              <w:t>200 mg svakih 12 h</w:t>
            </w:r>
          </w:p>
        </w:tc>
      </w:tr>
      <w:tr w:rsidR="00935053" w:rsidRPr="00913317" w14:paraId="0F04B6A4" w14:textId="77777777" w:rsidTr="0054718D">
        <w:trPr>
          <w:jc w:val="center"/>
        </w:trPr>
        <w:tc>
          <w:tcPr>
            <w:tcW w:w="1121" w:type="pct"/>
          </w:tcPr>
          <w:p w14:paraId="2C9B4C5B" w14:textId="6B8E3126" w:rsidR="000F1AF6" w:rsidRPr="00913317" w:rsidRDefault="000F1AF6" w:rsidP="00D72925">
            <w:pPr>
              <w:rPr>
                <w:szCs w:val="22"/>
                <w:lang w:val="hr-HR"/>
              </w:rPr>
            </w:pPr>
            <w:r w:rsidRPr="00913317">
              <w:rPr>
                <w:b/>
                <w:szCs w:val="22"/>
                <w:lang w:val="hr-HR"/>
              </w:rPr>
              <w:t>Doza održavanja</w:t>
            </w:r>
            <w:r w:rsidRPr="00913317">
              <w:rPr>
                <w:b/>
                <w:szCs w:val="22"/>
                <w:lang w:val="hr-HR"/>
              </w:rPr>
              <w:br/>
              <w:t>(posl</w:t>
            </w:r>
            <w:r w:rsidR="00F55712" w:rsidRPr="00913317">
              <w:rPr>
                <w:b/>
                <w:szCs w:val="22"/>
                <w:lang w:val="hr-HR"/>
              </w:rPr>
              <w:t>ij</w:t>
            </w:r>
            <w:r w:rsidRPr="00913317">
              <w:rPr>
                <w:b/>
                <w:szCs w:val="22"/>
                <w:lang w:val="hr-HR"/>
              </w:rPr>
              <w:t>e prva 24 sata)</w:t>
            </w:r>
          </w:p>
        </w:tc>
        <w:tc>
          <w:tcPr>
            <w:tcW w:w="1264" w:type="pct"/>
            <w:vAlign w:val="center"/>
          </w:tcPr>
          <w:p w14:paraId="5CCD0C88" w14:textId="77777777" w:rsidR="006131C3" w:rsidRPr="00913317" w:rsidRDefault="000F1AF6" w:rsidP="00D72925">
            <w:pPr>
              <w:rPr>
                <w:szCs w:val="22"/>
                <w:lang w:val="hr-HR"/>
              </w:rPr>
            </w:pPr>
            <w:r w:rsidRPr="00913317">
              <w:rPr>
                <w:szCs w:val="22"/>
                <w:lang w:val="hr-HR"/>
              </w:rPr>
              <w:t>4 mg/kg dva puta dnevno</w:t>
            </w:r>
          </w:p>
        </w:tc>
        <w:tc>
          <w:tcPr>
            <w:tcW w:w="1307" w:type="pct"/>
            <w:vAlign w:val="center"/>
          </w:tcPr>
          <w:p w14:paraId="4166B691" w14:textId="77777777" w:rsidR="006131C3" w:rsidRPr="00913317" w:rsidRDefault="000F1AF6" w:rsidP="00D72925">
            <w:pPr>
              <w:rPr>
                <w:szCs w:val="22"/>
                <w:lang w:val="hr-HR"/>
              </w:rPr>
            </w:pPr>
            <w:r w:rsidRPr="00913317">
              <w:rPr>
                <w:szCs w:val="22"/>
                <w:lang w:val="hr-HR"/>
              </w:rPr>
              <w:t>200 mg dva puta dnevno</w:t>
            </w:r>
          </w:p>
        </w:tc>
        <w:tc>
          <w:tcPr>
            <w:tcW w:w="1308" w:type="pct"/>
            <w:vAlign w:val="center"/>
          </w:tcPr>
          <w:p w14:paraId="1C76A781" w14:textId="77777777" w:rsidR="006131C3" w:rsidRPr="00913317" w:rsidRDefault="000F1AF6" w:rsidP="00D72925">
            <w:pPr>
              <w:rPr>
                <w:szCs w:val="22"/>
                <w:lang w:val="hr-HR"/>
              </w:rPr>
            </w:pPr>
            <w:r w:rsidRPr="00913317">
              <w:rPr>
                <w:szCs w:val="22"/>
                <w:lang w:val="hr-HR"/>
              </w:rPr>
              <w:t>100 mg dva puta dnevno</w:t>
            </w:r>
          </w:p>
        </w:tc>
      </w:tr>
    </w:tbl>
    <w:p w14:paraId="42DF5C96" w14:textId="5E86408F" w:rsidR="006131C3" w:rsidRPr="0054718D" w:rsidRDefault="000F1AF6" w:rsidP="00D72925">
      <w:pPr>
        <w:tabs>
          <w:tab w:val="clear" w:pos="284"/>
          <w:tab w:val="left" w:pos="0"/>
        </w:tabs>
        <w:rPr>
          <w:sz w:val="20"/>
          <w:szCs w:val="22"/>
          <w:lang w:val="hr-HR"/>
        </w:rPr>
      </w:pPr>
      <w:r w:rsidRPr="0054718D">
        <w:rPr>
          <w:sz w:val="20"/>
          <w:szCs w:val="22"/>
          <w:lang w:val="hr-HR"/>
        </w:rPr>
        <w:t>*odnosi se takođe na pacijente uzrasta 15 godina i starije</w:t>
      </w:r>
    </w:p>
    <w:p w14:paraId="609B4351" w14:textId="77777777" w:rsidR="0054718D" w:rsidRDefault="0054718D" w:rsidP="00D72925">
      <w:pPr>
        <w:tabs>
          <w:tab w:val="clear" w:pos="284"/>
          <w:tab w:val="left" w:pos="0"/>
        </w:tabs>
        <w:rPr>
          <w:i/>
          <w:szCs w:val="22"/>
          <w:u w:val="single"/>
          <w:lang w:val="hr-HR"/>
        </w:rPr>
      </w:pPr>
    </w:p>
    <w:p w14:paraId="0DEFCA60" w14:textId="403C33C8" w:rsidR="006131C3" w:rsidRPr="00913317" w:rsidRDefault="000F1AF6" w:rsidP="00D72925">
      <w:pPr>
        <w:tabs>
          <w:tab w:val="clear" w:pos="284"/>
          <w:tab w:val="left" w:pos="0"/>
        </w:tabs>
        <w:rPr>
          <w:i/>
          <w:szCs w:val="22"/>
          <w:u w:val="single"/>
          <w:lang w:val="hr-HR"/>
        </w:rPr>
      </w:pPr>
      <w:r w:rsidRPr="00913317">
        <w:rPr>
          <w:i/>
          <w:szCs w:val="22"/>
          <w:u w:val="single"/>
          <w:lang w:val="hr-HR"/>
        </w:rPr>
        <w:t>Trajanje terapije</w:t>
      </w:r>
    </w:p>
    <w:p w14:paraId="43337D39" w14:textId="4CB5B571" w:rsidR="006131C3" w:rsidRPr="00913317" w:rsidRDefault="000F1AF6" w:rsidP="00D72925">
      <w:pPr>
        <w:tabs>
          <w:tab w:val="clear" w:pos="284"/>
          <w:tab w:val="left" w:pos="0"/>
        </w:tabs>
        <w:rPr>
          <w:szCs w:val="22"/>
          <w:lang w:val="hr-HR"/>
        </w:rPr>
      </w:pPr>
      <w:r w:rsidRPr="00913317">
        <w:rPr>
          <w:szCs w:val="22"/>
          <w:lang w:val="hr-HR"/>
        </w:rPr>
        <w:t>Trajanje terapije treba da bude što kraće u zavisnosti od kliničkog i mikološkog odgovora pacijenta. Dugotrajno izlaganje vorikonazolu, duže od 180 dana (6 m</w:t>
      </w:r>
      <w:r w:rsidR="006E406F" w:rsidRPr="00913317">
        <w:rPr>
          <w:szCs w:val="22"/>
          <w:lang w:val="hr-HR"/>
        </w:rPr>
        <w:t>j</w:t>
      </w:r>
      <w:r w:rsidRPr="00913317">
        <w:rPr>
          <w:szCs w:val="22"/>
          <w:lang w:val="hr-HR"/>
        </w:rPr>
        <w:t xml:space="preserve">eseci) </w:t>
      </w:r>
      <w:r w:rsidR="00D85AC5" w:rsidRPr="00913317">
        <w:rPr>
          <w:szCs w:val="22"/>
          <w:lang w:val="hr-HR"/>
        </w:rPr>
        <w:t>zahtijeva</w:t>
      </w:r>
      <w:r w:rsidRPr="00913317">
        <w:rPr>
          <w:szCs w:val="22"/>
          <w:lang w:val="hr-HR"/>
        </w:rPr>
        <w:t xml:space="preserve"> pažljivu </w:t>
      </w:r>
      <w:r w:rsidR="004D45E7" w:rsidRPr="00913317">
        <w:rPr>
          <w:szCs w:val="22"/>
          <w:lang w:val="hr-HR"/>
        </w:rPr>
        <w:t>procjen</w:t>
      </w:r>
      <w:r w:rsidRPr="00913317">
        <w:rPr>
          <w:szCs w:val="22"/>
          <w:lang w:val="hr-HR"/>
        </w:rPr>
        <w:t>u odnosa koristi i rizika (</w:t>
      </w:r>
      <w:r w:rsidR="004D45E7" w:rsidRPr="00913317">
        <w:rPr>
          <w:szCs w:val="22"/>
          <w:lang w:val="hr-HR"/>
        </w:rPr>
        <w:t xml:space="preserve">vidjeti </w:t>
      </w:r>
      <w:r w:rsidR="00954637" w:rsidRPr="00913317">
        <w:rPr>
          <w:szCs w:val="22"/>
          <w:lang w:val="hr-HR"/>
        </w:rPr>
        <w:t xml:space="preserve">djelove </w:t>
      </w:r>
      <w:r w:rsidRPr="00913317">
        <w:rPr>
          <w:szCs w:val="22"/>
          <w:lang w:val="hr-HR"/>
        </w:rPr>
        <w:t xml:space="preserve"> 4.4 i 5.1). </w:t>
      </w:r>
    </w:p>
    <w:p w14:paraId="2957BDF6" w14:textId="77777777" w:rsidR="006131C3" w:rsidRPr="00913317" w:rsidRDefault="000F1AF6" w:rsidP="00D72925">
      <w:pPr>
        <w:tabs>
          <w:tab w:val="clear" w:pos="284"/>
          <w:tab w:val="left" w:pos="0"/>
        </w:tabs>
        <w:rPr>
          <w:i/>
          <w:szCs w:val="22"/>
          <w:u w:val="single"/>
          <w:lang w:val="hr-HR"/>
        </w:rPr>
      </w:pPr>
      <w:r w:rsidRPr="00913317">
        <w:rPr>
          <w:i/>
          <w:szCs w:val="22"/>
          <w:u w:val="single"/>
          <w:lang w:val="hr-HR"/>
        </w:rPr>
        <w:t>Prilagođavanje doze (odrasli)</w:t>
      </w:r>
    </w:p>
    <w:p w14:paraId="261F606F" w14:textId="77777777" w:rsidR="006131C3" w:rsidRPr="00913317" w:rsidRDefault="000F1AF6" w:rsidP="00D72925">
      <w:pPr>
        <w:tabs>
          <w:tab w:val="clear" w:pos="284"/>
          <w:tab w:val="left" w:pos="0"/>
        </w:tabs>
        <w:rPr>
          <w:szCs w:val="22"/>
          <w:lang w:val="hr-HR"/>
        </w:rPr>
      </w:pPr>
      <w:r w:rsidRPr="00913317">
        <w:rPr>
          <w:szCs w:val="22"/>
          <w:lang w:val="hr-HR"/>
        </w:rPr>
        <w:t>Ukoliko pacijent ne podnosi intravensku dozu od 4 mg/kg dva puta dnevno, dozu treba smanjiti na 3 mg/kg dva puta dnevno.</w:t>
      </w:r>
    </w:p>
    <w:p w14:paraId="1CC3428A" w14:textId="77777777" w:rsidR="006131C3" w:rsidRPr="00913317" w:rsidRDefault="006131C3" w:rsidP="00D72925">
      <w:pPr>
        <w:tabs>
          <w:tab w:val="clear" w:pos="284"/>
          <w:tab w:val="left" w:pos="0"/>
        </w:tabs>
        <w:rPr>
          <w:szCs w:val="22"/>
          <w:lang w:val="hr-HR"/>
        </w:rPr>
      </w:pPr>
    </w:p>
    <w:p w14:paraId="09DC752A" w14:textId="23F2656D" w:rsidR="006131C3" w:rsidRPr="00913317" w:rsidRDefault="000F1AF6" w:rsidP="00D72925">
      <w:pPr>
        <w:rPr>
          <w:szCs w:val="22"/>
          <w:lang w:val="hr-HR"/>
        </w:rPr>
      </w:pPr>
      <w:r w:rsidRPr="00913317">
        <w:rPr>
          <w:szCs w:val="22"/>
          <w:lang w:val="hr-HR"/>
        </w:rPr>
        <w:t>Ako odgovor pacijenta na terapiju nije zadovoljavajući, doza održavanja može se povećati na 300</w:t>
      </w:r>
      <w:r w:rsidR="00D812C8" w:rsidRPr="00913317">
        <w:rPr>
          <w:szCs w:val="22"/>
          <w:lang w:val="hr-HR"/>
        </w:rPr>
        <w:t> </w:t>
      </w:r>
      <w:r w:rsidRPr="00913317">
        <w:rPr>
          <w:szCs w:val="22"/>
          <w:lang w:val="hr-HR"/>
        </w:rPr>
        <w:t xml:space="preserve">mg dva puta dnevno, kod oralne </w:t>
      </w:r>
      <w:r w:rsidR="004D45E7" w:rsidRPr="00913317">
        <w:rPr>
          <w:szCs w:val="22"/>
          <w:lang w:val="hr-HR"/>
        </w:rPr>
        <w:t>primjen</w:t>
      </w:r>
      <w:r w:rsidRPr="00913317">
        <w:rPr>
          <w:szCs w:val="22"/>
          <w:lang w:val="hr-HR"/>
        </w:rPr>
        <w:t>e. Za pacijente sa t</w:t>
      </w:r>
      <w:r w:rsidR="007B7CF0" w:rsidRPr="00913317">
        <w:rPr>
          <w:szCs w:val="22"/>
          <w:lang w:val="hr-HR"/>
        </w:rPr>
        <w:t>j</w:t>
      </w:r>
      <w:r w:rsidRPr="00913317">
        <w:rPr>
          <w:szCs w:val="22"/>
          <w:lang w:val="hr-HR"/>
        </w:rPr>
        <w:t>elesnom masom &lt; 40 kg oralna doza može da se poveća na 150</w:t>
      </w:r>
      <w:r w:rsidR="00D812C8" w:rsidRPr="00913317">
        <w:rPr>
          <w:szCs w:val="22"/>
          <w:lang w:val="hr-HR"/>
        </w:rPr>
        <w:t> </w:t>
      </w:r>
      <w:r w:rsidRPr="00913317">
        <w:rPr>
          <w:szCs w:val="22"/>
          <w:lang w:val="hr-HR"/>
        </w:rPr>
        <w:t>mg dva puta dnevno.</w:t>
      </w:r>
    </w:p>
    <w:p w14:paraId="6987753E" w14:textId="77777777" w:rsidR="006131C3" w:rsidRPr="00913317" w:rsidRDefault="006131C3" w:rsidP="00D72925">
      <w:pPr>
        <w:rPr>
          <w:szCs w:val="22"/>
          <w:lang w:val="hr-HR"/>
        </w:rPr>
      </w:pPr>
    </w:p>
    <w:p w14:paraId="0CA9B314" w14:textId="2529B9ED" w:rsidR="006131C3" w:rsidRPr="00913317" w:rsidRDefault="000F1AF6" w:rsidP="00D72925">
      <w:pPr>
        <w:rPr>
          <w:szCs w:val="22"/>
          <w:lang w:val="hr-HR"/>
        </w:rPr>
      </w:pPr>
      <w:r w:rsidRPr="00913317">
        <w:rPr>
          <w:szCs w:val="22"/>
          <w:lang w:val="hr-HR" w:eastAsia="en-GB"/>
        </w:rPr>
        <w:t>Ako pacijent ne podnosi terapiju većim dozama, oralnu dozu održavanja treba postepeno smanjivati za po 50 mg do 200</w:t>
      </w:r>
      <w:r w:rsidR="00D812C8" w:rsidRPr="00913317">
        <w:rPr>
          <w:szCs w:val="22"/>
          <w:lang w:val="hr-HR" w:eastAsia="en-GB"/>
        </w:rPr>
        <w:t> </w:t>
      </w:r>
      <w:r w:rsidRPr="00913317">
        <w:rPr>
          <w:szCs w:val="22"/>
          <w:lang w:val="hr-HR" w:eastAsia="en-GB"/>
        </w:rPr>
        <w:t>mg, dva puta dnevno (ili 100 mg dva puta dnevno, za pacijente sa t</w:t>
      </w:r>
      <w:r w:rsidR="007B7CF0" w:rsidRPr="00913317">
        <w:rPr>
          <w:szCs w:val="22"/>
          <w:lang w:val="hr-HR" w:eastAsia="en-GB"/>
        </w:rPr>
        <w:t>j</w:t>
      </w:r>
      <w:r w:rsidRPr="00913317">
        <w:rPr>
          <w:szCs w:val="22"/>
          <w:lang w:val="hr-HR" w:eastAsia="en-GB"/>
        </w:rPr>
        <w:t xml:space="preserve">elesnom masom &lt; 40 kg). </w:t>
      </w:r>
    </w:p>
    <w:p w14:paraId="6547BACA" w14:textId="05C10951" w:rsidR="006131C3" w:rsidRPr="00913317" w:rsidRDefault="000F1AF6" w:rsidP="00D72925">
      <w:pPr>
        <w:rPr>
          <w:szCs w:val="22"/>
          <w:lang w:val="hr-HR"/>
        </w:rPr>
      </w:pPr>
      <w:r w:rsidRPr="00913317">
        <w:rPr>
          <w:szCs w:val="22"/>
          <w:lang w:val="hr-HR"/>
        </w:rPr>
        <w:t xml:space="preserve">U slučaju </w:t>
      </w:r>
      <w:r w:rsidR="004D45E7" w:rsidRPr="00913317">
        <w:rPr>
          <w:szCs w:val="22"/>
          <w:lang w:val="hr-HR"/>
        </w:rPr>
        <w:t>primjen</w:t>
      </w:r>
      <w:r w:rsidRPr="00913317">
        <w:rPr>
          <w:szCs w:val="22"/>
          <w:lang w:val="hr-HR"/>
        </w:rPr>
        <w:t xml:space="preserve">e kod profilakse pogledajte tekst ispod. </w:t>
      </w:r>
    </w:p>
    <w:p w14:paraId="0BD5BDE3" w14:textId="77777777" w:rsidR="006131C3" w:rsidRPr="00913317" w:rsidRDefault="006131C3" w:rsidP="00D72925">
      <w:pPr>
        <w:tabs>
          <w:tab w:val="clear" w:pos="284"/>
          <w:tab w:val="left" w:pos="0"/>
        </w:tabs>
        <w:rPr>
          <w:color w:val="FF0000"/>
          <w:szCs w:val="22"/>
          <w:lang w:val="hr-HR"/>
        </w:rPr>
      </w:pPr>
    </w:p>
    <w:p w14:paraId="21E27386" w14:textId="26040B47" w:rsidR="000F1AF6" w:rsidRPr="00913317" w:rsidRDefault="000F1AF6" w:rsidP="00D72925">
      <w:pPr>
        <w:tabs>
          <w:tab w:val="clear" w:pos="284"/>
        </w:tabs>
        <w:rPr>
          <w:szCs w:val="22"/>
          <w:lang w:val="hr-HR"/>
        </w:rPr>
      </w:pPr>
      <w:r w:rsidRPr="00913317">
        <w:rPr>
          <w:i/>
          <w:szCs w:val="22"/>
          <w:lang w:val="hr-HR"/>
        </w:rPr>
        <w:t>D</w:t>
      </w:r>
      <w:r w:rsidR="00574B9A" w:rsidRPr="00913317">
        <w:rPr>
          <w:i/>
          <w:szCs w:val="22"/>
          <w:lang w:val="hr-HR"/>
        </w:rPr>
        <w:t>j</w:t>
      </w:r>
      <w:r w:rsidRPr="00913317">
        <w:rPr>
          <w:i/>
          <w:szCs w:val="22"/>
          <w:lang w:val="hr-HR"/>
        </w:rPr>
        <w:t xml:space="preserve">eca (uzrasta od 2 do &lt;12 godina) i </w:t>
      </w:r>
      <w:r w:rsidR="006C3F92" w:rsidRPr="00913317">
        <w:rPr>
          <w:i/>
          <w:szCs w:val="22"/>
          <w:lang w:val="hr-HR"/>
        </w:rPr>
        <w:t>ml</w:t>
      </w:r>
      <w:r w:rsidRPr="00913317">
        <w:rPr>
          <w:i/>
          <w:szCs w:val="22"/>
          <w:lang w:val="hr-HR"/>
        </w:rPr>
        <w:t>ađi adolescenti sa nižom t</w:t>
      </w:r>
      <w:r w:rsidR="00574B9A" w:rsidRPr="00913317">
        <w:rPr>
          <w:i/>
          <w:szCs w:val="22"/>
          <w:lang w:val="hr-HR"/>
        </w:rPr>
        <w:t>j</w:t>
      </w:r>
      <w:r w:rsidRPr="00913317">
        <w:rPr>
          <w:i/>
          <w:szCs w:val="22"/>
          <w:lang w:val="hr-HR"/>
        </w:rPr>
        <w:t xml:space="preserve">elesnom masom (uzrasta </w:t>
      </w:r>
      <w:r w:rsidR="009864BC" w:rsidRPr="00913317">
        <w:rPr>
          <w:i/>
          <w:szCs w:val="22"/>
          <w:lang w:val="hr-HR"/>
        </w:rPr>
        <w:t xml:space="preserve">od </w:t>
      </w:r>
      <w:r w:rsidRPr="00913317">
        <w:rPr>
          <w:i/>
          <w:szCs w:val="22"/>
          <w:lang w:val="hr-HR"/>
        </w:rPr>
        <w:t>12 do 14 godina i &lt; 50 kg t</w:t>
      </w:r>
      <w:r w:rsidR="00574B9A" w:rsidRPr="00913317">
        <w:rPr>
          <w:i/>
          <w:szCs w:val="22"/>
          <w:lang w:val="hr-HR"/>
        </w:rPr>
        <w:t>j</w:t>
      </w:r>
      <w:r w:rsidRPr="00913317">
        <w:rPr>
          <w:i/>
          <w:szCs w:val="22"/>
          <w:lang w:val="hr-HR"/>
        </w:rPr>
        <w:t xml:space="preserve">elesne mase) </w:t>
      </w:r>
    </w:p>
    <w:p w14:paraId="0776AF27" w14:textId="796785F1" w:rsidR="006131C3" w:rsidRPr="00913317" w:rsidRDefault="000F1AF6" w:rsidP="00D72925">
      <w:pPr>
        <w:tabs>
          <w:tab w:val="clear" w:pos="284"/>
        </w:tabs>
        <w:rPr>
          <w:szCs w:val="22"/>
          <w:lang w:val="hr-HR"/>
        </w:rPr>
      </w:pPr>
      <w:r w:rsidRPr="00913317">
        <w:rPr>
          <w:szCs w:val="22"/>
          <w:lang w:val="hr-HR"/>
        </w:rPr>
        <w:t>Vorikonazol se dozira kao kod d</w:t>
      </w:r>
      <w:r w:rsidR="00574B9A" w:rsidRPr="00913317">
        <w:rPr>
          <w:szCs w:val="22"/>
          <w:lang w:val="hr-HR"/>
        </w:rPr>
        <w:t>j</w:t>
      </w:r>
      <w:r w:rsidRPr="00913317">
        <w:rPr>
          <w:szCs w:val="22"/>
          <w:lang w:val="hr-HR"/>
        </w:rPr>
        <w:t xml:space="preserve">ece jer je metabolizam vorikonazola kod </w:t>
      </w:r>
      <w:r w:rsidR="006C3F92" w:rsidRPr="00913317">
        <w:rPr>
          <w:szCs w:val="22"/>
          <w:lang w:val="hr-HR"/>
        </w:rPr>
        <w:t>ml</w:t>
      </w:r>
      <w:r w:rsidRPr="00913317">
        <w:rPr>
          <w:szCs w:val="22"/>
          <w:lang w:val="hr-HR"/>
        </w:rPr>
        <w:t>ađih adolescenata sličniji metabolizmu kod d</w:t>
      </w:r>
      <w:r w:rsidR="00574B9A" w:rsidRPr="00913317">
        <w:rPr>
          <w:szCs w:val="22"/>
          <w:lang w:val="hr-HR"/>
        </w:rPr>
        <w:t>j</w:t>
      </w:r>
      <w:r w:rsidRPr="00913317">
        <w:rPr>
          <w:szCs w:val="22"/>
          <w:lang w:val="hr-HR"/>
        </w:rPr>
        <w:t xml:space="preserve">ece nego kod odraslih. </w:t>
      </w:r>
    </w:p>
    <w:p w14:paraId="6F2A2BFA" w14:textId="3ADBA351" w:rsidR="000F1AF6" w:rsidRPr="00913317" w:rsidRDefault="000F1AF6" w:rsidP="00D72925">
      <w:pPr>
        <w:keepNext/>
        <w:tabs>
          <w:tab w:val="clear" w:pos="284"/>
        </w:tabs>
        <w:rPr>
          <w:szCs w:val="22"/>
          <w:lang w:val="hr-HR"/>
        </w:rPr>
      </w:pPr>
      <w:r w:rsidRPr="00913317">
        <w:rPr>
          <w:szCs w:val="22"/>
          <w:lang w:val="hr-HR"/>
        </w:rPr>
        <w:t>Preporučuje se sl</w:t>
      </w:r>
      <w:r w:rsidR="0095618B" w:rsidRPr="00913317">
        <w:rPr>
          <w:szCs w:val="22"/>
          <w:lang w:val="hr-HR"/>
        </w:rPr>
        <w:t>j</w:t>
      </w:r>
      <w:r w:rsidRPr="00913317">
        <w:rPr>
          <w:szCs w:val="22"/>
          <w:lang w:val="hr-HR"/>
        </w:rPr>
        <w:t xml:space="preserve">edeći režim doziranja: </w:t>
      </w:r>
    </w:p>
    <w:p w14:paraId="17152E0C" w14:textId="77777777" w:rsidR="000E029E" w:rsidRPr="00913317" w:rsidRDefault="000E029E" w:rsidP="00D72925">
      <w:pPr>
        <w:keepNext/>
        <w:tabs>
          <w:tab w:val="clear" w:pos="284"/>
        </w:tabs>
        <w:rPr>
          <w:szCs w:val="22"/>
          <w:lang w:val="hr-HR"/>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2387"/>
        <w:gridCol w:w="4470"/>
      </w:tblGrid>
      <w:tr w:rsidR="00935053" w:rsidRPr="00913317" w14:paraId="0F017617" w14:textId="77777777" w:rsidTr="00723F41">
        <w:trPr>
          <w:jc w:val="center"/>
        </w:trPr>
        <w:tc>
          <w:tcPr>
            <w:tcW w:w="1265" w:type="pct"/>
          </w:tcPr>
          <w:p w14:paraId="3FE61A98" w14:textId="77777777" w:rsidR="006131C3" w:rsidRPr="00913317" w:rsidRDefault="006131C3" w:rsidP="00D72925">
            <w:pPr>
              <w:keepNext/>
              <w:rPr>
                <w:szCs w:val="22"/>
                <w:lang w:val="hr-HR"/>
              </w:rPr>
            </w:pPr>
          </w:p>
        </w:tc>
        <w:tc>
          <w:tcPr>
            <w:tcW w:w="1300" w:type="pct"/>
            <w:vAlign w:val="center"/>
          </w:tcPr>
          <w:p w14:paraId="79970DF6" w14:textId="63872F12" w:rsidR="006131C3" w:rsidRPr="00913317" w:rsidRDefault="000F1AF6" w:rsidP="00D72925">
            <w:pPr>
              <w:keepNext/>
              <w:rPr>
                <w:b/>
                <w:szCs w:val="22"/>
                <w:lang w:val="hr-HR"/>
              </w:rPr>
            </w:pPr>
            <w:r w:rsidRPr="00913317">
              <w:rPr>
                <w:b/>
                <w:bCs/>
                <w:szCs w:val="22"/>
                <w:lang w:val="hr-HR"/>
              </w:rPr>
              <w:t xml:space="preserve">Intravenska </w:t>
            </w:r>
            <w:r w:rsidR="004D45E7" w:rsidRPr="00913317">
              <w:rPr>
                <w:b/>
                <w:bCs/>
                <w:szCs w:val="22"/>
                <w:lang w:val="hr-HR"/>
              </w:rPr>
              <w:t>primjen</w:t>
            </w:r>
            <w:r w:rsidRPr="00913317">
              <w:rPr>
                <w:b/>
                <w:bCs/>
                <w:szCs w:val="22"/>
                <w:lang w:val="hr-HR"/>
              </w:rPr>
              <w:t>a</w:t>
            </w:r>
          </w:p>
        </w:tc>
        <w:tc>
          <w:tcPr>
            <w:tcW w:w="2435" w:type="pct"/>
            <w:vAlign w:val="center"/>
          </w:tcPr>
          <w:p w14:paraId="32FF80EB" w14:textId="42EFD772" w:rsidR="006131C3" w:rsidRPr="00913317" w:rsidRDefault="000F1AF6" w:rsidP="00D72925">
            <w:pPr>
              <w:keepNext/>
              <w:rPr>
                <w:b/>
                <w:szCs w:val="22"/>
                <w:lang w:val="hr-HR"/>
              </w:rPr>
            </w:pPr>
            <w:r w:rsidRPr="00913317">
              <w:rPr>
                <w:b/>
                <w:bCs/>
                <w:szCs w:val="22"/>
                <w:lang w:val="hr-HR"/>
              </w:rPr>
              <w:t xml:space="preserve">Oralna </w:t>
            </w:r>
            <w:r w:rsidR="004D45E7" w:rsidRPr="00913317">
              <w:rPr>
                <w:b/>
                <w:bCs/>
                <w:szCs w:val="22"/>
                <w:lang w:val="hr-HR"/>
              </w:rPr>
              <w:t>primjen</w:t>
            </w:r>
            <w:r w:rsidRPr="00913317">
              <w:rPr>
                <w:b/>
                <w:bCs/>
                <w:szCs w:val="22"/>
                <w:lang w:val="hr-HR"/>
              </w:rPr>
              <w:t>a</w:t>
            </w:r>
          </w:p>
        </w:tc>
      </w:tr>
      <w:tr w:rsidR="00935053" w:rsidRPr="00913317" w14:paraId="74580A34" w14:textId="77777777" w:rsidTr="00723F41">
        <w:trPr>
          <w:jc w:val="center"/>
        </w:trPr>
        <w:tc>
          <w:tcPr>
            <w:tcW w:w="1265" w:type="pct"/>
          </w:tcPr>
          <w:p w14:paraId="461C051B" w14:textId="77777777" w:rsidR="000F1AF6" w:rsidRPr="00913317" w:rsidRDefault="000F1AF6" w:rsidP="00D72925">
            <w:pPr>
              <w:keepNext/>
              <w:rPr>
                <w:b/>
                <w:szCs w:val="22"/>
                <w:lang w:val="hr-HR"/>
              </w:rPr>
            </w:pPr>
            <w:r w:rsidRPr="00913317">
              <w:rPr>
                <w:b/>
                <w:bCs/>
                <w:szCs w:val="22"/>
                <w:lang w:val="hr-HR"/>
              </w:rPr>
              <w:t xml:space="preserve">Udarna doza </w:t>
            </w:r>
            <w:r w:rsidRPr="00913317">
              <w:rPr>
                <w:b/>
                <w:bCs/>
                <w:szCs w:val="22"/>
                <w:lang w:val="hr-HR"/>
              </w:rPr>
              <w:br/>
              <w:t>(u prva 24 sata)</w:t>
            </w:r>
          </w:p>
        </w:tc>
        <w:tc>
          <w:tcPr>
            <w:tcW w:w="1300" w:type="pct"/>
          </w:tcPr>
          <w:p w14:paraId="3BFCB1DA" w14:textId="77777777" w:rsidR="006131C3" w:rsidRPr="00913317" w:rsidRDefault="000F1AF6" w:rsidP="00D72925">
            <w:pPr>
              <w:keepNext/>
              <w:rPr>
                <w:szCs w:val="22"/>
                <w:lang w:val="hr-HR"/>
              </w:rPr>
            </w:pPr>
            <w:r w:rsidRPr="00913317">
              <w:rPr>
                <w:szCs w:val="22"/>
                <w:lang w:val="hr-HR"/>
              </w:rPr>
              <w:t>9 mg/kg svakih 12 sati</w:t>
            </w:r>
          </w:p>
        </w:tc>
        <w:tc>
          <w:tcPr>
            <w:tcW w:w="2435" w:type="pct"/>
          </w:tcPr>
          <w:p w14:paraId="683FD840" w14:textId="77777777" w:rsidR="006131C3" w:rsidRPr="00913317" w:rsidRDefault="000F1AF6" w:rsidP="00D72925">
            <w:pPr>
              <w:keepNext/>
              <w:rPr>
                <w:szCs w:val="22"/>
                <w:lang w:val="hr-HR"/>
              </w:rPr>
            </w:pPr>
            <w:r w:rsidRPr="00913317">
              <w:rPr>
                <w:szCs w:val="22"/>
                <w:lang w:val="hr-HR"/>
              </w:rPr>
              <w:t>Ne preporučuje se</w:t>
            </w:r>
          </w:p>
        </w:tc>
      </w:tr>
      <w:tr w:rsidR="00935053" w:rsidRPr="0054718D" w14:paraId="42F89471" w14:textId="77777777" w:rsidTr="00723F41">
        <w:trPr>
          <w:jc w:val="center"/>
        </w:trPr>
        <w:tc>
          <w:tcPr>
            <w:tcW w:w="1265" w:type="pct"/>
            <w:vAlign w:val="center"/>
          </w:tcPr>
          <w:p w14:paraId="708C6FDD" w14:textId="4D5148F3" w:rsidR="000F1AF6" w:rsidRPr="00913317" w:rsidRDefault="000F1AF6" w:rsidP="00D72925">
            <w:pPr>
              <w:keepNext/>
              <w:rPr>
                <w:b/>
                <w:szCs w:val="22"/>
                <w:lang w:val="hr-HR"/>
              </w:rPr>
            </w:pPr>
            <w:r w:rsidRPr="00913317">
              <w:rPr>
                <w:b/>
                <w:bCs/>
                <w:szCs w:val="22"/>
                <w:lang w:val="hr-HR"/>
              </w:rPr>
              <w:t>Doza održavanja</w:t>
            </w:r>
            <w:r w:rsidRPr="00913317">
              <w:rPr>
                <w:b/>
                <w:bCs/>
                <w:szCs w:val="22"/>
                <w:lang w:val="hr-HR"/>
              </w:rPr>
              <w:br/>
              <w:t>(posl</w:t>
            </w:r>
            <w:r w:rsidR="00F55712" w:rsidRPr="00913317">
              <w:rPr>
                <w:b/>
                <w:bCs/>
                <w:szCs w:val="22"/>
                <w:lang w:val="hr-HR"/>
              </w:rPr>
              <w:t>ij</w:t>
            </w:r>
            <w:r w:rsidRPr="00913317">
              <w:rPr>
                <w:b/>
                <w:bCs/>
                <w:szCs w:val="22"/>
                <w:lang w:val="hr-HR"/>
              </w:rPr>
              <w:t>e prva 24 sata)</w:t>
            </w:r>
          </w:p>
        </w:tc>
        <w:tc>
          <w:tcPr>
            <w:tcW w:w="1300" w:type="pct"/>
            <w:vAlign w:val="center"/>
          </w:tcPr>
          <w:p w14:paraId="56AC5E9B" w14:textId="77777777" w:rsidR="006131C3" w:rsidRPr="00913317" w:rsidRDefault="000F1AF6" w:rsidP="00D72925">
            <w:pPr>
              <w:keepNext/>
              <w:rPr>
                <w:szCs w:val="22"/>
                <w:lang w:val="hr-HR"/>
              </w:rPr>
            </w:pPr>
            <w:r w:rsidRPr="00913317">
              <w:rPr>
                <w:szCs w:val="22"/>
                <w:lang w:val="hr-HR"/>
              </w:rPr>
              <w:t xml:space="preserve">8 mg/kg dva puta dnevno </w:t>
            </w:r>
          </w:p>
        </w:tc>
        <w:tc>
          <w:tcPr>
            <w:tcW w:w="2435" w:type="pct"/>
          </w:tcPr>
          <w:p w14:paraId="2DB63AC0" w14:textId="77777777" w:rsidR="000F1AF6" w:rsidRPr="00913317" w:rsidRDefault="000F1AF6" w:rsidP="00D72925">
            <w:pPr>
              <w:keepNext/>
              <w:rPr>
                <w:szCs w:val="22"/>
                <w:lang w:val="hr-HR"/>
              </w:rPr>
            </w:pPr>
            <w:r w:rsidRPr="00913317">
              <w:rPr>
                <w:szCs w:val="22"/>
                <w:lang w:val="hr-HR"/>
              </w:rPr>
              <w:t xml:space="preserve">9 mg/kg dva puta dnevno </w:t>
            </w:r>
            <w:r w:rsidRPr="00913317">
              <w:rPr>
                <w:szCs w:val="22"/>
                <w:lang w:val="hr-HR"/>
              </w:rPr>
              <w:br/>
              <w:t>(maksimalna doza je 350 mg dva puta dnevno)</w:t>
            </w:r>
          </w:p>
        </w:tc>
      </w:tr>
    </w:tbl>
    <w:p w14:paraId="71E73652" w14:textId="77777777" w:rsidR="000E029E" w:rsidRPr="00913317" w:rsidRDefault="000E029E" w:rsidP="00D72925">
      <w:pPr>
        <w:tabs>
          <w:tab w:val="clear" w:pos="284"/>
        </w:tabs>
        <w:ind w:right="283"/>
        <w:rPr>
          <w:spacing w:val="-2"/>
          <w:szCs w:val="22"/>
          <w:lang w:val="hr-HR"/>
        </w:rPr>
      </w:pPr>
    </w:p>
    <w:p w14:paraId="556391D6" w14:textId="27BF5331" w:rsidR="006131C3" w:rsidRPr="00913317" w:rsidRDefault="000F1AF6" w:rsidP="00D72925">
      <w:pPr>
        <w:tabs>
          <w:tab w:val="clear" w:pos="284"/>
        </w:tabs>
        <w:ind w:right="283"/>
        <w:rPr>
          <w:spacing w:val="-2"/>
          <w:szCs w:val="22"/>
          <w:lang w:val="hr-HR"/>
        </w:rPr>
      </w:pPr>
      <w:r w:rsidRPr="00913317">
        <w:rPr>
          <w:spacing w:val="-2"/>
          <w:szCs w:val="22"/>
          <w:lang w:val="hr-HR"/>
        </w:rPr>
        <w:t>Napomena: Navedeni režim doziranja zasniva se na populacionoj farmakokinetičkoj analizi podataka dobijenih na 112 imunokompromitovanih pedijatrijskih pacijenata starosti od 2 do &lt;</w:t>
      </w:r>
      <w:r w:rsidR="00D33083" w:rsidRPr="00913317">
        <w:rPr>
          <w:spacing w:val="-2"/>
          <w:szCs w:val="22"/>
          <w:lang w:val="hr-HR"/>
        </w:rPr>
        <w:t xml:space="preserve"> </w:t>
      </w:r>
      <w:r w:rsidRPr="00913317">
        <w:rPr>
          <w:spacing w:val="-2"/>
          <w:szCs w:val="22"/>
          <w:lang w:val="hr-HR"/>
        </w:rPr>
        <w:t>12 godina i 26 imunokompromitovanih adolescenata starosti od 12 do &lt;</w:t>
      </w:r>
      <w:r w:rsidR="00D33083" w:rsidRPr="00913317">
        <w:rPr>
          <w:spacing w:val="-2"/>
          <w:szCs w:val="22"/>
          <w:lang w:val="hr-HR"/>
        </w:rPr>
        <w:t xml:space="preserve"> </w:t>
      </w:r>
      <w:r w:rsidRPr="00913317">
        <w:rPr>
          <w:spacing w:val="-2"/>
          <w:szCs w:val="22"/>
          <w:lang w:val="hr-HR"/>
        </w:rPr>
        <w:t xml:space="preserve">17 godina. </w:t>
      </w:r>
    </w:p>
    <w:p w14:paraId="67DE8FF6" w14:textId="77777777" w:rsidR="006131C3" w:rsidRPr="00913317" w:rsidRDefault="006131C3" w:rsidP="00D72925">
      <w:pPr>
        <w:rPr>
          <w:color w:val="FF0000"/>
          <w:szCs w:val="22"/>
          <w:lang w:val="hr-HR"/>
        </w:rPr>
      </w:pPr>
    </w:p>
    <w:p w14:paraId="6045CCAC" w14:textId="6D47CAA1" w:rsidR="006131C3" w:rsidRPr="00913317" w:rsidRDefault="000F1AF6" w:rsidP="00D72925">
      <w:pPr>
        <w:rPr>
          <w:szCs w:val="22"/>
          <w:lang w:val="hr-HR"/>
        </w:rPr>
      </w:pPr>
      <w:r w:rsidRPr="00913317">
        <w:rPr>
          <w:szCs w:val="22"/>
          <w:lang w:val="hr-HR"/>
        </w:rPr>
        <w:t xml:space="preserve">Preporuka je da se terapija započne intravenskom infuzijom, a oralnu </w:t>
      </w:r>
      <w:r w:rsidR="004D45E7" w:rsidRPr="00913317">
        <w:rPr>
          <w:szCs w:val="22"/>
          <w:lang w:val="hr-HR"/>
        </w:rPr>
        <w:t>primjen</w:t>
      </w:r>
      <w:r w:rsidRPr="00913317">
        <w:rPr>
          <w:szCs w:val="22"/>
          <w:lang w:val="hr-HR"/>
        </w:rPr>
        <w:t>u treba razmotriti samo kada se postigne značajno kliničko poboljšanje. Treba imati u vidu da će se sa intravenskom dozom od 8 mg/kg dobiti približno 2 puta veća izloženost vorikonazolu u odnosu na onu koja se postiže sa oralnom dozom od 9</w:t>
      </w:r>
      <w:r w:rsidR="005A7815" w:rsidRPr="00913317">
        <w:rPr>
          <w:szCs w:val="22"/>
          <w:lang w:val="hr-HR"/>
        </w:rPr>
        <w:t> </w:t>
      </w:r>
      <w:r w:rsidRPr="00913317">
        <w:rPr>
          <w:szCs w:val="22"/>
          <w:lang w:val="hr-HR"/>
        </w:rPr>
        <w:t>mg/kg.</w:t>
      </w:r>
    </w:p>
    <w:p w14:paraId="70C9C96F" w14:textId="77777777" w:rsidR="006131C3" w:rsidRPr="00913317" w:rsidRDefault="006131C3" w:rsidP="00D72925">
      <w:pPr>
        <w:tabs>
          <w:tab w:val="clear" w:pos="284"/>
        </w:tabs>
        <w:rPr>
          <w:i/>
          <w:color w:val="FF0000"/>
          <w:szCs w:val="22"/>
          <w:lang w:val="hr-HR"/>
        </w:rPr>
      </w:pPr>
    </w:p>
    <w:p w14:paraId="08419732" w14:textId="1D522DFA" w:rsidR="006131C3" w:rsidRPr="00913317" w:rsidRDefault="000F1AF6" w:rsidP="00D72925">
      <w:pPr>
        <w:tabs>
          <w:tab w:val="clear" w:pos="284"/>
        </w:tabs>
        <w:rPr>
          <w:szCs w:val="22"/>
          <w:lang w:val="hr-HR"/>
        </w:rPr>
      </w:pPr>
      <w:r w:rsidRPr="00913317">
        <w:rPr>
          <w:i/>
          <w:szCs w:val="22"/>
          <w:lang w:val="hr-HR"/>
        </w:rPr>
        <w:t>Ostali adolescenti (uzrasta od 12 do 14 godina i ≥ 50 kg t</w:t>
      </w:r>
      <w:r w:rsidR="0095618B" w:rsidRPr="00913317">
        <w:rPr>
          <w:i/>
          <w:szCs w:val="22"/>
          <w:lang w:val="hr-HR"/>
        </w:rPr>
        <w:t>j</w:t>
      </w:r>
      <w:r w:rsidRPr="00913317">
        <w:rPr>
          <w:i/>
          <w:szCs w:val="22"/>
          <w:lang w:val="hr-HR"/>
        </w:rPr>
        <w:t>elesne mase; uzrasta od 15 do 17 godina bez obzira na t</w:t>
      </w:r>
      <w:r w:rsidR="0095618B" w:rsidRPr="00913317">
        <w:rPr>
          <w:i/>
          <w:szCs w:val="22"/>
          <w:lang w:val="hr-HR"/>
        </w:rPr>
        <w:t>j</w:t>
      </w:r>
      <w:r w:rsidRPr="00913317">
        <w:rPr>
          <w:i/>
          <w:szCs w:val="22"/>
          <w:lang w:val="hr-HR"/>
        </w:rPr>
        <w:t xml:space="preserve">elesnu masu) </w:t>
      </w:r>
    </w:p>
    <w:p w14:paraId="575213FB" w14:textId="77777777" w:rsidR="006131C3" w:rsidRPr="00913317" w:rsidRDefault="000F1AF6" w:rsidP="00D72925">
      <w:pPr>
        <w:rPr>
          <w:szCs w:val="22"/>
          <w:lang w:val="hr-HR"/>
        </w:rPr>
      </w:pPr>
      <w:r w:rsidRPr="00913317">
        <w:rPr>
          <w:szCs w:val="22"/>
          <w:lang w:val="hr-HR"/>
        </w:rPr>
        <w:t>Vorikonazol se dozira kao kod odraslih pacijenata.</w:t>
      </w:r>
    </w:p>
    <w:p w14:paraId="02D57495" w14:textId="77777777" w:rsidR="006131C3" w:rsidRPr="00913317" w:rsidRDefault="006131C3" w:rsidP="00D72925">
      <w:pPr>
        <w:rPr>
          <w:szCs w:val="22"/>
          <w:lang w:val="hr-HR"/>
        </w:rPr>
      </w:pPr>
    </w:p>
    <w:p w14:paraId="51E616EC" w14:textId="41C1C8AF" w:rsidR="006131C3" w:rsidRPr="00913317" w:rsidRDefault="000F1AF6" w:rsidP="00D72925">
      <w:pPr>
        <w:tabs>
          <w:tab w:val="clear" w:pos="284"/>
        </w:tabs>
        <w:rPr>
          <w:i/>
          <w:szCs w:val="22"/>
          <w:u w:val="single"/>
          <w:lang w:val="hr-HR"/>
        </w:rPr>
      </w:pPr>
      <w:r w:rsidRPr="00913317">
        <w:rPr>
          <w:i/>
          <w:szCs w:val="22"/>
          <w:u w:val="single"/>
          <w:lang w:val="hr-HR"/>
        </w:rPr>
        <w:t>Prilagođavanje doze (</w:t>
      </w:r>
      <w:r w:rsidR="003256B9" w:rsidRPr="00913317">
        <w:rPr>
          <w:i/>
          <w:szCs w:val="22"/>
          <w:u w:val="single"/>
          <w:lang w:val="hr-HR"/>
        </w:rPr>
        <w:t>d</w:t>
      </w:r>
      <w:r w:rsidR="0095618B" w:rsidRPr="00913317">
        <w:rPr>
          <w:i/>
          <w:szCs w:val="22"/>
          <w:u w:val="single"/>
          <w:lang w:val="hr-HR"/>
        </w:rPr>
        <w:t>j</w:t>
      </w:r>
      <w:r w:rsidR="003256B9" w:rsidRPr="00913317">
        <w:rPr>
          <w:i/>
          <w:szCs w:val="22"/>
          <w:u w:val="single"/>
          <w:lang w:val="hr-HR"/>
        </w:rPr>
        <w:t xml:space="preserve">eca uzrasta od 2 do &lt; 12 godina i </w:t>
      </w:r>
      <w:r w:rsidR="006C3F92" w:rsidRPr="00913317">
        <w:rPr>
          <w:i/>
          <w:szCs w:val="22"/>
          <w:u w:val="single"/>
          <w:lang w:val="hr-HR"/>
        </w:rPr>
        <w:t>ml</w:t>
      </w:r>
      <w:r w:rsidR="003256B9" w:rsidRPr="00913317">
        <w:rPr>
          <w:i/>
          <w:szCs w:val="22"/>
          <w:u w:val="single"/>
          <w:lang w:val="hr-HR"/>
        </w:rPr>
        <w:t>ađi adolescenti uzrasta od 12 do 14 godina sa t</w:t>
      </w:r>
      <w:r w:rsidR="0095618B" w:rsidRPr="00913317">
        <w:rPr>
          <w:i/>
          <w:szCs w:val="22"/>
          <w:u w:val="single"/>
          <w:lang w:val="hr-HR"/>
        </w:rPr>
        <w:t>j</w:t>
      </w:r>
      <w:r w:rsidR="003256B9" w:rsidRPr="00913317">
        <w:rPr>
          <w:i/>
          <w:szCs w:val="22"/>
          <w:u w:val="single"/>
          <w:lang w:val="hr-HR"/>
        </w:rPr>
        <w:t>elesnom masom &lt; 50 kg)</w:t>
      </w:r>
    </w:p>
    <w:p w14:paraId="030A4EAE" w14:textId="77777777" w:rsidR="006131C3" w:rsidRPr="00913317" w:rsidRDefault="003256B9" w:rsidP="00D72925">
      <w:pPr>
        <w:rPr>
          <w:szCs w:val="22"/>
          <w:lang w:val="hr-HR"/>
        </w:rPr>
      </w:pPr>
      <w:r w:rsidRPr="00913317">
        <w:rPr>
          <w:szCs w:val="22"/>
          <w:lang w:val="hr-HR"/>
        </w:rPr>
        <w:t>Ukoliko odgovor pacijenta na terapiju nije zadovoljavajući, intravenska doza se može povećavati postepeno za po 1 mg/kg. Ukoliko pacijent ne podnosi terapiju, intravensku dozu treba postepeno smanjivati za po 1 mg/kg.</w:t>
      </w:r>
    </w:p>
    <w:p w14:paraId="3D7925C1" w14:textId="4BA6B0E4" w:rsidR="006131C3" w:rsidRPr="00913317" w:rsidRDefault="003256B9" w:rsidP="00D72925">
      <w:pPr>
        <w:rPr>
          <w:szCs w:val="22"/>
          <w:lang w:val="hr-HR"/>
        </w:rPr>
      </w:pPr>
      <w:r w:rsidRPr="00913317">
        <w:rPr>
          <w:szCs w:val="22"/>
          <w:lang w:val="hr-HR"/>
        </w:rPr>
        <w:t xml:space="preserve">Upotreba kod pedijatrijskih pacijenata uzrasta od 2 do &lt; 12 godina sa insuficijencijom jetre ili bubrega nije </w:t>
      </w:r>
      <w:r w:rsidR="00DB6EA2" w:rsidRPr="00913317">
        <w:rPr>
          <w:szCs w:val="22"/>
          <w:lang w:val="hr-HR"/>
        </w:rPr>
        <w:t>ispitivana</w:t>
      </w:r>
      <w:r w:rsidRPr="00913317">
        <w:rPr>
          <w:szCs w:val="22"/>
          <w:lang w:val="hr-HR"/>
        </w:rPr>
        <w:t xml:space="preserve"> (</w:t>
      </w:r>
      <w:r w:rsidR="004D45E7" w:rsidRPr="00913317">
        <w:rPr>
          <w:szCs w:val="22"/>
          <w:lang w:val="hr-HR"/>
        </w:rPr>
        <w:t xml:space="preserve">vidjeti </w:t>
      </w:r>
      <w:r w:rsidR="00954637" w:rsidRPr="00913317">
        <w:rPr>
          <w:szCs w:val="22"/>
          <w:lang w:val="hr-HR"/>
        </w:rPr>
        <w:t xml:space="preserve">djelove </w:t>
      </w:r>
      <w:r w:rsidRPr="00913317">
        <w:rPr>
          <w:szCs w:val="22"/>
          <w:lang w:val="hr-HR"/>
        </w:rPr>
        <w:t xml:space="preserve"> 4.8 i 5.2). </w:t>
      </w:r>
    </w:p>
    <w:p w14:paraId="6BAA2DF6" w14:textId="77777777" w:rsidR="005A7815" w:rsidRPr="00913317" w:rsidRDefault="005A7815" w:rsidP="00D72925">
      <w:pPr>
        <w:widowControl w:val="0"/>
        <w:tabs>
          <w:tab w:val="clear" w:pos="284"/>
        </w:tabs>
        <w:autoSpaceDE w:val="0"/>
        <w:autoSpaceDN w:val="0"/>
        <w:adjustRightInd w:val="0"/>
        <w:rPr>
          <w:szCs w:val="22"/>
          <w:u w:val="single"/>
          <w:lang w:val="hr-HR" w:eastAsia="en-GB"/>
        </w:rPr>
      </w:pPr>
    </w:p>
    <w:p w14:paraId="7AB226D5" w14:textId="5E3FA285" w:rsidR="000F1AF6" w:rsidRPr="00913317" w:rsidRDefault="000F1AF6" w:rsidP="00D72925">
      <w:pPr>
        <w:widowControl w:val="0"/>
        <w:tabs>
          <w:tab w:val="clear" w:pos="284"/>
        </w:tabs>
        <w:autoSpaceDE w:val="0"/>
        <w:autoSpaceDN w:val="0"/>
        <w:adjustRightInd w:val="0"/>
        <w:rPr>
          <w:szCs w:val="22"/>
          <w:u w:val="single"/>
          <w:lang w:val="hr-HR" w:eastAsia="en-GB"/>
        </w:rPr>
      </w:pPr>
      <w:r w:rsidRPr="00913317">
        <w:rPr>
          <w:szCs w:val="22"/>
          <w:u w:val="single"/>
          <w:lang w:val="hr-HR" w:eastAsia="en-GB"/>
        </w:rPr>
        <w:t>Profilaksa kod odraslih i d</w:t>
      </w:r>
      <w:r w:rsidR="0095618B" w:rsidRPr="00913317">
        <w:rPr>
          <w:szCs w:val="22"/>
          <w:u w:val="single"/>
          <w:lang w:val="hr-HR" w:eastAsia="en-GB"/>
        </w:rPr>
        <w:t>j</w:t>
      </w:r>
      <w:r w:rsidRPr="00913317">
        <w:rPr>
          <w:szCs w:val="22"/>
          <w:u w:val="single"/>
          <w:lang w:val="hr-HR" w:eastAsia="en-GB"/>
        </w:rPr>
        <w:t xml:space="preserve">ece </w:t>
      </w:r>
    </w:p>
    <w:p w14:paraId="1F88ABF2" w14:textId="2897D903" w:rsidR="006131C3" w:rsidRPr="00913317" w:rsidRDefault="000F1AF6" w:rsidP="00D72925">
      <w:pPr>
        <w:widowControl w:val="0"/>
        <w:tabs>
          <w:tab w:val="clear" w:pos="284"/>
        </w:tabs>
        <w:autoSpaceDE w:val="0"/>
        <w:autoSpaceDN w:val="0"/>
        <w:adjustRightInd w:val="0"/>
        <w:rPr>
          <w:szCs w:val="22"/>
          <w:lang w:val="hr-HR" w:eastAsia="en-GB"/>
        </w:rPr>
      </w:pPr>
      <w:r w:rsidRPr="00913317">
        <w:rPr>
          <w:szCs w:val="22"/>
          <w:lang w:val="hr-HR" w:eastAsia="en-GB"/>
        </w:rPr>
        <w:t>P</w:t>
      </w:r>
      <w:r w:rsidRPr="00913317">
        <w:rPr>
          <w:spacing w:val="-2"/>
          <w:szCs w:val="22"/>
          <w:lang w:val="hr-HR" w:eastAsia="en-GB"/>
        </w:rPr>
        <w:t xml:space="preserve">rofilaksu je potrebno započeti na dan transplantacije i može se </w:t>
      </w:r>
      <w:r w:rsidR="004D45E7" w:rsidRPr="00913317">
        <w:rPr>
          <w:spacing w:val="-2"/>
          <w:szCs w:val="22"/>
          <w:lang w:val="hr-HR" w:eastAsia="en-GB"/>
        </w:rPr>
        <w:t>primjen</w:t>
      </w:r>
      <w:r w:rsidRPr="00913317">
        <w:rPr>
          <w:spacing w:val="-2"/>
          <w:szCs w:val="22"/>
          <w:lang w:val="hr-HR" w:eastAsia="en-GB"/>
        </w:rPr>
        <w:t>jivati najviše 100</w:t>
      </w:r>
      <w:r w:rsidR="00D812C8" w:rsidRPr="00913317">
        <w:rPr>
          <w:spacing w:val="-2"/>
          <w:szCs w:val="22"/>
          <w:lang w:val="hr-HR" w:eastAsia="en-GB"/>
        </w:rPr>
        <w:t> </w:t>
      </w:r>
      <w:r w:rsidRPr="00913317">
        <w:rPr>
          <w:spacing w:val="-2"/>
          <w:szCs w:val="22"/>
          <w:lang w:val="hr-HR" w:eastAsia="en-GB"/>
        </w:rPr>
        <w:t>dana. Profilaksa treba da traje što kraće, u zavisnosti od rizika za razvoj invazivne gljivične infekcije (</w:t>
      </w:r>
      <w:r w:rsidR="00270DAE" w:rsidRPr="00913317">
        <w:rPr>
          <w:spacing w:val="-2"/>
          <w:szCs w:val="22"/>
          <w:lang w:val="hr-HR" w:eastAsia="en-GB"/>
        </w:rPr>
        <w:t xml:space="preserve">engl. </w:t>
      </w:r>
      <w:r w:rsidR="00270DAE" w:rsidRPr="00913317">
        <w:rPr>
          <w:i/>
          <w:spacing w:val="-2"/>
          <w:szCs w:val="22"/>
          <w:lang w:val="hr-HR" w:eastAsia="en-GB"/>
        </w:rPr>
        <w:t>invasive fungal infection</w:t>
      </w:r>
      <w:r w:rsidR="00094654" w:rsidRPr="00913317">
        <w:rPr>
          <w:i/>
          <w:spacing w:val="-2"/>
          <w:szCs w:val="22"/>
          <w:lang w:val="hr-HR" w:eastAsia="en-GB"/>
        </w:rPr>
        <w:t xml:space="preserve">, </w:t>
      </w:r>
      <w:r w:rsidRPr="00913317">
        <w:rPr>
          <w:spacing w:val="-2"/>
          <w:szCs w:val="22"/>
          <w:lang w:val="hr-HR" w:eastAsia="en-GB"/>
        </w:rPr>
        <w:t>IFI) definisane neutropenijom ili imunosupresijom. Sm</w:t>
      </w:r>
      <w:r w:rsidR="00385301" w:rsidRPr="00913317">
        <w:rPr>
          <w:spacing w:val="-2"/>
          <w:szCs w:val="22"/>
          <w:lang w:val="hr-HR" w:eastAsia="en-GB"/>
        </w:rPr>
        <w:t>ij</w:t>
      </w:r>
      <w:r w:rsidRPr="00913317">
        <w:rPr>
          <w:spacing w:val="-2"/>
          <w:szCs w:val="22"/>
          <w:lang w:val="hr-HR" w:eastAsia="en-GB"/>
        </w:rPr>
        <w:t>e se nastaviti najviše 180</w:t>
      </w:r>
      <w:r w:rsidR="00D812C8" w:rsidRPr="00913317">
        <w:rPr>
          <w:spacing w:val="-2"/>
          <w:szCs w:val="22"/>
          <w:lang w:val="hr-HR" w:eastAsia="en-GB"/>
        </w:rPr>
        <w:t> </w:t>
      </w:r>
      <w:r w:rsidRPr="00913317">
        <w:rPr>
          <w:spacing w:val="-2"/>
          <w:szCs w:val="22"/>
          <w:lang w:val="hr-HR" w:eastAsia="en-GB"/>
        </w:rPr>
        <w:t>dana nakon transplantacije samo u slučaju kontinuirane imunosupresije ili odbacivanja grafta (</w:t>
      </w:r>
      <w:r w:rsidR="00270DAE" w:rsidRPr="00913317">
        <w:rPr>
          <w:spacing w:val="-2"/>
          <w:szCs w:val="22"/>
          <w:lang w:val="hr-HR" w:eastAsia="en-GB"/>
        </w:rPr>
        <w:t xml:space="preserve">engl. </w:t>
      </w:r>
      <w:r w:rsidR="00270DAE" w:rsidRPr="00913317">
        <w:rPr>
          <w:i/>
          <w:spacing w:val="-2"/>
          <w:szCs w:val="22"/>
          <w:lang w:val="hr-HR" w:eastAsia="en-GB"/>
        </w:rPr>
        <w:t>graft versus host disease</w:t>
      </w:r>
      <w:r w:rsidR="00DB6EA2" w:rsidRPr="00913317">
        <w:rPr>
          <w:spacing w:val="-2"/>
          <w:szCs w:val="22"/>
          <w:lang w:val="hr-HR" w:eastAsia="en-GB"/>
        </w:rPr>
        <w:t>,</w:t>
      </w:r>
      <w:r w:rsidR="00270DAE" w:rsidRPr="00913317">
        <w:rPr>
          <w:spacing w:val="-2"/>
          <w:szCs w:val="22"/>
          <w:lang w:val="hr-HR" w:eastAsia="en-GB"/>
        </w:rPr>
        <w:t xml:space="preserve"> </w:t>
      </w:r>
      <w:r w:rsidRPr="00913317">
        <w:rPr>
          <w:spacing w:val="-2"/>
          <w:szCs w:val="22"/>
          <w:lang w:val="hr-HR" w:eastAsia="en-GB"/>
        </w:rPr>
        <w:t>GvHD) (</w:t>
      </w:r>
      <w:r w:rsidR="004D45E7" w:rsidRPr="00913317">
        <w:rPr>
          <w:spacing w:val="-2"/>
          <w:szCs w:val="22"/>
          <w:lang w:val="hr-HR" w:eastAsia="en-GB"/>
        </w:rPr>
        <w:t xml:space="preserve">vidjeti </w:t>
      </w:r>
      <w:r w:rsidR="00954637" w:rsidRPr="00913317">
        <w:rPr>
          <w:spacing w:val="-2"/>
          <w:szCs w:val="22"/>
          <w:lang w:val="hr-HR" w:eastAsia="en-GB"/>
        </w:rPr>
        <w:t xml:space="preserve">dio </w:t>
      </w:r>
      <w:r w:rsidRPr="00913317">
        <w:rPr>
          <w:spacing w:val="-2"/>
          <w:szCs w:val="22"/>
          <w:lang w:val="hr-HR" w:eastAsia="en-GB"/>
        </w:rPr>
        <w:t xml:space="preserve"> 5.1)</w:t>
      </w:r>
      <w:r w:rsidRPr="00913317">
        <w:rPr>
          <w:szCs w:val="22"/>
          <w:lang w:val="hr-HR" w:eastAsia="en-GB"/>
        </w:rPr>
        <w:t>.</w:t>
      </w:r>
    </w:p>
    <w:p w14:paraId="59393269" w14:textId="77777777" w:rsidR="006131C3" w:rsidRPr="00913317" w:rsidRDefault="006131C3" w:rsidP="00D72925">
      <w:pPr>
        <w:tabs>
          <w:tab w:val="clear" w:pos="284"/>
          <w:tab w:val="left" w:pos="0"/>
        </w:tabs>
        <w:rPr>
          <w:i/>
          <w:color w:val="FF0000"/>
          <w:szCs w:val="22"/>
          <w:lang w:val="hr-HR"/>
        </w:rPr>
      </w:pPr>
    </w:p>
    <w:p w14:paraId="024FDBA3" w14:textId="77777777" w:rsidR="006131C3" w:rsidRPr="00913317" w:rsidRDefault="000F1AF6" w:rsidP="00D72925">
      <w:pPr>
        <w:tabs>
          <w:tab w:val="clear" w:pos="284"/>
          <w:tab w:val="left" w:pos="0"/>
        </w:tabs>
        <w:rPr>
          <w:i/>
          <w:szCs w:val="22"/>
          <w:lang w:val="hr-HR"/>
        </w:rPr>
      </w:pPr>
      <w:r w:rsidRPr="00913317">
        <w:rPr>
          <w:i/>
          <w:szCs w:val="22"/>
          <w:lang w:val="hr-HR"/>
        </w:rPr>
        <w:t>Doziranje</w:t>
      </w:r>
    </w:p>
    <w:p w14:paraId="4CA9A87F" w14:textId="72B5F71D" w:rsidR="006131C3" w:rsidRPr="00913317" w:rsidRDefault="000F1AF6" w:rsidP="00D72925">
      <w:pPr>
        <w:tabs>
          <w:tab w:val="clear" w:pos="284"/>
          <w:tab w:val="left" w:pos="0"/>
        </w:tabs>
        <w:rPr>
          <w:szCs w:val="22"/>
          <w:lang w:val="hr-HR"/>
        </w:rPr>
      </w:pPr>
      <w:r w:rsidRPr="00913317">
        <w:rPr>
          <w:szCs w:val="22"/>
          <w:lang w:val="hr-HR"/>
        </w:rPr>
        <w:t xml:space="preserve">Preporučeni režim doziranja za profilaksu isti je kao u terapiji kod </w:t>
      </w:r>
      <w:r w:rsidR="006D104C" w:rsidRPr="00913317">
        <w:rPr>
          <w:szCs w:val="22"/>
          <w:lang w:val="hr-HR"/>
        </w:rPr>
        <w:t>odgovarajućih</w:t>
      </w:r>
      <w:r w:rsidRPr="00913317">
        <w:rPr>
          <w:szCs w:val="22"/>
          <w:lang w:val="hr-HR"/>
        </w:rPr>
        <w:t xml:space="preserve"> starosnih grupa. </w:t>
      </w:r>
    </w:p>
    <w:p w14:paraId="23B1F764" w14:textId="77777777" w:rsidR="006131C3" w:rsidRPr="00913317" w:rsidRDefault="000F1AF6" w:rsidP="00D72925">
      <w:pPr>
        <w:tabs>
          <w:tab w:val="clear" w:pos="284"/>
          <w:tab w:val="left" w:pos="0"/>
        </w:tabs>
        <w:rPr>
          <w:szCs w:val="22"/>
          <w:lang w:val="hr-HR"/>
        </w:rPr>
      </w:pPr>
      <w:r w:rsidRPr="00913317">
        <w:rPr>
          <w:szCs w:val="22"/>
          <w:lang w:val="hr-HR"/>
        </w:rPr>
        <w:t xml:space="preserve">Pogledajte tabelu za preporučeno doziranje u tekstu iznad.  </w:t>
      </w:r>
    </w:p>
    <w:p w14:paraId="7D6C8D58" w14:textId="77777777" w:rsidR="006131C3" w:rsidRPr="00913317" w:rsidRDefault="006131C3" w:rsidP="00D72925">
      <w:pPr>
        <w:tabs>
          <w:tab w:val="clear" w:pos="284"/>
          <w:tab w:val="left" w:pos="0"/>
        </w:tabs>
        <w:rPr>
          <w:i/>
          <w:szCs w:val="22"/>
          <w:lang w:val="hr-HR"/>
        </w:rPr>
      </w:pPr>
    </w:p>
    <w:p w14:paraId="487756E3" w14:textId="77777777" w:rsidR="006131C3" w:rsidRPr="00913317" w:rsidRDefault="000F1AF6" w:rsidP="00D72925">
      <w:pPr>
        <w:tabs>
          <w:tab w:val="clear" w:pos="284"/>
          <w:tab w:val="left" w:pos="0"/>
        </w:tabs>
        <w:rPr>
          <w:i/>
          <w:szCs w:val="22"/>
          <w:lang w:val="hr-HR"/>
        </w:rPr>
      </w:pPr>
      <w:r w:rsidRPr="00913317">
        <w:rPr>
          <w:i/>
          <w:szCs w:val="22"/>
          <w:lang w:val="hr-HR"/>
        </w:rPr>
        <w:t>Trajanje profilakse</w:t>
      </w:r>
    </w:p>
    <w:p w14:paraId="254D2E4A" w14:textId="63618925" w:rsidR="006131C3" w:rsidRPr="00913317" w:rsidRDefault="003204CC" w:rsidP="00D72925">
      <w:pPr>
        <w:tabs>
          <w:tab w:val="clear" w:pos="284"/>
          <w:tab w:val="left" w:pos="0"/>
        </w:tabs>
        <w:rPr>
          <w:szCs w:val="22"/>
          <w:lang w:val="hr-HR"/>
        </w:rPr>
      </w:pPr>
      <w:r w:rsidRPr="00913317">
        <w:rPr>
          <w:szCs w:val="22"/>
          <w:lang w:val="hr-HR"/>
        </w:rPr>
        <w:t>Bezbjedn</w:t>
      </w:r>
      <w:r w:rsidR="003256B9" w:rsidRPr="00913317">
        <w:rPr>
          <w:szCs w:val="22"/>
          <w:lang w:val="hr-HR"/>
        </w:rPr>
        <w:t>ost i efikasnost upotrebe vorikonazola duže</w:t>
      </w:r>
      <w:r w:rsidR="000F1AF6" w:rsidRPr="00913317">
        <w:rPr>
          <w:szCs w:val="22"/>
          <w:lang w:val="hr-HR"/>
        </w:rPr>
        <w:t xml:space="preserve"> od 180 dana nije adekvatno ispitivana u kliničkim studijama. </w:t>
      </w:r>
    </w:p>
    <w:p w14:paraId="1CF58EF9" w14:textId="0CC32E05" w:rsidR="006131C3" w:rsidRPr="00913317" w:rsidRDefault="000F1AF6" w:rsidP="00D72925">
      <w:pPr>
        <w:rPr>
          <w:szCs w:val="22"/>
          <w:lang w:val="hr-HR"/>
        </w:rPr>
      </w:pPr>
      <w:r w:rsidRPr="00913317">
        <w:rPr>
          <w:szCs w:val="22"/>
          <w:lang w:val="hr-HR"/>
        </w:rPr>
        <w:t>Upotreba vorikonazola u profilaksi duža od 180 dana (6 m</w:t>
      </w:r>
      <w:r w:rsidR="002576B1" w:rsidRPr="00913317">
        <w:rPr>
          <w:szCs w:val="22"/>
          <w:lang w:val="hr-HR"/>
        </w:rPr>
        <w:t>j</w:t>
      </w:r>
      <w:r w:rsidRPr="00913317">
        <w:rPr>
          <w:szCs w:val="22"/>
          <w:lang w:val="hr-HR"/>
        </w:rPr>
        <w:t xml:space="preserve">eseci) </w:t>
      </w:r>
      <w:r w:rsidR="00D85AC5" w:rsidRPr="00913317">
        <w:rPr>
          <w:szCs w:val="22"/>
          <w:lang w:val="hr-HR"/>
        </w:rPr>
        <w:t>zahtijeva</w:t>
      </w:r>
      <w:r w:rsidRPr="00913317">
        <w:rPr>
          <w:szCs w:val="22"/>
          <w:lang w:val="hr-HR"/>
        </w:rPr>
        <w:t xml:space="preserve"> pažljivu </w:t>
      </w:r>
      <w:r w:rsidR="004D45E7" w:rsidRPr="00913317">
        <w:rPr>
          <w:szCs w:val="22"/>
          <w:lang w:val="hr-HR"/>
        </w:rPr>
        <w:t>procjen</w:t>
      </w:r>
      <w:r w:rsidRPr="00913317">
        <w:rPr>
          <w:szCs w:val="22"/>
          <w:lang w:val="hr-HR"/>
        </w:rPr>
        <w:t>u odnosa koristi i rizika (</w:t>
      </w:r>
      <w:r w:rsidR="004D45E7" w:rsidRPr="00913317">
        <w:rPr>
          <w:szCs w:val="22"/>
          <w:lang w:val="hr-HR"/>
        </w:rPr>
        <w:t xml:space="preserve">vidjeti </w:t>
      </w:r>
      <w:r w:rsidR="00954637" w:rsidRPr="00913317">
        <w:rPr>
          <w:szCs w:val="22"/>
          <w:lang w:val="hr-HR"/>
        </w:rPr>
        <w:t>djelove</w:t>
      </w:r>
      <w:r w:rsidRPr="00913317">
        <w:rPr>
          <w:szCs w:val="22"/>
          <w:lang w:val="hr-HR"/>
        </w:rPr>
        <w:t xml:space="preserve"> 4.4 i 5.1).</w:t>
      </w:r>
    </w:p>
    <w:p w14:paraId="137AA1E1" w14:textId="77777777" w:rsidR="006131C3" w:rsidRPr="00913317" w:rsidRDefault="006131C3" w:rsidP="00D72925">
      <w:pPr>
        <w:tabs>
          <w:tab w:val="clear" w:pos="284"/>
          <w:tab w:val="left" w:pos="0"/>
        </w:tabs>
        <w:rPr>
          <w:i/>
          <w:color w:val="FF0000"/>
          <w:szCs w:val="22"/>
          <w:u w:val="single"/>
          <w:lang w:val="hr-HR"/>
        </w:rPr>
      </w:pPr>
    </w:p>
    <w:p w14:paraId="62A0E9C9" w14:textId="1CB1732E" w:rsidR="006131C3" w:rsidRPr="00913317" w:rsidRDefault="000F1AF6" w:rsidP="00D72925">
      <w:pPr>
        <w:tabs>
          <w:tab w:val="clear" w:pos="284"/>
          <w:tab w:val="left" w:pos="0"/>
        </w:tabs>
        <w:rPr>
          <w:szCs w:val="22"/>
          <w:u w:val="single"/>
          <w:lang w:val="hr-HR"/>
        </w:rPr>
      </w:pPr>
      <w:r w:rsidRPr="00913317">
        <w:rPr>
          <w:szCs w:val="22"/>
          <w:u w:val="single"/>
          <w:lang w:val="hr-HR"/>
        </w:rPr>
        <w:t>Sl</w:t>
      </w:r>
      <w:r w:rsidR="002576B1" w:rsidRPr="00913317">
        <w:rPr>
          <w:szCs w:val="22"/>
          <w:u w:val="single"/>
          <w:lang w:val="hr-HR"/>
        </w:rPr>
        <w:t>j</w:t>
      </w:r>
      <w:r w:rsidRPr="00913317">
        <w:rPr>
          <w:szCs w:val="22"/>
          <w:u w:val="single"/>
          <w:lang w:val="hr-HR"/>
        </w:rPr>
        <w:t xml:space="preserve">edeće informacije odnose se i na </w:t>
      </w:r>
      <w:r w:rsidR="006D104C" w:rsidRPr="00913317">
        <w:rPr>
          <w:szCs w:val="22"/>
          <w:u w:val="single"/>
          <w:lang w:val="hr-HR"/>
        </w:rPr>
        <w:t>terapiju</w:t>
      </w:r>
      <w:r w:rsidRPr="00913317">
        <w:rPr>
          <w:szCs w:val="22"/>
          <w:u w:val="single"/>
          <w:lang w:val="hr-HR"/>
        </w:rPr>
        <w:t xml:space="preserve"> i na profilaksu</w:t>
      </w:r>
    </w:p>
    <w:p w14:paraId="5235B4F0" w14:textId="77777777" w:rsidR="006131C3" w:rsidRPr="00913317" w:rsidRDefault="000F1AF6" w:rsidP="00D72925">
      <w:pPr>
        <w:tabs>
          <w:tab w:val="clear" w:pos="284"/>
          <w:tab w:val="left" w:pos="0"/>
        </w:tabs>
        <w:rPr>
          <w:i/>
          <w:szCs w:val="22"/>
          <w:u w:val="single"/>
          <w:lang w:val="hr-HR"/>
        </w:rPr>
      </w:pPr>
      <w:r w:rsidRPr="00913317">
        <w:rPr>
          <w:i/>
          <w:szCs w:val="22"/>
          <w:u w:val="single"/>
          <w:lang w:val="hr-HR"/>
        </w:rPr>
        <w:t>Prilagođavanje doze</w:t>
      </w:r>
    </w:p>
    <w:p w14:paraId="716B2AC2" w14:textId="36C93030" w:rsidR="006131C3" w:rsidRPr="00913317" w:rsidRDefault="000F1AF6" w:rsidP="00D72925">
      <w:pPr>
        <w:tabs>
          <w:tab w:val="clear" w:pos="284"/>
          <w:tab w:val="left" w:pos="0"/>
        </w:tabs>
        <w:rPr>
          <w:szCs w:val="22"/>
          <w:lang w:val="hr-HR"/>
        </w:rPr>
      </w:pPr>
      <w:r w:rsidRPr="00913317">
        <w:rPr>
          <w:szCs w:val="22"/>
          <w:lang w:val="hr-HR"/>
        </w:rPr>
        <w:t xml:space="preserve">Kod </w:t>
      </w:r>
      <w:r w:rsidR="004D45E7" w:rsidRPr="00913317">
        <w:rPr>
          <w:szCs w:val="22"/>
          <w:lang w:val="hr-HR"/>
        </w:rPr>
        <w:t>primjen</w:t>
      </w:r>
      <w:r w:rsidR="000E33A4" w:rsidRPr="00913317">
        <w:rPr>
          <w:szCs w:val="22"/>
          <w:lang w:val="hr-HR"/>
        </w:rPr>
        <w:t>e</w:t>
      </w:r>
      <w:r w:rsidRPr="00913317">
        <w:rPr>
          <w:szCs w:val="22"/>
          <w:lang w:val="hr-HR"/>
        </w:rPr>
        <w:t xml:space="preserve"> u profilaksi, nije preporučljivo prilagođavanje doze u slučaju neželjenih događaja povezanih sa </w:t>
      </w:r>
      <w:r w:rsidR="00C7273D" w:rsidRPr="00913317">
        <w:rPr>
          <w:szCs w:val="22"/>
          <w:lang w:val="hr-HR"/>
        </w:rPr>
        <w:t>l</w:t>
      </w:r>
      <w:r w:rsidR="002576B1" w:rsidRPr="00913317">
        <w:rPr>
          <w:szCs w:val="22"/>
          <w:lang w:val="hr-HR"/>
        </w:rPr>
        <w:t>ij</w:t>
      </w:r>
      <w:r w:rsidR="00C7273D" w:rsidRPr="00913317">
        <w:rPr>
          <w:szCs w:val="22"/>
          <w:lang w:val="hr-HR"/>
        </w:rPr>
        <w:t>ečenjem</w:t>
      </w:r>
      <w:r w:rsidRPr="00913317">
        <w:rPr>
          <w:szCs w:val="22"/>
          <w:lang w:val="hr-HR"/>
        </w:rPr>
        <w:t xml:space="preserve"> ili izostanka efikasnosti. U slučaju da se jave neželjeni događaji povezani sa </w:t>
      </w:r>
      <w:r w:rsidR="00C7273D" w:rsidRPr="00913317">
        <w:rPr>
          <w:szCs w:val="22"/>
          <w:lang w:val="hr-HR"/>
        </w:rPr>
        <w:t>l</w:t>
      </w:r>
      <w:r w:rsidR="002576B1" w:rsidRPr="00913317">
        <w:rPr>
          <w:szCs w:val="22"/>
          <w:lang w:val="hr-HR"/>
        </w:rPr>
        <w:t>ij</w:t>
      </w:r>
      <w:r w:rsidR="00C7273D" w:rsidRPr="00913317">
        <w:rPr>
          <w:szCs w:val="22"/>
          <w:lang w:val="hr-HR"/>
        </w:rPr>
        <w:t>ečenjem</w:t>
      </w:r>
      <w:r w:rsidRPr="00913317">
        <w:rPr>
          <w:szCs w:val="22"/>
          <w:lang w:val="hr-HR"/>
        </w:rPr>
        <w:t>, treba razmotriti prekid terapije vorikonazolom i upotrebu alternativnog antimikotika (</w:t>
      </w:r>
      <w:r w:rsidR="004D45E7" w:rsidRPr="00913317">
        <w:rPr>
          <w:szCs w:val="22"/>
          <w:lang w:val="hr-HR"/>
        </w:rPr>
        <w:t xml:space="preserve">vidjeti </w:t>
      </w:r>
      <w:r w:rsidR="00954637" w:rsidRPr="00913317">
        <w:rPr>
          <w:szCs w:val="22"/>
          <w:lang w:val="hr-HR"/>
        </w:rPr>
        <w:t>djelove</w:t>
      </w:r>
      <w:r w:rsidRPr="00913317">
        <w:rPr>
          <w:szCs w:val="22"/>
          <w:lang w:val="hr-HR"/>
        </w:rPr>
        <w:t xml:space="preserve"> 4.4 i 4.8).</w:t>
      </w:r>
    </w:p>
    <w:p w14:paraId="375450EF" w14:textId="77777777" w:rsidR="006131C3" w:rsidRPr="00913317" w:rsidRDefault="000F1AF6" w:rsidP="00D72925">
      <w:pPr>
        <w:tabs>
          <w:tab w:val="clear" w:pos="284"/>
          <w:tab w:val="left" w:pos="0"/>
        </w:tabs>
        <w:rPr>
          <w:color w:val="FF0000"/>
          <w:szCs w:val="22"/>
          <w:lang w:val="hr-HR"/>
        </w:rPr>
      </w:pPr>
      <w:r w:rsidRPr="00913317">
        <w:rPr>
          <w:color w:val="FF0000"/>
          <w:szCs w:val="22"/>
          <w:lang w:val="hr-HR"/>
        </w:rPr>
        <w:t xml:space="preserve"> </w:t>
      </w:r>
    </w:p>
    <w:p w14:paraId="38B1AF6D" w14:textId="0F2B4046" w:rsidR="006131C3" w:rsidRPr="00913317" w:rsidRDefault="000F1AF6" w:rsidP="00D72925">
      <w:pPr>
        <w:tabs>
          <w:tab w:val="clear" w:pos="284"/>
          <w:tab w:val="left" w:pos="0"/>
        </w:tabs>
        <w:rPr>
          <w:i/>
          <w:szCs w:val="22"/>
          <w:u w:val="single"/>
          <w:lang w:val="hr-HR"/>
        </w:rPr>
      </w:pPr>
      <w:r w:rsidRPr="00913317">
        <w:rPr>
          <w:i/>
          <w:szCs w:val="22"/>
          <w:u w:val="single"/>
          <w:lang w:val="hr-HR"/>
        </w:rPr>
        <w:t xml:space="preserve">Prilagođavanje doze u slučaju istovremene </w:t>
      </w:r>
      <w:r w:rsidR="004D45E7" w:rsidRPr="00913317">
        <w:rPr>
          <w:i/>
          <w:szCs w:val="22"/>
          <w:u w:val="single"/>
          <w:lang w:val="hr-HR"/>
        </w:rPr>
        <w:t>primjen</w:t>
      </w:r>
      <w:r w:rsidRPr="00913317">
        <w:rPr>
          <w:i/>
          <w:szCs w:val="22"/>
          <w:u w:val="single"/>
          <w:lang w:val="hr-HR"/>
        </w:rPr>
        <w:t xml:space="preserve">e </w:t>
      </w:r>
    </w:p>
    <w:p w14:paraId="13A3B0D5" w14:textId="5F4A6805" w:rsidR="006131C3" w:rsidRPr="00913317" w:rsidRDefault="000F1AF6" w:rsidP="00D72925">
      <w:pPr>
        <w:tabs>
          <w:tab w:val="clear" w:pos="284"/>
          <w:tab w:val="left" w:pos="0"/>
        </w:tabs>
        <w:rPr>
          <w:szCs w:val="22"/>
          <w:lang w:val="hr-HR"/>
        </w:rPr>
      </w:pPr>
      <w:r w:rsidRPr="00913317">
        <w:rPr>
          <w:szCs w:val="22"/>
          <w:lang w:val="hr-HR"/>
        </w:rPr>
        <w:t xml:space="preserve">Rifabutin ili fenitoin mogu se istovremeno </w:t>
      </w:r>
      <w:r w:rsidR="004D45E7" w:rsidRPr="00913317">
        <w:rPr>
          <w:szCs w:val="22"/>
          <w:lang w:val="hr-HR"/>
        </w:rPr>
        <w:t>primijen</w:t>
      </w:r>
      <w:r w:rsidRPr="00913317">
        <w:rPr>
          <w:szCs w:val="22"/>
          <w:lang w:val="hr-HR"/>
        </w:rPr>
        <w:t xml:space="preserve">iti sa vorikonazolom ukoliko se doza održavanja vorikonazola poveća na 5 mg/kg intravenski dva puta na dan, </w:t>
      </w:r>
      <w:r w:rsidR="004D45E7" w:rsidRPr="00913317">
        <w:rPr>
          <w:szCs w:val="22"/>
          <w:lang w:val="hr-HR"/>
        </w:rPr>
        <w:t xml:space="preserve">vidjeti </w:t>
      </w:r>
      <w:r w:rsidR="00954637" w:rsidRPr="00913317">
        <w:rPr>
          <w:szCs w:val="22"/>
          <w:lang w:val="hr-HR"/>
        </w:rPr>
        <w:t>djelove</w:t>
      </w:r>
      <w:r w:rsidRPr="00913317">
        <w:rPr>
          <w:szCs w:val="22"/>
          <w:lang w:val="hr-HR"/>
        </w:rPr>
        <w:t xml:space="preserve"> 4.4 i 4.5.</w:t>
      </w:r>
    </w:p>
    <w:p w14:paraId="09C392C1" w14:textId="448565B4" w:rsidR="006131C3" w:rsidRPr="00913317" w:rsidRDefault="000F1AF6" w:rsidP="00D72925">
      <w:pPr>
        <w:tabs>
          <w:tab w:val="clear" w:pos="284"/>
          <w:tab w:val="left" w:pos="0"/>
        </w:tabs>
        <w:rPr>
          <w:i/>
          <w:szCs w:val="22"/>
          <w:lang w:val="hr-HR"/>
        </w:rPr>
      </w:pPr>
      <w:r w:rsidRPr="00913317">
        <w:rPr>
          <w:szCs w:val="22"/>
          <w:lang w:val="hr-HR"/>
        </w:rPr>
        <w:t xml:space="preserve">Efavirenz se može istovremeno </w:t>
      </w:r>
      <w:r w:rsidR="004D45E7" w:rsidRPr="00913317">
        <w:rPr>
          <w:szCs w:val="22"/>
          <w:lang w:val="hr-HR"/>
        </w:rPr>
        <w:t>primijen</w:t>
      </w:r>
      <w:r w:rsidRPr="00913317">
        <w:rPr>
          <w:szCs w:val="22"/>
          <w:lang w:val="hr-HR"/>
        </w:rPr>
        <w:t xml:space="preserve">iti sa vorikonazolom ako se doza održavanja vorikonazola poveća na </w:t>
      </w:r>
      <w:r w:rsidRPr="00913317">
        <w:rPr>
          <w:szCs w:val="22"/>
          <w:lang w:val="hr-HR"/>
        </w:rPr>
        <w:br/>
        <w:t xml:space="preserve">400 mg svakih 12 sati, a doza efavirenza smanji za 50%, odnosno na 300 mg jednom dnevno. Kada se terapija vorikonazolom prekine, treba vratiti početnu dozu </w:t>
      </w:r>
      <w:r w:rsidR="004D45E7" w:rsidRPr="00913317">
        <w:rPr>
          <w:szCs w:val="22"/>
          <w:lang w:val="hr-HR"/>
        </w:rPr>
        <w:t>lijek</w:t>
      </w:r>
      <w:r w:rsidRPr="00913317">
        <w:rPr>
          <w:szCs w:val="22"/>
          <w:lang w:val="hr-HR"/>
        </w:rPr>
        <w:t>a efavirenz (</w:t>
      </w:r>
      <w:r w:rsidR="004D45E7" w:rsidRPr="00913317">
        <w:rPr>
          <w:szCs w:val="22"/>
          <w:lang w:val="hr-HR"/>
        </w:rPr>
        <w:t xml:space="preserve">vidjeti </w:t>
      </w:r>
      <w:r w:rsidR="00954637" w:rsidRPr="00913317">
        <w:rPr>
          <w:szCs w:val="22"/>
          <w:lang w:val="hr-HR"/>
        </w:rPr>
        <w:t>djelove</w:t>
      </w:r>
      <w:r w:rsidRPr="00913317">
        <w:rPr>
          <w:szCs w:val="22"/>
          <w:lang w:val="hr-HR"/>
        </w:rPr>
        <w:t xml:space="preserve"> 4.4 i 4.5). </w:t>
      </w:r>
    </w:p>
    <w:p w14:paraId="2EE1B282" w14:textId="77777777" w:rsidR="006131C3" w:rsidRPr="00913317" w:rsidRDefault="006131C3" w:rsidP="00D72925">
      <w:pPr>
        <w:tabs>
          <w:tab w:val="clear" w:pos="284"/>
          <w:tab w:val="left" w:pos="0"/>
        </w:tabs>
        <w:rPr>
          <w:b/>
          <w:i/>
          <w:color w:val="FF0000"/>
          <w:szCs w:val="22"/>
          <w:lang w:val="hr-HR"/>
        </w:rPr>
      </w:pPr>
    </w:p>
    <w:p w14:paraId="2389E824" w14:textId="56EC3A12" w:rsidR="006131C3" w:rsidRPr="00913317" w:rsidRDefault="000F1AF6" w:rsidP="00D72925">
      <w:pPr>
        <w:tabs>
          <w:tab w:val="clear" w:pos="284"/>
          <w:tab w:val="left" w:pos="0"/>
        </w:tabs>
        <w:rPr>
          <w:i/>
          <w:szCs w:val="22"/>
          <w:u w:val="single"/>
          <w:lang w:val="hr-HR"/>
        </w:rPr>
      </w:pPr>
      <w:r w:rsidRPr="00913317">
        <w:rPr>
          <w:i/>
          <w:szCs w:val="22"/>
          <w:u w:val="single"/>
          <w:lang w:val="hr-HR"/>
        </w:rPr>
        <w:t>Starij</w:t>
      </w:r>
      <w:r w:rsidR="005A5FCA" w:rsidRPr="00913317">
        <w:rPr>
          <w:i/>
          <w:szCs w:val="22"/>
          <w:u w:val="single"/>
          <w:lang w:val="hr-HR"/>
        </w:rPr>
        <w:t>e osobe</w:t>
      </w:r>
    </w:p>
    <w:p w14:paraId="7C9B686B" w14:textId="5DB8778C" w:rsidR="006131C3" w:rsidRPr="00913317" w:rsidRDefault="000F1AF6" w:rsidP="00D72925">
      <w:pPr>
        <w:tabs>
          <w:tab w:val="clear" w:pos="284"/>
          <w:tab w:val="left" w:pos="0"/>
        </w:tabs>
        <w:rPr>
          <w:szCs w:val="22"/>
          <w:lang w:val="hr-HR"/>
        </w:rPr>
      </w:pPr>
      <w:r w:rsidRPr="00913317">
        <w:rPr>
          <w:szCs w:val="22"/>
          <w:lang w:val="hr-HR"/>
        </w:rPr>
        <w:t>Nije potrebno posebno podešavanje režima doziranja kod starijih pacijenata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5.2).</w:t>
      </w:r>
    </w:p>
    <w:p w14:paraId="7101CBAD" w14:textId="77777777" w:rsidR="000F1AF6" w:rsidRPr="00913317" w:rsidRDefault="000F1AF6" w:rsidP="00D72925">
      <w:pPr>
        <w:widowControl w:val="0"/>
        <w:tabs>
          <w:tab w:val="clear" w:pos="284"/>
        </w:tabs>
        <w:autoSpaceDE w:val="0"/>
        <w:autoSpaceDN w:val="0"/>
        <w:adjustRightInd w:val="0"/>
        <w:rPr>
          <w:i/>
          <w:color w:val="FF0000"/>
          <w:szCs w:val="22"/>
          <w:lang w:val="hr-HR" w:eastAsia="en-GB"/>
        </w:rPr>
      </w:pPr>
    </w:p>
    <w:p w14:paraId="6CEFA0F5" w14:textId="77777777" w:rsidR="006131C3" w:rsidRPr="00913317" w:rsidRDefault="000F1AF6" w:rsidP="00D72925">
      <w:pPr>
        <w:tabs>
          <w:tab w:val="clear" w:pos="284"/>
          <w:tab w:val="left" w:pos="0"/>
        </w:tabs>
        <w:rPr>
          <w:i/>
          <w:szCs w:val="22"/>
          <w:u w:val="single"/>
          <w:lang w:val="hr-HR"/>
        </w:rPr>
      </w:pPr>
      <w:r w:rsidRPr="00913317">
        <w:rPr>
          <w:i/>
          <w:szCs w:val="22"/>
          <w:u w:val="single"/>
          <w:lang w:val="hr-HR"/>
        </w:rPr>
        <w:t>Oštećenje funkcije bubrega</w:t>
      </w:r>
    </w:p>
    <w:p w14:paraId="3FFED39C" w14:textId="70A44ED4" w:rsidR="006131C3" w:rsidRPr="00913317" w:rsidRDefault="000F1AF6" w:rsidP="00D72925">
      <w:pPr>
        <w:rPr>
          <w:spacing w:val="-2"/>
          <w:szCs w:val="22"/>
          <w:lang w:val="hr-HR"/>
        </w:rPr>
      </w:pPr>
      <w:r w:rsidRPr="00913317">
        <w:rPr>
          <w:spacing w:val="-2"/>
          <w:szCs w:val="22"/>
          <w:lang w:val="hr-HR"/>
        </w:rPr>
        <w:t xml:space="preserve">Kod pacijenata sa </w:t>
      </w:r>
      <w:r w:rsidR="00D85AC5" w:rsidRPr="00913317">
        <w:rPr>
          <w:spacing w:val="-2"/>
          <w:szCs w:val="22"/>
          <w:lang w:val="hr-HR"/>
        </w:rPr>
        <w:t>umjere</w:t>
      </w:r>
      <w:r w:rsidRPr="00913317">
        <w:rPr>
          <w:spacing w:val="-2"/>
          <w:szCs w:val="22"/>
          <w:lang w:val="hr-HR"/>
        </w:rPr>
        <w:t xml:space="preserve">nim do teškim poremećajem funkcije bubrega </w:t>
      </w:r>
      <w:r w:rsidR="00B7317D" w:rsidRPr="00913317">
        <w:rPr>
          <w:szCs w:val="22"/>
          <w:lang w:val="hr-HR"/>
        </w:rPr>
        <w:t xml:space="preserve">(klirens kreatinina &lt; 50 </w:t>
      </w:r>
      <w:r w:rsidR="006C3F92" w:rsidRPr="00913317">
        <w:rPr>
          <w:szCs w:val="22"/>
          <w:lang w:val="hr-HR"/>
        </w:rPr>
        <w:t>ml</w:t>
      </w:r>
      <w:r w:rsidRPr="00913317">
        <w:rPr>
          <w:szCs w:val="22"/>
          <w:lang w:val="hr-HR"/>
        </w:rPr>
        <w:t xml:space="preserve">/min), dolazi do akumulacije vehikuluma iz intravenske formulacije, SBECD. Ovim pacijentima treba dati oralnu formulaciju vorikonazola, osim ukoliko se nakon </w:t>
      </w:r>
      <w:r w:rsidR="004D45E7" w:rsidRPr="00913317">
        <w:rPr>
          <w:szCs w:val="22"/>
          <w:lang w:val="hr-HR"/>
        </w:rPr>
        <w:t>procjen</w:t>
      </w:r>
      <w:r w:rsidRPr="00913317">
        <w:rPr>
          <w:szCs w:val="22"/>
          <w:lang w:val="hr-HR"/>
        </w:rPr>
        <w:t xml:space="preserve">e koristi i rizika ne utvrdi da je opravdano </w:t>
      </w:r>
      <w:r w:rsidR="004D45E7" w:rsidRPr="00913317">
        <w:rPr>
          <w:szCs w:val="22"/>
          <w:lang w:val="hr-HR"/>
        </w:rPr>
        <w:t>primijen</w:t>
      </w:r>
      <w:r w:rsidRPr="00913317">
        <w:rPr>
          <w:szCs w:val="22"/>
          <w:lang w:val="hr-HR"/>
        </w:rPr>
        <w:t xml:space="preserve">iti intravensku formulaciju. Kod ovih pacijenata treba pažljivo pratiti </w:t>
      </w:r>
      <w:r w:rsidR="003256B9" w:rsidRPr="00913317">
        <w:rPr>
          <w:szCs w:val="22"/>
          <w:lang w:val="hr-HR"/>
        </w:rPr>
        <w:t>koncentracije kreatinina u serumu</w:t>
      </w:r>
      <w:r w:rsidRPr="00913317">
        <w:rPr>
          <w:szCs w:val="22"/>
          <w:lang w:val="hr-HR"/>
        </w:rPr>
        <w:t xml:space="preserve"> i ukoliko dođe do njegovog porasta, treba razmotriti prelazak na </w:t>
      </w:r>
      <w:r w:rsidR="009748E9" w:rsidRPr="00913317">
        <w:rPr>
          <w:szCs w:val="22"/>
          <w:lang w:val="hr-HR"/>
        </w:rPr>
        <w:t xml:space="preserve">oralnu </w:t>
      </w:r>
      <w:r w:rsidR="004D45E7" w:rsidRPr="00913317">
        <w:rPr>
          <w:szCs w:val="22"/>
          <w:lang w:val="hr-HR"/>
        </w:rPr>
        <w:t>primjen</w:t>
      </w:r>
      <w:r w:rsidR="009748E9" w:rsidRPr="00913317">
        <w:rPr>
          <w:szCs w:val="22"/>
          <w:lang w:val="hr-HR"/>
        </w:rPr>
        <w:t xml:space="preserve">u </w:t>
      </w:r>
      <w:r w:rsidRPr="00913317">
        <w:rPr>
          <w:szCs w:val="22"/>
          <w:lang w:val="hr-HR"/>
        </w:rPr>
        <w:t xml:space="preserve">vorikonazola </w:t>
      </w:r>
      <w:r w:rsidRPr="00913317">
        <w:rPr>
          <w:spacing w:val="-2"/>
          <w:szCs w:val="22"/>
          <w:lang w:val="hr-HR"/>
        </w:rPr>
        <w:t>(</w:t>
      </w:r>
      <w:r w:rsidR="004D45E7" w:rsidRPr="00913317">
        <w:rPr>
          <w:szCs w:val="22"/>
          <w:lang w:val="hr-HR"/>
        </w:rPr>
        <w:t xml:space="preserve">vidjeti </w:t>
      </w:r>
      <w:r w:rsidR="004F4846" w:rsidRPr="00913317">
        <w:rPr>
          <w:szCs w:val="22"/>
          <w:lang w:val="hr-HR"/>
        </w:rPr>
        <w:t>dio</w:t>
      </w:r>
      <w:r w:rsidR="004F4846" w:rsidRPr="00913317">
        <w:rPr>
          <w:spacing w:val="-2"/>
          <w:szCs w:val="22"/>
          <w:lang w:val="hr-HR"/>
        </w:rPr>
        <w:t xml:space="preserve"> </w:t>
      </w:r>
      <w:r w:rsidRPr="00913317">
        <w:rPr>
          <w:spacing w:val="-2"/>
          <w:szCs w:val="22"/>
          <w:lang w:val="hr-HR"/>
        </w:rPr>
        <w:t>5.2).</w:t>
      </w:r>
    </w:p>
    <w:p w14:paraId="2E08E436" w14:textId="4270830D" w:rsidR="006131C3" w:rsidRPr="00913317" w:rsidRDefault="000F1AF6" w:rsidP="00D72925">
      <w:pPr>
        <w:tabs>
          <w:tab w:val="clear" w:pos="284"/>
          <w:tab w:val="left" w:pos="0"/>
        </w:tabs>
        <w:rPr>
          <w:szCs w:val="22"/>
          <w:lang w:val="hr-HR"/>
        </w:rPr>
      </w:pPr>
      <w:r w:rsidRPr="00913317">
        <w:rPr>
          <w:szCs w:val="22"/>
          <w:lang w:val="hr-HR"/>
        </w:rPr>
        <w:t>Vorikonazol podl</w:t>
      </w:r>
      <w:r w:rsidR="004F4846" w:rsidRPr="00913317">
        <w:rPr>
          <w:szCs w:val="22"/>
          <w:lang w:val="hr-HR"/>
        </w:rPr>
        <w:t>ij</w:t>
      </w:r>
      <w:r w:rsidRPr="00913317">
        <w:rPr>
          <w:szCs w:val="22"/>
          <w:lang w:val="hr-HR"/>
        </w:rPr>
        <w:t xml:space="preserve">eže hemodijalizi sa klirensom od 121 </w:t>
      </w:r>
      <w:r w:rsidR="006C3F92" w:rsidRPr="00913317">
        <w:rPr>
          <w:szCs w:val="22"/>
          <w:lang w:val="hr-HR"/>
        </w:rPr>
        <w:t>ml</w:t>
      </w:r>
      <w:r w:rsidRPr="00913317">
        <w:rPr>
          <w:szCs w:val="22"/>
          <w:lang w:val="hr-HR"/>
        </w:rPr>
        <w:t>/min. Ipak, četvoročasovnom hemodijalizom ne uklanja</w:t>
      </w:r>
      <w:r w:rsidR="00D40503" w:rsidRPr="00913317">
        <w:rPr>
          <w:szCs w:val="22"/>
          <w:lang w:val="hr-HR"/>
        </w:rPr>
        <w:t xml:space="preserve"> se</w:t>
      </w:r>
      <w:r w:rsidRPr="00913317">
        <w:rPr>
          <w:szCs w:val="22"/>
          <w:lang w:val="hr-HR"/>
        </w:rPr>
        <w:t xml:space="preserve"> </w:t>
      </w:r>
      <w:r w:rsidR="00D40503" w:rsidRPr="00913317">
        <w:rPr>
          <w:szCs w:val="22"/>
          <w:lang w:val="hr-HR"/>
        </w:rPr>
        <w:t>dovoljna</w:t>
      </w:r>
      <w:r w:rsidR="003256B9" w:rsidRPr="00913317">
        <w:rPr>
          <w:szCs w:val="22"/>
          <w:lang w:val="hr-HR"/>
        </w:rPr>
        <w:t xml:space="preserve"> količina vorikonazola </w:t>
      </w:r>
      <w:r w:rsidR="00D40503" w:rsidRPr="00913317">
        <w:rPr>
          <w:szCs w:val="22"/>
          <w:lang w:val="hr-HR"/>
        </w:rPr>
        <w:t>koja</w:t>
      </w:r>
      <w:r w:rsidR="003256B9" w:rsidRPr="00913317">
        <w:rPr>
          <w:szCs w:val="22"/>
          <w:lang w:val="hr-HR"/>
        </w:rPr>
        <w:t xml:space="preserve"> bi </w:t>
      </w:r>
      <w:r w:rsidR="00D40503" w:rsidRPr="00913317">
        <w:rPr>
          <w:szCs w:val="22"/>
          <w:lang w:val="hr-HR"/>
        </w:rPr>
        <w:t>opravdala prilagođavanje</w:t>
      </w:r>
      <w:r w:rsidR="003256B9" w:rsidRPr="00913317">
        <w:rPr>
          <w:szCs w:val="22"/>
          <w:lang w:val="hr-HR"/>
        </w:rPr>
        <w:t xml:space="preserve"> doze</w:t>
      </w:r>
      <w:r w:rsidRPr="00913317">
        <w:rPr>
          <w:szCs w:val="22"/>
          <w:lang w:val="hr-HR"/>
        </w:rPr>
        <w:t>.</w:t>
      </w:r>
    </w:p>
    <w:p w14:paraId="2627AB9C" w14:textId="33DF3258" w:rsidR="000F1AF6" w:rsidRPr="00913317" w:rsidRDefault="000F1AF6" w:rsidP="00D72925">
      <w:pPr>
        <w:rPr>
          <w:szCs w:val="22"/>
          <w:lang w:val="hr-HR"/>
        </w:rPr>
      </w:pPr>
      <w:r w:rsidRPr="00913317">
        <w:rPr>
          <w:szCs w:val="22"/>
          <w:lang w:val="hr-HR"/>
        </w:rPr>
        <w:t>Vehikulum u intravenskoj formulaciji, SBECD, uklanja se hem</w:t>
      </w:r>
      <w:r w:rsidR="00B7317D" w:rsidRPr="00913317">
        <w:rPr>
          <w:szCs w:val="22"/>
          <w:lang w:val="hr-HR"/>
        </w:rPr>
        <w:t xml:space="preserve">odijalizom sa klirensom od 55 </w:t>
      </w:r>
      <w:r w:rsidR="006C3F92" w:rsidRPr="00913317">
        <w:rPr>
          <w:szCs w:val="22"/>
          <w:lang w:val="hr-HR"/>
        </w:rPr>
        <w:t>ml</w:t>
      </w:r>
      <w:r w:rsidRPr="00913317">
        <w:rPr>
          <w:szCs w:val="22"/>
          <w:lang w:val="hr-HR"/>
        </w:rPr>
        <w:t>/min.</w:t>
      </w:r>
    </w:p>
    <w:p w14:paraId="5AEF37CB" w14:textId="77777777" w:rsidR="000F1AF6" w:rsidRPr="00913317" w:rsidRDefault="000F1AF6" w:rsidP="00D72925">
      <w:pPr>
        <w:widowControl w:val="0"/>
        <w:tabs>
          <w:tab w:val="clear" w:pos="284"/>
        </w:tabs>
        <w:autoSpaceDE w:val="0"/>
        <w:autoSpaceDN w:val="0"/>
        <w:adjustRightInd w:val="0"/>
        <w:rPr>
          <w:i/>
          <w:color w:val="FF0000"/>
          <w:szCs w:val="22"/>
          <w:lang w:val="hr-HR" w:eastAsia="en-GB"/>
        </w:rPr>
      </w:pPr>
    </w:p>
    <w:p w14:paraId="263C4276" w14:textId="77777777" w:rsidR="006131C3" w:rsidRPr="00913317" w:rsidRDefault="000F1AF6" w:rsidP="00D72925">
      <w:pPr>
        <w:tabs>
          <w:tab w:val="clear" w:pos="284"/>
          <w:tab w:val="left" w:pos="0"/>
        </w:tabs>
        <w:rPr>
          <w:i/>
          <w:szCs w:val="22"/>
          <w:u w:val="single"/>
          <w:lang w:val="hr-HR"/>
        </w:rPr>
      </w:pPr>
      <w:r w:rsidRPr="00913317">
        <w:rPr>
          <w:i/>
          <w:szCs w:val="22"/>
          <w:u w:val="single"/>
          <w:lang w:val="hr-HR"/>
        </w:rPr>
        <w:t>Oštećenje funkcije jetre</w:t>
      </w:r>
    </w:p>
    <w:p w14:paraId="70CE68EE" w14:textId="47E12E79" w:rsidR="006131C3" w:rsidRPr="00913317" w:rsidRDefault="000F1AF6" w:rsidP="00D72925">
      <w:pPr>
        <w:rPr>
          <w:szCs w:val="22"/>
          <w:lang w:val="hr-HR"/>
        </w:rPr>
      </w:pPr>
      <w:r w:rsidRPr="00913317">
        <w:rPr>
          <w:szCs w:val="22"/>
          <w:lang w:val="hr-HR"/>
        </w:rPr>
        <w:lastRenderedPageBreak/>
        <w:t xml:space="preserve">Kod pacijenata sa blagom do </w:t>
      </w:r>
      <w:r w:rsidR="00D85AC5" w:rsidRPr="00913317">
        <w:rPr>
          <w:szCs w:val="22"/>
          <w:lang w:val="hr-HR"/>
        </w:rPr>
        <w:t>umjere</w:t>
      </w:r>
      <w:r w:rsidRPr="00913317">
        <w:rPr>
          <w:szCs w:val="22"/>
          <w:lang w:val="hr-HR"/>
        </w:rPr>
        <w:t>nom cirozom jetre (</w:t>
      </w:r>
      <w:r w:rsidR="003256B9" w:rsidRPr="00913317">
        <w:rPr>
          <w:i/>
          <w:szCs w:val="22"/>
          <w:lang w:val="hr-HR"/>
        </w:rPr>
        <w:t>Child-Pugh</w:t>
      </w:r>
      <w:r w:rsidRPr="00913317">
        <w:rPr>
          <w:szCs w:val="22"/>
          <w:lang w:val="hr-HR"/>
        </w:rPr>
        <w:t xml:space="preserve"> A i B) preporučuje se </w:t>
      </w:r>
      <w:r w:rsidR="004D45E7" w:rsidRPr="00913317">
        <w:rPr>
          <w:szCs w:val="22"/>
          <w:lang w:val="hr-HR"/>
        </w:rPr>
        <w:t>primjen</w:t>
      </w:r>
      <w:r w:rsidRPr="00913317">
        <w:rPr>
          <w:szCs w:val="22"/>
          <w:lang w:val="hr-HR"/>
        </w:rPr>
        <w:t>a standardnih udarnih doza vorikonazola</w:t>
      </w:r>
      <w:r w:rsidR="006419BC" w:rsidRPr="00913317">
        <w:rPr>
          <w:szCs w:val="22"/>
          <w:lang w:val="hr-HR"/>
        </w:rPr>
        <w:t>,</w:t>
      </w:r>
      <w:r w:rsidRPr="00913317">
        <w:rPr>
          <w:szCs w:val="22"/>
          <w:lang w:val="hr-HR"/>
        </w:rPr>
        <w:t xml:space="preserve"> ali doze održavanja treba da budu upola manje kod ove populacije pacijenata (</w:t>
      </w:r>
      <w:r w:rsidR="004D45E7" w:rsidRPr="00913317">
        <w:rPr>
          <w:szCs w:val="22"/>
          <w:lang w:val="hr-HR"/>
        </w:rPr>
        <w:t xml:space="preserve">vidjeti </w:t>
      </w:r>
      <w:r w:rsidR="00954637" w:rsidRPr="00913317">
        <w:rPr>
          <w:szCs w:val="22"/>
          <w:lang w:val="hr-HR"/>
        </w:rPr>
        <w:t>dio</w:t>
      </w:r>
      <w:r w:rsidR="005A76FE" w:rsidRPr="00913317">
        <w:rPr>
          <w:szCs w:val="22"/>
          <w:lang w:val="hr-HR"/>
        </w:rPr>
        <w:t> </w:t>
      </w:r>
      <w:r w:rsidRPr="00913317">
        <w:rPr>
          <w:szCs w:val="22"/>
          <w:lang w:val="hr-HR"/>
        </w:rPr>
        <w:t>5.2).</w:t>
      </w:r>
    </w:p>
    <w:p w14:paraId="399C57EA" w14:textId="77777777" w:rsidR="006131C3" w:rsidRPr="00913317" w:rsidRDefault="000F1AF6" w:rsidP="00D72925">
      <w:pPr>
        <w:rPr>
          <w:szCs w:val="22"/>
          <w:lang w:val="hr-HR"/>
        </w:rPr>
      </w:pPr>
      <w:r w:rsidRPr="00913317">
        <w:rPr>
          <w:szCs w:val="22"/>
          <w:lang w:val="hr-HR"/>
        </w:rPr>
        <w:t>Vorikonazol</w:t>
      </w:r>
      <w:r w:rsidRPr="00913317">
        <w:rPr>
          <w:b/>
          <w:szCs w:val="22"/>
          <w:lang w:val="hr-HR"/>
        </w:rPr>
        <w:t xml:space="preserve"> </w:t>
      </w:r>
      <w:r w:rsidRPr="00913317">
        <w:rPr>
          <w:szCs w:val="22"/>
          <w:lang w:val="hr-HR"/>
        </w:rPr>
        <w:t>nije ispitivan kod pacijenata sa teškom hroničnom cirozom jetre (</w:t>
      </w:r>
      <w:r w:rsidR="003256B9" w:rsidRPr="00913317">
        <w:rPr>
          <w:i/>
          <w:szCs w:val="22"/>
          <w:lang w:val="hr-HR"/>
        </w:rPr>
        <w:t>Child-Pugh</w:t>
      </w:r>
      <w:r w:rsidRPr="00913317">
        <w:rPr>
          <w:szCs w:val="22"/>
          <w:lang w:val="hr-HR"/>
        </w:rPr>
        <w:t xml:space="preserve"> C). </w:t>
      </w:r>
    </w:p>
    <w:p w14:paraId="3DE58399" w14:textId="24C0A6C9" w:rsidR="006131C3" w:rsidRPr="00913317" w:rsidRDefault="000F1AF6" w:rsidP="00D72925">
      <w:pPr>
        <w:rPr>
          <w:szCs w:val="22"/>
          <w:lang w:val="hr-HR"/>
        </w:rPr>
      </w:pPr>
      <w:r w:rsidRPr="00913317">
        <w:rPr>
          <w:szCs w:val="22"/>
          <w:lang w:val="hr-HR"/>
        </w:rPr>
        <w:t xml:space="preserve">Postoje ograničeni podaci o </w:t>
      </w:r>
      <w:r w:rsidR="003204CC" w:rsidRPr="00913317">
        <w:rPr>
          <w:szCs w:val="22"/>
          <w:lang w:val="hr-HR"/>
        </w:rPr>
        <w:t>bezbjedn</w:t>
      </w:r>
      <w:r w:rsidRPr="00913317">
        <w:rPr>
          <w:szCs w:val="22"/>
          <w:lang w:val="hr-HR"/>
        </w:rPr>
        <w:t xml:space="preserve">osti </w:t>
      </w:r>
      <w:r w:rsidR="004D45E7" w:rsidRPr="00913317">
        <w:rPr>
          <w:szCs w:val="22"/>
          <w:lang w:val="hr-HR"/>
        </w:rPr>
        <w:t>primjen</w:t>
      </w:r>
      <w:r w:rsidRPr="00913317">
        <w:rPr>
          <w:szCs w:val="22"/>
          <w:lang w:val="hr-HR"/>
        </w:rPr>
        <w:t xml:space="preserve">e </w:t>
      </w:r>
      <w:r w:rsidR="004D45E7" w:rsidRPr="00913317">
        <w:rPr>
          <w:szCs w:val="22"/>
          <w:lang w:val="hr-HR"/>
        </w:rPr>
        <w:t>lijek</w:t>
      </w:r>
      <w:r w:rsidRPr="00913317">
        <w:rPr>
          <w:szCs w:val="22"/>
          <w:lang w:val="hr-HR"/>
        </w:rPr>
        <w:t>a Vfend kod pacijenata sa izm</w:t>
      </w:r>
      <w:r w:rsidR="00F713E8" w:rsidRPr="00913317">
        <w:rPr>
          <w:szCs w:val="22"/>
          <w:lang w:val="hr-HR"/>
        </w:rPr>
        <w:t>ij</w:t>
      </w:r>
      <w:r w:rsidRPr="00913317">
        <w:rPr>
          <w:szCs w:val="22"/>
          <w:lang w:val="hr-HR"/>
        </w:rPr>
        <w:t xml:space="preserve">enjenim </w:t>
      </w:r>
      <w:r w:rsidR="004D45E7" w:rsidRPr="00913317">
        <w:rPr>
          <w:szCs w:val="22"/>
          <w:lang w:val="hr-HR"/>
        </w:rPr>
        <w:t>vrijedno</w:t>
      </w:r>
      <w:r w:rsidRPr="00913317">
        <w:rPr>
          <w:szCs w:val="22"/>
          <w:lang w:val="hr-HR"/>
        </w:rPr>
        <w:t>stima funkcionalnih testova jetre (aspartat transaminaza [AST], alanin transaminaza [ALT], alkalna fosfataza [ALP] ili ukupni bilirubin &gt;</w:t>
      </w:r>
      <w:r w:rsidR="005A76FE" w:rsidRPr="00913317">
        <w:rPr>
          <w:szCs w:val="22"/>
          <w:lang w:val="hr-HR"/>
        </w:rPr>
        <w:t> </w:t>
      </w:r>
      <w:r w:rsidRPr="00913317">
        <w:rPr>
          <w:szCs w:val="22"/>
          <w:lang w:val="hr-HR"/>
        </w:rPr>
        <w:t xml:space="preserve">5 puta veći od gornje granice normalnih </w:t>
      </w:r>
      <w:r w:rsidR="004D45E7" w:rsidRPr="00913317">
        <w:rPr>
          <w:szCs w:val="22"/>
          <w:lang w:val="hr-HR"/>
        </w:rPr>
        <w:t>vrijedno</w:t>
      </w:r>
      <w:r w:rsidRPr="00913317">
        <w:rPr>
          <w:szCs w:val="22"/>
          <w:lang w:val="hr-HR"/>
        </w:rPr>
        <w:t>sti).</w:t>
      </w:r>
    </w:p>
    <w:p w14:paraId="28F66B63" w14:textId="4528F41E" w:rsidR="006131C3" w:rsidRPr="00913317" w:rsidRDefault="004D45E7" w:rsidP="00D72925">
      <w:pPr>
        <w:rPr>
          <w:szCs w:val="22"/>
          <w:lang w:val="hr-HR"/>
        </w:rPr>
      </w:pPr>
      <w:r w:rsidRPr="00913317">
        <w:rPr>
          <w:szCs w:val="22"/>
          <w:lang w:val="hr-HR"/>
        </w:rPr>
        <w:t>Primjen</w:t>
      </w:r>
      <w:r w:rsidR="000F1AF6" w:rsidRPr="00913317">
        <w:rPr>
          <w:szCs w:val="22"/>
          <w:lang w:val="hr-HR"/>
        </w:rPr>
        <w:t xml:space="preserve">a vorikonazola je udružena sa porastom </w:t>
      </w:r>
      <w:r w:rsidRPr="00913317">
        <w:rPr>
          <w:szCs w:val="22"/>
          <w:lang w:val="hr-HR"/>
        </w:rPr>
        <w:t>vrijedno</w:t>
      </w:r>
      <w:r w:rsidR="000F1AF6" w:rsidRPr="00913317">
        <w:rPr>
          <w:szCs w:val="22"/>
          <w:lang w:val="hr-HR"/>
        </w:rPr>
        <w:t xml:space="preserve">sti funkcionalnih testova jetre i kliničkim znacima oštećenja jetre, kao što je žutica, tako da se ovaj </w:t>
      </w:r>
      <w:r w:rsidRPr="00913317">
        <w:rPr>
          <w:szCs w:val="22"/>
          <w:lang w:val="hr-HR"/>
        </w:rPr>
        <w:t>lijek</w:t>
      </w:r>
      <w:r w:rsidR="000F1AF6" w:rsidRPr="00913317">
        <w:rPr>
          <w:szCs w:val="22"/>
          <w:lang w:val="hr-HR"/>
        </w:rPr>
        <w:t xml:space="preserve"> sm</w:t>
      </w:r>
      <w:r w:rsidR="00F713E8" w:rsidRPr="00913317">
        <w:rPr>
          <w:szCs w:val="22"/>
          <w:lang w:val="hr-HR"/>
        </w:rPr>
        <w:t>ij</w:t>
      </w:r>
      <w:r w:rsidR="000F1AF6" w:rsidRPr="00913317">
        <w:rPr>
          <w:szCs w:val="22"/>
          <w:lang w:val="hr-HR"/>
        </w:rPr>
        <w:t xml:space="preserve">e </w:t>
      </w:r>
      <w:r w:rsidRPr="00913317">
        <w:rPr>
          <w:szCs w:val="22"/>
          <w:lang w:val="hr-HR"/>
        </w:rPr>
        <w:t>primijen</w:t>
      </w:r>
      <w:r w:rsidR="000F1AF6" w:rsidRPr="00913317">
        <w:rPr>
          <w:szCs w:val="22"/>
          <w:lang w:val="hr-HR"/>
        </w:rPr>
        <w:t xml:space="preserve">iti kod pacijenata sa teškim oštećenjem funkcije jetre, samo ako se </w:t>
      </w:r>
      <w:r w:rsidRPr="00913317">
        <w:rPr>
          <w:szCs w:val="22"/>
          <w:lang w:val="hr-HR"/>
        </w:rPr>
        <w:t>proc</w:t>
      </w:r>
      <w:r w:rsidR="003204CC" w:rsidRPr="00913317">
        <w:rPr>
          <w:szCs w:val="22"/>
          <w:lang w:val="hr-HR"/>
        </w:rPr>
        <w:t>i</w:t>
      </w:r>
      <w:r w:rsidRPr="00913317">
        <w:rPr>
          <w:szCs w:val="22"/>
          <w:lang w:val="hr-HR"/>
        </w:rPr>
        <w:t>jen</w:t>
      </w:r>
      <w:r w:rsidR="000F1AF6" w:rsidRPr="00913317">
        <w:rPr>
          <w:szCs w:val="22"/>
          <w:lang w:val="hr-HR"/>
        </w:rPr>
        <w:t xml:space="preserve">i da će korist za pacijenta biti veća od potencijalnog rizika. Pacijenti sa teškim oštećenjem funkcije jetre moraju biti pažljivo praćeni zbog toksičnosti </w:t>
      </w:r>
      <w:r w:rsidRPr="00913317">
        <w:rPr>
          <w:szCs w:val="22"/>
          <w:lang w:val="hr-HR"/>
        </w:rPr>
        <w:t>lijek</w:t>
      </w:r>
      <w:r w:rsidR="000F1AF6" w:rsidRPr="00913317">
        <w:rPr>
          <w:szCs w:val="22"/>
          <w:lang w:val="hr-HR"/>
        </w:rPr>
        <w:t>a (</w:t>
      </w:r>
      <w:r w:rsidRPr="00913317">
        <w:rPr>
          <w:szCs w:val="22"/>
          <w:lang w:val="hr-HR"/>
        </w:rPr>
        <w:t xml:space="preserve">vidjeti </w:t>
      </w:r>
      <w:r w:rsidR="00954637" w:rsidRPr="00913317">
        <w:rPr>
          <w:szCs w:val="22"/>
          <w:lang w:val="hr-HR"/>
        </w:rPr>
        <w:t>dio</w:t>
      </w:r>
      <w:r w:rsidR="005A76FE" w:rsidRPr="00913317">
        <w:rPr>
          <w:szCs w:val="22"/>
          <w:lang w:val="hr-HR"/>
        </w:rPr>
        <w:t> </w:t>
      </w:r>
      <w:r w:rsidR="000F1AF6" w:rsidRPr="00913317">
        <w:rPr>
          <w:szCs w:val="22"/>
          <w:lang w:val="hr-HR"/>
        </w:rPr>
        <w:t>4.8).</w:t>
      </w:r>
    </w:p>
    <w:p w14:paraId="10827089" w14:textId="77777777" w:rsidR="000F1AF6" w:rsidRPr="00913317" w:rsidRDefault="000F1AF6" w:rsidP="00D72925">
      <w:pPr>
        <w:widowControl w:val="0"/>
        <w:tabs>
          <w:tab w:val="clear" w:pos="284"/>
        </w:tabs>
        <w:autoSpaceDE w:val="0"/>
        <w:autoSpaceDN w:val="0"/>
        <w:adjustRightInd w:val="0"/>
        <w:rPr>
          <w:b/>
          <w:i/>
          <w:szCs w:val="22"/>
          <w:lang w:val="hr-HR" w:eastAsia="en-GB"/>
        </w:rPr>
      </w:pPr>
    </w:p>
    <w:p w14:paraId="7723FAC1" w14:textId="77777777" w:rsidR="006131C3" w:rsidRPr="00913317" w:rsidRDefault="000F1AF6" w:rsidP="00D72925">
      <w:pPr>
        <w:tabs>
          <w:tab w:val="clear" w:pos="284"/>
          <w:tab w:val="left" w:pos="0"/>
        </w:tabs>
        <w:rPr>
          <w:i/>
          <w:szCs w:val="22"/>
          <w:u w:val="single"/>
          <w:lang w:val="hr-HR"/>
        </w:rPr>
      </w:pPr>
      <w:r w:rsidRPr="00913317">
        <w:rPr>
          <w:i/>
          <w:szCs w:val="22"/>
          <w:u w:val="single"/>
          <w:lang w:val="hr-HR"/>
        </w:rPr>
        <w:t>Pedijatrijska populacija</w:t>
      </w:r>
    </w:p>
    <w:p w14:paraId="3A57A6CA" w14:textId="0E50F17D" w:rsidR="006131C3" w:rsidRPr="00913317" w:rsidRDefault="000F1AF6" w:rsidP="00D72925">
      <w:pPr>
        <w:rPr>
          <w:szCs w:val="22"/>
          <w:lang w:val="hr-HR"/>
        </w:rPr>
      </w:pPr>
      <w:r w:rsidRPr="00913317">
        <w:rPr>
          <w:szCs w:val="22"/>
          <w:lang w:val="hr-HR"/>
        </w:rPr>
        <w:t xml:space="preserve">Efikasnost i </w:t>
      </w:r>
      <w:r w:rsidR="003204CC" w:rsidRPr="00913317">
        <w:rPr>
          <w:szCs w:val="22"/>
          <w:lang w:val="hr-HR"/>
        </w:rPr>
        <w:t>bezbjedn</w:t>
      </w:r>
      <w:r w:rsidRPr="00913317">
        <w:rPr>
          <w:szCs w:val="22"/>
          <w:lang w:val="hr-HR"/>
        </w:rPr>
        <w:t xml:space="preserve">ost </w:t>
      </w:r>
      <w:r w:rsidR="004D45E7" w:rsidRPr="00913317">
        <w:rPr>
          <w:szCs w:val="22"/>
          <w:lang w:val="hr-HR"/>
        </w:rPr>
        <w:t>primjen</w:t>
      </w:r>
      <w:r w:rsidRPr="00913317">
        <w:rPr>
          <w:szCs w:val="22"/>
          <w:lang w:val="hr-HR"/>
        </w:rPr>
        <w:t xml:space="preserve">e </w:t>
      </w:r>
      <w:r w:rsidR="004D45E7" w:rsidRPr="00913317">
        <w:rPr>
          <w:szCs w:val="22"/>
          <w:lang w:val="hr-HR"/>
        </w:rPr>
        <w:t>lijek</w:t>
      </w:r>
      <w:r w:rsidRPr="00913317">
        <w:rPr>
          <w:szCs w:val="22"/>
          <w:lang w:val="hr-HR"/>
        </w:rPr>
        <w:t>a Vfend nije ustanovljena kod d</w:t>
      </w:r>
      <w:r w:rsidR="00F713E8" w:rsidRPr="00913317">
        <w:rPr>
          <w:szCs w:val="22"/>
          <w:lang w:val="hr-HR"/>
        </w:rPr>
        <w:t>j</w:t>
      </w:r>
      <w:r w:rsidRPr="00913317">
        <w:rPr>
          <w:szCs w:val="22"/>
          <w:lang w:val="hr-HR"/>
        </w:rPr>
        <w:t xml:space="preserve">ece </w:t>
      </w:r>
      <w:r w:rsidR="006C3F92" w:rsidRPr="00913317">
        <w:rPr>
          <w:szCs w:val="22"/>
          <w:lang w:val="hr-HR"/>
        </w:rPr>
        <w:t>ml</w:t>
      </w:r>
      <w:r w:rsidRPr="00913317">
        <w:rPr>
          <w:szCs w:val="22"/>
          <w:lang w:val="hr-HR"/>
        </w:rPr>
        <w:t xml:space="preserve">ađe od 2 godine. Trenutno dostupni podaci dati su u </w:t>
      </w:r>
      <w:r w:rsidR="00DC7052" w:rsidRPr="00913317">
        <w:rPr>
          <w:szCs w:val="22"/>
          <w:lang w:val="hr-HR"/>
        </w:rPr>
        <w:t xml:space="preserve">djelovima </w:t>
      </w:r>
      <w:r w:rsidRPr="00913317">
        <w:rPr>
          <w:szCs w:val="22"/>
          <w:lang w:val="hr-HR"/>
        </w:rPr>
        <w:t>4.8 i 5.1</w:t>
      </w:r>
      <w:r w:rsidR="006419BC" w:rsidRPr="00913317">
        <w:rPr>
          <w:szCs w:val="22"/>
          <w:lang w:val="hr-HR"/>
        </w:rPr>
        <w:t>,</w:t>
      </w:r>
      <w:r w:rsidRPr="00913317">
        <w:rPr>
          <w:szCs w:val="22"/>
          <w:lang w:val="hr-HR"/>
        </w:rPr>
        <w:t xml:space="preserve"> ali se konkretne preporuke o doziranju ne mogu dati.</w:t>
      </w:r>
    </w:p>
    <w:p w14:paraId="4FA663C8" w14:textId="77777777" w:rsidR="006131C3" w:rsidRPr="00913317" w:rsidRDefault="006131C3" w:rsidP="00D72925">
      <w:pPr>
        <w:rPr>
          <w:szCs w:val="22"/>
          <w:u w:val="single"/>
          <w:lang w:val="hr-HR"/>
        </w:rPr>
      </w:pPr>
    </w:p>
    <w:p w14:paraId="3D4EC5AD" w14:textId="79FAEC2D" w:rsidR="006131C3" w:rsidRPr="00913317" w:rsidRDefault="000F1AF6" w:rsidP="00D72925">
      <w:pPr>
        <w:rPr>
          <w:szCs w:val="22"/>
          <w:u w:val="single"/>
          <w:lang w:val="hr-HR"/>
        </w:rPr>
      </w:pPr>
      <w:r w:rsidRPr="00913317">
        <w:rPr>
          <w:szCs w:val="22"/>
          <w:u w:val="single"/>
          <w:lang w:val="hr-HR"/>
        </w:rPr>
        <w:t>Način prim</w:t>
      </w:r>
      <w:r w:rsidR="00096DB7" w:rsidRPr="00913317">
        <w:rPr>
          <w:szCs w:val="22"/>
          <w:u w:val="single"/>
          <w:lang w:val="hr-HR"/>
        </w:rPr>
        <w:t>j</w:t>
      </w:r>
      <w:r w:rsidRPr="00913317">
        <w:rPr>
          <w:szCs w:val="22"/>
          <w:u w:val="single"/>
          <w:lang w:val="hr-HR"/>
        </w:rPr>
        <w:t>ene</w:t>
      </w:r>
    </w:p>
    <w:p w14:paraId="12024568" w14:textId="254691DE" w:rsidR="006131C3" w:rsidRPr="00913317" w:rsidRDefault="004D45E7" w:rsidP="00D72925">
      <w:pPr>
        <w:rPr>
          <w:szCs w:val="22"/>
          <w:lang w:val="hr-HR"/>
        </w:rPr>
      </w:pPr>
      <w:r w:rsidRPr="00913317">
        <w:rPr>
          <w:szCs w:val="22"/>
          <w:lang w:val="hr-HR"/>
        </w:rPr>
        <w:t>Lijek</w:t>
      </w:r>
      <w:r w:rsidR="009E7668" w:rsidRPr="00913317">
        <w:rPr>
          <w:szCs w:val="22"/>
          <w:lang w:val="hr-HR"/>
        </w:rPr>
        <w:t xml:space="preserve"> </w:t>
      </w:r>
      <w:r w:rsidR="000F1AF6" w:rsidRPr="00913317">
        <w:rPr>
          <w:szCs w:val="22"/>
          <w:lang w:val="hr-HR"/>
        </w:rPr>
        <w:t>Vfend treba rekonstituisati i razblažiti (</w:t>
      </w:r>
      <w:r w:rsidRPr="00913317">
        <w:rPr>
          <w:szCs w:val="22"/>
          <w:lang w:val="hr-HR"/>
        </w:rPr>
        <w:t xml:space="preserve">vidjeti </w:t>
      </w:r>
      <w:r w:rsidR="00954637" w:rsidRPr="00913317">
        <w:rPr>
          <w:szCs w:val="22"/>
          <w:lang w:val="hr-HR"/>
        </w:rPr>
        <w:t xml:space="preserve">dio </w:t>
      </w:r>
      <w:r w:rsidR="000F1AF6" w:rsidRPr="00913317">
        <w:rPr>
          <w:szCs w:val="22"/>
          <w:lang w:val="hr-HR"/>
        </w:rPr>
        <w:t xml:space="preserve"> 6.6) pr</w:t>
      </w:r>
      <w:r w:rsidR="00F713E8" w:rsidRPr="00913317">
        <w:rPr>
          <w:szCs w:val="22"/>
          <w:lang w:val="hr-HR"/>
        </w:rPr>
        <w:t>ij</w:t>
      </w:r>
      <w:r w:rsidR="000F1AF6" w:rsidRPr="00913317">
        <w:rPr>
          <w:szCs w:val="22"/>
          <w:lang w:val="hr-HR"/>
        </w:rPr>
        <w:t xml:space="preserve">e </w:t>
      </w:r>
      <w:r w:rsidRPr="00913317">
        <w:rPr>
          <w:szCs w:val="22"/>
          <w:lang w:val="hr-HR"/>
        </w:rPr>
        <w:t>primjen</w:t>
      </w:r>
      <w:r w:rsidR="000F1AF6" w:rsidRPr="00913317">
        <w:rPr>
          <w:szCs w:val="22"/>
          <w:lang w:val="hr-HR"/>
        </w:rPr>
        <w:t xml:space="preserve">e u vidu intravenske infuzije. </w:t>
      </w:r>
    </w:p>
    <w:p w14:paraId="7C2D6C29" w14:textId="35343C5B" w:rsidR="00512155" w:rsidRPr="00913317" w:rsidRDefault="004D45E7" w:rsidP="00D72925">
      <w:pPr>
        <w:rPr>
          <w:szCs w:val="22"/>
          <w:lang w:val="hr-HR"/>
        </w:rPr>
      </w:pPr>
      <w:r w:rsidRPr="00913317">
        <w:rPr>
          <w:szCs w:val="22"/>
          <w:lang w:val="hr-HR"/>
        </w:rPr>
        <w:t>Lijek</w:t>
      </w:r>
      <w:r w:rsidR="00512155" w:rsidRPr="00913317">
        <w:rPr>
          <w:szCs w:val="22"/>
          <w:lang w:val="hr-HR"/>
        </w:rPr>
        <w:t xml:space="preserve"> nije nam</w:t>
      </w:r>
      <w:r w:rsidRPr="00913317">
        <w:rPr>
          <w:szCs w:val="22"/>
          <w:lang w:val="hr-HR"/>
        </w:rPr>
        <w:t>ij</w:t>
      </w:r>
      <w:r w:rsidR="00512155" w:rsidRPr="00913317">
        <w:rPr>
          <w:szCs w:val="22"/>
          <w:lang w:val="hr-HR"/>
        </w:rPr>
        <w:t xml:space="preserve">enjen za </w:t>
      </w:r>
      <w:r w:rsidRPr="00913317">
        <w:rPr>
          <w:szCs w:val="22"/>
          <w:lang w:val="hr-HR"/>
        </w:rPr>
        <w:t>primjen</w:t>
      </w:r>
      <w:r w:rsidR="00512155" w:rsidRPr="00913317">
        <w:rPr>
          <w:szCs w:val="22"/>
          <w:lang w:val="hr-HR"/>
        </w:rPr>
        <w:t>u u obliku bolus injekcije.</w:t>
      </w:r>
    </w:p>
    <w:p w14:paraId="759B68BD" w14:textId="77777777" w:rsidR="006131C3" w:rsidRPr="00913317" w:rsidRDefault="006131C3" w:rsidP="00D72925">
      <w:pPr>
        <w:rPr>
          <w:color w:val="FF0000"/>
          <w:szCs w:val="22"/>
          <w:lang w:val="hr-HR"/>
        </w:rPr>
      </w:pPr>
    </w:p>
    <w:p w14:paraId="660E00A3" w14:textId="1F56B83C" w:rsidR="006131C3" w:rsidRPr="00913317" w:rsidRDefault="00CE09F3" w:rsidP="00D72925">
      <w:pPr>
        <w:rPr>
          <w:b/>
          <w:bCs/>
          <w:szCs w:val="22"/>
          <w:lang w:val="hr-HR"/>
        </w:rPr>
      </w:pPr>
      <w:r w:rsidRPr="00913317">
        <w:rPr>
          <w:b/>
          <w:bCs/>
          <w:szCs w:val="22"/>
          <w:lang w:val="hr-HR"/>
        </w:rPr>
        <w:t>4.3.</w:t>
      </w:r>
      <w:r w:rsidR="005A5FCA" w:rsidRPr="00913317">
        <w:rPr>
          <w:b/>
          <w:bCs/>
          <w:szCs w:val="22"/>
          <w:lang w:val="hr-HR"/>
        </w:rPr>
        <w:tab/>
      </w:r>
      <w:r w:rsidRPr="00913317">
        <w:rPr>
          <w:b/>
          <w:bCs/>
          <w:szCs w:val="22"/>
          <w:lang w:val="hr-HR"/>
        </w:rPr>
        <w:t>Kontraindikacije</w:t>
      </w:r>
    </w:p>
    <w:p w14:paraId="423B4F4C" w14:textId="77777777" w:rsidR="006131C3" w:rsidRPr="00913317" w:rsidRDefault="006131C3" w:rsidP="00D72925">
      <w:pPr>
        <w:rPr>
          <w:color w:val="FF0000"/>
          <w:szCs w:val="22"/>
          <w:lang w:val="hr-HR"/>
        </w:rPr>
      </w:pPr>
    </w:p>
    <w:p w14:paraId="785DE787" w14:textId="71C37E77" w:rsidR="006131C3" w:rsidRPr="00913317" w:rsidRDefault="003204CC" w:rsidP="00D72925">
      <w:pPr>
        <w:rPr>
          <w:color w:val="FF0000"/>
          <w:szCs w:val="22"/>
          <w:lang w:val="hr-HR"/>
        </w:rPr>
      </w:pPr>
      <w:r w:rsidRPr="00913317">
        <w:rPr>
          <w:szCs w:val="22"/>
          <w:lang w:val="hr-HR"/>
        </w:rPr>
        <w:t>Preosjetlj</w:t>
      </w:r>
      <w:r w:rsidR="006A1B90" w:rsidRPr="00913317">
        <w:rPr>
          <w:szCs w:val="22"/>
          <w:lang w:val="hr-HR"/>
        </w:rPr>
        <w:t xml:space="preserve">ivost na aktivnu supstancu ili na bilo koju od pomoćnih supstanci navedenih u </w:t>
      </w:r>
      <w:r w:rsidR="00E87ACC" w:rsidRPr="00913317">
        <w:rPr>
          <w:szCs w:val="22"/>
          <w:lang w:val="hr-HR"/>
        </w:rPr>
        <w:t xml:space="preserve">dijelu </w:t>
      </w:r>
      <w:r w:rsidR="006A1B90" w:rsidRPr="00913317">
        <w:rPr>
          <w:szCs w:val="22"/>
          <w:lang w:val="hr-HR"/>
        </w:rPr>
        <w:t>6.1</w:t>
      </w:r>
      <w:r w:rsidR="003E7780" w:rsidRPr="00913317">
        <w:rPr>
          <w:color w:val="FF0000"/>
          <w:szCs w:val="22"/>
          <w:lang w:val="hr-HR"/>
        </w:rPr>
        <w:t>.</w:t>
      </w:r>
      <w:r w:rsidR="006A1B90" w:rsidRPr="00913317">
        <w:rPr>
          <w:color w:val="FF0000"/>
          <w:szCs w:val="22"/>
          <w:lang w:val="hr-HR"/>
        </w:rPr>
        <w:t xml:space="preserve"> </w:t>
      </w:r>
    </w:p>
    <w:p w14:paraId="45882CD7" w14:textId="73D79669" w:rsidR="006131C3" w:rsidRPr="00913317" w:rsidRDefault="005A7815" w:rsidP="00D72925">
      <w:pPr>
        <w:rPr>
          <w:szCs w:val="22"/>
          <w:lang w:val="hr-HR"/>
        </w:rPr>
      </w:pPr>
      <w:r w:rsidRPr="00913317">
        <w:rPr>
          <w:szCs w:val="22"/>
          <w:lang w:val="hr-HR"/>
        </w:rPr>
        <w:t xml:space="preserve">Istovremena </w:t>
      </w:r>
      <w:r w:rsidR="004D45E7" w:rsidRPr="00913317">
        <w:rPr>
          <w:szCs w:val="22"/>
          <w:lang w:val="hr-HR"/>
        </w:rPr>
        <w:t>primjen</w:t>
      </w:r>
      <w:r w:rsidRPr="00913317">
        <w:rPr>
          <w:szCs w:val="22"/>
          <w:lang w:val="hr-HR"/>
        </w:rPr>
        <w:t>a sa CYP3A4 supstratima, terfenadinom, astemizolom, cisapridom, pimozidom</w:t>
      </w:r>
      <w:r w:rsidR="005A5FCA" w:rsidRPr="00913317">
        <w:rPr>
          <w:szCs w:val="22"/>
          <w:lang w:val="hr-HR"/>
        </w:rPr>
        <w:t>,</w:t>
      </w:r>
      <w:r w:rsidRPr="00913317">
        <w:rPr>
          <w:szCs w:val="22"/>
          <w:lang w:val="hr-HR"/>
        </w:rPr>
        <w:t xml:space="preserve"> hinidinom </w:t>
      </w:r>
      <w:r w:rsidR="005A5FCA" w:rsidRPr="00913317">
        <w:rPr>
          <w:szCs w:val="22"/>
          <w:lang w:val="hr-HR"/>
        </w:rPr>
        <w:t xml:space="preserve">ili ivabradinom </w:t>
      </w:r>
      <w:r w:rsidRPr="00913317">
        <w:rPr>
          <w:szCs w:val="22"/>
          <w:lang w:val="hr-HR"/>
        </w:rPr>
        <w:t xml:space="preserve">je kontraindikovana zato što porast koncentracije ovih </w:t>
      </w:r>
      <w:r w:rsidR="004D45E7" w:rsidRPr="00913317">
        <w:rPr>
          <w:szCs w:val="22"/>
          <w:lang w:val="hr-HR"/>
        </w:rPr>
        <w:t>ljekov</w:t>
      </w:r>
      <w:r w:rsidRPr="00913317">
        <w:rPr>
          <w:szCs w:val="22"/>
          <w:lang w:val="hr-HR"/>
        </w:rPr>
        <w:t>a u plazmi može da dovede do produženja QTc intervala, a r</w:t>
      </w:r>
      <w:r w:rsidR="00BF1805" w:rsidRPr="00913317">
        <w:rPr>
          <w:szCs w:val="22"/>
          <w:lang w:val="hr-HR"/>
        </w:rPr>
        <w:t>ij</w:t>
      </w:r>
      <w:r w:rsidRPr="00913317">
        <w:rPr>
          <w:szCs w:val="22"/>
          <w:lang w:val="hr-HR"/>
        </w:rPr>
        <w:t xml:space="preserve">etko i do pojave </w:t>
      </w:r>
      <w:r w:rsidRPr="00913317">
        <w:rPr>
          <w:i/>
          <w:szCs w:val="22"/>
          <w:lang w:val="hr-HR"/>
        </w:rPr>
        <w:t xml:space="preserve">torsades de pointes </w:t>
      </w:r>
      <w:r w:rsidRPr="00913317">
        <w:rPr>
          <w:szCs w:val="22"/>
          <w:lang w:val="hr-HR"/>
        </w:rPr>
        <w:t>aritmija (</w:t>
      </w:r>
      <w:r w:rsidR="004D45E7" w:rsidRPr="00913317">
        <w:rPr>
          <w:szCs w:val="22"/>
          <w:lang w:val="hr-HR"/>
        </w:rPr>
        <w:t xml:space="preserve">vidjeti </w:t>
      </w:r>
      <w:r w:rsidR="00954637" w:rsidRPr="00913317">
        <w:rPr>
          <w:szCs w:val="22"/>
          <w:lang w:val="hr-HR"/>
        </w:rPr>
        <w:t>dio</w:t>
      </w:r>
      <w:r w:rsidRPr="00913317">
        <w:rPr>
          <w:szCs w:val="22"/>
          <w:lang w:val="hr-HR"/>
        </w:rPr>
        <w:t xml:space="preserve"> 4.5). </w:t>
      </w:r>
    </w:p>
    <w:p w14:paraId="142D0541" w14:textId="30B22BAA" w:rsidR="006131C3" w:rsidRPr="00913317" w:rsidRDefault="005A7815" w:rsidP="00D72925">
      <w:pPr>
        <w:rPr>
          <w:szCs w:val="22"/>
          <w:lang w:val="hr-HR"/>
        </w:rPr>
      </w:pPr>
      <w:r w:rsidRPr="00913317">
        <w:rPr>
          <w:szCs w:val="22"/>
          <w:lang w:val="hr-HR"/>
        </w:rPr>
        <w:t xml:space="preserve">Istovremena </w:t>
      </w:r>
      <w:r w:rsidR="004D45E7" w:rsidRPr="00913317">
        <w:rPr>
          <w:szCs w:val="22"/>
          <w:lang w:val="hr-HR"/>
        </w:rPr>
        <w:t>primjen</w:t>
      </w:r>
      <w:r w:rsidRPr="00913317">
        <w:rPr>
          <w:szCs w:val="22"/>
          <w:lang w:val="hr-HR"/>
        </w:rPr>
        <w:t>a sa rifampicinom, karbamazepinom</w:t>
      </w:r>
      <w:r w:rsidR="005A5FCA" w:rsidRPr="00913317">
        <w:rPr>
          <w:szCs w:val="22"/>
          <w:lang w:val="hr-HR"/>
        </w:rPr>
        <w:t>,</w:t>
      </w:r>
      <w:r w:rsidRPr="00913317">
        <w:rPr>
          <w:szCs w:val="22"/>
          <w:lang w:val="hr-HR"/>
        </w:rPr>
        <w:t xml:space="preserve"> fenobarbit</w:t>
      </w:r>
      <w:r w:rsidR="00B315FB" w:rsidRPr="00913317">
        <w:rPr>
          <w:szCs w:val="22"/>
          <w:lang w:val="hr-HR"/>
        </w:rPr>
        <w:t>alom</w:t>
      </w:r>
      <w:r w:rsidRPr="00913317">
        <w:rPr>
          <w:szCs w:val="22"/>
          <w:lang w:val="hr-HR"/>
        </w:rPr>
        <w:t xml:space="preserve"> </w:t>
      </w:r>
      <w:r w:rsidR="005A5FCA" w:rsidRPr="00913317">
        <w:rPr>
          <w:szCs w:val="22"/>
          <w:lang w:val="hr-HR"/>
        </w:rPr>
        <w:t xml:space="preserve">i kantarionom </w:t>
      </w:r>
      <w:r w:rsidRPr="00913317">
        <w:rPr>
          <w:szCs w:val="22"/>
          <w:lang w:val="hr-HR"/>
        </w:rPr>
        <w:t xml:space="preserve">je </w:t>
      </w:r>
      <w:r w:rsidRPr="00913317">
        <w:rPr>
          <w:spacing w:val="-4"/>
          <w:szCs w:val="22"/>
          <w:lang w:val="hr-HR"/>
        </w:rPr>
        <w:t xml:space="preserve">kontraindikovana zato što ovi </w:t>
      </w:r>
      <w:r w:rsidR="004D45E7" w:rsidRPr="00913317">
        <w:rPr>
          <w:spacing w:val="-4"/>
          <w:szCs w:val="22"/>
          <w:lang w:val="hr-HR"/>
        </w:rPr>
        <w:t>ljekov</w:t>
      </w:r>
      <w:r w:rsidRPr="00913317">
        <w:rPr>
          <w:spacing w:val="-4"/>
          <w:szCs w:val="22"/>
          <w:lang w:val="hr-HR"/>
        </w:rPr>
        <w:t xml:space="preserve">i često </w:t>
      </w:r>
      <w:r w:rsidR="005970A4" w:rsidRPr="00913317">
        <w:rPr>
          <w:spacing w:val="-4"/>
          <w:szCs w:val="22"/>
          <w:lang w:val="hr-HR"/>
        </w:rPr>
        <w:t xml:space="preserve">značajno </w:t>
      </w:r>
      <w:r w:rsidRPr="00913317">
        <w:rPr>
          <w:spacing w:val="-4"/>
          <w:szCs w:val="22"/>
          <w:lang w:val="hr-HR"/>
        </w:rPr>
        <w:t>s</w:t>
      </w:r>
      <w:r w:rsidR="00B315FB" w:rsidRPr="00913317">
        <w:rPr>
          <w:spacing w:val="-4"/>
          <w:szCs w:val="22"/>
          <w:lang w:val="hr-HR"/>
        </w:rPr>
        <w:t>manjuju</w:t>
      </w:r>
      <w:r w:rsidRPr="00913317">
        <w:rPr>
          <w:spacing w:val="-4"/>
          <w:szCs w:val="22"/>
          <w:lang w:val="hr-HR"/>
        </w:rPr>
        <w:t xml:space="preserve"> koncentraciju vorikonazola u plazmi</w:t>
      </w:r>
      <w:r w:rsidRPr="00913317">
        <w:rPr>
          <w:szCs w:val="22"/>
          <w:lang w:val="hr-HR"/>
        </w:rPr>
        <w:t xml:space="preserve"> (</w:t>
      </w:r>
      <w:r w:rsidR="004D45E7" w:rsidRPr="00913317">
        <w:rPr>
          <w:szCs w:val="22"/>
          <w:lang w:val="hr-HR"/>
        </w:rPr>
        <w:t xml:space="preserve">vidjeti </w:t>
      </w:r>
      <w:r w:rsidR="00954637" w:rsidRPr="00913317">
        <w:rPr>
          <w:szCs w:val="22"/>
          <w:lang w:val="hr-HR"/>
        </w:rPr>
        <w:t>dio</w:t>
      </w:r>
      <w:r w:rsidRPr="00913317">
        <w:rPr>
          <w:szCs w:val="22"/>
          <w:lang w:val="hr-HR"/>
        </w:rPr>
        <w:t xml:space="preserve"> 4.5).</w:t>
      </w:r>
    </w:p>
    <w:p w14:paraId="1E2F5D97" w14:textId="3E41D36D" w:rsidR="006131C3" w:rsidRPr="00913317" w:rsidRDefault="005A7815" w:rsidP="00D72925">
      <w:pPr>
        <w:rPr>
          <w:szCs w:val="22"/>
          <w:lang w:val="hr-HR"/>
        </w:rPr>
      </w:pPr>
      <w:r w:rsidRPr="00913317">
        <w:rPr>
          <w:szCs w:val="22"/>
          <w:lang w:val="hr-HR"/>
        </w:rPr>
        <w:t xml:space="preserve">Istovremena </w:t>
      </w:r>
      <w:r w:rsidR="004D45E7" w:rsidRPr="00913317">
        <w:rPr>
          <w:szCs w:val="22"/>
          <w:lang w:val="hr-HR"/>
        </w:rPr>
        <w:t>primjen</w:t>
      </w:r>
      <w:r w:rsidRPr="00913317">
        <w:rPr>
          <w:szCs w:val="22"/>
          <w:lang w:val="hr-HR"/>
        </w:rPr>
        <w:t xml:space="preserve">a standardnih doza vorikonazola i efavirenza u dozi od 400 mg jednom dnevno ili više je kontraindikovana, zato što efavirenz u ovim dozama značajno smanjuje koncentraciju vorikonazola u plazmi kod zdravih </w:t>
      </w:r>
      <w:r w:rsidR="007C2134" w:rsidRPr="00913317">
        <w:rPr>
          <w:szCs w:val="22"/>
          <w:lang w:val="hr-HR"/>
        </w:rPr>
        <w:t>ispitanika</w:t>
      </w:r>
      <w:r w:rsidRPr="00913317">
        <w:rPr>
          <w:szCs w:val="22"/>
          <w:lang w:val="hr-HR"/>
        </w:rPr>
        <w:t>. Vorikonazol takođe značajno povećava koncentraciju efavirenza u plazmi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4.5; za manje doze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4.4). </w:t>
      </w:r>
    </w:p>
    <w:p w14:paraId="1A262E91" w14:textId="3271E97D" w:rsidR="006131C3" w:rsidRPr="00913317" w:rsidRDefault="005A7815" w:rsidP="00D72925">
      <w:pPr>
        <w:rPr>
          <w:szCs w:val="22"/>
          <w:lang w:val="hr-HR"/>
        </w:rPr>
      </w:pPr>
      <w:r w:rsidRPr="00913317">
        <w:rPr>
          <w:szCs w:val="22"/>
          <w:lang w:val="hr-HR"/>
        </w:rPr>
        <w:t xml:space="preserve">Istovremena </w:t>
      </w:r>
      <w:r w:rsidR="004D45E7" w:rsidRPr="00913317">
        <w:rPr>
          <w:szCs w:val="22"/>
          <w:lang w:val="hr-HR"/>
        </w:rPr>
        <w:t>primjen</w:t>
      </w:r>
      <w:r w:rsidRPr="00913317">
        <w:rPr>
          <w:szCs w:val="22"/>
          <w:lang w:val="hr-HR"/>
        </w:rPr>
        <w:t>a sa velikim dozama ritonavira (400 mg i v</w:t>
      </w:r>
      <w:r w:rsidR="007C2134" w:rsidRPr="00913317">
        <w:rPr>
          <w:szCs w:val="22"/>
          <w:lang w:val="hr-HR"/>
        </w:rPr>
        <w:t>eće</w:t>
      </w:r>
      <w:r w:rsidRPr="00913317">
        <w:rPr>
          <w:szCs w:val="22"/>
          <w:lang w:val="hr-HR"/>
        </w:rPr>
        <w:t xml:space="preserve"> dva puta na dan) je kontraindikovana zato što ritonavir u ovoj dozi značajno smanjuje koncentraciju vorikonazola u plazmi kod zdravih </w:t>
      </w:r>
      <w:r w:rsidR="007C2134" w:rsidRPr="00913317">
        <w:rPr>
          <w:szCs w:val="22"/>
          <w:lang w:val="hr-HR"/>
        </w:rPr>
        <w:t>ispitanika</w:t>
      </w:r>
      <w:r w:rsidRPr="00913317">
        <w:rPr>
          <w:szCs w:val="22"/>
          <w:lang w:val="hr-HR"/>
        </w:rPr>
        <w:t xml:space="preserve"> (</w:t>
      </w:r>
      <w:r w:rsidR="004D45E7" w:rsidRPr="00913317">
        <w:rPr>
          <w:szCs w:val="22"/>
          <w:lang w:val="hr-HR"/>
        </w:rPr>
        <w:t xml:space="preserve">vidjeti </w:t>
      </w:r>
      <w:r w:rsidR="00954637" w:rsidRPr="00913317">
        <w:rPr>
          <w:szCs w:val="22"/>
          <w:lang w:val="hr-HR"/>
        </w:rPr>
        <w:t>dio</w:t>
      </w:r>
      <w:r w:rsidRPr="00913317">
        <w:rPr>
          <w:szCs w:val="22"/>
          <w:lang w:val="hr-HR"/>
        </w:rPr>
        <w:t xml:space="preserve"> 4.5; za manje doze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4.4). </w:t>
      </w:r>
    </w:p>
    <w:p w14:paraId="45D539CE" w14:textId="2F0BD2FA" w:rsidR="006131C3" w:rsidRPr="00913317" w:rsidRDefault="005A7815" w:rsidP="00D72925">
      <w:pPr>
        <w:rPr>
          <w:spacing w:val="-4"/>
          <w:szCs w:val="22"/>
          <w:lang w:val="hr-HR"/>
        </w:rPr>
      </w:pPr>
      <w:r w:rsidRPr="00913317">
        <w:rPr>
          <w:spacing w:val="-4"/>
          <w:szCs w:val="22"/>
          <w:lang w:val="hr-HR"/>
        </w:rPr>
        <w:t xml:space="preserve">Istovremena </w:t>
      </w:r>
      <w:r w:rsidR="004D45E7" w:rsidRPr="00913317">
        <w:rPr>
          <w:spacing w:val="-4"/>
          <w:szCs w:val="22"/>
          <w:lang w:val="hr-HR"/>
        </w:rPr>
        <w:t>primjen</w:t>
      </w:r>
      <w:r w:rsidRPr="00913317">
        <w:rPr>
          <w:spacing w:val="-4"/>
          <w:szCs w:val="22"/>
          <w:lang w:val="hr-HR"/>
        </w:rPr>
        <w:t>a sa ergot alkaloidima (npr. ergotamin, dihidroergotamin), koji su CYP3A4 supstrati je kontraindikovana</w:t>
      </w:r>
      <w:r w:rsidR="007C2134" w:rsidRPr="00913317">
        <w:rPr>
          <w:spacing w:val="-4"/>
          <w:szCs w:val="22"/>
          <w:lang w:val="hr-HR"/>
        </w:rPr>
        <w:t>,</w:t>
      </w:r>
      <w:r w:rsidRPr="00913317">
        <w:rPr>
          <w:spacing w:val="-4"/>
          <w:szCs w:val="22"/>
          <w:lang w:val="hr-HR"/>
        </w:rPr>
        <w:t xml:space="preserve"> zato što povećanje koncentracije ovih </w:t>
      </w:r>
      <w:r w:rsidR="004D45E7" w:rsidRPr="00913317">
        <w:rPr>
          <w:spacing w:val="-4"/>
          <w:szCs w:val="22"/>
          <w:lang w:val="hr-HR"/>
        </w:rPr>
        <w:t>ljekov</w:t>
      </w:r>
      <w:r w:rsidRPr="00913317">
        <w:rPr>
          <w:spacing w:val="-4"/>
          <w:szCs w:val="22"/>
          <w:lang w:val="hr-HR"/>
        </w:rPr>
        <w:t xml:space="preserve">a u plazmi može prouzrokovati ergotizam </w:t>
      </w:r>
      <w:r w:rsidRPr="00913317">
        <w:rPr>
          <w:spacing w:val="-4"/>
          <w:szCs w:val="22"/>
          <w:lang w:val="hr-HR"/>
        </w:rPr>
        <w:br/>
        <w:t>(</w:t>
      </w:r>
      <w:r w:rsidR="004D45E7" w:rsidRPr="00913317">
        <w:rPr>
          <w:spacing w:val="-4"/>
          <w:szCs w:val="22"/>
          <w:lang w:val="hr-HR"/>
        </w:rPr>
        <w:t xml:space="preserve">vidjeti </w:t>
      </w:r>
      <w:r w:rsidR="00954637" w:rsidRPr="00913317">
        <w:rPr>
          <w:spacing w:val="-4"/>
          <w:szCs w:val="22"/>
          <w:lang w:val="hr-HR"/>
        </w:rPr>
        <w:t xml:space="preserve">dio </w:t>
      </w:r>
      <w:r w:rsidRPr="00913317">
        <w:rPr>
          <w:spacing w:val="-4"/>
          <w:szCs w:val="22"/>
          <w:lang w:val="hr-HR"/>
        </w:rPr>
        <w:t xml:space="preserve">4.5). </w:t>
      </w:r>
    </w:p>
    <w:p w14:paraId="20177878" w14:textId="48B373E5" w:rsidR="006131C3" w:rsidRPr="00913317" w:rsidRDefault="005A7815" w:rsidP="00D72925">
      <w:pPr>
        <w:pStyle w:val="Header"/>
        <w:tabs>
          <w:tab w:val="clear" w:pos="4536"/>
          <w:tab w:val="clear" w:pos="9072"/>
          <w:tab w:val="left" w:pos="284"/>
        </w:tabs>
        <w:rPr>
          <w:szCs w:val="22"/>
          <w:lang w:val="hr-HR"/>
        </w:rPr>
      </w:pPr>
      <w:r w:rsidRPr="00913317">
        <w:rPr>
          <w:szCs w:val="22"/>
          <w:lang w:val="hr-HR"/>
        </w:rPr>
        <w:t xml:space="preserve">Istovremena </w:t>
      </w:r>
      <w:r w:rsidR="004D45E7" w:rsidRPr="00913317">
        <w:rPr>
          <w:szCs w:val="22"/>
          <w:lang w:val="hr-HR"/>
        </w:rPr>
        <w:t>primjen</w:t>
      </w:r>
      <w:r w:rsidRPr="00913317">
        <w:rPr>
          <w:szCs w:val="22"/>
          <w:lang w:val="hr-HR"/>
        </w:rPr>
        <w:t>a sa sirolimusom je kontraindikovana, zato što vorikonazol često značajno povećava koncentraciju sirolimusa</w:t>
      </w:r>
      <w:r w:rsidR="007C2134" w:rsidRPr="00913317">
        <w:rPr>
          <w:szCs w:val="22"/>
          <w:lang w:val="hr-HR"/>
        </w:rPr>
        <w:t xml:space="preserve"> u plazmi</w:t>
      </w:r>
      <w:r w:rsidRPr="00913317">
        <w:rPr>
          <w:szCs w:val="22"/>
          <w:lang w:val="hr-HR"/>
        </w:rPr>
        <w:t xml:space="preserve">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4.5).</w:t>
      </w:r>
    </w:p>
    <w:p w14:paraId="5A8C4254" w14:textId="73A99975" w:rsidR="005A5FCA" w:rsidRPr="00913317" w:rsidRDefault="005A5FCA" w:rsidP="00D72925">
      <w:pPr>
        <w:pStyle w:val="CM55"/>
        <w:spacing w:after="0"/>
        <w:jc w:val="both"/>
        <w:rPr>
          <w:sz w:val="22"/>
          <w:szCs w:val="22"/>
          <w:lang w:val="hr-HR"/>
        </w:rPr>
      </w:pPr>
      <w:r w:rsidRPr="00913317">
        <w:rPr>
          <w:sz w:val="22"/>
          <w:szCs w:val="22"/>
          <w:lang w:val="hr-HR"/>
        </w:rPr>
        <w:t>Istovremena primjena vorikonazola sa naloksegolom, supstratom CYP3A4,</w:t>
      </w:r>
      <w:r w:rsidR="00310B06" w:rsidRPr="00913317">
        <w:rPr>
          <w:sz w:val="22"/>
          <w:szCs w:val="22"/>
          <w:lang w:val="hr-HR"/>
        </w:rPr>
        <w:t xml:space="preserve"> je kontraindikovana,</w:t>
      </w:r>
      <w:r w:rsidRPr="00913317">
        <w:rPr>
          <w:sz w:val="22"/>
          <w:szCs w:val="22"/>
          <w:lang w:val="hr-HR"/>
        </w:rPr>
        <w:t xml:space="preserve"> zato što povećanje koncentracije naloksegola u plazmi može da podstakne pojavu simptoma </w:t>
      </w:r>
      <w:r w:rsidR="003C18A0" w:rsidRPr="00913317">
        <w:rPr>
          <w:sz w:val="22"/>
          <w:szCs w:val="22"/>
          <w:lang w:val="hr-HR"/>
        </w:rPr>
        <w:t>prekida</w:t>
      </w:r>
      <w:r w:rsidR="005D7A5A" w:rsidRPr="00913317">
        <w:rPr>
          <w:sz w:val="22"/>
          <w:szCs w:val="22"/>
          <w:lang w:val="hr-HR"/>
        </w:rPr>
        <w:t xml:space="preserve"> korišćenja</w:t>
      </w:r>
      <w:r w:rsidRPr="00913317">
        <w:rPr>
          <w:sz w:val="22"/>
          <w:szCs w:val="22"/>
          <w:lang w:val="hr-HR"/>
        </w:rPr>
        <w:t xml:space="preserve"> </w:t>
      </w:r>
      <w:r w:rsidR="005D7A5A" w:rsidRPr="00913317">
        <w:rPr>
          <w:sz w:val="22"/>
          <w:szCs w:val="22"/>
          <w:lang w:val="hr-HR"/>
        </w:rPr>
        <w:t xml:space="preserve">opioida </w:t>
      </w:r>
      <w:r w:rsidRPr="00913317">
        <w:rPr>
          <w:sz w:val="22"/>
          <w:szCs w:val="22"/>
          <w:lang w:val="hr-HR"/>
        </w:rPr>
        <w:t xml:space="preserve">(vidjeti </w:t>
      </w:r>
      <w:r w:rsidR="00954637" w:rsidRPr="00913317">
        <w:rPr>
          <w:sz w:val="22"/>
          <w:szCs w:val="22"/>
          <w:lang w:val="hr-HR"/>
        </w:rPr>
        <w:t xml:space="preserve">dio </w:t>
      </w:r>
      <w:r w:rsidRPr="00913317">
        <w:rPr>
          <w:sz w:val="22"/>
          <w:szCs w:val="22"/>
          <w:lang w:val="hr-HR"/>
        </w:rPr>
        <w:t>4.5).</w:t>
      </w:r>
    </w:p>
    <w:p w14:paraId="51D9840E" w14:textId="77777777" w:rsidR="005A5FCA" w:rsidRPr="00913317" w:rsidRDefault="005A5FCA" w:rsidP="00D72925">
      <w:pPr>
        <w:pStyle w:val="Default"/>
        <w:jc w:val="both"/>
        <w:rPr>
          <w:color w:val="auto"/>
          <w:sz w:val="22"/>
          <w:szCs w:val="22"/>
          <w:lang w:val="hr-HR"/>
        </w:rPr>
      </w:pPr>
    </w:p>
    <w:p w14:paraId="20ABEA60" w14:textId="4C711923" w:rsidR="005A5FCA" w:rsidRPr="00913317" w:rsidRDefault="005D7A5A" w:rsidP="00D72925">
      <w:pPr>
        <w:pStyle w:val="Paragraph"/>
        <w:spacing w:after="0"/>
        <w:jc w:val="both"/>
        <w:rPr>
          <w:sz w:val="22"/>
          <w:szCs w:val="22"/>
          <w:lang w:val="hr-HR"/>
        </w:rPr>
      </w:pPr>
      <w:r w:rsidRPr="00913317">
        <w:rPr>
          <w:sz w:val="22"/>
          <w:szCs w:val="22"/>
          <w:lang w:val="hr-HR"/>
        </w:rPr>
        <w:t>Istovremen</w:t>
      </w:r>
      <w:r w:rsidR="009F780D" w:rsidRPr="00913317">
        <w:rPr>
          <w:sz w:val="22"/>
          <w:szCs w:val="22"/>
          <w:lang w:val="hr-HR"/>
        </w:rPr>
        <w:t>a</w:t>
      </w:r>
      <w:r w:rsidRPr="00913317">
        <w:rPr>
          <w:sz w:val="22"/>
          <w:szCs w:val="22"/>
          <w:lang w:val="hr-HR"/>
        </w:rPr>
        <w:t xml:space="preserve"> primjena </w:t>
      </w:r>
      <w:r w:rsidR="005A5FCA" w:rsidRPr="00913317">
        <w:rPr>
          <w:sz w:val="22"/>
          <w:szCs w:val="22"/>
          <w:lang w:val="hr-HR"/>
        </w:rPr>
        <w:t>vori</w:t>
      </w:r>
      <w:r w:rsidRPr="00913317">
        <w:rPr>
          <w:sz w:val="22"/>
          <w:szCs w:val="22"/>
          <w:lang w:val="hr-HR"/>
        </w:rPr>
        <w:t>k</w:t>
      </w:r>
      <w:r w:rsidR="005A5FCA" w:rsidRPr="00913317">
        <w:rPr>
          <w:sz w:val="22"/>
          <w:szCs w:val="22"/>
          <w:lang w:val="hr-HR"/>
        </w:rPr>
        <w:t>onazol</w:t>
      </w:r>
      <w:r w:rsidRPr="00913317">
        <w:rPr>
          <w:sz w:val="22"/>
          <w:szCs w:val="22"/>
          <w:lang w:val="hr-HR"/>
        </w:rPr>
        <w:t>a</w:t>
      </w:r>
      <w:r w:rsidR="005A5FCA" w:rsidRPr="00913317">
        <w:rPr>
          <w:sz w:val="22"/>
          <w:szCs w:val="22"/>
          <w:lang w:val="hr-HR"/>
        </w:rPr>
        <w:t xml:space="preserve"> </w:t>
      </w:r>
      <w:r w:rsidRPr="00913317">
        <w:rPr>
          <w:sz w:val="22"/>
          <w:szCs w:val="22"/>
          <w:lang w:val="hr-HR"/>
        </w:rPr>
        <w:t xml:space="preserve">sa </w:t>
      </w:r>
      <w:r w:rsidR="005A5FCA" w:rsidRPr="00913317">
        <w:rPr>
          <w:sz w:val="22"/>
          <w:szCs w:val="22"/>
          <w:lang w:val="hr-HR"/>
        </w:rPr>
        <w:t>tolvaptan</w:t>
      </w:r>
      <w:r w:rsidRPr="00913317">
        <w:rPr>
          <w:sz w:val="22"/>
          <w:szCs w:val="22"/>
          <w:lang w:val="hr-HR"/>
        </w:rPr>
        <w:t>om</w:t>
      </w:r>
      <w:r w:rsidR="00310B06" w:rsidRPr="00913317">
        <w:rPr>
          <w:sz w:val="22"/>
          <w:szCs w:val="22"/>
          <w:lang w:val="hr-HR"/>
        </w:rPr>
        <w:t xml:space="preserve"> je kontraindikovana</w:t>
      </w:r>
      <w:r w:rsidR="009F780D" w:rsidRPr="00913317">
        <w:rPr>
          <w:sz w:val="22"/>
          <w:szCs w:val="22"/>
          <w:lang w:val="hr-HR"/>
        </w:rPr>
        <w:t>,</w:t>
      </w:r>
      <w:r w:rsidR="005A5FCA" w:rsidRPr="00913317">
        <w:rPr>
          <w:sz w:val="22"/>
          <w:szCs w:val="22"/>
          <w:lang w:val="hr-HR"/>
        </w:rPr>
        <w:t xml:space="preserve"> </w:t>
      </w:r>
      <w:r w:rsidR="009F780D" w:rsidRPr="00913317">
        <w:rPr>
          <w:sz w:val="22"/>
          <w:szCs w:val="22"/>
          <w:lang w:val="hr-HR"/>
        </w:rPr>
        <w:t xml:space="preserve">zato što snažni inhibitori </w:t>
      </w:r>
      <w:r w:rsidR="005A5FCA" w:rsidRPr="00913317">
        <w:rPr>
          <w:sz w:val="22"/>
          <w:szCs w:val="22"/>
          <w:lang w:val="hr-HR"/>
        </w:rPr>
        <w:t>CYP3A4</w:t>
      </w:r>
      <w:r w:rsidR="003A4AA2" w:rsidRPr="00913317">
        <w:rPr>
          <w:sz w:val="22"/>
          <w:szCs w:val="22"/>
          <w:lang w:val="hr-HR"/>
        </w:rPr>
        <w:t>,</w:t>
      </w:r>
      <w:r w:rsidR="005A5FCA" w:rsidRPr="00913317">
        <w:rPr>
          <w:sz w:val="22"/>
          <w:szCs w:val="22"/>
          <w:lang w:val="hr-HR"/>
        </w:rPr>
        <w:t xml:space="preserve"> </w:t>
      </w:r>
      <w:r w:rsidR="009F780D" w:rsidRPr="00913317">
        <w:rPr>
          <w:sz w:val="22"/>
          <w:szCs w:val="22"/>
          <w:lang w:val="hr-HR"/>
        </w:rPr>
        <w:t xml:space="preserve">kao što je </w:t>
      </w:r>
      <w:r w:rsidR="005A5FCA" w:rsidRPr="00913317">
        <w:rPr>
          <w:sz w:val="22"/>
          <w:szCs w:val="22"/>
          <w:lang w:val="hr-HR"/>
        </w:rPr>
        <w:t>vori</w:t>
      </w:r>
      <w:r w:rsidR="009F780D" w:rsidRPr="00913317">
        <w:rPr>
          <w:sz w:val="22"/>
          <w:szCs w:val="22"/>
          <w:lang w:val="hr-HR"/>
        </w:rPr>
        <w:t>k</w:t>
      </w:r>
      <w:r w:rsidR="005A5FCA" w:rsidRPr="00913317">
        <w:rPr>
          <w:sz w:val="22"/>
          <w:szCs w:val="22"/>
          <w:lang w:val="hr-HR"/>
        </w:rPr>
        <w:t>onazol</w:t>
      </w:r>
      <w:r w:rsidR="003A4AA2" w:rsidRPr="00913317">
        <w:rPr>
          <w:sz w:val="22"/>
          <w:szCs w:val="22"/>
          <w:lang w:val="hr-HR"/>
        </w:rPr>
        <w:t>,</w:t>
      </w:r>
      <w:r w:rsidR="005A5FCA" w:rsidRPr="00913317">
        <w:rPr>
          <w:sz w:val="22"/>
          <w:szCs w:val="22"/>
          <w:lang w:val="hr-HR"/>
        </w:rPr>
        <w:t xml:space="preserve"> </w:t>
      </w:r>
      <w:r w:rsidR="009F780D" w:rsidRPr="00913317">
        <w:rPr>
          <w:sz w:val="22"/>
          <w:szCs w:val="22"/>
          <w:lang w:val="hr-HR"/>
        </w:rPr>
        <w:t xml:space="preserve">značajno </w:t>
      </w:r>
      <w:r w:rsidR="004B3587" w:rsidRPr="00913317">
        <w:rPr>
          <w:sz w:val="22"/>
          <w:szCs w:val="22"/>
          <w:lang w:val="hr-HR"/>
        </w:rPr>
        <w:t>povećava</w:t>
      </w:r>
      <w:r w:rsidR="009F780D" w:rsidRPr="00913317">
        <w:rPr>
          <w:sz w:val="22"/>
          <w:szCs w:val="22"/>
          <w:lang w:val="hr-HR"/>
        </w:rPr>
        <w:t xml:space="preserve">ju koncentraciju </w:t>
      </w:r>
      <w:r w:rsidR="005A5FCA" w:rsidRPr="00913317">
        <w:rPr>
          <w:sz w:val="22"/>
          <w:szCs w:val="22"/>
          <w:lang w:val="hr-HR"/>
        </w:rPr>
        <w:t>tolvaptan</w:t>
      </w:r>
      <w:r w:rsidR="009F780D" w:rsidRPr="00913317">
        <w:rPr>
          <w:sz w:val="22"/>
          <w:szCs w:val="22"/>
          <w:lang w:val="hr-HR"/>
        </w:rPr>
        <w:t>a</w:t>
      </w:r>
      <w:r w:rsidR="005A5FCA" w:rsidRPr="00913317">
        <w:rPr>
          <w:sz w:val="22"/>
          <w:szCs w:val="22"/>
          <w:lang w:val="hr-HR"/>
        </w:rPr>
        <w:t xml:space="preserve"> </w:t>
      </w:r>
      <w:r w:rsidR="009F780D" w:rsidRPr="00913317">
        <w:rPr>
          <w:sz w:val="22"/>
          <w:szCs w:val="22"/>
          <w:lang w:val="hr-HR"/>
        </w:rPr>
        <w:t xml:space="preserve">u plazmi </w:t>
      </w:r>
      <w:r w:rsidR="005A5FCA" w:rsidRPr="00913317">
        <w:rPr>
          <w:sz w:val="22"/>
          <w:szCs w:val="22"/>
          <w:lang w:val="hr-HR"/>
        </w:rPr>
        <w:t>(</w:t>
      </w:r>
      <w:r w:rsidR="009F780D" w:rsidRPr="00913317">
        <w:rPr>
          <w:sz w:val="22"/>
          <w:szCs w:val="22"/>
          <w:lang w:val="hr-HR"/>
        </w:rPr>
        <w:t xml:space="preserve">vidjeti </w:t>
      </w:r>
      <w:r w:rsidR="00954637" w:rsidRPr="00913317">
        <w:rPr>
          <w:sz w:val="22"/>
          <w:szCs w:val="22"/>
          <w:lang w:val="hr-HR"/>
        </w:rPr>
        <w:t xml:space="preserve">dio </w:t>
      </w:r>
      <w:r w:rsidR="005A5FCA" w:rsidRPr="00913317">
        <w:rPr>
          <w:sz w:val="22"/>
          <w:szCs w:val="22"/>
          <w:lang w:val="hr-HR"/>
        </w:rPr>
        <w:t>4.5).</w:t>
      </w:r>
    </w:p>
    <w:p w14:paraId="7E4B1DD1" w14:textId="77777777" w:rsidR="005A5FCA" w:rsidRPr="00913317" w:rsidRDefault="005A5FCA" w:rsidP="00D72925">
      <w:pPr>
        <w:pStyle w:val="Paragraph"/>
        <w:spacing w:after="0"/>
        <w:jc w:val="both"/>
        <w:rPr>
          <w:sz w:val="22"/>
          <w:szCs w:val="22"/>
          <w:lang w:val="hr-HR"/>
        </w:rPr>
      </w:pPr>
    </w:p>
    <w:p w14:paraId="22C3DCEE" w14:textId="29DE2277" w:rsidR="005A5FCA" w:rsidRPr="00913317" w:rsidRDefault="009F780D" w:rsidP="00D72925">
      <w:pPr>
        <w:pStyle w:val="wordsection1"/>
        <w:jc w:val="both"/>
        <w:rPr>
          <w:sz w:val="22"/>
          <w:szCs w:val="22"/>
          <w:lang w:val="hr-HR"/>
        </w:rPr>
      </w:pPr>
      <w:r w:rsidRPr="00913317">
        <w:rPr>
          <w:sz w:val="22"/>
          <w:szCs w:val="22"/>
          <w:lang w:val="hr-HR"/>
        </w:rPr>
        <w:t xml:space="preserve">Istovremena primjena </w:t>
      </w:r>
      <w:r w:rsidR="005A5FCA" w:rsidRPr="00913317">
        <w:rPr>
          <w:sz w:val="22"/>
          <w:szCs w:val="22"/>
          <w:lang w:val="hr-HR"/>
        </w:rPr>
        <w:t>vori</w:t>
      </w:r>
      <w:r w:rsidRPr="00913317">
        <w:rPr>
          <w:sz w:val="22"/>
          <w:szCs w:val="22"/>
          <w:lang w:val="hr-HR"/>
        </w:rPr>
        <w:t>k</w:t>
      </w:r>
      <w:r w:rsidR="005A5FCA" w:rsidRPr="00913317">
        <w:rPr>
          <w:sz w:val="22"/>
          <w:szCs w:val="22"/>
          <w:lang w:val="hr-HR"/>
        </w:rPr>
        <w:t>onazol</w:t>
      </w:r>
      <w:r w:rsidRPr="00913317">
        <w:rPr>
          <w:sz w:val="22"/>
          <w:szCs w:val="22"/>
          <w:lang w:val="hr-HR"/>
        </w:rPr>
        <w:t>a</w:t>
      </w:r>
      <w:r w:rsidR="005A5FCA" w:rsidRPr="00913317">
        <w:rPr>
          <w:sz w:val="22"/>
          <w:szCs w:val="22"/>
          <w:lang w:val="hr-HR"/>
        </w:rPr>
        <w:t xml:space="preserve"> </w:t>
      </w:r>
      <w:r w:rsidRPr="00913317">
        <w:rPr>
          <w:sz w:val="22"/>
          <w:szCs w:val="22"/>
          <w:lang w:val="hr-HR"/>
        </w:rPr>
        <w:t xml:space="preserve">sa </w:t>
      </w:r>
      <w:r w:rsidR="005A5FCA" w:rsidRPr="00913317">
        <w:rPr>
          <w:sz w:val="22"/>
          <w:szCs w:val="22"/>
          <w:lang w:val="hr-HR"/>
        </w:rPr>
        <w:t>lurasidon</w:t>
      </w:r>
      <w:r w:rsidRPr="00913317">
        <w:rPr>
          <w:sz w:val="22"/>
          <w:szCs w:val="22"/>
          <w:lang w:val="hr-HR"/>
        </w:rPr>
        <w:t>om</w:t>
      </w:r>
      <w:r w:rsidR="00310B06" w:rsidRPr="00913317">
        <w:rPr>
          <w:sz w:val="22"/>
          <w:szCs w:val="22"/>
          <w:lang w:val="hr-HR"/>
        </w:rPr>
        <w:t xml:space="preserve"> je kontraindikovana</w:t>
      </w:r>
      <w:r w:rsidRPr="00913317">
        <w:rPr>
          <w:sz w:val="22"/>
          <w:szCs w:val="22"/>
          <w:lang w:val="hr-HR"/>
        </w:rPr>
        <w:t xml:space="preserve">, zato što značajno povećanje izloženosti </w:t>
      </w:r>
      <w:r w:rsidR="005A5FCA" w:rsidRPr="00913317">
        <w:rPr>
          <w:sz w:val="22"/>
          <w:szCs w:val="22"/>
          <w:lang w:val="hr-HR"/>
        </w:rPr>
        <w:t>lurasidon</w:t>
      </w:r>
      <w:r w:rsidRPr="00913317">
        <w:rPr>
          <w:sz w:val="22"/>
          <w:szCs w:val="22"/>
          <w:lang w:val="hr-HR"/>
        </w:rPr>
        <w:t>u</w:t>
      </w:r>
      <w:r w:rsidR="005A5FCA" w:rsidRPr="00913317">
        <w:rPr>
          <w:sz w:val="22"/>
          <w:szCs w:val="22"/>
          <w:lang w:val="hr-HR"/>
        </w:rPr>
        <w:t xml:space="preserve"> </w:t>
      </w:r>
      <w:r w:rsidRPr="00913317">
        <w:rPr>
          <w:sz w:val="22"/>
          <w:szCs w:val="22"/>
          <w:lang w:val="hr-HR"/>
        </w:rPr>
        <w:t>može potencijalno izazvati ozbiljne neželjene reakcije</w:t>
      </w:r>
      <w:r w:rsidR="005A5FCA" w:rsidRPr="00913317">
        <w:rPr>
          <w:sz w:val="22"/>
          <w:szCs w:val="22"/>
          <w:lang w:val="hr-HR"/>
        </w:rPr>
        <w:t xml:space="preserve"> (</w:t>
      </w:r>
      <w:r w:rsidRPr="00913317">
        <w:rPr>
          <w:sz w:val="22"/>
          <w:szCs w:val="22"/>
          <w:lang w:val="hr-HR"/>
        </w:rPr>
        <w:t xml:space="preserve">vidjeti </w:t>
      </w:r>
      <w:r w:rsidR="00954637" w:rsidRPr="00913317">
        <w:rPr>
          <w:sz w:val="22"/>
          <w:szCs w:val="22"/>
          <w:lang w:val="hr-HR"/>
        </w:rPr>
        <w:t xml:space="preserve">dio </w:t>
      </w:r>
      <w:r w:rsidR="005A5FCA" w:rsidRPr="00913317">
        <w:rPr>
          <w:sz w:val="22"/>
          <w:szCs w:val="22"/>
          <w:lang w:val="hr-HR"/>
        </w:rPr>
        <w:t>4.5).</w:t>
      </w:r>
    </w:p>
    <w:p w14:paraId="4EFF4FA1" w14:textId="77777777" w:rsidR="005A5FCA" w:rsidRPr="00913317" w:rsidRDefault="005A5FCA" w:rsidP="00D72925">
      <w:pPr>
        <w:pStyle w:val="Default"/>
        <w:jc w:val="both"/>
        <w:rPr>
          <w:sz w:val="22"/>
          <w:szCs w:val="22"/>
          <w:lang w:val="hr-HR"/>
        </w:rPr>
      </w:pPr>
    </w:p>
    <w:p w14:paraId="10E0F2F7" w14:textId="0706B15E" w:rsidR="006131C3" w:rsidRPr="00913317" w:rsidRDefault="009F780D" w:rsidP="00D72925">
      <w:pPr>
        <w:rPr>
          <w:szCs w:val="22"/>
          <w:lang w:val="hr-HR"/>
        </w:rPr>
      </w:pPr>
      <w:r w:rsidRPr="00913317">
        <w:rPr>
          <w:rFonts w:eastAsia="Calibri"/>
          <w:szCs w:val="22"/>
          <w:lang w:val="hr-HR"/>
        </w:rPr>
        <w:lastRenderedPageBreak/>
        <w:t xml:space="preserve">Istovremena primjena sa </w:t>
      </w:r>
      <w:r w:rsidR="005A5FCA" w:rsidRPr="00913317">
        <w:rPr>
          <w:rFonts w:eastAsia="Calibri"/>
          <w:szCs w:val="22"/>
          <w:lang w:val="hr-HR"/>
        </w:rPr>
        <w:t>veneto</w:t>
      </w:r>
      <w:r w:rsidRPr="00913317">
        <w:rPr>
          <w:rFonts w:eastAsia="Calibri"/>
          <w:szCs w:val="22"/>
          <w:lang w:val="hr-HR"/>
        </w:rPr>
        <w:t>k</w:t>
      </w:r>
      <w:r w:rsidR="005A5FCA" w:rsidRPr="00913317">
        <w:rPr>
          <w:rFonts w:eastAsia="Calibri"/>
          <w:szCs w:val="22"/>
          <w:lang w:val="hr-HR"/>
        </w:rPr>
        <w:t>la</w:t>
      </w:r>
      <w:r w:rsidRPr="00913317">
        <w:rPr>
          <w:rFonts w:eastAsia="Calibri"/>
          <w:szCs w:val="22"/>
          <w:lang w:val="hr-HR"/>
        </w:rPr>
        <w:t>ksom</w:t>
      </w:r>
      <w:r w:rsidR="005A5FCA" w:rsidRPr="00913317">
        <w:rPr>
          <w:rFonts w:eastAsia="Calibri"/>
          <w:szCs w:val="22"/>
          <w:lang w:val="hr-HR"/>
        </w:rPr>
        <w:t xml:space="preserve"> </w:t>
      </w:r>
      <w:r w:rsidRPr="00913317">
        <w:rPr>
          <w:rFonts w:eastAsia="Calibri"/>
          <w:szCs w:val="22"/>
          <w:lang w:val="hr-HR"/>
        </w:rPr>
        <w:t>pri</w:t>
      </w:r>
      <w:r w:rsidR="005A5FCA" w:rsidRPr="00913317">
        <w:rPr>
          <w:rFonts w:eastAsia="Calibri"/>
          <w:szCs w:val="22"/>
          <w:lang w:val="hr-HR"/>
        </w:rPr>
        <w:t xml:space="preserve"> </w:t>
      </w:r>
      <w:r w:rsidRPr="00913317">
        <w:rPr>
          <w:rFonts w:eastAsia="Calibri"/>
          <w:szCs w:val="22"/>
          <w:lang w:val="hr-HR"/>
        </w:rPr>
        <w:t xml:space="preserve">uvođenju liječenja i tokom titracije doze </w:t>
      </w:r>
      <w:r w:rsidR="005A5FCA" w:rsidRPr="00913317">
        <w:rPr>
          <w:rFonts w:eastAsia="Calibri"/>
          <w:szCs w:val="22"/>
          <w:lang w:val="hr-HR"/>
        </w:rPr>
        <w:t>veneto</w:t>
      </w:r>
      <w:r w:rsidRPr="00913317">
        <w:rPr>
          <w:rFonts w:eastAsia="Calibri"/>
          <w:szCs w:val="22"/>
          <w:lang w:val="hr-HR"/>
        </w:rPr>
        <w:t>k</w:t>
      </w:r>
      <w:r w:rsidR="005A5FCA" w:rsidRPr="00913317">
        <w:rPr>
          <w:rFonts w:eastAsia="Calibri"/>
          <w:szCs w:val="22"/>
          <w:lang w:val="hr-HR"/>
        </w:rPr>
        <w:t>la</w:t>
      </w:r>
      <w:r w:rsidRPr="00913317">
        <w:rPr>
          <w:rFonts w:eastAsia="Calibri"/>
          <w:szCs w:val="22"/>
          <w:lang w:val="hr-HR"/>
        </w:rPr>
        <w:t>ksa</w:t>
      </w:r>
      <w:r w:rsidR="00310B06" w:rsidRPr="00913317">
        <w:rPr>
          <w:rFonts w:eastAsia="Calibri"/>
          <w:szCs w:val="22"/>
          <w:lang w:val="hr-HR"/>
        </w:rPr>
        <w:t xml:space="preserve"> je kontraindikovana,</w:t>
      </w:r>
      <w:r w:rsidRPr="00913317">
        <w:rPr>
          <w:rFonts w:eastAsia="Calibri"/>
          <w:szCs w:val="22"/>
          <w:lang w:val="hr-HR"/>
        </w:rPr>
        <w:t xml:space="preserve"> zato što će </w:t>
      </w:r>
      <w:r w:rsidR="005A5FCA" w:rsidRPr="00913317">
        <w:rPr>
          <w:rFonts w:eastAsia="Calibri"/>
          <w:szCs w:val="22"/>
          <w:lang w:val="hr-HR"/>
        </w:rPr>
        <w:t>vori</w:t>
      </w:r>
      <w:r w:rsidRPr="00913317">
        <w:rPr>
          <w:rFonts w:eastAsia="Calibri"/>
          <w:szCs w:val="22"/>
          <w:lang w:val="hr-HR"/>
        </w:rPr>
        <w:t>k</w:t>
      </w:r>
      <w:r w:rsidR="005A5FCA" w:rsidRPr="00913317">
        <w:rPr>
          <w:rFonts w:eastAsia="Calibri"/>
          <w:szCs w:val="22"/>
          <w:lang w:val="hr-HR"/>
        </w:rPr>
        <w:t xml:space="preserve">onazol </w:t>
      </w:r>
      <w:r w:rsidR="003C18A0" w:rsidRPr="00913317">
        <w:rPr>
          <w:rFonts w:eastAsia="Calibri"/>
          <w:szCs w:val="22"/>
          <w:lang w:val="hr-HR"/>
        </w:rPr>
        <w:t>vjerovatno</w:t>
      </w:r>
      <w:r w:rsidRPr="00913317">
        <w:rPr>
          <w:rFonts w:eastAsia="Calibri"/>
          <w:szCs w:val="22"/>
          <w:lang w:val="hr-HR"/>
        </w:rPr>
        <w:t xml:space="preserve"> izazvati značajno povećanje koncentracije </w:t>
      </w:r>
      <w:r w:rsidR="005A5FCA" w:rsidRPr="00913317">
        <w:rPr>
          <w:rFonts w:eastAsia="Calibri"/>
          <w:szCs w:val="22"/>
          <w:lang w:val="hr-HR"/>
        </w:rPr>
        <w:t>veneto</w:t>
      </w:r>
      <w:r w:rsidRPr="00913317">
        <w:rPr>
          <w:rFonts w:eastAsia="Calibri"/>
          <w:szCs w:val="22"/>
          <w:lang w:val="hr-HR"/>
        </w:rPr>
        <w:t>k</w:t>
      </w:r>
      <w:r w:rsidR="005A5FCA" w:rsidRPr="00913317">
        <w:rPr>
          <w:rFonts w:eastAsia="Calibri"/>
          <w:szCs w:val="22"/>
          <w:lang w:val="hr-HR"/>
        </w:rPr>
        <w:t>la</w:t>
      </w:r>
      <w:r w:rsidRPr="00913317">
        <w:rPr>
          <w:rFonts w:eastAsia="Calibri"/>
          <w:szCs w:val="22"/>
          <w:lang w:val="hr-HR"/>
        </w:rPr>
        <w:t>ksa u plazmi i povećati rizik od sindroma tumorske lize</w:t>
      </w:r>
      <w:r w:rsidR="005A5FCA" w:rsidRPr="00913317">
        <w:rPr>
          <w:rFonts w:eastAsia="Calibri"/>
          <w:szCs w:val="22"/>
          <w:lang w:val="hr-HR"/>
        </w:rPr>
        <w:t xml:space="preserve"> (</w:t>
      </w:r>
      <w:r w:rsidRPr="00913317">
        <w:rPr>
          <w:rFonts w:eastAsia="Calibri"/>
          <w:szCs w:val="22"/>
          <w:lang w:val="hr-HR"/>
        </w:rPr>
        <w:t xml:space="preserve">vidjeti </w:t>
      </w:r>
      <w:r w:rsidR="00954637" w:rsidRPr="00913317">
        <w:rPr>
          <w:rFonts w:eastAsia="Calibri"/>
          <w:szCs w:val="22"/>
          <w:lang w:val="hr-HR"/>
        </w:rPr>
        <w:t xml:space="preserve">dio </w:t>
      </w:r>
      <w:r w:rsidR="005A5FCA" w:rsidRPr="00913317">
        <w:rPr>
          <w:rFonts w:eastAsia="Calibri"/>
          <w:szCs w:val="22"/>
          <w:lang w:val="hr-HR"/>
        </w:rPr>
        <w:t>4.5).</w:t>
      </w:r>
    </w:p>
    <w:p w14:paraId="3C9CF956" w14:textId="77777777" w:rsidR="00E87ACC" w:rsidRPr="00913317" w:rsidRDefault="00E87ACC" w:rsidP="00D72925">
      <w:pPr>
        <w:rPr>
          <w:color w:val="FF0000"/>
          <w:szCs w:val="22"/>
          <w:lang w:val="hr-HR"/>
        </w:rPr>
      </w:pPr>
    </w:p>
    <w:p w14:paraId="20D5A52E" w14:textId="5A265D56" w:rsidR="006131C3" w:rsidRPr="00913317" w:rsidRDefault="00CE09F3" w:rsidP="00D72925">
      <w:pPr>
        <w:rPr>
          <w:b/>
          <w:bCs/>
          <w:szCs w:val="22"/>
          <w:lang w:val="hr-HR"/>
        </w:rPr>
      </w:pPr>
      <w:r w:rsidRPr="00913317">
        <w:rPr>
          <w:b/>
          <w:bCs/>
          <w:szCs w:val="22"/>
          <w:lang w:val="hr-HR"/>
        </w:rPr>
        <w:t>4.4</w:t>
      </w:r>
      <w:r w:rsidR="009F780D" w:rsidRPr="00913317">
        <w:rPr>
          <w:b/>
          <w:bCs/>
          <w:szCs w:val="22"/>
          <w:lang w:val="hr-HR"/>
        </w:rPr>
        <w:t>.</w:t>
      </w:r>
      <w:r w:rsidR="009F780D" w:rsidRPr="00913317">
        <w:rPr>
          <w:b/>
          <w:bCs/>
          <w:szCs w:val="22"/>
          <w:lang w:val="hr-HR"/>
        </w:rPr>
        <w:tab/>
      </w:r>
      <w:r w:rsidRPr="00913317">
        <w:rPr>
          <w:b/>
          <w:bCs/>
          <w:szCs w:val="22"/>
          <w:lang w:val="hr-HR"/>
        </w:rPr>
        <w:t>Posebna upozorenja i m</w:t>
      </w:r>
      <w:r w:rsidR="00096DB7" w:rsidRPr="00913317">
        <w:rPr>
          <w:b/>
          <w:bCs/>
          <w:szCs w:val="22"/>
          <w:lang w:val="hr-HR"/>
        </w:rPr>
        <w:t>j</w:t>
      </w:r>
      <w:r w:rsidRPr="00913317">
        <w:rPr>
          <w:b/>
          <w:bCs/>
          <w:szCs w:val="22"/>
          <w:lang w:val="hr-HR"/>
        </w:rPr>
        <w:t>ere opreza pri upotrebi l</w:t>
      </w:r>
      <w:r w:rsidR="00096DB7" w:rsidRPr="00913317">
        <w:rPr>
          <w:b/>
          <w:bCs/>
          <w:szCs w:val="22"/>
          <w:lang w:val="hr-HR"/>
        </w:rPr>
        <w:t>ij</w:t>
      </w:r>
      <w:r w:rsidRPr="00913317">
        <w:rPr>
          <w:b/>
          <w:bCs/>
          <w:szCs w:val="22"/>
          <w:lang w:val="hr-HR"/>
        </w:rPr>
        <w:t>eka</w:t>
      </w:r>
    </w:p>
    <w:p w14:paraId="3F2E9912" w14:textId="77777777" w:rsidR="006131C3" w:rsidRPr="00913317" w:rsidRDefault="006131C3" w:rsidP="00D72925">
      <w:pPr>
        <w:rPr>
          <w:color w:val="FF0000"/>
          <w:szCs w:val="22"/>
          <w:lang w:val="hr-HR"/>
        </w:rPr>
      </w:pPr>
    </w:p>
    <w:p w14:paraId="79B32CB0" w14:textId="36176C79" w:rsidR="006131C3" w:rsidRPr="00913317" w:rsidRDefault="003204CC" w:rsidP="00D72925">
      <w:pPr>
        <w:rPr>
          <w:szCs w:val="22"/>
          <w:lang w:val="hr-HR"/>
        </w:rPr>
      </w:pPr>
      <w:r w:rsidRPr="00913317">
        <w:rPr>
          <w:szCs w:val="22"/>
          <w:u w:val="single"/>
          <w:lang w:val="hr-HR"/>
        </w:rPr>
        <w:t>Preosjetlj</w:t>
      </w:r>
      <w:r w:rsidR="005A7815" w:rsidRPr="00913317">
        <w:rPr>
          <w:szCs w:val="22"/>
          <w:u w:val="single"/>
          <w:lang w:val="hr-HR"/>
        </w:rPr>
        <w:t>ivost</w:t>
      </w:r>
    </w:p>
    <w:p w14:paraId="69C66461" w14:textId="26CF1F05" w:rsidR="006131C3" w:rsidRPr="00913317" w:rsidRDefault="007C2134" w:rsidP="00D72925">
      <w:pPr>
        <w:rPr>
          <w:spacing w:val="-2"/>
          <w:szCs w:val="22"/>
          <w:lang w:val="hr-HR"/>
        </w:rPr>
      </w:pPr>
      <w:r w:rsidRPr="00913317">
        <w:rPr>
          <w:szCs w:val="22"/>
          <w:lang w:val="hr-HR"/>
        </w:rPr>
        <w:t>Potreban je oprez</w:t>
      </w:r>
      <w:r w:rsidRPr="00913317" w:rsidDel="007C2134">
        <w:rPr>
          <w:spacing w:val="-2"/>
          <w:szCs w:val="22"/>
          <w:lang w:val="hr-HR"/>
        </w:rPr>
        <w:t xml:space="preserve"> </w:t>
      </w:r>
      <w:r w:rsidR="005A7815" w:rsidRPr="00913317">
        <w:rPr>
          <w:spacing w:val="-2"/>
          <w:szCs w:val="22"/>
          <w:lang w:val="hr-HR"/>
        </w:rPr>
        <w:t xml:space="preserve">kada se </w:t>
      </w:r>
      <w:r w:rsidR="004D45E7" w:rsidRPr="00913317">
        <w:rPr>
          <w:spacing w:val="-2"/>
          <w:szCs w:val="22"/>
          <w:lang w:val="hr-HR"/>
        </w:rPr>
        <w:t>lijek</w:t>
      </w:r>
      <w:r w:rsidR="005A7815" w:rsidRPr="00913317">
        <w:rPr>
          <w:spacing w:val="-2"/>
          <w:szCs w:val="22"/>
          <w:lang w:val="hr-HR"/>
        </w:rPr>
        <w:t xml:space="preserve"> </w:t>
      </w:r>
      <w:r w:rsidR="005A7815" w:rsidRPr="00913317">
        <w:rPr>
          <w:szCs w:val="22"/>
          <w:lang w:val="hr-HR"/>
        </w:rPr>
        <w:t>Vfend</w:t>
      </w:r>
      <w:r w:rsidR="005A7815" w:rsidRPr="00913317">
        <w:rPr>
          <w:spacing w:val="-2"/>
          <w:szCs w:val="22"/>
          <w:lang w:val="hr-HR"/>
        </w:rPr>
        <w:t xml:space="preserve"> propiše pacijentima koji su </w:t>
      </w:r>
      <w:r w:rsidR="003204CC" w:rsidRPr="00913317">
        <w:rPr>
          <w:spacing w:val="-2"/>
          <w:szCs w:val="22"/>
          <w:lang w:val="hr-HR"/>
        </w:rPr>
        <w:t>preosjetlj</w:t>
      </w:r>
      <w:r w:rsidR="005A7815" w:rsidRPr="00913317">
        <w:rPr>
          <w:spacing w:val="-2"/>
          <w:szCs w:val="22"/>
          <w:lang w:val="hr-HR"/>
        </w:rPr>
        <w:t>ivi na druge azole (</w:t>
      </w:r>
      <w:r w:rsidR="004D45E7" w:rsidRPr="00913317">
        <w:rPr>
          <w:spacing w:val="-2"/>
          <w:szCs w:val="22"/>
          <w:lang w:val="hr-HR"/>
        </w:rPr>
        <w:t xml:space="preserve">vidjeti </w:t>
      </w:r>
      <w:r w:rsidR="00954637" w:rsidRPr="00913317">
        <w:rPr>
          <w:spacing w:val="-2"/>
          <w:szCs w:val="22"/>
          <w:lang w:val="hr-HR"/>
        </w:rPr>
        <w:t xml:space="preserve">dio </w:t>
      </w:r>
      <w:r w:rsidR="005A7815" w:rsidRPr="00913317">
        <w:rPr>
          <w:spacing w:val="-2"/>
          <w:szCs w:val="22"/>
          <w:lang w:val="hr-HR"/>
        </w:rPr>
        <w:t xml:space="preserve">4.8). </w:t>
      </w:r>
    </w:p>
    <w:p w14:paraId="7B05D499" w14:textId="77777777" w:rsidR="005A7815" w:rsidRPr="00913317" w:rsidRDefault="005A7815" w:rsidP="00D72925">
      <w:pPr>
        <w:pStyle w:val="Default"/>
        <w:jc w:val="both"/>
        <w:rPr>
          <w:color w:val="auto"/>
          <w:sz w:val="22"/>
          <w:szCs w:val="22"/>
          <w:u w:val="single"/>
          <w:lang w:val="hr-HR"/>
        </w:rPr>
      </w:pPr>
    </w:p>
    <w:p w14:paraId="29B9D8FC" w14:textId="77777777" w:rsidR="005A7815" w:rsidRPr="00913317" w:rsidRDefault="005A7815" w:rsidP="00D72925">
      <w:pPr>
        <w:pStyle w:val="Default"/>
        <w:jc w:val="both"/>
        <w:rPr>
          <w:color w:val="auto"/>
          <w:sz w:val="22"/>
          <w:szCs w:val="22"/>
          <w:u w:val="single"/>
          <w:lang w:val="hr-HR"/>
        </w:rPr>
      </w:pPr>
      <w:r w:rsidRPr="00913317">
        <w:rPr>
          <w:color w:val="auto"/>
          <w:sz w:val="22"/>
          <w:szCs w:val="22"/>
          <w:u w:val="single"/>
          <w:lang w:val="hr-HR"/>
        </w:rPr>
        <w:t>Dužina terapije</w:t>
      </w:r>
    </w:p>
    <w:p w14:paraId="59C6087F" w14:textId="72E5BB4F" w:rsidR="006131C3" w:rsidRPr="00913317" w:rsidRDefault="005A7815" w:rsidP="00D72925">
      <w:pPr>
        <w:pStyle w:val="Default"/>
        <w:jc w:val="both"/>
        <w:rPr>
          <w:color w:val="auto"/>
          <w:sz w:val="22"/>
          <w:szCs w:val="22"/>
          <w:lang w:val="hr-HR"/>
        </w:rPr>
      </w:pPr>
      <w:r w:rsidRPr="00913317">
        <w:rPr>
          <w:color w:val="auto"/>
          <w:sz w:val="22"/>
          <w:szCs w:val="22"/>
          <w:lang w:val="hr-HR"/>
        </w:rPr>
        <w:t>Terapija sa intravenskom formulacijom ne treba da traje duže od 6 m</w:t>
      </w:r>
      <w:r w:rsidR="001C57FF" w:rsidRPr="00913317">
        <w:rPr>
          <w:color w:val="auto"/>
          <w:sz w:val="22"/>
          <w:szCs w:val="22"/>
          <w:lang w:val="hr-HR"/>
        </w:rPr>
        <w:t>j</w:t>
      </w:r>
      <w:r w:rsidRPr="00913317">
        <w:rPr>
          <w:color w:val="auto"/>
          <w:sz w:val="22"/>
          <w:szCs w:val="22"/>
          <w:lang w:val="hr-HR"/>
        </w:rPr>
        <w:t>eseci (</w:t>
      </w:r>
      <w:r w:rsidR="004D45E7" w:rsidRPr="00913317">
        <w:rPr>
          <w:color w:val="auto"/>
          <w:sz w:val="22"/>
          <w:szCs w:val="22"/>
          <w:lang w:val="hr-HR"/>
        </w:rPr>
        <w:t xml:space="preserve">vidjeti </w:t>
      </w:r>
      <w:r w:rsidR="00954637" w:rsidRPr="00913317">
        <w:rPr>
          <w:color w:val="auto"/>
          <w:sz w:val="22"/>
          <w:szCs w:val="22"/>
          <w:lang w:val="hr-HR"/>
        </w:rPr>
        <w:t>dio</w:t>
      </w:r>
      <w:r w:rsidRPr="00913317">
        <w:rPr>
          <w:color w:val="auto"/>
          <w:sz w:val="22"/>
          <w:szCs w:val="22"/>
          <w:lang w:val="hr-HR"/>
        </w:rPr>
        <w:t xml:space="preserve"> 5.3).</w:t>
      </w:r>
    </w:p>
    <w:p w14:paraId="1D40DEE2" w14:textId="77777777" w:rsidR="006131C3" w:rsidRPr="00913317" w:rsidRDefault="006131C3" w:rsidP="00D72925">
      <w:pPr>
        <w:rPr>
          <w:color w:val="FF0000"/>
          <w:szCs w:val="22"/>
          <w:u w:val="single"/>
          <w:lang w:val="hr-HR"/>
        </w:rPr>
      </w:pPr>
    </w:p>
    <w:p w14:paraId="5CB34969" w14:textId="77777777" w:rsidR="006131C3" w:rsidRPr="00913317" w:rsidRDefault="005A7815" w:rsidP="00D72925">
      <w:pPr>
        <w:rPr>
          <w:szCs w:val="22"/>
          <w:lang w:val="hr-HR"/>
        </w:rPr>
      </w:pPr>
      <w:r w:rsidRPr="00913317">
        <w:rPr>
          <w:szCs w:val="22"/>
          <w:u w:val="single"/>
          <w:lang w:val="hr-HR"/>
        </w:rPr>
        <w:t>Kardiovaskularne reakcije</w:t>
      </w:r>
    </w:p>
    <w:p w14:paraId="65141BA8" w14:textId="46426166" w:rsidR="006131C3" w:rsidRPr="00913317" w:rsidRDefault="004D45E7" w:rsidP="00D72925">
      <w:pPr>
        <w:rPr>
          <w:szCs w:val="22"/>
          <w:lang w:val="hr-HR"/>
        </w:rPr>
      </w:pPr>
      <w:r w:rsidRPr="00913317">
        <w:rPr>
          <w:szCs w:val="22"/>
          <w:lang w:val="hr-HR"/>
        </w:rPr>
        <w:t>Primjen</w:t>
      </w:r>
      <w:r w:rsidR="005A7815" w:rsidRPr="00913317">
        <w:rPr>
          <w:szCs w:val="22"/>
          <w:lang w:val="hr-HR"/>
        </w:rPr>
        <w:t>a vorikonazola je povezana sa produženjem QTc intervala. R</w:t>
      </w:r>
      <w:r w:rsidR="00F40A45" w:rsidRPr="00913317">
        <w:rPr>
          <w:szCs w:val="22"/>
          <w:lang w:val="hr-HR"/>
        </w:rPr>
        <w:t>ij</w:t>
      </w:r>
      <w:r w:rsidR="005A7815" w:rsidRPr="00913317">
        <w:rPr>
          <w:szCs w:val="22"/>
          <w:lang w:val="hr-HR"/>
        </w:rPr>
        <w:t xml:space="preserve">etko se javlja i </w:t>
      </w:r>
      <w:r w:rsidR="005A7815" w:rsidRPr="00913317">
        <w:rPr>
          <w:i/>
          <w:szCs w:val="22"/>
          <w:lang w:val="hr-HR"/>
        </w:rPr>
        <w:t>torsades de pointes</w:t>
      </w:r>
      <w:r w:rsidR="005A7815" w:rsidRPr="00913317">
        <w:rPr>
          <w:szCs w:val="22"/>
          <w:lang w:val="hr-HR"/>
        </w:rPr>
        <w:t xml:space="preserve"> aritmija kod pacijenata koji uzimaju vorikonazol, a imaju faktore rizika, kao što su prethodna kardiotoksična hemoterapija, kardiomiopatija, hipokaliemija i istovremena </w:t>
      </w:r>
      <w:r w:rsidRPr="00913317">
        <w:rPr>
          <w:szCs w:val="22"/>
          <w:lang w:val="hr-HR"/>
        </w:rPr>
        <w:t>primjen</w:t>
      </w:r>
      <w:r w:rsidR="005A7815" w:rsidRPr="00913317">
        <w:rPr>
          <w:szCs w:val="22"/>
          <w:lang w:val="hr-HR"/>
        </w:rPr>
        <w:t xml:space="preserve">a </w:t>
      </w:r>
      <w:r w:rsidRPr="00913317">
        <w:rPr>
          <w:szCs w:val="22"/>
          <w:lang w:val="hr-HR"/>
        </w:rPr>
        <w:t>ljekov</w:t>
      </w:r>
      <w:r w:rsidR="005A7815" w:rsidRPr="00913317">
        <w:rPr>
          <w:szCs w:val="22"/>
          <w:lang w:val="hr-HR"/>
        </w:rPr>
        <w:t>a koji mogu doprin</w:t>
      </w:r>
      <w:r w:rsidR="00F40A45" w:rsidRPr="00913317">
        <w:rPr>
          <w:szCs w:val="22"/>
          <w:lang w:val="hr-HR"/>
        </w:rPr>
        <w:t>ij</w:t>
      </w:r>
      <w:r w:rsidR="005A7815" w:rsidRPr="00913317">
        <w:rPr>
          <w:szCs w:val="22"/>
          <w:lang w:val="hr-HR"/>
        </w:rPr>
        <w:t xml:space="preserve">eti pojavi ovog poremećaja. Vorikonazol se mora </w:t>
      </w:r>
      <w:r w:rsidRPr="00913317">
        <w:rPr>
          <w:szCs w:val="22"/>
          <w:lang w:val="hr-HR"/>
        </w:rPr>
        <w:t>primijen</w:t>
      </w:r>
      <w:r w:rsidR="005A7815" w:rsidRPr="00913317">
        <w:rPr>
          <w:szCs w:val="22"/>
          <w:lang w:val="hr-HR"/>
        </w:rPr>
        <w:t>iti sa oprezom kod pacijenata koji imaju potencijalna proaritmijska stanja, kao što su:</w:t>
      </w:r>
    </w:p>
    <w:p w14:paraId="4F75E60E" w14:textId="77777777" w:rsidR="005A7815" w:rsidRPr="00913317" w:rsidRDefault="005A7815" w:rsidP="00D72925">
      <w:pPr>
        <w:numPr>
          <w:ilvl w:val="0"/>
          <w:numId w:val="4"/>
        </w:numPr>
        <w:tabs>
          <w:tab w:val="clear" w:pos="284"/>
        </w:tabs>
        <w:rPr>
          <w:szCs w:val="22"/>
          <w:lang w:val="hr-HR"/>
        </w:rPr>
      </w:pPr>
      <w:r w:rsidRPr="00913317">
        <w:rPr>
          <w:szCs w:val="22"/>
          <w:lang w:val="hr-HR"/>
        </w:rPr>
        <w:t>Kongenitalni ili stečeni produženi QTc interval</w:t>
      </w:r>
    </w:p>
    <w:p w14:paraId="790781BF" w14:textId="77777777" w:rsidR="005A7815" w:rsidRPr="00913317" w:rsidRDefault="005A7815" w:rsidP="00D72925">
      <w:pPr>
        <w:numPr>
          <w:ilvl w:val="0"/>
          <w:numId w:val="4"/>
        </w:numPr>
        <w:tabs>
          <w:tab w:val="clear" w:pos="284"/>
        </w:tabs>
        <w:rPr>
          <w:szCs w:val="22"/>
          <w:lang w:val="hr-HR"/>
        </w:rPr>
      </w:pPr>
      <w:r w:rsidRPr="00913317">
        <w:rPr>
          <w:szCs w:val="22"/>
          <w:lang w:val="hr-HR"/>
        </w:rPr>
        <w:t>Kardiomiopatija, a posebno ako je prisutna srčana insuficijencija</w:t>
      </w:r>
    </w:p>
    <w:p w14:paraId="30097459" w14:textId="77777777" w:rsidR="005A7815" w:rsidRPr="00913317" w:rsidRDefault="005A7815" w:rsidP="00D72925">
      <w:pPr>
        <w:numPr>
          <w:ilvl w:val="0"/>
          <w:numId w:val="4"/>
        </w:numPr>
        <w:tabs>
          <w:tab w:val="clear" w:pos="284"/>
        </w:tabs>
        <w:ind w:left="357" w:hanging="357"/>
        <w:rPr>
          <w:szCs w:val="22"/>
          <w:lang w:val="hr-HR"/>
        </w:rPr>
      </w:pPr>
      <w:r w:rsidRPr="00913317">
        <w:rPr>
          <w:szCs w:val="22"/>
          <w:lang w:val="hr-HR"/>
        </w:rPr>
        <w:t>Sinusna bradikardija</w:t>
      </w:r>
    </w:p>
    <w:p w14:paraId="75C14CD3" w14:textId="77777777" w:rsidR="006131C3" w:rsidRPr="00913317" w:rsidRDefault="005A7815" w:rsidP="00D72925">
      <w:pPr>
        <w:numPr>
          <w:ilvl w:val="0"/>
          <w:numId w:val="4"/>
        </w:numPr>
        <w:tabs>
          <w:tab w:val="clear" w:pos="284"/>
        </w:tabs>
        <w:rPr>
          <w:szCs w:val="22"/>
          <w:lang w:val="hr-HR"/>
        </w:rPr>
      </w:pPr>
      <w:r w:rsidRPr="00913317">
        <w:rPr>
          <w:szCs w:val="22"/>
          <w:lang w:val="hr-HR"/>
        </w:rPr>
        <w:t>Postojeća simptomatska aritmija</w:t>
      </w:r>
    </w:p>
    <w:p w14:paraId="13AD3A55" w14:textId="7928C382" w:rsidR="006131C3" w:rsidRPr="00913317" w:rsidRDefault="005A7815" w:rsidP="00D72925">
      <w:pPr>
        <w:numPr>
          <w:ilvl w:val="0"/>
          <w:numId w:val="4"/>
        </w:numPr>
        <w:tabs>
          <w:tab w:val="clear" w:pos="284"/>
        </w:tabs>
        <w:ind w:left="357" w:hanging="357"/>
        <w:rPr>
          <w:szCs w:val="22"/>
          <w:lang w:val="hr-HR"/>
        </w:rPr>
      </w:pPr>
      <w:r w:rsidRPr="00913317">
        <w:rPr>
          <w:szCs w:val="22"/>
          <w:lang w:val="hr-HR"/>
        </w:rPr>
        <w:t xml:space="preserve">Istovremena </w:t>
      </w:r>
      <w:r w:rsidR="004D45E7" w:rsidRPr="00913317">
        <w:rPr>
          <w:szCs w:val="22"/>
          <w:lang w:val="hr-HR"/>
        </w:rPr>
        <w:t>primjen</w:t>
      </w:r>
      <w:r w:rsidRPr="00913317">
        <w:rPr>
          <w:szCs w:val="22"/>
          <w:lang w:val="hr-HR"/>
        </w:rPr>
        <w:t xml:space="preserve">a </w:t>
      </w:r>
      <w:r w:rsidR="004D45E7" w:rsidRPr="00913317">
        <w:rPr>
          <w:szCs w:val="22"/>
          <w:lang w:val="hr-HR"/>
        </w:rPr>
        <w:t>ljekov</w:t>
      </w:r>
      <w:r w:rsidRPr="00913317">
        <w:rPr>
          <w:szCs w:val="22"/>
          <w:lang w:val="hr-HR"/>
        </w:rPr>
        <w:t>a koji produžavaju QTc interval. E</w:t>
      </w:r>
      <w:r w:rsidR="00B85A29" w:rsidRPr="00913317">
        <w:rPr>
          <w:szCs w:val="22"/>
          <w:lang w:val="hr-HR"/>
        </w:rPr>
        <w:t>l</w:t>
      </w:r>
      <w:r w:rsidR="004D45E7" w:rsidRPr="00913317">
        <w:rPr>
          <w:szCs w:val="22"/>
          <w:lang w:val="hr-HR"/>
        </w:rPr>
        <w:t>ek</w:t>
      </w:r>
      <w:r w:rsidRPr="00913317">
        <w:rPr>
          <w:szCs w:val="22"/>
          <w:lang w:val="hr-HR"/>
        </w:rPr>
        <w:t>trolitne poremećaje, kao što su hipokaliemija, hipomagneziemija i hipokalciemija treba pratiti i korigovati ako je to potrebno, pr</w:t>
      </w:r>
      <w:r w:rsidR="00B85A29" w:rsidRPr="00913317">
        <w:rPr>
          <w:szCs w:val="22"/>
          <w:lang w:val="hr-HR"/>
        </w:rPr>
        <w:t>ij</w:t>
      </w:r>
      <w:r w:rsidRPr="00913317">
        <w:rPr>
          <w:szCs w:val="22"/>
          <w:lang w:val="hr-HR"/>
        </w:rPr>
        <w:t>e početka i za vr</w:t>
      </w:r>
      <w:r w:rsidR="00B85A29" w:rsidRPr="00913317">
        <w:rPr>
          <w:szCs w:val="22"/>
          <w:lang w:val="hr-HR"/>
        </w:rPr>
        <w:t>ij</w:t>
      </w:r>
      <w:r w:rsidRPr="00913317">
        <w:rPr>
          <w:szCs w:val="22"/>
          <w:lang w:val="hr-HR"/>
        </w:rPr>
        <w:t>eme terapije vorikonazolom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4.2). U studiji na zdravim </w:t>
      </w:r>
      <w:r w:rsidR="00055BCB" w:rsidRPr="00913317">
        <w:rPr>
          <w:szCs w:val="22"/>
          <w:lang w:val="hr-HR"/>
        </w:rPr>
        <w:t>dobrovoljcima</w:t>
      </w:r>
      <w:r w:rsidRPr="00913317">
        <w:rPr>
          <w:szCs w:val="22"/>
          <w:lang w:val="hr-HR"/>
        </w:rPr>
        <w:t xml:space="preserve"> koji su dobili jednu dozu vorikonazola koja je bila do čet</w:t>
      </w:r>
      <w:r w:rsidR="00BC4E8B" w:rsidRPr="00913317">
        <w:rPr>
          <w:szCs w:val="22"/>
          <w:lang w:val="hr-HR"/>
        </w:rPr>
        <w:t>i</w:t>
      </w:r>
      <w:r w:rsidRPr="00913317">
        <w:rPr>
          <w:szCs w:val="22"/>
          <w:lang w:val="hr-HR"/>
        </w:rPr>
        <w:t xml:space="preserve">ri puta veća od uobičajene dnevne doze, praćen je efekat na QTc interval. Nijedan ispitanik nije imao QTc interval duži od klinički relevantne granične </w:t>
      </w:r>
      <w:r w:rsidR="004D45E7" w:rsidRPr="00913317">
        <w:rPr>
          <w:szCs w:val="22"/>
          <w:lang w:val="hr-HR"/>
        </w:rPr>
        <w:t>vrijedno</w:t>
      </w:r>
      <w:r w:rsidRPr="00913317">
        <w:rPr>
          <w:szCs w:val="22"/>
          <w:lang w:val="hr-HR"/>
        </w:rPr>
        <w:t xml:space="preserve">sti od 500 </w:t>
      </w:r>
      <w:r w:rsidR="00564485" w:rsidRPr="00913317">
        <w:rPr>
          <w:szCs w:val="22"/>
          <w:lang w:val="hr-HR"/>
        </w:rPr>
        <w:t>milisekundi</w:t>
      </w:r>
      <w:r w:rsidRPr="00913317">
        <w:rPr>
          <w:szCs w:val="22"/>
          <w:lang w:val="hr-HR"/>
        </w:rPr>
        <w:t xml:space="preserve">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5.1). </w:t>
      </w:r>
    </w:p>
    <w:p w14:paraId="77A39622" w14:textId="77777777" w:rsidR="006131C3" w:rsidRPr="00913317" w:rsidRDefault="006131C3" w:rsidP="00D72925">
      <w:pPr>
        <w:rPr>
          <w:szCs w:val="22"/>
          <w:u w:val="single"/>
          <w:lang w:val="hr-HR"/>
        </w:rPr>
      </w:pPr>
    </w:p>
    <w:p w14:paraId="59C38C96" w14:textId="7F3D035E" w:rsidR="006131C3" w:rsidRPr="00913317" w:rsidRDefault="005A7815" w:rsidP="00D72925">
      <w:pPr>
        <w:rPr>
          <w:szCs w:val="22"/>
          <w:u w:val="single"/>
          <w:lang w:val="hr-HR"/>
        </w:rPr>
      </w:pPr>
      <w:r w:rsidRPr="00913317">
        <w:rPr>
          <w:szCs w:val="22"/>
          <w:u w:val="single"/>
          <w:lang w:val="hr-HR"/>
        </w:rPr>
        <w:t xml:space="preserve">Reakcije povezane sa </w:t>
      </w:r>
      <w:r w:rsidR="004D45E7" w:rsidRPr="00913317">
        <w:rPr>
          <w:szCs w:val="22"/>
          <w:u w:val="single"/>
          <w:lang w:val="hr-HR"/>
        </w:rPr>
        <w:t>primjen</w:t>
      </w:r>
      <w:r w:rsidRPr="00913317">
        <w:rPr>
          <w:szCs w:val="22"/>
          <w:u w:val="single"/>
          <w:lang w:val="hr-HR"/>
        </w:rPr>
        <w:t>om infuzije</w:t>
      </w:r>
    </w:p>
    <w:p w14:paraId="3DF54875" w14:textId="02ABD3BE" w:rsidR="006131C3" w:rsidRPr="00913317" w:rsidRDefault="005A7815" w:rsidP="00D72925">
      <w:pPr>
        <w:rPr>
          <w:szCs w:val="22"/>
          <w:lang w:val="hr-HR"/>
        </w:rPr>
      </w:pPr>
      <w:r w:rsidRPr="00913317">
        <w:rPr>
          <w:szCs w:val="22"/>
          <w:lang w:val="hr-HR"/>
        </w:rPr>
        <w:t xml:space="preserve">Reakcije povezane sa </w:t>
      </w:r>
      <w:r w:rsidR="004D45E7" w:rsidRPr="00913317">
        <w:rPr>
          <w:szCs w:val="22"/>
          <w:lang w:val="hr-HR"/>
        </w:rPr>
        <w:t>primjen</w:t>
      </w:r>
      <w:r w:rsidRPr="00913317">
        <w:rPr>
          <w:szCs w:val="22"/>
          <w:lang w:val="hr-HR"/>
        </w:rPr>
        <w:t xml:space="preserve">om infuzije, uglavnom </w:t>
      </w:r>
      <w:r w:rsidR="00564485" w:rsidRPr="00913317">
        <w:rPr>
          <w:szCs w:val="22"/>
          <w:lang w:val="hr-HR"/>
        </w:rPr>
        <w:t xml:space="preserve">naleti </w:t>
      </w:r>
      <w:r w:rsidRPr="00913317">
        <w:rPr>
          <w:szCs w:val="22"/>
          <w:lang w:val="hr-HR"/>
        </w:rPr>
        <w:t>crvenil</w:t>
      </w:r>
      <w:r w:rsidR="00564485" w:rsidRPr="00913317">
        <w:rPr>
          <w:szCs w:val="22"/>
          <w:lang w:val="hr-HR"/>
        </w:rPr>
        <w:t>a</w:t>
      </w:r>
      <w:r w:rsidRPr="00913317">
        <w:rPr>
          <w:szCs w:val="22"/>
          <w:lang w:val="hr-HR"/>
        </w:rPr>
        <w:t xml:space="preserve"> i mučnina, su opisane za vr</w:t>
      </w:r>
      <w:r w:rsidR="002A2C6D" w:rsidRPr="00913317">
        <w:rPr>
          <w:szCs w:val="22"/>
          <w:lang w:val="hr-HR"/>
        </w:rPr>
        <w:t>ij</w:t>
      </w:r>
      <w:r w:rsidRPr="00913317">
        <w:rPr>
          <w:szCs w:val="22"/>
          <w:lang w:val="hr-HR"/>
        </w:rPr>
        <w:t xml:space="preserve">eme </w:t>
      </w:r>
      <w:r w:rsidR="004D45E7" w:rsidRPr="00913317">
        <w:rPr>
          <w:szCs w:val="22"/>
          <w:lang w:val="hr-HR"/>
        </w:rPr>
        <w:t>primjen</w:t>
      </w:r>
      <w:r w:rsidRPr="00913317">
        <w:rPr>
          <w:szCs w:val="22"/>
          <w:lang w:val="hr-HR"/>
        </w:rPr>
        <w:t>e intravenske formulacije vorikonazola. Zavisno od težine simptoma, treba razmotriti prekid terapije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4.8). </w:t>
      </w:r>
    </w:p>
    <w:p w14:paraId="05E994E9" w14:textId="77777777" w:rsidR="006131C3" w:rsidRPr="00913317" w:rsidRDefault="006131C3" w:rsidP="00D72925">
      <w:pPr>
        <w:ind w:left="360" w:hanging="360"/>
        <w:rPr>
          <w:szCs w:val="22"/>
          <w:u w:val="single"/>
          <w:lang w:val="hr-HR"/>
        </w:rPr>
      </w:pPr>
    </w:p>
    <w:p w14:paraId="6D027167" w14:textId="77777777" w:rsidR="006131C3" w:rsidRPr="00913317" w:rsidRDefault="005A7815" w:rsidP="00D72925">
      <w:pPr>
        <w:ind w:left="360" w:hanging="360"/>
        <w:rPr>
          <w:szCs w:val="22"/>
          <w:u w:val="single"/>
          <w:lang w:val="hr-HR"/>
        </w:rPr>
      </w:pPr>
      <w:r w:rsidRPr="00913317">
        <w:rPr>
          <w:szCs w:val="22"/>
          <w:u w:val="single"/>
          <w:lang w:val="hr-HR"/>
        </w:rPr>
        <w:t>Hepatotoksičnost</w:t>
      </w:r>
    </w:p>
    <w:p w14:paraId="11C5768E" w14:textId="2BE14099" w:rsidR="006131C3" w:rsidRPr="00913317" w:rsidRDefault="005A7815" w:rsidP="00D72925">
      <w:pPr>
        <w:rPr>
          <w:szCs w:val="22"/>
          <w:lang w:val="hr-HR"/>
        </w:rPr>
      </w:pPr>
      <w:r w:rsidRPr="00913317">
        <w:rPr>
          <w:szCs w:val="22"/>
          <w:lang w:val="hr-HR"/>
        </w:rPr>
        <w:t xml:space="preserve">U kliničkim studijama, opisani su slučajevi </w:t>
      </w:r>
      <w:r w:rsidR="00B05DEB" w:rsidRPr="00913317">
        <w:rPr>
          <w:szCs w:val="22"/>
          <w:lang w:val="hr-HR"/>
        </w:rPr>
        <w:t xml:space="preserve">ozbiljnih </w:t>
      </w:r>
      <w:r w:rsidRPr="00913317">
        <w:rPr>
          <w:szCs w:val="22"/>
          <w:lang w:val="hr-HR"/>
        </w:rPr>
        <w:t>hepatičnih reakcija za vr</w:t>
      </w:r>
      <w:r w:rsidR="00496DAD" w:rsidRPr="00913317">
        <w:rPr>
          <w:szCs w:val="22"/>
          <w:lang w:val="hr-HR"/>
        </w:rPr>
        <w:t>ij</w:t>
      </w:r>
      <w:r w:rsidRPr="00913317">
        <w:rPr>
          <w:szCs w:val="22"/>
          <w:lang w:val="hr-HR"/>
        </w:rPr>
        <w:t xml:space="preserve">eme terapije vorikonazolom (bolnički hepatitis, holestaza, fulminantna insuficijencija jetre, uključujući i smrtni ishod). Hepatotoksične reakcije su se javljale uglavnom kod pacijenata u teškom opštem stanju (prvenstveno hematološki maligniteti). Prolazne hepatične reakcije, uključujući hepatitis i žuticu, javljale su se kod pacijenata bez poznatih faktora rizika. Oštećenje funkcije jetre je obično </w:t>
      </w:r>
      <w:r w:rsidR="006F2722" w:rsidRPr="00913317">
        <w:rPr>
          <w:szCs w:val="22"/>
          <w:lang w:val="hr-HR"/>
        </w:rPr>
        <w:t xml:space="preserve">bilo </w:t>
      </w:r>
      <w:r w:rsidRPr="00913317">
        <w:rPr>
          <w:szCs w:val="22"/>
          <w:lang w:val="hr-HR"/>
        </w:rPr>
        <w:t>reverzibilno i prestaj</w:t>
      </w:r>
      <w:r w:rsidR="008837CF" w:rsidRPr="00913317">
        <w:rPr>
          <w:szCs w:val="22"/>
          <w:lang w:val="hr-HR"/>
        </w:rPr>
        <w:t>alo je</w:t>
      </w:r>
      <w:r w:rsidRPr="00913317">
        <w:rPr>
          <w:szCs w:val="22"/>
          <w:lang w:val="hr-HR"/>
        </w:rPr>
        <w:t xml:space="preserve"> po prekidu terapije (</w:t>
      </w:r>
      <w:r w:rsidR="004D45E7" w:rsidRPr="00913317">
        <w:rPr>
          <w:szCs w:val="22"/>
          <w:lang w:val="hr-HR"/>
        </w:rPr>
        <w:t xml:space="preserve">vidjeti </w:t>
      </w:r>
      <w:r w:rsidR="00954637" w:rsidRPr="00913317">
        <w:rPr>
          <w:szCs w:val="22"/>
          <w:lang w:val="hr-HR"/>
        </w:rPr>
        <w:t xml:space="preserve">dio </w:t>
      </w:r>
      <w:r w:rsidRPr="00913317">
        <w:rPr>
          <w:szCs w:val="22"/>
          <w:lang w:val="hr-HR"/>
        </w:rPr>
        <w:t>4.8).</w:t>
      </w:r>
    </w:p>
    <w:p w14:paraId="5F61DBE8" w14:textId="77777777" w:rsidR="006131C3" w:rsidRPr="00913317" w:rsidRDefault="006131C3" w:rsidP="00D72925">
      <w:pPr>
        <w:rPr>
          <w:szCs w:val="22"/>
          <w:u w:val="single"/>
          <w:lang w:val="hr-HR"/>
        </w:rPr>
      </w:pPr>
    </w:p>
    <w:p w14:paraId="483E4792" w14:textId="77777777" w:rsidR="006131C3" w:rsidRPr="00913317" w:rsidRDefault="005A7815" w:rsidP="00D72925">
      <w:pPr>
        <w:rPr>
          <w:szCs w:val="22"/>
          <w:u w:val="single"/>
          <w:lang w:val="hr-HR"/>
        </w:rPr>
      </w:pPr>
      <w:r w:rsidRPr="00913317">
        <w:rPr>
          <w:szCs w:val="22"/>
          <w:u w:val="single"/>
          <w:lang w:val="hr-HR"/>
        </w:rPr>
        <w:t xml:space="preserve">Praćenje funkcije jetre </w:t>
      </w:r>
    </w:p>
    <w:p w14:paraId="184C8249" w14:textId="7B77F67C" w:rsidR="006131C3" w:rsidRPr="00913317" w:rsidRDefault="005A7815" w:rsidP="00D72925">
      <w:pPr>
        <w:rPr>
          <w:szCs w:val="22"/>
          <w:lang w:val="hr-HR"/>
        </w:rPr>
      </w:pPr>
      <w:r w:rsidRPr="00913317">
        <w:rPr>
          <w:szCs w:val="22"/>
          <w:lang w:val="hr-HR"/>
        </w:rPr>
        <w:t xml:space="preserve">Pacijente koji primaju </w:t>
      </w:r>
      <w:r w:rsidR="004D45E7" w:rsidRPr="00913317">
        <w:rPr>
          <w:szCs w:val="22"/>
          <w:lang w:val="hr-HR"/>
        </w:rPr>
        <w:t>lijek</w:t>
      </w:r>
      <w:r w:rsidRPr="00913317">
        <w:rPr>
          <w:szCs w:val="22"/>
          <w:lang w:val="hr-HR"/>
        </w:rPr>
        <w:t xml:space="preserve"> Vfend treba pažljivo pratiti da bi se uočili eventualni znaci hepat</w:t>
      </w:r>
      <w:r w:rsidR="00007664" w:rsidRPr="00913317">
        <w:rPr>
          <w:szCs w:val="22"/>
          <w:lang w:val="hr-HR"/>
        </w:rPr>
        <w:t>otoksičnosti</w:t>
      </w:r>
      <w:r w:rsidRPr="00913317">
        <w:rPr>
          <w:szCs w:val="22"/>
          <w:lang w:val="hr-HR"/>
        </w:rPr>
        <w:t xml:space="preserve">. Kliničko zbrinjavanje treba da uključi laboratorijsku </w:t>
      </w:r>
      <w:r w:rsidR="004D45E7" w:rsidRPr="00913317">
        <w:rPr>
          <w:szCs w:val="22"/>
          <w:lang w:val="hr-HR"/>
        </w:rPr>
        <w:t>procjen</w:t>
      </w:r>
      <w:r w:rsidRPr="00913317">
        <w:rPr>
          <w:szCs w:val="22"/>
          <w:lang w:val="hr-HR"/>
        </w:rPr>
        <w:t xml:space="preserve">u funkcije jetre (posebno AST i ALT) na početku terapije </w:t>
      </w:r>
      <w:r w:rsidR="004D45E7" w:rsidRPr="00913317">
        <w:rPr>
          <w:szCs w:val="22"/>
          <w:lang w:val="hr-HR"/>
        </w:rPr>
        <w:t>lijek</w:t>
      </w:r>
      <w:r w:rsidRPr="00913317">
        <w:rPr>
          <w:szCs w:val="22"/>
          <w:lang w:val="hr-HR"/>
        </w:rPr>
        <w:t>om Vfend i najmanje jednom sedmično tokom prvog m</w:t>
      </w:r>
      <w:r w:rsidR="00236F6F" w:rsidRPr="00913317">
        <w:rPr>
          <w:szCs w:val="22"/>
          <w:lang w:val="hr-HR"/>
        </w:rPr>
        <w:t>j</w:t>
      </w:r>
      <w:r w:rsidRPr="00913317">
        <w:rPr>
          <w:szCs w:val="22"/>
          <w:lang w:val="hr-HR"/>
        </w:rPr>
        <w:t>eseca l</w:t>
      </w:r>
      <w:r w:rsidR="00236F6F" w:rsidRPr="00913317">
        <w:rPr>
          <w:szCs w:val="22"/>
          <w:lang w:val="hr-HR"/>
        </w:rPr>
        <w:t>ij</w:t>
      </w:r>
      <w:r w:rsidRPr="00913317">
        <w:rPr>
          <w:szCs w:val="22"/>
          <w:lang w:val="hr-HR"/>
        </w:rPr>
        <w:t xml:space="preserve">ečenja. Trajanje terapije treba da bude što kraće, ali ako se na osnovu </w:t>
      </w:r>
      <w:r w:rsidR="004D45E7" w:rsidRPr="00913317">
        <w:rPr>
          <w:szCs w:val="22"/>
          <w:lang w:val="hr-HR"/>
        </w:rPr>
        <w:t>procjen</w:t>
      </w:r>
      <w:r w:rsidRPr="00913317">
        <w:rPr>
          <w:szCs w:val="22"/>
          <w:lang w:val="hr-HR"/>
        </w:rPr>
        <w:t>e odnosa koristi i rizika terapija nastavi (</w:t>
      </w:r>
      <w:r w:rsidR="004D45E7" w:rsidRPr="00913317">
        <w:rPr>
          <w:szCs w:val="22"/>
          <w:lang w:val="hr-HR"/>
        </w:rPr>
        <w:t xml:space="preserve">vidjeti </w:t>
      </w:r>
      <w:r w:rsidR="00954637" w:rsidRPr="00913317">
        <w:rPr>
          <w:szCs w:val="22"/>
          <w:lang w:val="hr-HR"/>
        </w:rPr>
        <w:t xml:space="preserve">dio </w:t>
      </w:r>
      <w:r w:rsidRPr="00913317">
        <w:rPr>
          <w:szCs w:val="22"/>
          <w:lang w:val="hr-HR"/>
        </w:rPr>
        <w:t>4.2), učestalost praćenja se može smanjiti na jednom m</w:t>
      </w:r>
      <w:r w:rsidR="00236F6F" w:rsidRPr="00913317">
        <w:rPr>
          <w:szCs w:val="22"/>
          <w:lang w:val="hr-HR"/>
        </w:rPr>
        <w:t>j</w:t>
      </w:r>
      <w:r w:rsidRPr="00913317">
        <w:rPr>
          <w:szCs w:val="22"/>
          <w:lang w:val="hr-HR"/>
        </w:rPr>
        <w:t>esečno ukoliko ne postoje prom</w:t>
      </w:r>
      <w:r w:rsidR="00236F6F" w:rsidRPr="00913317">
        <w:rPr>
          <w:szCs w:val="22"/>
          <w:lang w:val="hr-HR"/>
        </w:rPr>
        <w:t>j</w:t>
      </w:r>
      <w:r w:rsidRPr="00913317">
        <w:rPr>
          <w:szCs w:val="22"/>
          <w:lang w:val="hr-HR"/>
        </w:rPr>
        <w:t>ene u rezultatima funkcionalnih testova jetre.</w:t>
      </w:r>
    </w:p>
    <w:p w14:paraId="4A2EE09E" w14:textId="674212F3" w:rsidR="006131C3" w:rsidRPr="00913317" w:rsidRDefault="005A7815" w:rsidP="00D72925">
      <w:pPr>
        <w:rPr>
          <w:szCs w:val="22"/>
          <w:lang w:val="hr-HR"/>
        </w:rPr>
      </w:pPr>
      <w:r w:rsidRPr="00913317">
        <w:rPr>
          <w:szCs w:val="22"/>
          <w:lang w:val="hr-HR"/>
        </w:rPr>
        <w:t xml:space="preserve">Ako rezultati funkcionalnih testova jetre postanu </w:t>
      </w:r>
      <w:r w:rsidR="000C5F23" w:rsidRPr="00913317">
        <w:rPr>
          <w:szCs w:val="22"/>
          <w:lang w:val="hr-HR"/>
        </w:rPr>
        <w:t xml:space="preserve">značajno </w:t>
      </w:r>
      <w:r w:rsidRPr="00913317">
        <w:rPr>
          <w:szCs w:val="22"/>
          <w:lang w:val="hr-HR"/>
        </w:rPr>
        <w:t>po</w:t>
      </w:r>
      <w:r w:rsidR="006F2722" w:rsidRPr="00913317">
        <w:rPr>
          <w:szCs w:val="22"/>
          <w:lang w:val="hr-HR"/>
        </w:rPr>
        <w:t>većani</w:t>
      </w:r>
      <w:r w:rsidRPr="00913317">
        <w:rPr>
          <w:szCs w:val="22"/>
          <w:lang w:val="hr-HR"/>
        </w:rPr>
        <w:t xml:space="preserve">, terapiju </w:t>
      </w:r>
      <w:r w:rsidR="004D45E7" w:rsidRPr="00913317">
        <w:rPr>
          <w:szCs w:val="22"/>
          <w:lang w:val="hr-HR"/>
        </w:rPr>
        <w:t>lijek</w:t>
      </w:r>
      <w:r w:rsidRPr="00913317">
        <w:rPr>
          <w:szCs w:val="22"/>
          <w:lang w:val="hr-HR"/>
        </w:rPr>
        <w:t xml:space="preserve">om Vfend treba prekinuti, osim ako medicinska </w:t>
      </w:r>
      <w:r w:rsidR="004D45E7" w:rsidRPr="00913317">
        <w:rPr>
          <w:szCs w:val="22"/>
          <w:lang w:val="hr-HR"/>
        </w:rPr>
        <w:t>procjen</w:t>
      </w:r>
      <w:r w:rsidRPr="00913317">
        <w:rPr>
          <w:szCs w:val="22"/>
          <w:lang w:val="hr-HR"/>
        </w:rPr>
        <w:t>a odnosa rizika i koristi terapije za pacijenta ne opravdava nastavak upotrebe.</w:t>
      </w:r>
    </w:p>
    <w:p w14:paraId="036BECC9" w14:textId="2965B6B9" w:rsidR="006131C3" w:rsidRPr="00913317" w:rsidRDefault="005A7815" w:rsidP="00D72925">
      <w:pPr>
        <w:rPr>
          <w:szCs w:val="22"/>
          <w:lang w:val="hr-HR"/>
        </w:rPr>
      </w:pPr>
      <w:r w:rsidRPr="00913317">
        <w:rPr>
          <w:szCs w:val="22"/>
          <w:lang w:val="hr-HR"/>
        </w:rPr>
        <w:t>Praćenje funkcije jetre treba sprovoditi i kod d</w:t>
      </w:r>
      <w:r w:rsidR="00E96115" w:rsidRPr="00913317">
        <w:rPr>
          <w:szCs w:val="22"/>
          <w:lang w:val="hr-HR"/>
        </w:rPr>
        <w:t>j</w:t>
      </w:r>
      <w:r w:rsidRPr="00913317">
        <w:rPr>
          <w:szCs w:val="22"/>
          <w:lang w:val="hr-HR"/>
        </w:rPr>
        <w:t>ece i kod odraslih.</w:t>
      </w:r>
    </w:p>
    <w:p w14:paraId="5E679743" w14:textId="5E1FF470" w:rsidR="008C59C8" w:rsidRDefault="008C59C8" w:rsidP="00D72925">
      <w:pPr>
        <w:tabs>
          <w:tab w:val="clear" w:pos="284"/>
        </w:tabs>
        <w:jc w:val="left"/>
        <w:rPr>
          <w:szCs w:val="22"/>
          <w:u w:val="single"/>
          <w:lang w:val="hr-HR"/>
        </w:rPr>
      </w:pPr>
    </w:p>
    <w:p w14:paraId="4722C0AD" w14:textId="53760786" w:rsidR="006131C3" w:rsidRDefault="00280EB1" w:rsidP="00D72925">
      <w:pPr>
        <w:ind w:left="357" w:hanging="357"/>
        <w:rPr>
          <w:szCs w:val="22"/>
          <w:u w:val="single"/>
          <w:lang w:val="hr-HR"/>
        </w:rPr>
      </w:pPr>
      <w:r w:rsidRPr="008C59C8">
        <w:rPr>
          <w:szCs w:val="22"/>
          <w:u w:val="single"/>
          <w:lang w:val="hr-HR"/>
        </w:rPr>
        <w:t>Ozbiljne neželjene reakcije</w:t>
      </w:r>
      <w:r w:rsidR="006F2722" w:rsidRPr="008C59C8">
        <w:rPr>
          <w:szCs w:val="22"/>
          <w:u w:val="single"/>
          <w:lang w:val="hr-HR"/>
        </w:rPr>
        <w:t xml:space="preserve"> na koži</w:t>
      </w:r>
    </w:p>
    <w:p w14:paraId="720B77A5" w14:textId="77777777" w:rsidR="008C59C8" w:rsidRPr="008C59C8" w:rsidRDefault="008C59C8" w:rsidP="00D72925">
      <w:pPr>
        <w:ind w:left="357" w:hanging="357"/>
        <w:rPr>
          <w:szCs w:val="22"/>
          <w:u w:val="single"/>
          <w:lang w:val="hr-HR"/>
        </w:rPr>
      </w:pPr>
    </w:p>
    <w:p w14:paraId="1B4696CC" w14:textId="77777777" w:rsidR="00280EB1" w:rsidRPr="008C59C8" w:rsidRDefault="00280EB1" w:rsidP="00D72925">
      <w:pPr>
        <w:pStyle w:val="Paragraph"/>
        <w:numPr>
          <w:ilvl w:val="0"/>
          <w:numId w:val="7"/>
        </w:numPr>
        <w:spacing w:after="0"/>
        <w:ind w:left="426" w:hanging="284"/>
        <w:jc w:val="both"/>
        <w:rPr>
          <w:sz w:val="22"/>
          <w:szCs w:val="22"/>
          <w:u w:val="single"/>
          <w:lang w:val="hr-HR"/>
        </w:rPr>
      </w:pPr>
      <w:r w:rsidRPr="008C59C8">
        <w:rPr>
          <w:sz w:val="22"/>
          <w:szCs w:val="22"/>
          <w:u w:val="single"/>
          <w:lang w:val="hr-HR"/>
        </w:rPr>
        <w:lastRenderedPageBreak/>
        <w:t xml:space="preserve">Fototoksičnost </w:t>
      </w:r>
    </w:p>
    <w:p w14:paraId="7E13E3CD" w14:textId="55806CCA" w:rsidR="006131C3" w:rsidRPr="00913317" w:rsidRDefault="002768AE" w:rsidP="00D72925">
      <w:pPr>
        <w:pStyle w:val="CM55"/>
        <w:ind w:left="425" w:right="91"/>
        <w:jc w:val="both"/>
        <w:rPr>
          <w:sz w:val="22"/>
          <w:szCs w:val="22"/>
          <w:lang w:val="hr-HR"/>
        </w:rPr>
      </w:pPr>
      <w:r w:rsidRPr="008C59C8">
        <w:rPr>
          <w:sz w:val="22"/>
          <w:szCs w:val="22"/>
          <w:lang w:val="hr-HR"/>
        </w:rPr>
        <w:t>Dodatno je</w:t>
      </w:r>
      <w:r w:rsidR="003256B9" w:rsidRPr="008C59C8">
        <w:rPr>
          <w:sz w:val="22"/>
          <w:szCs w:val="22"/>
          <w:lang w:val="hr-HR"/>
        </w:rPr>
        <w:t xml:space="preserve"> </w:t>
      </w:r>
      <w:r w:rsidR="00E77605" w:rsidRPr="008C59C8">
        <w:rPr>
          <w:sz w:val="22"/>
          <w:szCs w:val="22"/>
          <w:lang w:val="hr-HR"/>
        </w:rPr>
        <w:t>p</w:t>
      </w:r>
      <w:r w:rsidR="00280EB1" w:rsidRPr="008C59C8">
        <w:rPr>
          <w:sz w:val="22"/>
          <w:szCs w:val="22"/>
          <w:lang w:val="hr-HR"/>
        </w:rPr>
        <w:t>rim</w:t>
      </w:r>
      <w:r w:rsidR="00DF37A8" w:rsidRPr="008C59C8">
        <w:rPr>
          <w:sz w:val="22"/>
          <w:szCs w:val="22"/>
          <w:lang w:val="hr-HR"/>
        </w:rPr>
        <w:t>ij</w:t>
      </w:r>
      <w:r w:rsidR="00280EB1" w:rsidRPr="008C59C8">
        <w:rPr>
          <w:sz w:val="22"/>
          <w:szCs w:val="22"/>
          <w:lang w:val="hr-HR"/>
        </w:rPr>
        <w:t xml:space="preserve">ećena veza između terapije </w:t>
      </w:r>
      <w:r w:rsidR="004D45E7" w:rsidRPr="008C59C8">
        <w:rPr>
          <w:sz w:val="22"/>
          <w:szCs w:val="22"/>
          <w:lang w:val="hr-HR"/>
        </w:rPr>
        <w:t>lijek</w:t>
      </w:r>
      <w:r w:rsidR="00280EB1" w:rsidRPr="008C59C8">
        <w:rPr>
          <w:sz w:val="22"/>
          <w:szCs w:val="22"/>
          <w:lang w:val="hr-HR"/>
        </w:rPr>
        <w:t xml:space="preserve">om </w:t>
      </w:r>
      <w:r w:rsidR="002A7B8D" w:rsidRPr="008C59C8">
        <w:rPr>
          <w:sz w:val="22"/>
          <w:szCs w:val="22"/>
          <w:lang w:val="hr-HR"/>
        </w:rPr>
        <w:t xml:space="preserve">VFEND </w:t>
      </w:r>
      <w:r w:rsidR="00280EB1" w:rsidRPr="008C59C8">
        <w:rPr>
          <w:sz w:val="22"/>
          <w:szCs w:val="22"/>
          <w:lang w:val="hr-HR"/>
        </w:rPr>
        <w:t>i pojave fototoksičnosti, uključujući reakcije kao što su p</w:t>
      </w:r>
      <w:r w:rsidR="006953B0" w:rsidRPr="00D837A3">
        <w:rPr>
          <w:sz w:val="22"/>
          <w:szCs w:val="22"/>
          <w:lang w:val="hr-HR"/>
        </w:rPr>
        <w:t>j</w:t>
      </w:r>
      <w:r w:rsidR="00280EB1" w:rsidRPr="003307B5">
        <w:rPr>
          <w:sz w:val="22"/>
          <w:szCs w:val="22"/>
          <w:lang w:val="hr-HR"/>
        </w:rPr>
        <w:t>ege, lentigo, aktinična keratoza i pseudoporfirij</w:t>
      </w:r>
      <w:r w:rsidR="00ED434A" w:rsidRPr="0029457E">
        <w:rPr>
          <w:sz w:val="22"/>
          <w:szCs w:val="22"/>
          <w:lang w:val="hr-HR"/>
        </w:rPr>
        <w:t>a</w:t>
      </w:r>
      <w:r w:rsidR="00280EB1" w:rsidRPr="009C1794">
        <w:rPr>
          <w:sz w:val="22"/>
          <w:szCs w:val="22"/>
          <w:lang w:val="hr-HR"/>
        </w:rPr>
        <w:t xml:space="preserve">. </w:t>
      </w:r>
      <w:r w:rsidR="005F429A" w:rsidRPr="00913317">
        <w:rPr>
          <w:sz w:val="22"/>
          <w:szCs w:val="22"/>
          <w:lang w:val="hr-HR"/>
        </w:rPr>
        <w:t xml:space="preserve">Postoji potencijalan povećan rizik od kožnih reakcija/toksičnosti uz istovremenu primjenu fotosenzibilizirajućih agenasa (npr. metotreksat, itd.). </w:t>
      </w:r>
      <w:r w:rsidR="00280EB1" w:rsidRPr="00913317">
        <w:rPr>
          <w:sz w:val="22"/>
          <w:szCs w:val="22"/>
          <w:lang w:val="hr-HR"/>
        </w:rPr>
        <w:t>Preporučuje se da svi pacijenti</w:t>
      </w:r>
      <w:r w:rsidR="00ED434A" w:rsidRPr="00913317">
        <w:rPr>
          <w:sz w:val="22"/>
          <w:szCs w:val="22"/>
          <w:lang w:val="hr-HR"/>
        </w:rPr>
        <w:t xml:space="preserve"> tokom terapije </w:t>
      </w:r>
      <w:r w:rsidR="004D45E7" w:rsidRPr="00913317">
        <w:rPr>
          <w:sz w:val="22"/>
          <w:szCs w:val="22"/>
          <w:lang w:val="hr-HR"/>
        </w:rPr>
        <w:t>lijek</w:t>
      </w:r>
      <w:r w:rsidR="00ED434A" w:rsidRPr="00913317">
        <w:rPr>
          <w:sz w:val="22"/>
          <w:szCs w:val="22"/>
          <w:lang w:val="hr-HR"/>
        </w:rPr>
        <w:t xml:space="preserve">om </w:t>
      </w:r>
      <w:r w:rsidR="002A7B8D" w:rsidRPr="00913317">
        <w:rPr>
          <w:sz w:val="22"/>
          <w:szCs w:val="22"/>
          <w:lang w:val="hr-HR"/>
        </w:rPr>
        <w:t>VFEND</w:t>
      </w:r>
      <w:r w:rsidR="00280EB1" w:rsidRPr="00913317">
        <w:rPr>
          <w:sz w:val="22"/>
          <w:szCs w:val="22"/>
          <w:lang w:val="hr-HR"/>
        </w:rPr>
        <w:t xml:space="preserve">, uključujući </w:t>
      </w:r>
      <w:r w:rsidR="0042082C" w:rsidRPr="00913317">
        <w:rPr>
          <w:sz w:val="22"/>
          <w:szCs w:val="22"/>
          <w:lang w:val="hr-HR"/>
        </w:rPr>
        <w:t xml:space="preserve">i </w:t>
      </w:r>
      <w:r w:rsidR="00280EB1" w:rsidRPr="00913317">
        <w:rPr>
          <w:sz w:val="22"/>
          <w:szCs w:val="22"/>
          <w:lang w:val="hr-HR"/>
        </w:rPr>
        <w:t>d</w:t>
      </w:r>
      <w:r w:rsidR="00DF37A8" w:rsidRPr="00913317">
        <w:rPr>
          <w:sz w:val="22"/>
          <w:szCs w:val="22"/>
          <w:lang w:val="hr-HR"/>
        </w:rPr>
        <w:t>j</w:t>
      </w:r>
      <w:r w:rsidR="00280EB1" w:rsidRPr="00913317">
        <w:rPr>
          <w:sz w:val="22"/>
          <w:szCs w:val="22"/>
          <w:lang w:val="hr-HR"/>
        </w:rPr>
        <w:t>ecu, izb</w:t>
      </w:r>
      <w:r w:rsidR="0046658F" w:rsidRPr="00913317">
        <w:rPr>
          <w:sz w:val="22"/>
          <w:szCs w:val="22"/>
          <w:lang w:val="hr-HR"/>
        </w:rPr>
        <w:t>j</w:t>
      </w:r>
      <w:r w:rsidR="00280EB1" w:rsidRPr="00913317">
        <w:rPr>
          <w:sz w:val="22"/>
          <w:szCs w:val="22"/>
          <w:lang w:val="hr-HR"/>
        </w:rPr>
        <w:t>egavaju izlaganje direktn</w:t>
      </w:r>
      <w:r w:rsidR="00ED434A" w:rsidRPr="00913317">
        <w:rPr>
          <w:sz w:val="22"/>
          <w:szCs w:val="22"/>
          <w:lang w:val="hr-HR"/>
        </w:rPr>
        <w:t>oj</w:t>
      </w:r>
      <w:r w:rsidR="00280EB1" w:rsidRPr="00913317">
        <w:rPr>
          <w:sz w:val="22"/>
          <w:szCs w:val="22"/>
          <w:lang w:val="hr-HR"/>
        </w:rPr>
        <w:t xml:space="preserve"> sunčev</w:t>
      </w:r>
      <w:r w:rsidR="00ED434A" w:rsidRPr="00913317">
        <w:rPr>
          <w:sz w:val="22"/>
          <w:szCs w:val="22"/>
          <w:lang w:val="hr-HR"/>
        </w:rPr>
        <w:t>oj</w:t>
      </w:r>
      <w:r w:rsidR="00280EB1" w:rsidRPr="00913317">
        <w:rPr>
          <w:sz w:val="22"/>
          <w:szCs w:val="22"/>
          <w:lang w:val="hr-HR"/>
        </w:rPr>
        <w:t xml:space="preserve"> </w:t>
      </w:r>
      <w:r w:rsidR="00ED434A" w:rsidRPr="00913317">
        <w:rPr>
          <w:sz w:val="22"/>
          <w:szCs w:val="22"/>
          <w:lang w:val="hr-HR"/>
        </w:rPr>
        <w:t>sv</w:t>
      </w:r>
      <w:r w:rsidR="00DF37A8" w:rsidRPr="00913317">
        <w:rPr>
          <w:sz w:val="22"/>
          <w:szCs w:val="22"/>
          <w:lang w:val="hr-HR"/>
        </w:rPr>
        <w:t>j</w:t>
      </w:r>
      <w:r w:rsidR="00ED434A" w:rsidRPr="00913317">
        <w:rPr>
          <w:sz w:val="22"/>
          <w:szCs w:val="22"/>
          <w:lang w:val="hr-HR"/>
        </w:rPr>
        <w:t>etlosti</w:t>
      </w:r>
      <w:r w:rsidR="00280EB1" w:rsidRPr="00913317">
        <w:rPr>
          <w:sz w:val="22"/>
          <w:szCs w:val="22"/>
          <w:lang w:val="hr-HR"/>
        </w:rPr>
        <w:t>, kao i da koriste m</w:t>
      </w:r>
      <w:r w:rsidR="00DF37A8" w:rsidRPr="00913317">
        <w:rPr>
          <w:sz w:val="22"/>
          <w:szCs w:val="22"/>
          <w:lang w:val="hr-HR"/>
        </w:rPr>
        <w:t>j</w:t>
      </w:r>
      <w:r w:rsidR="00280EB1" w:rsidRPr="00913317">
        <w:rPr>
          <w:sz w:val="22"/>
          <w:szCs w:val="22"/>
          <w:lang w:val="hr-HR"/>
        </w:rPr>
        <w:t>ere prevencije kao što su zaštitna od</w:t>
      </w:r>
      <w:r w:rsidR="00DF37A8" w:rsidRPr="00913317">
        <w:rPr>
          <w:sz w:val="22"/>
          <w:szCs w:val="22"/>
          <w:lang w:val="hr-HR"/>
        </w:rPr>
        <w:t>j</w:t>
      </w:r>
      <w:r w:rsidR="00280EB1" w:rsidRPr="00913317">
        <w:rPr>
          <w:sz w:val="22"/>
          <w:szCs w:val="22"/>
          <w:lang w:val="hr-HR"/>
        </w:rPr>
        <w:t>eća i kreme za sunčanje sa visokim zaštitnim faktorom (</w:t>
      </w:r>
      <w:r w:rsidR="00280EB1" w:rsidRPr="00913317">
        <w:rPr>
          <w:i/>
          <w:sz w:val="22"/>
          <w:szCs w:val="22"/>
          <w:lang w:val="hr-HR"/>
        </w:rPr>
        <w:t>engl. sun protection factor</w:t>
      </w:r>
      <w:r w:rsidR="00E77605" w:rsidRPr="00913317">
        <w:rPr>
          <w:sz w:val="22"/>
          <w:szCs w:val="22"/>
          <w:lang w:val="hr-HR"/>
        </w:rPr>
        <w:t>,</w:t>
      </w:r>
      <w:r w:rsidR="00280EB1" w:rsidRPr="00913317">
        <w:rPr>
          <w:sz w:val="22"/>
          <w:szCs w:val="22"/>
          <w:lang w:val="hr-HR"/>
        </w:rPr>
        <w:t xml:space="preserve"> SPF). </w:t>
      </w:r>
    </w:p>
    <w:p w14:paraId="5C172B8D" w14:textId="4D65C4A1" w:rsidR="00280EB1" w:rsidRPr="00913317" w:rsidRDefault="00280EB1" w:rsidP="00D72925">
      <w:pPr>
        <w:pStyle w:val="Paragraph"/>
        <w:numPr>
          <w:ilvl w:val="0"/>
          <w:numId w:val="7"/>
        </w:numPr>
        <w:spacing w:after="0"/>
        <w:ind w:left="426" w:hanging="284"/>
        <w:jc w:val="both"/>
        <w:rPr>
          <w:sz w:val="22"/>
          <w:szCs w:val="22"/>
          <w:u w:val="single"/>
          <w:lang w:val="hr-HR"/>
        </w:rPr>
      </w:pPr>
      <w:r w:rsidRPr="00913317">
        <w:rPr>
          <w:sz w:val="22"/>
          <w:szCs w:val="22"/>
          <w:u w:val="single"/>
          <w:lang w:val="hr-HR"/>
        </w:rPr>
        <w:t>Karcinom skvamoznih ćelija kože (</w:t>
      </w:r>
      <w:r w:rsidR="002D486F" w:rsidRPr="00913317">
        <w:rPr>
          <w:sz w:val="22"/>
          <w:szCs w:val="22"/>
          <w:u w:val="single"/>
          <w:lang w:val="hr-HR"/>
        </w:rPr>
        <w:t xml:space="preserve">engl. </w:t>
      </w:r>
      <w:r w:rsidRPr="00913317">
        <w:rPr>
          <w:i/>
          <w:sz w:val="22"/>
          <w:szCs w:val="22"/>
          <w:u w:val="single"/>
          <w:lang w:val="hr-HR"/>
        </w:rPr>
        <w:t>squamous cell carcinoma</w:t>
      </w:r>
      <w:r w:rsidR="00E77605" w:rsidRPr="00913317">
        <w:rPr>
          <w:i/>
          <w:sz w:val="22"/>
          <w:szCs w:val="22"/>
          <w:u w:val="single"/>
          <w:lang w:val="hr-HR"/>
        </w:rPr>
        <w:t xml:space="preserve">, </w:t>
      </w:r>
      <w:r w:rsidR="002D486F" w:rsidRPr="00913317">
        <w:rPr>
          <w:sz w:val="22"/>
          <w:szCs w:val="22"/>
          <w:u w:val="single"/>
          <w:lang w:val="hr-HR"/>
        </w:rPr>
        <w:t>SCC</w:t>
      </w:r>
      <w:r w:rsidRPr="00913317">
        <w:rPr>
          <w:sz w:val="22"/>
          <w:szCs w:val="22"/>
          <w:u w:val="single"/>
          <w:lang w:val="hr-HR"/>
        </w:rPr>
        <w:t>)</w:t>
      </w:r>
    </w:p>
    <w:p w14:paraId="7FEEB8A1" w14:textId="7C9DF24C" w:rsidR="006131C3" w:rsidRPr="00913317" w:rsidRDefault="00280EB1" w:rsidP="00D72925">
      <w:pPr>
        <w:pStyle w:val="CM55"/>
        <w:spacing w:after="0"/>
        <w:ind w:left="425" w:right="91"/>
        <w:jc w:val="both"/>
        <w:rPr>
          <w:sz w:val="22"/>
          <w:szCs w:val="22"/>
          <w:lang w:val="hr-HR"/>
        </w:rPr>
      </w:pPr>
      <w:r w:rsidRPr="00913317">
        <w:rPr>
          <w:sz w:val="22"/>
          <w:szCs w:val="22"/>
          <w:lang w:val="hr-HR"/>
        </w:rPr>
        <w:t xml:space="preserve">Karcinom skvamoznih ćelija kože </w:t>
      </w:r>
      <w:r w:rsidR="002A7B8D" w:rsidRPr="00913317">
        <w:rPr>
          <w:sz w:val="22"/>
          <w:szCs w:val="22"/>
          <w:lang w:val="hr-HR"/>
        </w:rPr>
        <w:t xml:space="preserve">(uključujući kutani </w:t>
      </w:r>
      <w:r w:rsidR="003A4AA2" w:rsidRPr="00913317">
        <w:rPr>
          <w:sz w:val="22"/>
          <w:szCs w:val="22"/>
          <w:lang w:val="hr-HR"/>
        </w:rPr>
        <w:t>SCC</w:t>
      </w:r>
      <w:r w:rsidR="002A7B8D" w:rsidRPr="00913317">
        <w:rPr>
          <w:sz w:val="22"/>
          <w:szCs w:val="22"/>
          <w:lang w:val="hr-HR"/>
        </w:rPr>
        <w:t xml:space="preserve"> </w:t>
      </w:r>
      <w:r w:rsidR="002A7B8D" w:rsidRPr="00913317">
        <w:rPr>
          <w:i/>
          <w:iCs/>
          <w:sz w:val="22"/>
          <w:szCs w:val="22"/>
          <w:lang w:val="hr-HR"/>
        </w:rPr>
        <w:t>in situ</w:t>
      </w:r>
      <w:r w:rsidR="002A7B8D" w:rsidRPr="00913317">
        <w:rPr>
          <w:sz w:val="22"/>
          <w:szCs w:val="22"/>
          <w:lang w:val="hr-HR"/>
        </w:rPr>
        <w:t xml:space="preserve"> ili </w:t>
      </w:r>
      <w:r w:rsidR="002A7B8D" w:rsidRPr="00913317">
        <w:rPr>
          <w:i/>
          <w:sz w:val="22"/>
          <w:szCs w:val="22"/>
          <w:lang w:val="hr-HR"/>
        </w:rPr>
        <w:t>Bowen</w:t>
      </w:r>
      <w:r w:rsidR="00DE1973" w:rsidRPr="00913317">
        <w:rPr>
          <w:i/>
          <w:sz w:val="22"/>
          <w:szCs w:val="22"/>
          <w:lang w:val="hr-HR"/>
        </w:rPr>
        <w:t>-</w:t>
      </w:r>
      <w:r w:rsidR="002A7B8D" w:rsidRPr="00913317">
        <w:rPr>
          <w:sz w:val="22"/>
          <w:szCs w:val="22"/>
          <w:lang w:val="hr-HR"/>
        </w:rPr>
        <w:t xml:space="preserve">ovu bolest) </w:t>
      </w:r>
      <w:r w:rsidR="003204CC" w:rsidRPr="00913317">
        <w:rPr>
          <w:sz w:val="22"/>
          <w:szCs w:val="22"/>
          <w:lang w:val="hr-HR"/>
        </w:rPr>
        <w:t>zabilje</w:t>
      </w:r>
      <w:r w:rsidRPr="00913317">
        <w:rPr>
          <w:sz w:val="22"/>
          <w:szCs w:val="22"/>
          <w:lang w:val="hr-HR"/>
        </w:rPr>
        <w:t xml:space="preserve">žen je kod pacijenata od kojih su neki </w:t>
      </w:r>
      <w:r w:rsidR="00A50657" w:rsidRPr="00913317">
        <w:rPr>
          <w:sz w:val="22"/>
          <w:szCs w:val="22"/>
          <w:lang w:val="hr-HR"/>
        </w:rPr>
        <w:t xml:space="preserve">prethodno </w:t>
      </w:r>
      <w:r w:rsidRPr="00913317">
        <w:rPr>
          <w:sz w:val="22"/>
          <w:szCs w:val="22"/>
          <w:lang w:val="hr-HR"/>
        </w:rPr>
        <w:t xml:space="preserve">prijavili fototoksične reakcije. Ukoliko se kod pacijenta pojavi fototoksična reakcija, treba </w:t>
      </w:r>
      <w:r w:rsidR="00ED434A" w:rsidRPr="00913317">
        <w:rPr>
          <w:sz w:val="22"/>
          <w:szCs w:val="22"/>
          <w:lang w:val="hr-HR"/>
        </w:rPr>
        <w:t>zatražiti sav</w:t>
      </w:r>
      <w:r w:rsidR="0007166D" w:rsidRPr="00913317">
        <w:rPr>
          <w:sz w:val="22"/>
          <w:szCs w:val="22"/>
          <w:lang w:val="hr-HR"/>
        </w:rPr>
        <w:t>j</w:t>
      </w:r>
      <w:r w:rsidR="00ED434A" w:rsidRPr="00913317">
        <w:rPr>
          <w:sz w:val="22"/>
          <w:szCs w:val="22"/>
          <w:lang w:val="hr-HR"/>
        </w:rPr>
        <w:t xml:space="preserve">et multidisciplinarnog tima, </w:t>
      </w:r>
      <w:r w:rsidRPr="00913317">
        <w:rPr>
          <w:sz w:val="22"/>
          <w:szCs w:val="22"/>
          <w:lang w:val="hr-HR"/>
        </w:rPr>
        <w:t xml:space="preserve">razmotriti prekid </w:t>
      </w:r>
      <w:r w:rsidR="004D45E7" w:rsidRPr="00913317">
        <w:rPr>
          <w:sz w:val="22"/>
          <w:szCs w:val="22"/>
          <w:lang w:val="hr-HR"/>
        </w:rPr>
        <w:t>primjen</w:t>
      </w:r>
      <w:r w:rsidR="00ED434A" w:rsidRPr="00913317">
        <w:rPr>
          <w:sz w:val="22"/>
          <w:szCs w:val="22"/>
          <w:lang w:val="hr-HR"/>
        </w:rPr>
        <w:t>e</w:t>
      </w:r>
      <w:r w:rsidRPr="00913317">
        <w:rPr>
          <w:sz w:val="22"/>
          <w:szCs w:val="22"/>
          <w:lang w:val="hr-HR"/>
        </w:rPr>
        <w:t xml:space="preserve"> </w:t>
      </w:r>
      <w:r w:rsidR="004D45E7" w:rsidRPr="00913317">
        <w:rPr>
          <w:sz w:val="22"/>
          <w:szCs w:val="22"/>
          <w:lang w:val="hr-HR"/>
        </w:rPr>
        <w:t>lijek</w:t>
      </w:r>
      <w:r w:rsidR="00ED434A" w:rsidRPr="00913317">
        <w:rPr>
          <w:sz w:val="22"/>
          <w:szCs w:val="22"/>
          <w:lang w:val="hr-HR"/>
        </w:rPr>
        <w:t>a</w:t>
      </w:r>
      <w:r w:rsidRPr="00913317">
        <w:rPr>
          <w:sz w:val="22"/>
          <w:szCs w:val="22"/>
          <w:lang w:val="hr-HR"/>
        </w:rPr>
        <w:t xml:space="preserve"> </w:t>
      </w:r>
      <w:r w:rsidR="002A7B8D" w:rsidRPr="00913317">
        <w:rPr>
          <w:sz w:val="22"/>
          <w:szCs w:val="22"/>
          <w:lang w:val="hr-HR"/>
        </w:rPr>
        <w:t>VFEND</w:t>
      </w:r>
      <w:r w:rsidRPr="00913317">
        <w:rPr>
          <w:sz w:val="22"/>
          <w:szCs w:val="22"/>
          <w:lang w:val="hr-HR"/>
        </w:rPr>
        <w:t xml:space="preserve">, </w:t>
      </w:r>
      <w:r w:rsidR="00573FD9" w:rsidRPr="00913317">
        <w:rPr>
          <w:sz w:val="22"/>
          <w:szCs w:val="22"/>
          <w:lang w:val="hr-HR"/>
        </w:rPr>
        <w:t xml:space="preserve">kao </w:t>
      </w:r>
      <w:r w:rsidR="00775EC5" w:rsidRPr="00913317">
        <w:rPr>
          <w:sz w:val="22"/>
          <w:szCs w:val="22"/>
          <w:lang w:val="hr-HR"/>
        </w:rPr>
        <w:t xml:space="preserve">i </w:t>
      </w:r>
      <w:r w:rsidR="004D45E7" w:rsidRPr="00913317">
        <w:rPr>
          <w:sz w:val="22"/>
          <w:szCs w:val="22"/>
          <w:lang w:val="hr-HR"/>
        </w:rPr>
        <w:t>primjen</w:t>
      </w:r>
      <w:r w:rsidR="00775EC5" w:rsidRPr="00913317">
        <w:rPr>
          <w:sz w:val="22"/>
          <w:szCs w:val="22"/>
          <w:lang w:val="hr-HR"/>
        </w:rPr>
        <w:t>u</w:t>
      </w:r>
      <w:r w:rsidRPr="00913317">
        <w:rPr>
          <w:sz w:val="22"/>
          <w:szCs w:val="22"/>
          <w:lang w:val="hr-HR"/>
        </w:rPr>
        <w:t xml:space="preserve"> alternativnog antimikotika i pacijenta uputiti dermatologu. Ukoliko se </w:t>
      </w:r>
      <w:r w:rsidR="004D45E7" w:rsidRPr="00913317">
        <w:rPr>
          <w:sz w:val="22"/>
          <w:szCs w:val="22"/>
          <w:lang w:val="hr-HR"/>
        </w:rPr>
        <w:t>primjen</w:t>
      </w:r>
      <w:r w:rsidRPr="00913317">
        <w:rPr>
          <w:sz w:val="22"/>
          <w:szCs w:val="22"/>
          <w:lang w:val="hr-HR"/>
        </w:rPr>
        <w:t xml:space="preserve">a </w:t>
      </w:r>
      <w:r w:rsidR="004D45E7" w:rsidRPr="00913317">
        <w:rPr>
          <w:sz w:val="22"/>
          <w:szCs w:val="22"/>
          <w:lang w:val="hr-HR"/>
        </w:rPr>
        <w:t>lijek</w:t>
      </w:r>
      <w:r w:rsidRPr="00913317">
        <w:rPr>
          <w:sz w:val="22"/>
          <w:szCs w:val="22"/>
          <w:lang w:val="hr-HR"/>
        </w:rPr>
        <w:t xml:space="preserve">a </w:t>
      </w:r>
      <w:r w:rsidR="002A7B8D" w:rsidRPr="00913317">
        <w:rPr>
          <w:sz w:val="22"/>
          <w:szCs w:val="22"/>
          <w:lang w:val="hr-HR"/>
        </w:rPr>
        <w:t>VFEND</w:t>
      </w:r>
      <w:r w:rsidRPr="00913317">
        <w:rPr>
          <w:sz w:val="22"/>
          <w:szCs w:val="22"/>
          <w:lang w:val="hr-HR"/>
        </w:rPr>
        <w:t xml:space="preserve"> ipak nastavi, dermatološku </w:t>
      </w:r>
      <w:r w:rsidR="004D45E7" w:rsidRPr="00913317">
        <w:rPr>
          <w:sz w:val="22"/>
          <w:szCs w:val="22"/>
          <w:lang w:val="hr-HR"/>
        </w:rPr>
        <w:t>procjen</w:t>
      </w:r>
      <w:r w:rsidRPr="00913317">
        <w:rPr>
          <w:sz w:val="22"/>
          <w:szCs w:val="22"/>
          <w:lang w:val="hr-HR"/>
        </w:rPr>
        <w:t xml:space="preserve">u treba </w:t>
      </w:r>
      <w:r w:rsidR="00775EC5" w:rsidRPr="00913317">
        <w:rPr>
          <w:sz w:val="22"/>
          <w:szCs w:val="22"/>
          <w:lang w:val="hr-HR"/>
        </w:rPr>
        <w:t>sprovoditi</w:t>
      </w:r>
      <w:r w:rsidRPr="00913317">
        <w:rPr>
          <w:sz w:val="22"/>
          <w:szCs w:val="22"/>
          <w:lang w:val="hr-HR"/>
        </w:rPr>
        <w:t xml:space="preserve"> sistemat</w:t>
      </w:r>
      <w:r w:rsidR="00775EC5" w:rsidRPr="00913317">
        <w:rPr>
          <w:sz w:val="22"/>
          <w:szCs w:val="22"/>
          <w:lang w:val="hr-HR"/>
        </w:rPr>
        <w:t>ično</w:t>
      </w:r>
      <w:r w:rsidRPr="00913317">
        <w:rPr>
          <w:sz w:val="22"/>
          <w:szCs w:val="22"/>
          <w:lang w:val="hr-HR"/>
        </w:rPr>
        <w:t xml:space="preserve"> i redovno</w:t>
      </w:r>
      <w:r w:rsidR="00775EC5" w:rsidRPr="00913317">
        <w:rPr>
          <w:sz w:val="22"/>
          <w:szCs w:val="22"/>
          <w:lang w:val="hr-HR"/>
        </w:rPr>
        <w:t>,</w:t>
      </w:r>
      <w:r w:rsidRPr="00913317">
        <w:rPr>
          <w:sz w:val="22"/>
          <w:szCs w:val="22"/>
          <w:lang w:val="hr-HR"/>
        </w:rPr>
        <w:t xml:space="preserve"> </w:t>
      </w:r>
      <w:r w:rsidR="00775EC5" w:rsidRPr="00913317">
        <w:rPr>
          <w:sz w:val="22"/>
          <w:szCs w:val="22"/>
          <w:lang w:val="hr-HR"/>
        </w:rPr>
        <w:t>kako</w:t>
      </w:r>
      <w:r w:rsidRPr="00913317">
        <w:rPr>
          <w:sz w:val="22"/>
          <w:szCs w:val="22"/>
          <w:lang w:val="hr-HR"/>
        </w:rPr>
        <w:t xml:space="preserve"> bi se omogućilo rano otkrivanje i l</w:t>
      </w:r>
      <w:r w:rsidR="0007166D" w:rsidRPr="00913317">
        <w:rPr>
          <w:sz w:val="22"/>
          <w:szCs w:val="22"/>
          <w:lang w:val="hr-HR"/>
        </w:rPr>
        <w:t>ij</w:t>
      </w:r>
      <w:r w:rsidRPr="00913317">
        <w:rPr>
          <w:sz w:val="22"/>
          <w:szCs w:val="22"/>
          <w:lang w:val="hr-HR"/>
        </w:rPr>
        <w:t xml:space="preserve">ečenje premalignih lezija. Terapiju </w:t>
      </w:r>
      <w:r w:rsidR="004D45E7" w:rsidRPr="00913317">
        <w:rPr>
          <w:sz w:val="22"/>
          <w:szCs w:val="22"/>
          <w:lang w:val="hr-HR"/>
        </w:rPr>
        <w:t>lijek</w:t>
      </w:r>
      <w:r w:rsidRPr="00913317">
        <w:rPr>
          <w:sz w:val="22"/>
          <w:szCs w:val="22"/>
          <w:lang w:val="hr-HR"/>
        </w:rPr>
        <w:t xml:space="preserve">om </w:t>
      </w:r>
      <w:r w:rsidR="002A7B8D" w:rsidRPr="00913317">
        <w:rPr>
          <w:sz w:val="22"/>
          <w:szCs w:val="22"/>
          <w:lang w:val="hr-HR"/>
        </w:rPr>
        <w:t xml:space="preserve">VFEND </w:t>
      </w:r>
      <w:r w:rsidRPr="00913317">
        <w:rPr>
          <w:sz w:val="22"/>
          <w:szCs w:val="22"/>
          <w:lang w:val="hr-HR"/>
        </w:rPr>
        <w:t>treba prekinuti ako se identifikuju premaligne lezije kože ili karcinom skvamoznih ćelija (vid</w:t>
      </w:r>
      <w:r w:rsidR="0007166D" w:rsidRPr="00913317">
        <w:rPr>
          <w:sz w:val="22"/>
          <w:szCs w:val="22"/>
          <w:lang w:val="hr-HR"/>
        </w:rPr>
        <w:t>j</w:t>
      </w:r>
      <w:r w:rsidRPr="00913317">
        <w:rPr>
          <w:sz w:val="22"/>
          <w:szCs w:val="22"/>
          <w:lang w:val="hr-HR"/>
        </w:rPr>
        <w:t xml:space="preserve">eti </w:t>
      </w:r>
      <w:r w:rsidR="00A43D3B" w:rsidRPr="00913317">
        <w:rPr>
          <w:sz w:val="22"/>
          <w:szCs w:val="22"/>
          <w:lang w:val="hr-HR"/>
        </w:rPr>
        <w:t>podnaslov</w:t>
      </w:r>
      <w:r w:rsidR="00E77605" w:rsidRPr="00913317">
        <w:rPr>
          <w:sz w:val="22"/>
          <w:szCs w:val="22"/>
          <w:lang w:val="hr-HR"/>
        </w:rPr>
        <w:t xml:space="preserve"> </w:t>
      </w:r>
      <w:r w:rsidR="00040D43" w:rsidRPr="00913317">
        <w:rPr>
          <w:sz w:val="22"/>
          <w:szCs w:val="22"/>
          <w:lang w:val="hr-HR"/>
        </w:rPr>
        <w:t>„</w:t>
      </w:r>
      <w:r w:rsidRPr="00913317">
        <w:rPr>
          <w:sz w:val="22"/>
          <w:szCs w:val="22"/>
          <w:lang w:val="hr-HR"/>
        </w:rPr>
        <w:t>Dugotrajna terapija</w:t>
      </w:r>
      <w:r w:rsidR="00040D43" w:rsidRPr="00913317">
        <w:rPr>
          <w:sz w:val="22"/>
          <w:szCs w:val="22"/>
          <w:lang w:val="hr-HR"/>
        </w:rPr>
        <w:t>“</w:t>
      </w:r>
      <w:r w:rsidR="00E77605" w:rsidRPr="00913317">
        <w:rPr>
          <w:sz w:val="22"/>
          <w:szCs w:val="22"/>
          <w:lang w:val="hr-HR"/>
        </w:rPr>
        <w:t xml:space="preserve"> u nastavku</w:t>
      </w:r>
      <w:r w:rsidRPr="00913317">
        <w:rPr>
          <w:sz w:val="22"/>
          <w:szCs w:val="22"/>
          <w:lang w:val="hr-HR"/>
        </w:rPr>
        <w:t xml:space="preserve">). </w:t>
      </w:r>
    </w:p>
    <w:p w14:paraId="6BBF65FE" w14:textId="690285DF" w:rsidR="002A7B8D" w:rsidRPr="00913317" w:rsidRDefault="002A7B8D" w:rsidP="00D72925">
      <w:pPr>
        <w:rPr>
          <w:szCs w:val="22"/>
          <w:lang w:val="hr-HR" w:eastAsia="en-GB"/>
        </w:rPr>
      </w:pPr>
    </w:p>
    <w:p w14:paraId="75F311D8" w14:textId="1A230262" w:rsidR="007D0A3B" w:rsidRPr="00913317" w:rsidRDefault="007D0A3B" w:rsidP="00D72925">
      <w:pPr>
        <w:pStyle w:val="ListParagraph"/>
        <w:numPr>
          <w:ilvl w:val="0"/>
          <w:numId w:val="10"/>
        </w:numPr>
        <w:spacing w:after="0" w:line="240" w:lineRule="auto"/>
        <w:ind w:left="426" w:hanging="284"/>
        <w:jc w:val="both"/>
        <w:rPr>
          <w:rFonts w:ascii="Times New Roman" w:hAnsi="Times New Roman"/>
          <w:u w:val="single"/>
          <w:lang w:val="hr-HR" w:eastAsia="en-GB"/>
        </w:rPr>
      </w:pPr>
      <w:r w:rsidRPr="00913317">
        <w:rPr>
          <w:rFonts w:ascii="Times New Roman" w:hAnsi="Times New Roman"/>
          <w:u w:val="single"/>
          <w:lang w:val="hr-HR" w:eastAsia="en-GB"/>
        </w:rPr>
        <w:t>Teške neželjene reakcije na koži</w:t>
      </w:r>
    </w:p>
    <w:p w14:paraId="20D6BC71" w14:textId="60B0A09F" w:rsidR="002A7B8D" w:rsidRPr="00913317" w:rsidRDefault="002A7B8D" w:rsidP="00D72925">
      <w:pPr>
        <w:pStyle w:val="ListParagraph"/>
        <w:spacing w:line="240" w:lineRule="auto"/>
        <w:ind w:left="426"/>
        <w:jc w:val="both"/>
        <w:rPr>
          <w:rFonts w:ascii="Times New Roman" w:hAnsi="Times New Roman"/>
          <w:lang w:val="hr-HR" w:eastAsia="en-GB"/>
        </w:rPr>
      </w:pPr>
      <w:r w:rsidRPr="00913317">
        <w:rPr>
          <w:rFonts w:ascii="Times New Roman" w:hAnsi="Times New Roman"/>
          <w:lang w:val="hr-HR" w:eastAsia="en-GB"/>
        </w:rPr>
        <w:t xml:space="preserve">Kod primjene vorikonazola prijavljene su teške neželjene reakcije na koži (engl. </w:t>
      </w:r>
      <w:r w:rsidR="00990A01" w:rsidRPr="00913317">
        <w:rPr>
          <w:rFonts w:ascii="Times New Roman" w:hAnsi="Times New Roman"/>
          <w:i/>
          <w:lang w:val="hr-HR" w:eastAsia="en-GB"/>
        </w:rPr>
        <w:t>S</w:t>
      </w:r>
      <w:r w:rsidRPr="00913317">
        <w:rPr>
          <w:rFonts w:ascii="Times New Roman" w:hAnsi="Times New Roman"/>
          <w:i/>
          <w:lang w:val="hr-HR" w:eastAsia="en-GB"/>
        </w:rPr>
        <w:t>evere cutaneous adverse reactions</w:t>
      </w:r>
      <w:r w:rsidRPr="00913317">
        <w:rPr>
          <w:rFonts w:ascii="Times New Roman" w:hAnsi="Times New Roman"/>
          <w:lang w:val="hr-HR" w:eastAsia="en-GB"/>
        </w:rPr>
        <w:t xml:space="preserve">, SCAR) uključujući </w:t>
      </w:r>
      <w:r w:rsidRPr="00913317">
        <w:rPr>
          <w:rFonts w:ascii="Times New Roman" w:hAnsi="Times New Roman"/>
          <w:i/>
          <w:lang w:val="hr-HR" w:eastAsia="en-GB"/>
        </w:rPr>
        <w:t>Stevens-Johnson</w:t>
      </w:r>
      <w:r w:rsidR="00DE1973" w:rsidRPr="00913317">
        <w:rPr>
          <w:rFonts w:ascii="Times New Roman" w:hAnsi="Times New Roman"/>
          <w:i/>
          <w:lang w:val="hr-HR" w:eastAsia="en-GB"/>
        </w:rPr>
        <w:t>-</w:t>
      </w:r>
      <w:r w:rsidRPr="00913317">
        <w:rPr>
          <w:rFonts w:ascii="Times New Roman" w:hAnsi="Times New Roman"/>
          <w:lang w:val="hr-HR" w:eastAsia="en-GB"/>
        </w:rPr>
        <w:t xml:space="preserve">ov sindrom (SJS), toksičnu epidermalnu nekrolizu (TEN) i reakciju na lijek sa eozinofilijom i sistemskim simptomima (engl. </w:t>
      </w:r>
      <w:r w:rsidR="00990A01" w:rsidRPr="00913317">
        <w:rPr>
          <w:rFonts w:ascii="Times New Roman" w:hAnsi="Times New Roman"/>
          <w:i/>
          <w:lang w:val="hr-HR" w:eastAsia="en-GB"/>
        </w:rPr>
        <w:t>D</w:t>
      </w:r>
      <w:r w:rsidRPr="00913317">
        <w:rPr>
          <w:rFonts w:ascii="Times New Roman" w:hAnsi="Times New Roman"/>
          <w:i/>
          <w:lang w:val="hr-HR" w:eastAsia="en-GB"/>
        </w:rPr>
        <w:t>rug reaction with eosinophilia and systemic symptoms</w:t>
      </w:r>
      <w:r w:rsidRPr="00913317">
        <w:rPr>
          <w:rFonts w:ascii="Times New Roman" w:hAnsi="Times New Roman"/>
          <w:lang w:val="hr-HR" w:eastAsia="en-GB"/>
        </w:rPr>
        <w:t xml:space="preserve">, DRESS), koje mogu biti opasne po život ili smrtonosne. Ukoliko se kod pacijenta pojavi osip, treba ga </w:t>
      </w:r>
      <w:r w:rsidR="003C18A0" w:rsidRPr="00913317">
        <w:rPr>
          <w:rFonts w:ascii="Times New Roman" w:hAnsi="Times New Roman"/>
          <w:lang w:val="hr-HR" w:eastAsia="en-GB"/>
        </w:rPr>
        <w:t>pažljivo</w:t>
      </w:r>
      <w:r w:rsidRPr="00913317">
        <w:rPr>
          <w:rFonts w:ascii="Times New Roman" w:hAnsi="Times New Roman"/>
          <w:lang w:val="hr-HR" w:eastAsia="en-GB"/>
        </w:rPr>
        <w:t xml:space="preserve"> </w:t>
      </w:r>
      <w:r w:rsidR="003C18A0" w:rsidRPr="00913317">
        <w:rPr>
          <w:rFonts w:ascii="Times New Roman" w:hAnsi="Times New Roman"/>
          <w:lang w:val="hr-HR" w:eastAsia="en-GB"/>
        </w:rPr>
        <w:t>pratiti</w:t>
      </w:r>
      <w:r w:rsidRPr="00913317">
        <w:rPr>
          <w:rFonts w:ascii="Times New Roman" w:hAnsi="Times New Roman"/>
          <w:lang w:val="hr-HR" w:eastAsia="en-GB"/>
        </w:rPr>
        <w:t xml:space="preserve"> i prekinuti liječenje lijekom Vfend ako se lezije pogoršaju.</w:t>
      </w:r>
    </w:p>
    <w:p w14:paraId="6FDE4732" w14:textId="2E97AD69" w:rsidR="00526583" w:rsidRPr="00913317" w:rsidRDefault="00526583" w:rsidP="00D72925">
      <w:pPr>
        <w:rPr>
          <w:szCs w:val="22"/>
          <w:u w:val="single"/>
          <w:lang w:val="hr-HR" w:eastAsia="en-GB"/>
        </w:rPr>
      </w:pPr>
      <w:r w:rsidRPr="00913317">
        <w:rPr>
          <w:szCs w:val="22"/>
          <w:u w:val="single"/>
          <w:lang w:val="hr-HR" w:eastAsia="en-GB"/>
        </w:rPr>
        <w:t>Događaji povezani s</w:t>
      </w:r>
      <w:r w:rsidR="003A4AA2" w:rsidRPr="00913317">
        <w:rPr>
          <w:szCs w:val="22"/>
          <w:u w:val="single"/>
          <w:lang w:val="hr-HR" w:eastAsia="en-GB"/>
        </w:rPr>
        <w:t>a</w:t>
      </w:r>
      <w:r w:rsidRPr="00913317">
        <w:rPr>
          <w:szCs w:val="22"/>
          <w:u w:val="single"/>
          <w:lang w:val="hr-HR" w:eastAsia="en-GB"/>
        </w:rPr>
        <w:t xml:space="preserve"> nadbubrežnom žlijezdom</w:t>
      </w:r>
    </w:p>
    <w:p w14:paraId="42093D97" w14:textId="4437E922" w:rsidR="00526583" w:rsidRPr="00913317" w:rsidRDefault="00526583" w:rsidP="00D72925">
      <w:pPr>
        <w:rPr>
          <w:szCs w:val="22"/>
          <w:lang w:val="hr-HR" w:eastAsia="en-GB"/>
        </w:rPr>
      </w:pPr>
      <w:r w:rsidRPr="00913317">
        <w:rPr>
          <w:szCs w:val="22"/>
          <w:lang w:val="hr-HR" w:eastAsia="en-GB"/>
        </w:rPr>
        <w:t xml:space="preserve">Prijavljeni su reverzibilni slučajevi insuficijencije nadbubrežne žlijezde kod pacijenata koji su primali azole, uključujući vorikonazol. Insuficijencija nadbubrežne žlijezde prijavljena je kod pacijenata koji su primali azole sa ili bez istovremeno primijenjenih kortikosteroida. Kod pacijenata koji su primali azole bez kortikosteroida, insuficijencija nadbubrežne žlijezde bila je povezana sa direktnom inhibicijom steroidogeneze djelovanjem azola. Kod pacijenata koji uzimaju kortikosteroide, inhibicija CYP3A4 povezana sa vorikonazolom može dovesti do viška kortikosteroida i supresije nadbubrežne žlijezde (vidjeti </w:t>
      </w:r>
      <w:r w:rsidR="00954637" w:rsidRPr="00913317">
        <w:rPr>
          <w:szCs w:val="22"/>
          <w:lang w:val="hr-HR" w:eastAsia="en-GB"/>
        </w:rPr>
        <w:t xml:space="preserve">dio </w:t>
      </w:r>
      <w:r w:rsidRPr="00913317">
        <w:rPr>
          <w:szCs w:val="22"/>
          <w:lang w:val="hr-HR" w:eastAsia="en-GB"/>
        </w:rPr>
        <w:t xml:space="preserve">4.5). Prijavljen je i </w:t>
      </w:r>
      <w:r w:rsidRPr="00913317">
        <w:rPr>
          <w:i/>
          <w:szCs w:val="22"/>
          <w:lang w:val="hr-HR" w:eastAsia="en-GB"/>
        </w:rPr>
        <w:t>Cushing</w:t>
      </w:r>
      <w:r w:rsidR="00A826AF" w:rsidRPr="00913317">
        <w:rPr>
          <w:i/>
          <w:szCs w:val="22"/>
          <w:lang w:val="hr-HR" w:eastAsia="en-GB"/>
        </w:rPr>
        <w:t>-</w:t>
      </w:r>
      <w:r w:rsidRPr="00913317">
        <w:rPr>
          <w:szCs w:val="22"/>
          <w:lang w:val="hr-HR" w:eastAsia="en-GB"/>
        </w:rPr>
        <w:t>ov sindrom sa ili bez naknadne insuficijencije nadbubrežne žlijezde kod pacijenata koji su primali vorikonazol istovremeno sa kortikosteroidima.</w:t>
      </w:r>
    </w:p>
    <w:p w14:paraId="4CDB5C0D" w14:textId="77777777" w:rsidR="00526583" w:rsidRPr="00913317" w:rsidRDefault="00526583" w:rsidP="00D72925">
      <w:pPr>
        <w:rPr>
          <w:szCs w:val="22"/>
          <w:lang w:val="hr-HR" w:eastAsia="en-GB"/>
        </w:rPr>
      </w:pPr>
    </w:p>
    <w:p w14:paraId="64CCF21B" w14:textId="0C341D23" w:rsidR="00526583" w:rsidRPr="00913317" w:rsidRDefault="00526583" w:rsidP="00D72925">
      <w:pPr>
        <w:rPr>
          <w:szCs w:val="22"/>
          <w:lang w:val="hr-HR" w:eastAsia="en-GB"/>
        </w:rPr>
      </w:pPr>
      <w:r w:rsidRPr="00913317">
        <w:rPr>
          <w:szCs w:val="22"/>
          <w:lang w:val="hr-HR" w:eastAsia="en-GB"/>
        </w:rPr>
        <w:t xml:space="preserve">Treba pažljivo </w:t>
      </w:r>
      <w:r w:rsidR="003C18A0" w:rsidRPr="00913317">
        <w:rPr>
          <w:szCs w:val="22"/>
          <w:lang w:val="hr-HR" w:eastAsia="en-GB"/>
        </w:rPr>
        <w:t>pratiti</w:t>
      </w:r>
      <w:r w:rsidRPr="00913317">
        <w:rPr>
          <w:szCs w:val="22"/>
          <w:lang w:val="hr-HR" w:eastAsia="en-GB"/>
        </w:rPr>
        <w:t xml:space="preserve"> pacijente koji se dugotrajno liječe vorikonazolom i kortikosteroidima (uključujući kortikosteroide za inhalacionu primjenu, npr. budesonid i kortikosteroide za intranazalnu primjenu) zbog mogućeg poremećaja funkcije kore nadbubrežne žlijezde tokom liječenja i kada se </w:t>
      </w:r>
      <w:r w:rsidR="003C18A0" w:rsidRPr="00913317">
        <w:rPr>
          <w:szCs w:val="22"/>
          <w:lang w:val="hr-HR" w:eastAsia="en-GB"/>
        </w:rPr>
        <w:t>prekine</w:t>
      </w:r>
      <w:r w:rsidRPr="00913317">
        <w:rPr>
          <w:szCs w:val="22"/>
          <w:lang w:val="hr-HR" w:eastAsia="en-GB"/>
        </w:rPr>
        <w:t xml:space="preserve"> primjena vorikonazola (vidjeti </w:t>
      </w:r>
      <w:r w:rsidR="00954637" w:rsidRPr="00913317">
        <w:rPr>
          <w:szCs w:val="22"/>
          <w:lang w:val="hr-HR" w:eastAsia="en-GB"/>
        </w:rPr>
        <w:t>dio</w:t>
      </w:r>
      <w:r w:rsidRPr="00913317">
        <w:rPr>
          <w:szCs w:val="22"/>
          <w:lang w:val="hr-HR" w:eastAsia="en-GB"/>
        </w:rPr>
        <w:t xml:space="preserve"> 4.5). Pacijente treba savjetovati da potraže hitnu medicinsku pomoć ako se </w:t>
      </w:r>
      <w:r w:rsidR="000A757E" w:rsidRPr="00913317">
        <w:rPr>
          <w:szCs w:val="22"/>
          <w:lang w:val="hr-HR" w:eastAsia="en-GB"/>
        </w:rPr>
        <w:t>kod</w:t>
      </w:r>
      <w:r w:rsidRPr="00913317">
        <w:rPr>
          <w:szCs w:val="22"/>
          <w:lang w:val="hr-HR" w:eastAsia="en-GB"/>
        </w:rPr>
        <w:t xml:space="preserve"> njih jave zna</w:t>
      </w:r>
      <w:r w:rsidR="00FD1248" w:rsidRPr="00913317">
        <w:rPr>
          <w:szCs w:val="22"/>
          <w:lang w:val="hr-HR" w:eastAsia="en-GB"/>
        </w:rPr>
        <w:t>ci</w:t>
      </w:r>
      <w:r w:rsidRPr="00913317">
        <w:rPr>
          <w:szCs w:val="22"/>
          <w:lang w:val="hr-HR" w:eastAsia="en-GB"/>
        </w:rPr>
        <w:t xml:space="preserve"> i simptomi </w:t>
      </w:r>
      <w:r w:rsidRPr="00913317">
        <w:rPr>
          <w:i/>
          <w:szCs w:val="22"/>
          <w:lang w:val="hr-HR" w:eastAsia="en-GB"/>
        </w:rPr>
        <w:t>Cushing</w:t>
      </w:r>
      <w:r w:rsidR="00A826AF" w:rsidRPr="00913317">
        <w:rPr>
          <w:i/>
          <w:szCs w:val="22"/>
          <w:lang w:val="hr-HR" w:eastAsia="en-GB"/>
        </w:rPr>
        <w:t>-</w:t>
      </w:r>
      <w:r w:rsidRPr="00913317">
        <w:rPr>
          <w:szCs w:val="22"/>
          <w:lang w:val="hr-HR" w:eastAsia="en-GB"/>
        </w:rPr>
        <w:t>ovog sindroma ili insuficijencija nadbubrežne žlijezde.</w:t>
      </w:r>
    </w:p>
    <w:p w14:paraId="6C73C44F" w14:textId="77777777" w:rsidR="006131C3" w:rsidRPr="00913317" w:rsidRDefault="006131C3" w:rsidP="00D72925">
      <w:pPr>
        <w:rPr>
          <w:color w:val="FF0000"/>
          <w:szCs w:val="22"/>
          <w:u w:val="single"/>
          <w:lang w:val="hr-HR"/>
        </w:rPr>
      </w:pPr>
    </w:p>
    <w:p w14:paraId="303EF7A5" w14:textId="77777777" w:rsidR="006131C3" w:rsidRPr="00913317" w:rsidRDefault="00280EB1" w:rsidP="00D72925">
      <w:pPr>
        <w:rPr>
          <w:szCs w:val="22"/>
          <w:u w:val="single"/>
          <w:lang w:val="hr-HR"/>
        </w:rPr>
      </w:pPr>
      <w:r w:rsidRPr="00913317">
        <w:rPr>
          <w:szCs w:val="22"/>
          <w:u w:val="single"/>
          <w:lang w:val="hr-HR"/>
        </w:rPr>
        <w:t xml:space="preserve">Dugotrajna terapija </w:t>
      </w:r>
    </w:p>
    <w:p w14:paraId="7AAF52D3" w14:textId="21D0B07B" w:rsidR="006131C3" w:rsidRPr="00913317" w:rsidRDefault="00280EB1" w:rsidP="00D72925">
      <w:pPr>
        <w:rPr>
          <w:szCs w:val="22"/>
          <w:lang w:val="hr-HR"/>
        </w:rPr>
      </w:pPr>
      <w:r w:rsidRPr="00913317">
        <w:rPr>
          <w:szCs w:val="22"/>
          <w:lang w:val="hr-HR"/>
        </w:rPr>
        <w:t>Dugotrajno izlaganje (</w:t>
      </w:r>
      <w:r w:rsidR="00225714" w:rsidRPr="00913317">
        <w:rPr>
          <w:szCs w:val="22"/>
          <w:lang w:val="hr-HR"/>
        </w:rPr>
        <w:t>terapija</w:t>
      </w:r>
      <w:r w:rsidRPr="00913317">
        <w:rPr>
          <w:szCs w:val="22"/>
          <w:lang w:val="hr-HR"/>
        </w:rPr>
        <w:t xml:space="preserve"> ili profilaksa) duže od 180 dana (6 m</w:t>
      </w:r>
      <w:r w:rsidR="0007166D" w:rsidRPr="00913317">
        <w:rPr>
          <w:szCs w:val="22"/>
          <w:lang w:val="hr-HR"/>
        </w:rPr>
        <w:t>j</w:t>
      </w:r>
      <w:r w:rsidRPr="00913317">
        <w:rPr>
          <w:szCs w:val="22"/>
          <w:lang w:val="hr-HR"/>
        </w:rPr>
        <w:t xml:space="preserve">eseci) </w:t>
      </w:r>
      <w:r w:rsidR="00D85AC5" w:rsidRPr="00913317">
        <w:rPr>
          <w:szCs w:val="22"/>
          <w:lang w:val="hr-HR"/>
        </w:rPr>
        <w:t>zahtijeva</w:t>
      </w:r>
      <w:r w:rsidRPr="00913317">
        <w:rPr>
          <w:szCs w:val="22"/>
          <w:lang w:val="hr-HR"/>
        </w:rPr>
        <w:t xml:space="preserve"> pažljivu </w:t>
      </w:r>
      <w:r w:rsidR="004D45E7" w:rsidRPr="00913317">
        <w:rPr>
          <w:szCs w:val="22"/>
          <w:lang w:val="hr-HR"/>
        </w:rPr>
        <w:t>procjen</w:t>
      </w:r>
      <w:r w:rsidRPr="00913317">
        <w:rPr>
          <w:szCs w:val="22"/>
          <w:lang w:val="hr-HR"/>
        </w:rPr>
        <w:t xml:space="preserve">u </w:t>
      </w:r>
      <w:r w:rsidR="00775EC5" w:rsidRPr="00913317">
        <w:rPr>
          <w:szCs w:val="22"/>
          <w:lang w:val="hr-HR"/>
        </w:rPr>
        <w:t xml:space="preserve">odnosa </w:t>
      </w:r>
      <w:r w:rsidRPr="00913317">
        <w:rPr>
          <w:szCs w:val="22"/>
          <w:lang w:val="hr-HR"/>
        </w:rPr>
        <w:t xml:space="preserve">koristi i rizika i iz tog razloga </w:t>
      </w:r>
      <w:r w:rsidR="004D45E7" w:rsidRPr="00913317">
        <w:rPr>
          <w:szCs w:val="22"/>
          <w:lang w:val="hr-HR"/>
        </w:rPr>
        <w:t>ljek</w:t>
      </w:r>
      <w:r w:rsidRPr="00913317">
        <w:rPr>
          <w:szCs w:val="22"/>
          <w:lang w:val="hr-HR"/>
        </w:rPr>
        <w:t xml:space="preserve">ari treba da razmotre </w:t>
      </w:r>
      <w:r w:rsidR="00775EC5" w:rsidRPr="00913317">
        <w:rPr>
          <w:szCs w:val="22"/>
          <w:lang w:val="hr-HR"/>
        </w:rPr>
        <w:t>da li teba ograničiti</w:t>
      </w:r>
      <w:r w:rsidRPr="00913317">
        <w:rPr>
          <w:szCs w:val="22"/>
          <w:lang w:val="hr-HR"/>
        </w:rPr>
        <w:t xml:space="preserve"> izloženost </w:t>
      </w:r>
      <w:r w:rsidR="004D45E7" w:rsidRPr="00913317">
        <w:rPr>
          <w:szCs w:val="22"/>
          <w:lang w:val="hr-HR"/>
        </w:rPr>
        <w:t>lijek</w:t>
      </w:r>
      <w:r w:rsidRPr="00913317">
        <w:rPr>
          <w:szCs w:val="22"/>
          <w:lang w:val="hr-HR"/>
        </w:rPr>
        <w:t>u Vfend (</w:t>
      </w:r>
      <w:r w:rsidR="004D45E7" w:rsidRPr="00913317">
        <w:rPr>
          <w:szCs w:val="22"/>
          <w:lang w:val="hr-HR"/>
        </w:rPr>
        <w:t xml:space="preserve">vidjeti </w:t>
      </w:r>
      <w:r w:rsidR="00954637" w:rsidRPr="00913317">
        <w:rPr>
          <w:szCs w:val="22"/>
          <w:lang w:val="hr-HR"/>
        </w:rPr>
        <w:t xml:space="preserve">djelove </w:t>
      </w:r>
      <w:r w:rsidRPr="00913317">
        <w:rPr>
          <w:szCs w:val="22"/>
          <w:lang w:val="hr-HR"/>
        </w:rPr>
        <w:t xml:space="preserve">4.2 i 5.1). </w:t>
      </w:r>
    </w:p>
    <w:p w14:paraId="33095958" w14:textId="77777777" w:rsidR="006131C3" w:rsidRPr="00913317" w:rsidRDefault="006131C3" w:rsidP="00D72925">
      <w:pPr>
        <w:rPr>
          <w:color w:val="FF0000"/>
          <w:szCs w:val="22"/>
          <w:lang w:val="hr-HR"/>
        </w:rPr>
      </w:pPr>
    </w:p>
    <w:p w14:paraId="08B56601" w14:textId="78B20604" w:rsidR="006131C3" w:rsidRPr="00913317" w:rsidRDefault="00280EB1" w:rsidP="00D72925">
      <w:pPr>
        <w:rPr>
          <w:szCs w:val="22"/>
          <w:lang w:val="hr-HR"/>
        </w:rPr>
      </w:pPr>
      <w:r w:rsidRPr="00913317">
        <w:rPr>
          <w:szCs w:val="22"/>
          <w:lang w:val="hr-HR"/>
        </w:rPr>
        <w:t xml:space="preserve">Karcinom skvamoznih ćelija kože (SCC) </w:t>
      </w:r>
      <w:r w:rsidR="003A4AA2" w:rsidRPr="00913317">
        <w:rPr>
          <w:szCs w:val="22"/>
          <w:lang w:val="hr-HR"/>
        </w:rPr>
        <w:t xml:space="preserve">(uključujući kutani SCC </w:t>
      </w:r>
      <w:r w:rsidR="003A4AA2" w:rsidRPr="00913317">
        <w:rPr>
          <w:i/>
          <w:iCs/>
          <w:szCs w:val="22"/>
          <w:lang w:val="hr-HR"/>
        </w:rPr>
        <w:t>in situ</w:t>
      </w:r>
      <w:r w:rsidR="003A4AA2" w:rsidRPr="00913317">
        <w:rPr>
          <w:szCs w:val="22"/>
          <w:lang w:val="hr-HR"/>
        </w:rPr>
        <w:t xml:space="preserve"> ili </w:t>
      </w:r>
      <w:r w:rsidR="003A4AA2" w:rsidRPr="00913317">
        <w:rPr>
          <w:i/>
          <w:szCs w:val="22"/>
          <w:lang w:val="hr-HR"/>
        </w:rPr>
        <w:t>Bowen</w:t>
      </w:r>
      <w:r w:rsidR="00DE1973" w:rsidRPr="00913317">
        <w:rPr>
          <w:szCs w:val="22"/>
          <w:lang w:val="hr-HR"/>
        </w:rPr>
        <w:t>-</w:t>
      </w:r>
      <w:r w:rsidR="003A4AA2" w:rsidRPr="00913317">
        <w:rPr>
          <w:szCs w:val="22"/>
          <w:lang w:val="hr-HR"/>
        </w:rPr>
        <w:t xml:space="preserve">ovu bolest) </w:t>
      </w:r>
      <w:r w:rsidR="003204CC" w:rsidRPr="00913317">
        <w:rPr>
          <w:szCs w:val="22"/>
          <w:lang w:val="hr-HR"/>
        </w:rPr>
        <w:t>zabilje</w:t>
      </w:r>
      <w:r w:rsidRPr="00913317">
        <w:rPr>
          <w:szCs w:val="22"/>
          <w:lang w:val="hr-HR"/>
        </w:rPr>
        <w:t xml:space="preserve">žen je pri dugotrajnoj terapiji </w:t>
      </w:r>
      <w:r w:rsidR="004D45E7" w:rsidRPr="00913317">
        <w:rPr>
          <w:szCs w:val="22"/>
          <w:lang w:val="hr-HR"/>
        </w:rPr>
        <w:t>lijek</w:t>
      </w:r>
      <w:r w:rsidRPr="00913317">
        <w:rPr>
          <w:szCs w:val="22"/>
          <w:lang w:val="hr-HR"/>
        </w:rPr>
        <w:t xml:space="preserve">om </w:t>
      </w:r>
      <w:r w:rsidR="003A4AA2" w:rsidRPr="00913317">
        <w:rPr>
          <w:szCs w:val="22"/>
          <w:lang w:val="hr-HR"/>
        </w:rPr>
        <w:t>VFEND</w:t>
      </w:r>
      <w:r w:rsidR="00FC1B63" w:rsidRPr="00913317">
        <w:rPr>
          <w:szCs w:val="22"/>
          <w:lang w:val="hr-HR"/>
        </w:rPr>
        <w:t xml:space="preserve"> (vidjeti dio 4.8)</w:t>
      </w:r>
      <w:r w:rsidRPr="00913317">
        <w:rPr>
          <w:szCs w:val="22"/>
          <w:lang w:val="hr-HR"/>
        </w:rPr>
        <w:t xml:space="preserve">. </w:t>
      </w:r>
    </w:p>
    <w:p w14:paraId="3216F075" w14:textId="77777777" w:rsidR="006131C3" w:rsidRPr="00913317" w:rsidRDefault="006131C3" w:rsidP="00D72925">
      <w:pPr>
        <w:rPr>
          <w:color w:val="FF0000"/>
          <w:szCs w:val="22"/>
          <w:lang w:val="hr-HR"/>
        </w:rPr>
      </w:pPr>
    </w:p>
    <w:p w14:paraId="351385E8" w14:textId="17A27717" w:rsidR="006131C3" w:rsidRPr="00913317" w:rsidRDefault="00775EC5" w:rsidP="00D72925">
      <w:pPr>
        <w:tabs>
          <w:tab w:val="clear" w:pos="284"/>
        </w:tabs>
        <w:rPr>
          <w:szCs w:val="22"/>
          <w:lang w:val="hr-HR"/>
        </w:rPr>
      </w:pPr>
      <w:r w:rsidRPr="00913317">
        <w:rPr>
          <w:szCs w:val="22"/>
          <w:lang w:val="hr-HR"/>
        </w:rPr>
        <w:t xml:space="preserve">Neinfektivni periostitis sa povišenim </w:t>
      </w:r>
      <w:r w:rsidR="004D45E7" w:rsidRPr="00913317">
        <w:rPr>
          <w:szCs w:val="22"/>
          <w:lang w:val="hr-HR"/>
        </w:rPr>
        <w:t>vrijedno</w:t>
      </w:r>
      <w:r w:rsidRPr="00913317">
        <w:rPr>
          <w:szCs w:val="22"/>
          <w:lang w:val="hr-HR"/>
        </w:rPr>
        <w:t xml:space="preserve">stima fluorida i alkalne fosfataze je </w:t>
      </w:r>
      <w:r w:rsidR="003204CC" w:rsidRPr="00913317">
        <w:rPr>
          <w:szCs w:val="22"/>
          <w:lang w:val="hr-HR"/>
        </w:rPr>
        <w:t>zabilje</w:t>
      </w:r>
      <w:r w:rsidRPr="00913317">
        <w:rPr>
          <w:szCs w:val="22"/>
          <w:lang w:val="hr-HR"/>
        </w:rPr>
        <w:t>žen k</w:t>
      </w:r>
      <w:r w:rsidR="00280EB1" w:rsidRPr="00913317">
        <w:rPr>
          <w:szCs w:val="22"/>
          <w:lang w:val="hr-HR"/>
        </w:rPr>
        <w:t>od pacijenata kod kojih je izvršena transplantacija. Ukoliko se kod pacijenata javi bol u kostima</w:t>
      </w:r>
      <w:r w:rsidR="00BB4A1E" w:rsidRPr="00913317">
        <w:rPr>
          <w:szCs w:val="22"/>
          <w:lang w:val="hr-HR"/>
        </w:rPr>
        <w:t xml:space="preserve">, a </w:t>
      </w:r>
      <w:r w:rsidR="00280EB1" w:rsidRPr="00913317">
        <w:rPr>
          <w:szCs w:val="22"/>
          <w:lang w:val="hr-HR"/>
        </w:rPr>
        <w:t xml:space="preserve">radiološki nalazi ukazuju na periostitis, nakon multidisciplinarnog pristupa treba razmotriti prekid </w:t>
      </w:r>
      <w:r w:rsidR="004D45E7" w:rsidRPr="00913317">
        <w:rPr>
          <w:szCs w:val="22"/>
          <w:lang w:val="hr-HR"/>
        </w:rPr>
        <w:t>primjen</w:t>
      </w:r>
      <w:r w:rsidR="00BB4A1E" w:rsidRPr="00913317">
        <w:rPr>
          <w:szCs w:val="22"/>
          <w:lang w:val="hr-HR"/>
        </w:rPr>
        <w:t>e</w:t>
      </w:r>
      <w:r w:rsidR="00280EB1" w:rsidRPr="00913317">
        <w:rPr>
          <w:szCs w:val="22"/>
          <w:lang w:val="hr-HR"/>
        </w:rPr>
        <w:t xml:space="preserve"> </w:t>
      </w:r>
      <w:r w:rsidR="004D45E7" w:rsidRPr="00913317">
        <w:rPr>
          <w:szCs w:val="22"/>
          <w:lang w:val="hr-HR"/>
        </w:rPr>
        <w:t>lijek</w:t>
      </w:r>
      <w:r w:rsidR="00BB4A1E" w:rsidRPr="00913317">
        <w:rPr>
          <w:szCs w:val="22"/>
          <w:lang w:val="hr-HR"/>
        </w:rPr>
        <w:t>a</w:t>
      </w:r>
      <w:r w:rsidR="00280EB1" w:rsidRPr="00913317">
        <w:rPr>
          <w:szCs w:val="22"/>
          <w:lang w:val="hr-HR"/>
        </w:rPr>
        <w:t xml:space="preserve"> Vfend</w:t>
      </w:r>
      <w:r w:rsidR="00FC1B63" w:rsidRPr="00913317">
        <w:rPr>
          <w:szCs w:val="22"/>
          <w:lang w:val="hr-HR"/>
        </w:rPr>
        <w:t xml:space="preserve"> (vidjeti dio 4.8)</w:t>
      </w:r>
      <w:r w:rsidR="00280EB1" w:rsidRPr="00913317">
        <w:rPr>
          <w:szCs w:val="22"/>
          <w:lang w:val="hr-HR"/>
        </w:rPr>
        <w:t>.</w:t>
      </w:r>
    </w:p>
    <w:p w14:paraId="42F1477C" w14:textId="77777777" w:rsidR="00526583" w:rsidRPr="00913317" w:rsidRDefault="00526583" w:rsidP="00D72925">
      <w:pPr>
        <w:tabs>
          <w:tab w:val="clear" w:pos="284"/>
        </w:tabs>
        <w:rPr>
          <w:szCs w:val="22"/>
          <w:lang w:val="hr-HR"/>
        </w:rPr>
      </w:pPr>
    </w:p>
    <w:p w14:paraId="4904E11C" w14:textId="77777777" w:rsidR="006131C3" w:rsidRPr="00913317" w:rsidRDefault="00C7273D" w:rsidP="00D72925">
      <w:pPr>
        <w:keepNext/>
        <w:rPr>
          <w:szCs w:val="22"/>
          <w:u w:val="single"/>
          <w:lang w:val="hr-HR"/>
        </w:rPr>
      </w:pPr>
      <w:r w:rsidRPr="00913317">
        <w:rPr>
          <w:szCs w:val="22"/>
          <w:u w:val="single"/>
          <w:lang w:val="hr-HR"/>
        </w:rPr>
        <w:lastRenderedPageBreak/>
        <w:t>Neželjena dejstva na čulo vida</w:t>
      </w:r>
    </w:p>
    <w:p w14:paraId="5B3CC21E" w14:textId="5E0F1322" w:rsidR="006131C3" w:rsidRPr="00913317" w:rsidRDefault="005A7815" w:rsidP="00D72925">
      <w:pPr>
        <w:rPr>
          <w:szCs w:val="22"/>
          <w:lang w:val="hr-HR"/>
        </w:rPr>
      </w:pPr>
      <w:r w:rsidRPr="00913317">
        <w:rPr>
          <w:szCs w:val="22"/>
          <w:lang w:val="hr-HR"/>
        </w:rPr>
        <w:t>Postoje izv</w:t>
      </w:r>
      <w:r w:rsidR="0007166D" w:rsidRPr="00913317">
        <w:rPr>
          <w:szCs w:val="22"/>
          <w:lang w:val="hr-HR"/>
        </w:rPr>
        <w:t>j</w:t>
      </w:r>
      <w:r w:rsidRPr="00913317">
        <w:rPr>
          <w:szCs w:val="22"/>
          <w:lang w:val="hr-HR"/>
        </w:rPr>
        <w:t>eštaji o produženim neželjenim dejstvima na čulo vida, uključujući zamućen vid, optički neuritis i edem papile (</w:t>
      </w:r>
      <w:r w:rsidR="004D45E7" w:rsidRPr="00913317">
        <w:rPr>
          <w:szCs w:val="22"/>
          <w:lang w:val="hr-HR"/>
        </w:rPr>
        <w:t xml:space="preserve">vidjeti </w:t>
      </w:r>
      <w:r w:rsidR="00954637" w:rsidRPr="00913317">
        <w:rPr>
          <w:szCs w:val="22"/>
          <w:lang w:val="hr-HR"/>
        </w:rPr>
        <w:t>dio</w:t>
      </w:r>
      <w:r w:rsidRPr="00913317">
        <w:rPr>
          <w:szCs w:val="22"/>
          <w:lang w:val="hr-HR"/>
        </w:rPr>
        <w:t xml:space="preserve"> 4.8).</w:t>
      </w:r>
    </w:p>
    <w:p w14:paraId="44EFD5A9" w14:textId="77777777" w:rsidR="006131C3" w:rsidRPr="00913317" w:rsidRDefault="006131C3" w:rsidP="00D72925">
      <w:pPr>
        <w:rPr>
          <w:color w:val="FF0000"/>
          <w:szCs w:val="22"/>
          <w:u w:val="single"/>
          <w:lang w:val="hr-HR"/>
        </w:rPr>
      </w:pPr>
    </w:p>
    <w:p w14:paraId="3FE4894A" w14:textId="77777777" w:rsidR="006131C3" w:rsidRPr="00913317" w:rsidRDefault="00C7273D" w:rsidP="00D72925">
      <w:pPr>
        <w:keepNext/>
        <w:rPr>
          <w:szCs w:val="22"/>
          <w:u w:val="single"/>
          <w:lang w:val="hr-HR"/>
        </w:rPr>
      </w:pPr>
      <w:r w:rsidRPr="00913317">
        <w:rPr>
          <w:szCs w:val="22"/>
          <w:u w:val="single"/>
          <w:lang w:val="hr-HR"/>
        </w:rPr>
        <w:t>Neželjena dejstva na bubrege</w:t>
      </w:r>
    </w:p>
    <w:p w14:paraId="3D73AE01" w14:textId="035DDEE4" w:rsidR="006131C3" w:rsidRPr="00913317" w:rsidRDefault="005A7815" w:rsidP="00D72925">
      <w:pPr>
        <w:rPr>
          <w:szCs w:val="22"/>
          <w:lang w:val="hr-HR"/>
        </w:rPr>
      </w:pPr>
      <w:r w:rsidRPr="00913317">
        <w:rPr>
          <w:szCs w:val="22"/>
          <w:lang w:val="hr-HR"/>
        </w:rPr>
        <w:t xml:space="preserve">Akutna bubrežna insuficijencija je zapažena kod pacijenata sa teškim oboljenjima koji su dobijali </w:t>
      </w:r>
      <w:r w:rsidR="004D45E7" w:rsidRPr="00913317">
        <w:rPr>
          <w:szCs w:val="22"/>
          <w:lang w:val="hr-HR"/>
        </w:rPr>
        <w:t>lijek</w:t>
      </w:r>
      <w:r w:rsidRPr="00913317">
        <w:rPr>
          <w:szCs w:val="22"/>
          <w:lang w:val="hr-HR"/>
        </w:rPr>
        <w:t xml:space="preserve"> Vfend. Pacijenti koji primaju vorikonazol često istovremeno primaju nefrotoksične </w:t>
      </w:r>
      <w:r w:rsidR="004D45E7" w:rsidRPr="00913317">
        <w:rPr>
          <w:szCs w:val="22"/>
          <w:lang w:val="hr-HR"/>
        </w:rPr>
        <w:t>ljekov</w:t>
      </w:r>
      <w:r w:rsidRPr="00913317">
        <w:rPr>
          <w:szCs w:val="22"/>
          <w:lang w:val="hr-HR"/>
        </w:rPr>
        <w:t>e i imaju druga pridružena stanja koja mogu da rezultiraju smanjenjem bubrežne funkcije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4.8). </w:t>
      </w:r>
    </w:p>
    <w:p w14:paraId="19E73934" w14:textId="77777777" w:rsidR="006131C3" w:rsidRPr="00913317" w:rsidRDefault="006131C3" w:rsidP="00D72925">
      <w:pPr>
        <w:rPr>
          <w:szCs w:val="22"/>
          <w:lang w:val="hr-HR"/>
        </w:rPr>
      </w:pPr>
    </w:p>
    <w:p w14:paraId="568A3563" w14:textId="77777777" w:rsidR="006131C3" w:rsidRPr="00913317" w:rsidRDefault="005A7815" w:rsidP="00D72925">
      <w:pPr>
        <w:rPr>
          <w:szCs w:val="22"/>
          <w:u w:val="single"/>
          <w:lang w:val="hr-HR"/>
        </w:rPr>
      </w:pPr>
      <w:r w:rsidRPr="00913317">
        <w:rPr>
          <w:szCs w:val="22"/>
          <w:u w:val="single"/>
          <w:lang w:val="hr-HR"/>
        </w:rPr>
        <w:t>Praćenje funkcije bubrega</w:t>
      </w:r>
    </w:p>
    <w:p w14:paraId="0F2F0B55" w14:textId="239F23B1" w:rsidR="006131C3" w:rsidRPr="00913317" w:rsidRDefault="005A7815" w:rsidP="00D72925">
      <w:pPr>
        <w:rPr>
          <w:szCs w:val="22"/>
          <w:lang w:val="hr-HR"/>
        </w:rPr>
      </w:pPr>
      <w:r w:rsidRPr="00913317">
        <w:rPr>
          <w:szCs w:val="22"/>
          <w:lang w:val="hr-HR"/>
        </w:rPr>
        <w:t xml:space="preserve">Pacijente treba pratiti da bi se uočila eventualna pojava izmenjene funkcije bubrega. Praćenje uključuje laboratorijska ispitivanja, posebno </w:t>
      </w:r>
      <w:r w:rsidR="00751FC2" w:rsidRPr="00913317">
        <w:rPr>
          <w:szCs w:val="22"/>
          <w:lang w:val="hr-HR"/>
        </w:rPr>
        <w:t xml:space="preserve">određivanje </w:t>
      </w:r>
      <w:r w:rsidR="004D45E7" w:rsidRPr="00913317">
        <w:rPr>
          <w:szCs w:val="22"/>
          <w:lang w:val="hr-HR"/>
        </w:rPr>
        <w:t>vrijedno</w:t>
      </w:r>
      <w:r w:rsidR="00751FC2" w:rsidRPr="00913317">
        <w:rPr>
          <w:szCs w:val="22"/>
          <w:lang w:val="hr-HR"/>
        </w:rPr>
        <w:t>sti kreatinina u serumu</w:t>
      </w:r>
      <w:r w:rsidRPr="00913317">
        <w:rPr>
          <w:szCs w:val="22"/>
          <w:lang w:val="hr-HR"/>
        </w:rPr>
        <w:t xml:space="preserve">. </w:t>
      </w:r>
    </w:p>
    <w:p w14:paraId="1AD272BB" w14:textId="77777777" w:rsidR="006131C3" w:rsidRPr="00913317" w:rsidRDefault="006131C3" w:rsidP="00D72925">
      <w:pPr>
        <w:rPr>
          <w:szCs w:val="22"/>
          <w:lang w:val="hr-HR"/>
        </w:rPr>
      </w:pPr>
    </w:p>
    <w:p w14:paraId="168821EA" w14:textId="77777777" w:rsidR="006131C3" w:rsidRPr="00913317" w:rsidRDefault="005A7815" w:rsidP="00D72925">
      <w:pPr>
        <w:rPr>
          <w:szCs w:val="22"/>
          <w:u w:val="single"/>
          <w:lang w:val="hr-HR"/>
        </w:rPr>
      </w:pPr>
      <w:r w:rsidRPr="00913317">
        <w:rPr>
          <w:szCs w:val="22"/>
          <w:u w:val="single"/>
          <w:lang w:val="hr-HR"/>
        </w:rPr>
        <w:t>Praćenje funkcije pankreasa</w:t>
      </w:r>
    </w:p>
    <w:p w14:paraId="63B39980" w14:textId="0CEB478B" w:rsidR="00751FC2" w:rsidRPr="00913317" w:rsidRDefault="005A7815" w:rsidP="00D72925">
      <w:pPr>
        <w:rPr>
          <w:szCs w:val="22"/>
          <w:lang w:val="hr-HR"/>
        </w:rPr>
      </w:pPr>
      <w:r w:rsidRPr="00913317">
        <w:rPr>
          <w:szCs w:val="22"/>
          <w:lang w:val="hr-HR"/>
        </w:rPr>
        <w:t>Pacijente, posebno d</w:t>
      </w:r>
      <w:r w:rsidR="002D1D7B" w:rsidRPr="00913317">
        <w:rPr>
          <w:szCs w:val="22"/>
          <w:lang w:val="hr-HR"/>
        </w:rPr>
        <w:t>j</w:t>
      </w:r>
      <w:r w:rsidRPr="00913317">
        <w:rPr>
          <w:szCs w:val="22"/>
          <w:lang w:val="hr-HR"/>
        </w:rPr>
        <w:t>ecu, koji imaju faktore rizika za razvoj akutnog pankreatitisa (npr. nedavna hemoterapija, transplantacija hematopoetskih matičnih ćelija) treba intenzivno pratiti za vr</w:t>
      </w:r>
      <w:r w:rsidR="002D1D7B" w:rsidRPr="00913317">
        <w:rPr>
          <w:szCs w:val="22"/>
          <w:lang w:val="hr-HR"/>
        </w:rPr>
        <w:t>ij</w:t>
      </w:r>
      <w:r w:rsidRPr="00913317">
        <w:rPr>
          <w:szCs w:val="22"/>
          <w:lang w:val="hr-HR"/>
        </w:rPr>
        <w:t xml:space="preserve">eme terapije </w:t>
      </w:r>
      <w:r w:rsidR="004D45E7" w:rsidRPr="00913317">
        <w:rPr>
          <w:szCs w:val="22"/>
          <w:lang w:val="hr-HR"/>
        </w:rPr>
        <w:t>lijek</w:t>
      </w:r>
      <w:r w:rsidRPr="00913317">
        <w:rPr>
          <w:szCs w:val="22"/>
          <w:lang w:val="hr-HR"/>
        </w:rPr>
        <w:t xml:space="preserve">om Vfend. </w:t>
      </w:r>
      <w:r w:rsidR="00751FC2" w:rsidRPr="00913317">
        <w:rPr>
          <w:szCs w:val="22"/>
          <w:lang w:val="hr-HR"/>
        </w:rPr>
        <w:t xml:space="preserve">U ovim kliničkim situacijama može se razmotriti praćenje </w:t>
      </w:r>
      <w:r w:rsidR="004D45E7" w:rsidRPr="00913317">
        <w:rPr>
          <w:szCs w:val="22"/>
          <w:lang w:val="hr-HR"/>
        </w:rPr>
        <w:t>vrijedno</w:t>
      </w:r>
      <w:r w:rsidR="00751FC2" w:rsidRPr="00913317">
        <w:rPr>
          <w:szCs w:val="22"/>
          <w:lang w:val="hr-HR"/>
        </w:rPr>
        <w:t>sti amilaze ili lipaze u</w:t>
      </w:r>
      <w:r w:rsidR="00255321" w:rsidRPr="00913317">
        <w:rPr>
          <w:szCs w:val="22"/>
          <w:lang w:val="hr-HR"/>
        </w:rPr>
        <w:t xml:space="preserve"> </w:t>
      </w:r>
      <w:r w:rsidR="00751FC2" w:rsidRPr="00913317">
        <w:rPr>
          <w:szCs w:val="22"/>
          <w:lang w:val="hr-HR"/>
        </w:rPr>
        <w:t>serumu.</w:t>
      </w:r>
    </w:p>
    <w:p w14:paraId="40CA82E9" w14:textId="77777777" w:rsidR="006131C3" w:rsidRPr="00913317" w:rsidRDefault="006131C3" w:rsidP="00D72925">
      <w:pPr>
        <w:rPr>
          <w:color w:val="FF0000"/>
          <w:szCs w:val="22"/>
          <w:lang w:val="hr-HR"/>
        </w:rPr>
      </w:pPr>
    </w:p>
    <w:p w14:paraId="340D08F9" w14:textId="77777777" w:rsidR="006131C3" w:rsidRPr="00913317" w:rsidRDefault="005A7815" w:rsidP="00D72925">
      <w:pPr>
        <w:rPr>
          <w:szCs w:val="22"/>
          <w:u w:val="single"/>
          <w:lang w:val="hr-HR"/>
        </w:rPr>
      </w:pPr>
      <w:r w:rsidRPr="00913317">
        <w:rPr>
          <w:szCs w:val="22"/>
          <w:u w:val="single"/>
          <w:lang w:val="hr-HR"/>
        </w:rPr>
        <w:t xml:space="preserve">Pedijatrijska populacija </w:t>
      </w:r>
    </w:p>
    <w:p w14:paraId="731E1A9C" w14:textId="4778A0F8" w:rsidR="006131C3" w:rsidRDefault="003204CC" w:rsidP="00D72925">
      <w:pPr>
        <w:rPr>
          <w:szCs w:val="22"/>
          <w:lang w:val="hr-HR"/>
        </w:rPr>
      </w:pPr>
      <w:r w:rsidRPr="00913317">
        <w:rPr>
          <w:spacing w:val="-2"/>
          <w:szCs w:val="22"/>
          <w:lang w:val="hr-HR"/>
        </w:rPr>
        <w:t>Bezbjedn</w:t>
      </w:r>
      <w:r w:rsidR="005A7815" w:rsidRPr="00913317">
        <w:rPr>
          <w:spacing w:val="-2"/>
          <w:szCs w:val="22"/>
          <w:lang w:val="hr-HR"/>
        </w:rPr>
        <w:t>ost i ef</w:t>
      </w:r>
      <w:r w:rsidR="008538DA" w:rsidRPr="00913317">
        <w:rPr>
          <w:spacing w:val="-2"/>
          <w:szCs w:val="22"/>
          <w:lang w:val="hr-HR"/>
        </w:rPr>
        <w:t>i</w:t>
      </w:r>
      <w:r w:rsidR="005A7815" w:rsidRPr="00913317">
        <w:rPr>
          <w:spacing w:val="-2"/>
          <w:szCs w:val="22"/>
          <w:lang w:val="hr-HR"/>
        </w:rPr>
        <w:t>k</w:t>
      </w:r>
      <w:r w:rsidR="008538DA" w:rsidRPr="00913317">
        <w:rPr>
          <w:spacing w:val="-2"/>
          <w:szCs w:val="22"/>
          <w:lang w:val="hr-HR"/>
        </w:rPr>
        <w:t>as</w:t>
      </w:r>
      <w:r w:rsidR="00F12304" w:rsidRPr="00913317">
        <w:rPr>
          <w:spacing w:val="-2"/>
          <w:szCs w:val="22"/>
          <w:lang w:val="hr-HR"/>
        </w:rPr>
        <w:t>nost</w:t>
      </w:r>
      <w:r w:rsidR="005A7815" w:rsidRPr="00913317">
        <w:rPr>
          <w:spacing w:val="-2"/>
          <w:szCs w:val="22"/>
          <w:lang w:val="hr-HR"/>
        </w:rPr>
        <w:t xml:space="preserve"> </w:t>
      </w:r>
      <w:r w:rsidR="004D45E7" w:rsidRPr="00913317">
        <w:rPr>
          <w:spacing w:val="-2"/>
          <w:szCs w:val="22"/>
          <w:lang w:val="hr-HR"/>
        </w:rPr>
        <w:t>primjen</w:t>
      </w:r>
      <w:r w:rsidR="005A7815" w:rsidRPr="00913317">
        <w:rPr>
          <w:spacing w:val="-2"/>
          <w:szCs w:val="22"/>
          <w:lang w:val="hr-HR"/>
        </w:rPr>
        <w:t xml:space="preserve">e ovog </w:t>
      </w:r>
      <w:r w:rsidR="004D45E7" w:rsidRPr="00913317">
        <w:rPr>
          <w:spacing w:val="-2"/>
          <w:szCs w:val="22"/>
          <w:lang w:val="hr-HR"/>
        </w:rPr>
        <w:t>lijek</w:t>
      </w:r>
      <w:r w:rsidR="005A7815" w:rsidRPr="00913317">
        <w:rPr>
          <w:spacing w:val="-2"/>
          <w:szCs w:val="22"/>
          <w:lang w:val="hr-HR"/>
        </w:rPr>
        <w:t xml:space="preserve">a kod pedijatrijskih ispitanika </w:t>
      </w:r>
      <w:r w:rsidR="006C3F92" w:rsidRPr="00913317">
        <w:rPr>
          <w:spacing w:val="-2"/>
          <w:szCs w:val="22"/>
          <w:lang w:val="hr-HR"/>
        </w:rPr>
        <w:t>ml</w:t>
      </w:r>
      <w:r w:rsidR="005A7815" w:rsidRPr="00913317">
        <w:rPr>
          <w:spacing w:val="-2"/>
          <w:szCs w:val="22"/>
          <w:lang w:val="hr-HR"/>
        </w:rPr>
        <w:t>ađih od 2 godine nije utvrđena</w:t>
      </w:r>
      <w:r w:rsidR="005A7815" w:rsidRPr="00913317">
        <w:rPr>
          <w:spacing w:val="-4"/>
          <w:szCs w:val="22"/>
          <w:lang w:val="hr-HR"/>
        </w:rPr>
        <w:t xml:space="preserve"> (</w:t>
      </w:r>
      <w:r w:rsidR="004D45E7" w:rsidRPr="00913317">
        <w:rPr>
          <w:spacing w:val="-4"/>
          <w:szCs w:val="22"/>
          <w:lang w:val="hr-HR"/>
        </w:rPr>
        <w:t xml:space="preserve">vidjeti </w:t>
      </w:r>
      <w:r w:rsidR="00954637" w:rsidRPr="00913317">
        <w:rPr>
          <w:spacing w:val="-4"/>
          <w:szCs w:val="22"/>
          <w:lang w:val="hr-HR"/>
        </w:rPr>
        <w:t xml:space="preserve">djelove </w:t>
      </w:r>
      <w:r w:rsidR="005A7815" w:rsidRPr="00913317">
        <w:rPr>
          <w:spacing w:val="-4"/>
          <w:szCs w:val="22"/>
          <w:lang w:val="hr-HR"/>
        </w:rPr>
        <w:t>4.8 i 5.1).</w:t>
      </w:r>
      <w:r w:rsidR="005A7815" w:rsidRPr="00913317">
        <w:rPr>
          <w:szCs w:val="22"/>
          <w:lang w:val="hr-HR"/>
        </w:rPr>
        <w:t xml:space="preserve"> Vorikonazol je indikovan kod pedijatrijskih pacijenata uzrasta 2 godine i starijih. Prim</w:t>
      </w:r>
      <w:r w:rsidR="002D1D7B" w:rsidRPr="00913317">
        <w:rPr>
          <w:szCs w:val="22"/>
          <w:lang w:val="hr-HR"/>
        </w:rPr>
        <w:t>ij</w:t>
      </w:r>
      <w:r w:rsidR="005A7815" w:rsidRPr="00913317">
        <w:rPr>
          <w:szCs w:val="22"/>
          <w:lang w:val="hr-HR"/>
        </w:rPr>
        <w:t xml:space="preserve">ećena je veća učestalost </w:t>
      </w:r>
      <w:r w:rsidR="00751FC2" w:rsidRPr="00913317">
        <w:rPr>
          <w:szCs w:val="22"/>
          <w:lang w:val="hr-HR"/>
        </w:rPr>
        <w:t>povećanih</w:t>
      </w:r>
      <w:r w:rsidR="005A7815" w:rsidRPr="00913317">
        <w:rPr>
          <w:szCs w:val="22"/>
          <w:lang w:val="hr-HR"/>
        </w:rPr>
        <w:t xml:space="preserve"> </w:t>
      </w:r>
      <w:r w:rsidR="004D45E7" w:rsidRPr="00913317">
        <w:rPr>
          <w:szCs w:val="22"/>
          <w:lang w:val="hr-HR"/>
        </w:rPr>
        <w:t>vrijedno</w:t>
      </w:r>
      <w:r w:rsidR="005A7815" w:rsidRPr="00913317">
        <w:rPr>
          <w:szCs w:val="22"/>
          <w:lang w:val="hr-HR"/>
        </w:rPr>
        <w:t>sti enzima jetre u krvi kod pedijatrijske populacije (</w:t>
      </w:r>
      <w:r w:rsidR="004D45E7" w:rsidRPr="00913317">
        <w:rPr>
          <w:szCs w:val="22"/>
          <w:lang w:val="hr-HR"/>
        </w:rPr>
        <w:t xml:space="preserve">vidjeti </w:t>
      </w:r>
      <w:r w:rsidR="00954637" w:rsidRPr="00913317">
        <w:rPr>
          <w:szCs w:val="22"/>
          <w:lang w:val="hr-HR"/>
        </w:rPr>
        <w:t xml:space="preserve">dio </w:t>
      </w:r>
      <w:r w:rsidR="005A7815" w:rsidRPr="00913317">
        <w:rPr>
          <w:szCs w:val="22"/>
          <w:lang w:val="hr-HR"/>
        </w:rPr>
        <w:t>4.8). Funkciju jetre treba pratiti kod d</w:t>
      </w:r>
      <w:r w:rsidR="002D1D7B" w:rsidRPr="00913317">
        <w:rPr>
          <w:szCs w:val="22"/>
          <w:lang w:val="hr-HR"/>
        </w:rPr>
        <w:t>j</w:t>
      </w:r>
      <w:r w:rsidR="005A7815" w:rsidRPr="00913317">
        <w:rPr>
          <w:szCs w:val="22"/>
          <w:lang w:val="hr-HR"/>
        </w:rPr>
        <w:t xml:space="preserve">ece i odraslih. Oralna bioraspoloživost vorikonazola može biti </w:t>
      </w:r>
      <w:r w:rsidR="003D248C" w:rsidRPr="00913317">
        <w:rPr>
          <w:szCs w:val="22"/>
          <w:lang w:val="hr-HR"/>
        </w:rPr>
        <w:t>ograničena</w:t>
      </w:r>
      <w:r w:rsidR="005A7815" w:rsidRPr="00913317">
        <w:rPr>
          <w:szCs w:val="22"/>
          <w:lang w:val="hr-HR"/>
        </w:rPr>
        <w:t xml:space="preserve"> kod pedijatrijskih pacijenata uzrasta od 2 do &lt; 12 godina sa malapsorpcionim sindromom i veoma malom t</w:t>
      </w:r>
      <w:r w:rsidR="002D1D7B" w:rsidRPr="00913317">
        <w:rPr>
          <w:szCs w:val="22"/>
          <w:lang w:val="hr-HR"/>
        </w:rPr>
        <w:t>j</w:t>
      </w:r>
      <w:r w:rsidR="005A7815" w:rsidRPr="00913317">
        <w:rPr>
          <w:szCs w:val="22"/>
          <w:lang w:val="hr-HR"/>
        </w:rPr>
        <w:t xml:space="preserve">elesnom masom za njihov uzrast. U tom slučaju, preporučuje se intravenska </w:t>
      </w:r>
      <w:r w:rsidR="004D45E7" w:rsidRPr="00913317">
        <w:rPr>
          <w:szCs w:val="22"/>
          <w:lang w:val="hr-HR"/>
        </w:rPr>
        <w:t>primjen</w:t>
      </w:r>
      <w:r w:rsidR="005A7815" w:rsidRPr="00913317">
        <w:rPr>
          <w:szCs w:val="22"/>
          <w:lang w:val="hr-HR"/>
        </w:rPr>
        <w:t>a vorikonazola.</w:t>
      </w:r>
    </w:p>
    <w:p w14:paraId="79C42B59" w14:textId="77777777" w:rsidR="008C59C8" w:rsidRPr="008C59C8" w:rsidRDefault="008C59C8" w:rsidP="00D72925">
      <w:pPr>
        <w:rPr>
          <w:spacing w:val="-2"/>
          <w:szCs w:val="22"/>
          <w:lang w:val="hr-HR"/>
        </w:rPr>
      </w:pPr>
    </w:p>
    <w:p w14:paraId="64EFD0ED" w14:textId="7116E5B2" w:rsidR="00D85189" w:rsidRPr="0029457E" w:rsidRDefault="00D85189" w:rsidP="00D72925">
      <w:pPr>
        <w:pStyle w:val="Paragraph"/>
        <w:numPr>
          <w:ilvl w:val="0"/>
          <w:numId w:val="7"/>
        </w:numPr>
        <w:spacing w:after="0"/>
        <w:ind w:left="426" w:hanging="284"/>
        <w:jc w:val="both"/>
        <w:rPr>
          <w:sz w:val="22"/>
          <w:szCs w:val="22"/>
          <w:u w:val="single"/>
          <w:lang w:val="hr-HR"/>
        </w:rPr>
      </w:pPr>
      <w:r w:rsidRPr="00D837A3">
        <w:rPr>
          <w:sz w:val="22"/>
          <w:szCs w:val="22"/>
          <w:u w:val="single"/>
          <w:lang w:val="hr-HR"/>
        </w:rPr>
        <w:t xml:space="preserve">Ozbiljne neželjene reakcije </w:t>
      </w:r>
      <w:r w:rsidR="003D248C" w:rsidRPr="00D837A3">
        <w:rPr>
          <w:sz w:val="22"/>
          <w:szCs w:val="22"/>
          <w:u w:val="single"/>
          <w:lang w:val="hr-HR"/>
        </w:rPr>
        <w:t>na koži</w:t>
      </w:r>
      <w:r w:rsidR="00F12304" w:rsidRPr="003307B5">
        <w:rPr>
          <w:sz w:val="22"/>
          <w:szCs w:val="22"/>
          <w:u w:val="single"/>
          <w:lang w:val="hr-HR"/>
        </w:rPr>
        <w:t xml:space="preserve"> </w:t>
      </w:r>
      <w:r w:rsidRPr="0029457E">
        <w:rPr>
          <w:sz w:val="22"/>
          <w:szCs w:val="22"/>
          <w:u w:val="single"/>
          <w:lang w:val="hr-HR"/>
        </w:rPr>
        <w:t>(uključujući SCC)</w:t>
      </w:r>
    </w:p>
    <w:p w14:paraId="5F2EF07C" w14:textId="79FFC224" w:rsidR="006131C3" w:rsidRPr="00913317" w:rsidRDefault="005A7815" w:rsidP="00D72925">
      <w:pPr>
        <w:tabs>
          <w:tab w:val="clear" w:pos="284"/>
        </w:tabs>
        <w:ind w:left="426"/>
        <w:rPr>
          <w:spacing w:val="-2"/>
          <w:szCs w:val="22"/>
          <w:lang w:val="hr-HR"/>
        </w:rPr>
      </w:pPr>
      <w:r w:rsidRPr="0029457E">
        <w:rPr>
          <w:spacing w:val="-2"/>
          <w:szCs w:val="22"/>
          <w:lang w:val="hr-HR"/>
        </w:rPr>
        <w:t>Učestalost fototoksičnih reakcija veća je kod pedijatrijske populacije. Kako je prijavljen razvoj karcinoma skvamoznih ćelija kože, obavezne su stroge m</w:t>
      </w:r>
      <w:r w:rsidR="00562911" w:rsidRPr="009C1794">
        <w:rPr>
          <w:spacing w:val="-2"/>
          <w:szCs w:val="22"/>
          <w:lang w:val="hr-HR"/>
        </w:rPr>
        <w:t>j</w:t>
      </w:r>
      <w:r w:rsidRPr="009C1794">
        <w:rPr>
          <w:spacing w:val="-2"/>
          <w:szCs w:val="22"/>
          <w:lang w:val="hr-HR"/>
        </w:rPr>
        <w:t>ere fotozaštite u ovoj populaciji pacijenata.</w:t>
      </w:r>
      <w:r w:rsidRPr="00913317">
        <w:rPr>
          <w:spacing w:val="-2"/>
          <w:szCs w:val="22"/>
          <w:lang w:val="hr-HR"/>
        </w:rPr>
        <w:t xml:space="preserve"> Kod d</w:t>
      </w:r>
      <w:r w:rsidR="00562911" w:rsidRPr="00913317">
        <w:rPr>
          <w:spacing w:val="-2"/>
          <w:szCs w:val="22"/>
          <w:lang w:val="hr-HR"/>
        </w:rPr>
        <w:t>j</w:t>
      </w:r>
      <w:r w:rsidRPr="00913317">
        <w:rPr>
          <w:spacing w:val="-2"/>
          <w:szCs w:val="22"/>
          <w:lang w:val="hr-HR"/>
        </w:rPr>
        <w:t>ece sa oštećenjima kao što su lentigo ili p</w:t>
      </w:r>
      <w:r w:rsidR="00562911" w:rsidRPr="00913317">
        <w:rPr>
          <w:spacing w:val="-2"/>
          <w:szCs w:val="22"/>
          <w:lang w:val="hr-HR"/>
        </w:rPr>
        <w:t>j</w:t>
      </w:r>
      <w:r w:rsidRPr="00913317">
        <w:rPr>
          <w:spacing w:val="-2"/>
          <w:szCs w:val="22"/>
          <w:lang w:val="hr-HR"/>
        </w:rPr>
        <w:t>ege koji su uzrokovani fotostarenjem, preporučuje se izb</w:t>
      </w:r>
      <w:r w:rsidR="00562911" w:rsidRPr="00913317">
        <w:rPr>
          <w:spacing w:val="-2"/>
          <w:szCs w:val="22"/>
          <w:lang w:val="hr-HR"/>
        </w:rPr>
        <w:t>j</w:t>
      </w:r>
      <w:r w:rsidRPr="00913317">
        <w:rPr>
          <w:spacing w:val="-2"/>
          <w:szCs w:val="22"/>
          <w:lang w:val="hr-HR"/>
        </w:rPr>
        <w:t xml:space="preserve">egavanje sunčevih zraka kao i kontrolni dermatološki pregledi čak i nakon prekida terapije. </w:t>
      </w:r>
    </w:p>
    <w:p w14:paraId="26CC9D77" w14:textId="77777777" w:rsidR="006131C3" w:rsidRPr="00913317" w:rsidRDefault="006131C3" w:rsidP="00D72925">
      <w:pPr>
        <w:ind w:left="357" w:hanging="357"/>
        <w:rPr>
          <w:color w:val="FF0000"/>
          <w:szCs w:val="22"/>
          <w:u w:val="single"/>
          <w:lang w:val="hr-HR"/>
        </w:rPr>
      </w:pPr>
    </w:p>
    <w:p w14:paraId="12C19E99" w14:textId="77777777" w:rsidR="006131C3" w:rsidRPr="00913317" w:rsidRDefault="005A7815" w:rsidP="00D72925">
      <w:pPr>
        <w:ind w:left="357" w:hanging="357"/>
        <w:rPr>
          <w:szCs w:val="22"/>
          <w:u w:val="single"/>
          <w:lang w:val="hr-HR"/>
        </w:rPr>
      </w:pPr>
      <w:r w:rsidRPr="00913317">
        <w:rPr>
          <w:szCs w:val="22"/>
          <w:u w:val="single"/>
          <w:lang w:val="hr-HR"/>
        </w:rPr>
        <w:t>Profilaksa</w:t>
      </w:r>
    </w:p>
    <w:p w14:paraId="28EE082F" w14:textId="6D5A2304" w:rsidR="006131C3" w:rsidRPr="00913317" w:rsidRDefault="005A7815" w:rsidP="00D72925">
      <w:pPr>
        <w:rPr>
          <w:spacing w:val="-2"/>
          <w:szCs w:val="22"/>
          <w:lang w:val="hr-HR"/>
        </w:rPr>
      </w:pPr>
      <w:r w:rsidRPr="00913317">
        <w:rPr>
          <w:spacing w:val="-2"/>
          <w:szCs w:val="22"/>
          <w:lang w:val="hr-HR"/>
        </w:rPr>
        <w:t>U slučaju neželjenih događaja povezanih sa l</w:t>
      </w:r>
      <w:r w:rsidR="00562911" w:rsidRPr="00913317">
        <w:rPr>
          <w:spacing w:val="-2"/>
          <w:szCs w:val="22"/>
          <w:lang w:val="hr-HR"/>
        </w:rPr>
        <w:t>ij</w:t>
      </w:r>
      <w:r w:rsidRPr="00913317">
        <w:rPr>
          <w:spacing w:val="-2"/>
          <w:szCs w:val="22"/>
          <w:lang w:val="hr-HR"/>
        </w:rPr>
        <w:t xml:space="preserve">ečenjem (hepatotoksičnost, </w:t>
      </w:r>
      <w:r w:rsidR="000A770D" w:rsidRPr="00913317">
        <w:rPr>
          <w:spacing w:val="-2"/>
          <w:szCs w:val="22"/>
          <w:lang w:val="hr-HR"/>
        </w:rPr>
        <w:t>teške</w:t>
      </w:r>
      <w:r w:rsidR="003D248C" w:rsidRPr="00913317">
        <w:rPr>
          <w:spacing w:val="-2"/>
          <w:szCs w:val="22"/>
          <w:lang w:val="hr-HR"/>
        </w:rPr>
        <w:t xml:space="preserve"> </w:t>
      </w:r>
      <w:r w:rsidRPr="00913317">
        <w:rPr>
          <w:spacing w:val="-2"/>
          <w:szCs w:val="22"/>
          <w:lang w:val="hr-HR"/>
        </w:rPr>
        <w:t>reakcije</w:t>
      </w:r>
      <w:r w:rsidR="003D248C" w:rsidRPr="00913317">
        <w:rPr>
          <w:spacing w:val="-2"/>
          <w:szCs w:val="22"/>
          <w:lang w:val="hr-HR"/>
        </w:rPr>
        <w:t xml:space="preserve"> na koži</w:t>
      </w:r>
      <w:r w:rsidRPr="00913317">
        <w:rPr>
          <w:spacing w:val="-2"/>
          <w:szCs w:val="22"/>
          <w:lang w:val="hr-HR"/>
        </w:rPr>
        <w:t xml:space="preserve"> uključujući fototoksičnost i karcinom skvamoznih ćelija kože, teške ili produžene poremećaje vida i periostitis), treba razmotriti prekid l</w:t>
      </w:r>
      <w:r w:rsidR="00562911" w:rsidRPr="00913317">
        <w:rPr>
          <w:spacing w:val="-2"/>
          <w:szCs w:val="22"/>
          <w:lang w:val="hr-HR"/>
        </w:rPr>
        <w:t>ij</w:t>
      </w:r>
      <w:r w:rsidRPr="00913317">
        <w:rPr>
          <w:spacing w:val="-2"/>
          <w:szCs w:val="22"/>
          <w:lang w:val="hr-HR"/>
        </w:rPr>
        <w:t>ečenja vorikonazolom i upotrebu alternativnog antimikotika.</w:t>
      </w:r>
    </w:p>
    <w:p w14:paraId="4EBCBA2E" w14:textId="77777777" w:rsidR="006131C3" w:rsidRPr="00913317" w:rsidRDefault="006131C3" w:rsidP="00D72925">
      <w:pPr>
        <w:ind w:left="357" w:hanging="357"/>
        <w:rPr>
          <w:szCs w:val="22"/>
          <w:u w:val="single"/>
          <w:lang w:val="hr-HR"/>
        </w:rPr>
      </w:pPr>
    </w:p>
    <w:p w14:paraId="393F5F03" w14:textId="77777777" w:rsidR="006131C3" w:rsidRPr="00913317" w:rsidRDefault="005A7815" w:rsidP="00D72925">
      <w:pPr>
        <w:ind w:left="357" w:hanging="357"/>
        <w:rPr>
          <w:szCs w:val="22"/>
          <w:u w:val="single"/>
          <w:lang w:val="hr-HR"/>
        </w:rPr>
      </w:pPr>
      <w:r w:rsidRPr="00913317">
        <w:rPr>
          <w:szCs w:val="22"/>
          <w:u w:val="single"/>
          <w:lang w:val="hr-HR"/>
        </w:rPr>
        <w:t>Fenitoin (CYP2C9 supstrat i snažan induktor CYP450)</w:t>
      </w:r>
    </w:p>
    <w:p w14:paraId="4F2CC9EF" w14:textId="7567EBC1" w:rsidR="006131C3" w:rsidRPr="00913317" w:rsidRDefault="005A7815" w:rsidP="00D72925">
      <w:pPr>
        <w:rPr>
          <w:szCs w:val="22"/>
          <w:lang w:val="hr-HR"/>
        </w:rPr>
      </w:pPr>
      <w:r w:rsidRPr="00913317">
        <w:rPr>
          <w:szCs w:val="22"/>
          <w:lang w:val="hr-HR"/>
        </w:rPr>
        <w:t xml:space="preserve">Pažljivo praćenje koncentracije fenitoina se preporučuje kada se on istovremeno </w:t>
      </w:r>
      <w:r w:rsidR="004D45E7" w:rsidRPr="00913317">
        <w:rPr>
          <w:szCs w:val="22"/>
          <w:lang w:val="hr-HR"/>
        </w:rPr>
        <w:t>primjen</w:t>
      </w:r>
      <w:r w:rsidRPr="00913317">
        <w:rPr>
          <w:szCs w:val="22"/>
          <w:lang w:val="hr-HR"/>
        </w:rPr>
        <w:t xml:space="preserve">juje sa vorikonazolom. </w:t>
      </w:r>
      <w:r w:rsidRPr="00913317">
        <w:rPr>
          <w:spacing w:val="-4"/>
          <w:szCs w:val="22"/>
          <w:lang w:val="hr-HR"/>
        </w:rPr>
        <w:t>Treba izb</w:t>
      </w:r>
      <w:r w:rsidR="00562911" w:rsidRPr="00913317">
        <w:rPr>
          <w:spacing w:val="-4"/>
          <w:szCs w:val="22"/>
          <w:lang w:val="hr-HR"/>
        </w:rPr>
        <w:t>j</w:t>
      </w:r>
      <w:r w:rsidRPr="00913317">
        <w:rPr>
          <w:spacing w:val="-4"/>
          <w:szCs w:val="22"/>
          <w:lang w:val="hr-HR"/>
        </w:rPr>
        <w:t xml:space="preserve">egavati istovremenu </w:t>
      </w:r>
      <w:r w:rsidR="004D45E7" w:rsidRPr="00913317">
        <w:rPr>
          <w:spacing w:val="-4"/>
          <w:szCs w:val="22"/>
          <w:lang w:val="hr-HR"/>
        </w:rPr>
        <w:t>primjen</w:t>
      </w:r>
      <w:r w:rsidRPr="00913317">
        <w:rPr>
          <w:spacing w:val="-4"/>
          <w:szCs w:val="22"/>
          <w:lang w:val="hr-HR"/>
        </w:rPr>
        <w:t>u fenitoina i vorikonazola, osim kada korist prevazilazi rizik (</w:t>
      </w:r>
      <w:r w:rsidR="004D45E7" w:rsidRPr="00913317">
        <w:rPr>
          <w:spacing w:val="-4"/>
          <w:szCs w:val="22"/>
          <w:lang w:val="hr-HR"/>
        </w:rPr>
        <w:t xml:space="preserve">vidjeti </w:t>
      </w:r>
      <w:r w:rsidR="00954637" w:rsidRPr="00913317">
        <w:rPr>
          <w:spacing w:val="-4"/>
          <w:szCs w:val="22"/>
          <w:lang w:val="hr-HR"/>
        </w:rPr>
        <w:t>dio</w:t>
      </w:r>
      <w:r w:rsidRPr="00913317">
        <w:rPr>
          <w:spacing w:val="-4"/>
          <w:szCs w:val="22"/>
          <w:lang w:val="hr-HR"/>
        </w:rPr>
        <w:t xml:space="preserve"> 4.5)</w:t>
      </w:r>
      <w:r w:rsidRPr="00913317">
        <w:rPr>
          <w:szCs w:val="22"/>
          <w:lang w:val="hr-HR"/>
        </w:rPr>
        <w:t>.</w:t>
      </w:r>
    </w:p>
    <w:p w14:paraId="044BB97C" w14:textId="77777777" w:rsidR="006131C3" w:rsidRPr="00913317" w:rsidRDefault="006131C3" w:rsidP="00D72925">
      <w:pPr>
        <w:ind w:left="357" w:hanging="357"/>
        <w:rPr>
          <w:szCs w:val="22"/>
          <w:u w:val="single"/>
          <w:lang w:val="hr-HR"/>
        </w:rPr>
      </w:pPr>
    </w:p>
    <w:p w14:paraId="68176D7C" w14:textId="77777777" w:rsidR="006131C3" w:rsidRPr="00913317" w:rsidRDefault="005A7815" w:rsidP="00D72925">
      <w:pPr>
        <w:ind w:left="357" w:hanging="357"/>
        <w:rPr>
          <w:szCs w:val="22"/>
          <w:u w:val="single"/>
          <w:lang w:val="hr-HR"/>
        </w:rPr>
      </w:pPr>
      <w:r w:rsidRPr="00913317">
        <w:rPr>
          <w:szCs w:val="22"/>
          <w:u w:val="single"/>
          <w:lang w:val="hr-HR"/>
        </w:rPr>
        <w:t>Efavirenz (CYP450 induktor, CYP3A4 inhibitor i supstrat)</w:t>
      </w:r>
    </w:p>
    <w:p w14:paraId="65D02B06" w14:textId="57BD5B27" w:rsidR="006131C3" w:rsidRPr="00913317" w:rsidRDefault="005A7815" w:rsidP="00D72925">
      <w:pPr>
        <w:rPr>
          <w:szCs w:val="22"/>
          <w:lang w:val="hr-HR"/>
        </w:rPr>
      </w:pPr>
      <w:r w:rsidRPr="00913317">
        <w:rPr>
          <w:szCs w:val="22"/>
          <w:lang w:val="hr-HR"/>
        </w:rPr>
        <w:t xml:space="preserve">Kada se vorikonazol </w:t>
      </w:r>
      <w:r w:rsidR="004D45E7" w:rsidRPr="00913317">
        <w:rPr>
          <w:szCs w:val="22"/>
          <w:lang w:val="hr-HR"/>
        </w:rPr>
        <w:t>primjen</w:t>
      </w:r>
      <w:r w:rsidRPr="00913317">
        <w:rPr>
          <w:szCs w:val="22"/>
          <w:lang w:val="hr-HR"/>
        </w:rPr>
        <w:t>juje istovremeno sa efavirenzom, dozu vorikonazola treba povećati na 400 mg svakih 12 sati, a dozu efavirenza treba smanjiti na 300 mg svakih 24 sata (</w:t>
      </w:r>
      <w:r w:rsidR="004D45E7" w:rsidRPr="00913317">
        <w:rPr>
          <w:szCs w:val="22"/>
          <w:lang w:val="hr-HR"/>
        </w:rPr>
        <w:t xml:space="preserve">vidjeti </w:t>
      </w:r>
      <w:r w:rsidR="00954637" w:rsidRPr="00913317">
        <w:rPr>
          <w:szCs w:val="22"/>
          <w:lang w:val="hr-HR"/>
        </w:rPr>
        <w:t xml:space="preserve">djelove </w:t>
      </w:r>
      <w:r w:rsidRPr="00913317">
        <w:rPr>
          <w:szCs w:val="22"/>
          <w:lang w:val="hr-HR"/>
        </w:rPr>
        <w:t xml:space="preserve"> 4.2, 4.3 i 4.5).</w:t>
      </w:r>
    </w:p>
    <w:p w14:paraId="695DDCE1" w14:textId="4AD9EAD2" w:rsidR="00D837A3" w:rsidRDefault="00D837A3" w:rsidP="00D72925">
      <w:pPr>
        <w:tabs>
          <w:tab w:val="clear" w:pos="284"/>
        </w:tabs>
        <w:jc w:val="left"/>
        <w:rPr>
          <w:szCs w:val="22"/>
          <w:lang w:val="hr-HR"/>
        </w:rPr>
      </w:pPr>
    </w:p>
    <w:p w14:paraId="5A6EF350" w14:textId="2D7D5A75" w:rsidR="00E45DBB" w:rsidRPr="00D837A3" w:rsidRDefault="00E45DBB" w:rsidP="00D72925">
      <w:pPr>
        <w:rPr>
          <w:szCs w:val="22"/>
          <w:u w:val="single"/>
          <w:lang w:val="hr-HR"/>
        </w:rPr>
      </w:pPr>
      <w:r w:rsidRPr="00D837A3">
        <w:rPr>
          <w:szCs w:val="22"/>
          <w:u w:val="single"/>
          <w:lang w:val="hr-HR"/>
        </w:rPr>
        <w:t>Glasdegib (supstrat CYP3A4)</w:t>
      </w:r>
    </w:p>
    <w:p w14:paraId="41DDA998" w14:textId="2ECC3F07" w:rsidR="00E45DBB" w:rsidRPr="00913317" w:rsidRDefault="00E45DBB" w:rsidP="00D72925">
      <w:pPr>
        <w:rPr>
          <w:szCs w:val="22"/>
          <w:lang w:val="hr-HR"/>
        </w:rPr>
      </w:pPr>
      <w:r w:rsidRPr="0029457E">
        <w:rPr>
          <w:szCs w:val="22"/>
          <w:lang w:val="hr-HR"/>
        </w:rPr>
        <w:t xml:space="preserve">Očekuje se da će </w:t>
      </w:r>
      <w:r w:rsidR="008F0B04" w:rsidRPr="0029457E">
        <w:rPr>
          <w:szCs w:val="22"/>
          <w:lang w:val="hr-HR"/>
        </w:rPr>
        <w:t>istovremena</w:t>
      </w:r>
      <w:r w:rsidRPr="0029457E">
        <w:rPr>
          <w:szCs w:val="22"/>
          <w:lang w:val="hr-HR"/>
        </w:rPr>
        <w:t xml:space="preserve"> primjena vorikonazola povećati koncentracij</w:t>
      </w:r>
      <w:r w:rsidR="008F0B04" w:rsidRPr="0029457E">
        <w:rPr>
          <w:szCs w:val="22"/>
          <w:lang w:val="hr-HR"/>
        </w:rPr>
        <w:t>u</w:t>
      </w:r>
      <w:r w:rsidRPr="0029457E">
        <w:rPr>
          <w:szCs w:val="22"/>
          <w:lang w:val="hr-HR"/>
        </w:rPr>
        <w:t xml:space="preserve"> glasdegiba u plazmi i povećati rizik od </w:t>
      </w:r>
      <w:r w:rsidR="008F0B04" w:rsidRPr="0029457E">
        <w:rPr>
          <w:szCs w:val="22"/>
          <w:lang w:val="hr-HR"/>
        </w:rPr>
        <w:t>produženja</w:t>
      </w:r>
      <w:r w:rsidRPr="009C1794">
        <w:rPr>
          <w:szCs w:val="22"/>
          <w:lang w:val="hr-HR"/>
        </w:rPr>
        <w:t xml:space="preserve"> QTc-intervala (vidjeti </w:t>
      </w:r>
      <w:r w:rsidR="00954637" w:rsidRPr="001D27D4">
        <w:rPr>
          <w:szCs w:val="22"/>
          <w:lang w:val="hr-HR"/>
        </w:rPr>
        <w:t xml:space="preserve">dio </w:t>
      </w:r>
      <w:r w:rsidRPr="00913317">
        <w:rPr>
          <w:szCs w:val="22"/>
          <w:lang w:val="hr-HR"/>
        </w:rPr>
        <w:t xml:space="preserve">4.5). Ako se ne može izbjeći </w:t>
      </w:r>
      <w:r w:rsidR="008F0B04" w:rsidRPr="00913317">
        <w:rPr>
          <w:szCs w:val="22"/>
          <w:lang w:val="hr-HR"/>
        </w:rPr>
        <w:t>istovremena</w:t>
      </w:r>
      <w:r w:rsidRPr="00913317">
        <w:rPr>
          <w:szCs w:val="22"/>
          <w:lang w:val="hr-HR"/>
        </w:rPr>
        <w:t xml:space="preserve"> primjena, preporučuje se </w:t>
      </w:r>
      <w:r w:rsidR="008F0B04" w:rsidRPr="00913317">
        <w:rPr>
          <w:szCs w:val="22"/>
          <w:lang w:val="hr-HR"/>
        </w:rPr>
        <w:t xml:space="preserve">često </w:t>
      </w:r>
      <w:r w:rsidRPr="00913317">
        <w:rPr>
          <w:szCs w:val="22"/>
          <w:lang w:val="hr-HR"/>
        </w:rPr>
        <w:t>praćenje EKG-a.</w:t>
      </w:r>
    </w:p>
    <w:p w14:paraId="4E2E4627" w14:textId="77777777" w:rsidR="00E45DBB" w:rsidRPr="00913317" w:rsidRDefault="00E45DBB" w:rsidP="00D72925">
      <w:pPr>
        <w:rPr>
          <w:szCs w:val="22"/>
          <w:lang w:val="hr-HR"/>
        </w:rPr>
      </w:pPr>
    </w:p>
    <w:p w14:paraId="6FC005AE" w14:textId="77777777" w:rsidR="00E45DBB" w:rsidRPr="00913317" w:rsidRDefault="00E45DBB" w:rsidP="00D72925">
      <w:pPr>
        <w:rPr>
          <w:szCs w:val="22"/>
          <w:u w:val="single"/>
          <w:lang w:val="hr-HR"/>
        </w:rPr>
      </w:pPr>
      <w:r w:rsidRPr="00913317">
        <w:rPr>
          <w:szCs w:val="22"/>
          <w:u w:val="single"/>
          <w:lang w:val="hr-HR"/>
        </w:rPr>
        <w:t>Inhibitori tirozin kinaze (supstrat CYP3A4)</w:t>
      </w:r>
    </w:p>
    <w:p w14:paraId="36308555" w14:textId="6C9AC961" w:rsidR="00E45DBB" w:rsidRPr="00913317" w:rsidRDefault="00E45DBB" w:rsidP="00D72925">
      <w:pPr>
        <w:rPr>
          <w:szCs w:val="22"/>
          <w:lang w:val="hr-HR"/>
        </w:rPr>
      </w:pPr>
      <w:r w:rsidRPr="00913317">
        <w:rPr>
          <w:szCs w:val="22"/>
          <w:lang w:val="hr-HR"/>
        </w:rPr>
        <w:lastRenderedPageBreak/>
        <w:t xml:space="preserve">Očekuje se da će </w:t>
      </w:r>
      <w:r w:rsidR="008F0B04" w:rsidRPr="00913317">
        <w:rPr>
          <w:szCs w:val="22"/>
          <w:lang w:val="hr-HR"/>
        </w:rPr>
        <w:t xml:space="preserve">istovremena </w:t>
      </w:r>
      <w:r w:rsidRPr="00913317">
        <w:rPr>
          <w:szCs w:val="22"/>
          <w:lang w:val="hr-HR"/>
        </w:rPr>
        <w:t>primjena vorikonazola s</w:t>
      </w:r>
      <w:r w:rsidR="008F0B04" w:rsidRPr="00913317">
        <w:rPr>
          <w:szCs w:val="22"/>
          <w:lang w:val="hr-HR"/>
        </w:rPr>
        <w:t>a</w:t>
      </w:r>
      <w:r w:rsidRPr="00913317">
        <w:rPr>
          <w:szCs w:val="22"/>
          <w:lang w:val="hr-HR"/>
        </w:rPr>
        <w:t xml:space="preserve"> inhibitorima tirozin kinaze koji se </w:t>
      </w:r>
      <w:r w:rsidR="008F0B04" w:rsidRPr="00913317">
        <w:rPr>
          <w:szCs w:val="22"/>
          <w:lang w:val="hr-HR"/>
        </w:rPr>
        <w:t>metabolišu</w:t>
      </w:r>
      <w:r w:rsidRPr="00913317">
        <w:rPr>
          <w:szCs w:val="22"/>
          <w:lang w:val="hr-HR"/>
        </w:rPr>
        <w:t xml:space="preserve"> pomoću enzima CYP3A4 povećati koncentracij</w:t>
      </w:r>
      <w:r w:rsidR="008F0B04" w:rsidRPr="00913317">
        <w:rPr>
          <w:szCs w:val="22"/>
          <w:lang w:val="hr-HR"/>
        </w:rPr>
        <w:t>u</w:t>
      </w:r>
      <w:r w:rsidRPr="00913317">
        <w:rPr>
          <w:szCs w:val="22"/>
          <w:lang w:val="hr-HR"/>
        </w:rPr>
        <w:t xml:space="preserve"> inhibitora tirozin kinaze u plazmi i rizik od </w:t>
      </w:r>
      <w:r w:rsidR="008F0B04" w:rsidRPr="00913317">
        <w:rPr>
          <w:szCs w:val="22"/>
          <w:lang w:val="hr-HR"/>
        </w:rPr>
        <w:t>neželjenih reakcija</w:t>
      </w:r>
      <w:r w:rsidRPr="00913317">
        <w:rPr>
          <w:szCs w:val="22"/>
          <w:lang w:val="hr-HR"/>
        </w:rPr>
        <w:t xml:space="preserve">. Ako se ne može izbjeći </w:t>
      </w:r>
      <w:r w:rsidR="008F0B04" w:rsidRPr="00913317">
        <w:rPr>
          <w:szCs w:val="22"/>
          <w:lang w:val="hr-HR"/>
        </w:rPr>
        <w:t xml:space="preserve">istovremena </w:t>
      </w:r>
      <w:r w:rsidRPr="00913317">
        <w:rPr>
          <w:szCs w:val="22"/>
          <w:lang w:val="hr-HR"/>
        </w:rPr>
        <w:t xml:space="preserve">primjena, preporučuje se smanjenje doze inhibitora tirozin kinaze i pažljivo kliničko praćenje (vidjeti </w:t>
      </w:r>
      <w:r w:rsidR="00954637" w:rsidRPr="00913317">
        <w:rPr>
          <w:szCs w:val="22"/>
          <w:lang w:val="hr-HR"/>
        </w:rPr>
        <w:t>dio</w:t>
      </w:r>
      <w:r w:rsidRPr="00913317">
        <w:rPr>
          <w:szCs w:val="22"/>
          <w:lang w:val="hr-HR"/>
        </w:rPr>
        <w:t xml:space="preserve"> 4.5).</w:t>
      </w:r>
    </w:p>
    <w:p w14:paraId="7E0F847B" w14:textId="77777777" w:rsidR="006131C3" w:rsidRPr="00913317" w:rsidRDefault="006131C3" w:rsidP="00D72925">
      <w:pPr>
        <w:rPr>
          <w:szCs w:val="22"/>
          <w:u w:val="single"/>
          <w:lang w:val="hr-HR"/>
        </w:rPr>
      </w:pPr>
    </w:p>
    <w:p w14:paraId="345A53D4" w14:textId="77777777" w:rsidR="006131C3" w:rsidRPr="00913317" w:rsidRDefault="005A7815" w:rsidP="00D72925">
      <w:pPr>
        <w:rPr>
          <w:szCs w:val="22"/>
          <w:u w:val="single"/>
          <w:lang w:val="hr-HR"/>
        </w:rPr>
      </w:pPr>
      <w:r w:rsidRPr="00913317">
        <w:rPr>
          <w:szCs w:val="22"/>
          <w:u w:val="single"/>
          <w:lang w:val="hr-HR"/>
        </w:rPr>
        <w:t>Rifabutin (snažan CYP450 induktor)</w:t>
      </w:r>
    </w:p>
    <w:p w14:paraId="084EAA23" w14:textId="092C8647" w:rsidR="006131C3" w:rsidRPr="00913317" w:rsidRDefault="005A7815" w:rsidP="00D72925">
      <w:pPr>
        <w:rPr>
          <w:szCs w:val="22"/>
          <w:lang w:val="hr-HR"/>
        </w:rPr>
      </w:pPr>
      <w:r w:rsidRPr="00913317">
        <w:rPr>
          <w:szCs w:val="22"/>
          <w:lang w:val="hr-HR"/>
        </w:rPr>
        <w:t xml:space="preserve">Pažljivo praćenje krvne slike i neželjenih </w:t>
      </w:r>
      <w:r w:rsidR="003D248C" w:rsidRPr="00913317">
        <w:rPr>
          <w:szCs w:val="22"/>
          <w:lang w:val="hr-HR"/>
        </w:rPr>
        <w:t>reakcij</w:t>
      </w:r>
      <w:r w:rsidRPr="00913317">
        <w:rPr>
          <w:szCs w:val="22"/>
          <w:lang w:val="hr-HR"/>
        </w:rPr>
        <w:t>a</w:t>
      </w:r>
      <w:r w:rsidR="003D248C" w:rsidRPr="00913317">
        <w:rPr>
          <w:szCs w:val="22"/>
          <w:lang w:val="hr-HR"/>
        </w:rPr>
        <w:t xml:space="preserve"> na</w:t>
      </w:r>
      <w:r w:rsidRPr="00913317">
        <w:rPr>
          <w:szCs w:val="22"/>
          <w:lang w:val="hr-HR"/>
        </w:rPr>
        <w:t xml:space="preserve"> rifabutin (npr. uveitis) se preporučuje ako se ovaj </w:t>
      </w:r>
      <w:r w:rsidR="004D45E7" w:rsidRPr="00913317">
        <w:rPr>
          <w:szCs w:val="22"/>
          <w:lang w:val="hr-HR"/>
        </w:rPr>
        <w:t>lijek</w:t>
      </w:r>
      <w:r w:rsidRPr="00913317">
        <w:rPr>
          <w:szCs w:val="22"/>
          <w:lang w:val="hr-HR"/>
        </w:rPr>
        <w:t xml:space="preserve"> </w:t>
      </w:r>
      <w:r w:rsidR="004D45E7" w:rsidRPr="00913317">
        <w:rPr>
          <w:szCs w:val="22"/>
          <w:lang w:val="hr-HR"/>
        </w:rPr>
        <w:t>primjen</w:t>
      </w:r>
      <w:r w:rsidRPr="00913317">
        <w:rPr>
          <w:szCs w:val="22"/>
          <w:lang w:val="hr-HR"/>
        </w:rPr>
        <w:t>juje sa vorikonazolom. Treba izb</w:t>
      </w:r>
      <w:r w:rsidR="00562911" w:rsidRPr="00913317">
        <w:rPr>
          <w:szCs w:val="22"/>
          <w:lang w:val="hr-HR"/>
        </w:rPr>
        <w:t>j</w:t>
      </w:r>
      <w:r w:rsidRPr="00913317">
        <w:rPr>
          <w:szCs w:val="22"/>
          <w:lang w:val="hr-HR"/>
        </w:rPr>
        <w:t xml:space="preserve">egavati istovremenu </w:t>
      </w:r>
      <w:r w:rsidR="004D45E7" w:rsidRPr="00913317">
        <w:rPr>
          <w:szCs w:val="22"/>
          <w:lang w:val="hr-HR"/>
        </w:rPr>
        <w:t>primjen</w:t>
      </w:r>
      <w:r w:rsidRPr="00913317">
        <w:rPr>
          <w:szCs w:val="22"/>
          <w:lang w:val="hr-HR"/>
        </w:rPr>
        <w:t>u rifabutina i vorikonazola, osim kada korist prevazilazi rizik (</w:t>
      </w:r>
      <w:r w:rsidR="004D45E7" w:rsidRPr="00913317">
        <w:rPr>
          <w:szCs w:val="22"/>
          <w:lang w:val="hr-HR"/>
        </w:rPr>
        <w:t xml:space="preserve">vidjeti </w:t>
      </w:r>
      <w:r w:rsidR="00954637" w:rsidRPr="00913317">
        <w:rPr>
          <w:szCs w:val="22"/>
          <w:lang w:val="hr-HR"/>
        </w:rPr>
        <w:t xml:space="preserve">dio </w:t>
      </w:r>
      <w:r w:rsidRPr="00913317">
        <w:rPr>
          <w:szCs w:val="22"/>
          <w:lang w:val="hr-HR"/>
        </w:rPr>
        <w:t>4.5).</w:t>
      </w:r>
    </w:p>
    <w:p w14:paraId="4CE1A415" w14:textId="77777777" w:rsidR="006131C3" w:rsidRPr="00913317" w:rsidRDefault="006131C3" w:rsidP="00D72925">
      <w:pPr>
        <w:rPr>
          <w:color w:val="FF0000"/>
          <w:szCs w:val="22"/>
          <w:u w:val="single"/>
          <w:lang w:val="hr-HR"/>
        </w:rPr>
      </w:pPr>
    </w:p>
    <w:p w14:paraId="07608948" w14:textId="77777777" w:rsidR="006131C3" w:rsidRPr="00913317" w:rsidRDefault="005A7815" w:rsidP="00D72925">
      <w:pPr>
        <w:rPr>
          <w:szCs w:val="22"/>
          <w:u w:val="single"/>
          <w:lang w:val="hr-HR"/>
        </w:rPr>
      </w:pPr>
      <w:r w:rsidRPr="00913317">
        <w:rPr>
          <w:szCs w:val="22"/>
          <w:u w:val="single"/>
          <w:lang w:val="hr-HR"/>
        </w:rPr>
        <w:t>Ritonavir (snažan CYP450 induktor, CYP3A4 inhibitor i supstrat)</w:t>
      </w:r>
    </w:p>
    <w:p w14:paraId="1D7F45DB" w14:textId="0C2804F9" w:rsidR="006131C3" w:rsidRPr="00913317" w:rsidRDefault="005A7815" w:rsidP="00D72925">
      <w:pPr>
        <w:rPr>
          <w:szCs w:val="22"/>
          <w:lang w:val="hr-HR"/>
        </w:rPr>
      </w:pPr>
      <w:r w:rsidRPr="00913317">
        <w:rPr>
          <w:szCs w:val="22"/>
          <w:lang w:val="hr-HR"/>
        </w:rPr>
        <w:t xml:space="preserve">Istovremenu </w:t>
      </w:r>
      <w:r w:rsidR="004D45E7" w:rsidRPr="00913317">
        <w:rPr>
          <w:szCs w:val="22"/>
          <w:lang w:val="hr-HR"/>
        </w:rPr>
        <w:t>primjen</w:t>
      </w:r>
      <w:r w:rsidRPr="00913317">
        <w:rPr>
          <w:szCs w:val="22"/>
          <w:lang w:val="hr-HR"/>
        </w:rPr>
        <w:t>u vorikonazola sa malim dozama ritonavira (100 mg dva puta dnevno) treba izb</w:t>
      </w:r>
      <w:r w:rsidR="00570242" w:rsidRPr="00913317">
        <w:rPr>
          <w:szCs w:val="22"/>
          <w:lang w:val="hr-HR"/>
        </w:rPr>
        <w:t>j</w:t>
      </w:r>
      <w:r w:rsidRPr="00913317">
        <w:rPr>
          <w:szCs w:val="22"/>
          <w:lang w:val="hr-HR"/>
        </w:rPr>
        <w:t xml:space="preserve">egavati, osim kada </w:t>
      </w:r>
      <w:r w:rsidR="004D45E7" w:rsidRPr="00913317">
        <w:rPr>
          <w:szCs w:val="22"/>
          <w:lang w:val="hr-HR"/>
        </w:rPr>
        <w:t>procjen</w:t>
      </w:r>
      <w:r w:rsidRPr="00913317">
        <w:rPr>
          <w:szCs w:val="22"/>
          <w:lang w:val="hr-HR"/>
        </w:rPr>
        <w:t xml:space="preserve">a odnosa korist/rizik za pacijenta opravdava </w:t>
      </w:r>
      <w:r w:rsidR="004D45E7" w:rsidRPr="00913317">
        <w:rPr>
          <w:szCs w:val="22"/>
          <w:lang w:val="hr-HR"/>
        </w:rPr>
        <w:t>primjen</w:t>
      </w:r>
      <w:r w:rsidRPr="00913317">
        <w:rPr>
          <w:szCs w:val="22"/>
          <w:lang w:val="hr-HR"/>
        </w:rPr>
        <w:t>u vorikonazola (</w:t>
      </w:r>
      <w:r w:rsidR="004D45E7" w:rsidRPr="00913317">
        <w:rPr>
          <w:szCs w:val="22"/>
          <w:lang w:val="hr-HR"/>
        </w:rPr>
        <w:t xml:space="preserve">vidjeti </w:t>
      </w:r>
      <w:r w:rsidR="00954637" w:rsidRPr="00913317">
        <w:rPr>
          <w:szCs w:val="22"/>
          <w:lang w:val="hr-HR"/>
        </w:rPr>
        <w:t>djelove</w:t>
      </w:r>
      <w:r w:rsidRPr="00913317">
        <w:rPr>
          <w:szCs w:val="22"/>
          <w:lang w:val="hr-HR"/>
        </w:rPr>
        <w:t xml:space="preserve"> 4.3 i 4.5).</w:t>
      </w:r>
    </w:p>
    <w:p w14:paraId="36A7ACF7" w14:textId="77777777" w:rsidR="00B75384" w:rsidRPr="00913317" w:rsidRDefault="00B75384" w:rsidP="00D72925">
      <w:pPr>
        <w:pStyle w:val="CM55"/>
        <w:spacing w:after="0"/>
        <w:ind w:right="249"/>
        <w:jc w:val="both"/>
        <w:rPr>
          <w:sz w:val="22"/>
          <w:szCs w:val="22"/>
          <w:u w:val="single"/>
          <w:lang w:val="hr-HR"/>
        </w:rPr>
      </w:pPr>
    </w:p>
    <w:p w14:paraId="59A3415E" w14:textId="77777777" w:rsidR="005A7815" w:rsidRPr="00913317" w:rsidRDefault="005A7815" w:rsidP="00D72925">
      <w:pPr>
        <w:pStyle w:val="CM55"/>
        <w:spacing w:after="0"/>
        <w:ind w:right="249"/>
        <w:jc w:val="both"/>
        <w:rPr>
          <w:sz w:val="22"/>
          <w:szCs w:val="22"/>
          <w:u w:val="single"/>
          <w:lang w:val="hr-HR"/>
        </w:rPr>
      </w:pPr>
      <w:r w:rsidRPr="00913317">
        <w:rPr>
          <w:sz w:val="22"/>
          <w:szCs w:val="22"/>
          <w:u w:val="single"/>
          <w:lang w:val="hr-HR"/>
        </w:rPr>
        <w:t>Everolimus (</w:t>
      </w:r>
      <w:r w:rsidRPr="00913317">
        <w:rPr>
          <w:snapToGrid w:val="0"/>
          <w:sz w:val="22"/>
          <w:szCs w:val="22"/>
          <w:u w:val="single"/>
          <w:lang w:val="hr-HR"/>
        </w:rPr>
        <w:t>CYP3A4 supstat, P-gp supstrat)</w:t>
      </w:r>
    </w:p>
    <w:p w14:paraId="670F917B" w14:textId="76537A41" w:rsidR="006131C3" w:rsidRPr="00913317" w:rsidRDefault="005A7815" w:rsidP="00D72925">
      <w:pPr>
        <w:pStyle w:val="CM55"/>
        <w:spacing w:after="0"/>
        <w:jc w:val="both"/>
        <w:rPr>
          <w:iCs/>
          <w:sz w:val="22"/>
          <w:szCs w:val="22"/>
          <w:lang w:val="hr-HR"/>
        </w:rPr>
      </w:pPr>
      <w:r w:rsidRPr="00913317">
        <w:rPr>
          <w:snapToGrid w:val="0"/>
          <w:sz w:val="22"/>
          <w:szCs w:val="22"/>
          <w:lang w:val="hr-HR"/>
        </w:rPr>
        <w:t xml:space="preserve">Istovremena </w:t>
      </w:r>
      <w:r w:rsidR="004D45E7" w:rsidRPr="00913317">
        <w:rPr>
          <w:snapToGrid w:val="0"/>
          <w:sz w:val="22"/>
          <w:szCs w:val="22"/>
          <w:lang w:val="hr-HR"/>
        </w:rPr>
        <w:t>primjen</w:t>
      </w:r>
      <w:r w:rsidRPr="00913317">
        <w:rPr>
          <w:snapToGrid w:val="0"/>
          <w:sz w:val="22"/>
          <w:szCs w:val="22"/>
          <w:lang w:val="hr-HR"/>
        </w:rPr>
        <w:t xml:space="preserve">a vorikonazola i everolimusa se ne preporučuje zato što se očekuje da vorikonazol </w:t>
      </w:r>
      <w:r w:rsidR="00B72F8A" w:rsidRPr="00913317">
        <w:rPr>
          <w:snapToGrid w:val="0"/>
          <w:sz w:val="22"/>
          <w:szCs w:val="22"/>
          <w:lang w:val="hr-HR"/>
        </w:rPr>
        <w:t xml:space="preserve">značajno </w:t>
      </w:r>
      <w:r w:rsidRPr="00913317">
        <w:rPr>
          <w:snapToGrid w:val="0"/>
          <w:sz w:val="22"/>
          <w:szCs w:val="22"/>
          <w:lang w:val="hr-HR"/>
        </w:rPr>
        <w:t xml:space="preserve">poveća koncentraciju everolimusa. Za sada nema dovoljno podataka koji bi omogućili davanje preporuka za </w:t>
      </w:r>
      <w:r w:rsidR="004D45E7" w:rsidRPr="00913317">
        <w:rPr>
          <w:snapToGrid w:val="0"/>
          <w:sz w:val="22"/>
          <w:szCs w:val="22"/>
          <w:lang w:val="hr-HR"/>
        </w:rPr>
        <w:t>primjen</w:t>
      </w:r>
      <w:r w:rsidRPr="00913317">
        <w:rPr>
          <w:snapToGrid w:val="0"/>
          <w:sz w:val="22"/>
          <w:szCs w:val="22"/>
          <w:lang w:val="hr-HR"/>
        </w:rPr>
        <w:t xml:space="preserve">u u ovoj situaciji </w:t>
      </w:r>
      <w:r w:rsidRPr="00913317">
        <w:rPr>
          <w:iCs/>
          <w:sz w:val="22"/>
          <w:szCs w:val="22"/>
          <w:lang w:val="hr-HR"/>
        </w:rPr>
        <w:t>(</w:t>
      </w:r>
      <w:r w:rsidR="004D45E7" w:rsidRPr="00913317">
        <w:rPr>
          <w:iCs/>
          <w:sz w:val="22"/>
          <w:szCs w:val="22"/>
          <w:lang w:val="hr-HR"/>
        </w:rPr>
        <w:t xml:space="preserve">vidjeti </w:t>
      </w:r>
      <w:r w:rsidR="00954637" w:rsidRPr="00913317">
        <w:rPr>
          <w:iCs/>
          <w:sz w:val="22"/>
          <w:szCs w:val="22"/>
          <w:lang w:val="hr-HR"/>
        </w:rPr>
        <w:t xml:space="preserve">dio </w:t>
      </w:r>
      <w:r w:rsidRPr="00913317">
        <w:rPr>
          <w:iCs/>
          <w:sz w:val="22"/>
          <w:szCs w:val="22"/>
          <w:lang w:val="hr-HR"/>
        </w:rPr>
        <w:t>4.5).</w:t>
      </w:r>
    </w:p>
    <w:p w14:paraId="5B4D0FD2" w14:textId="77777777" w:rsidR="006131C3" w:rsidRPr="00913317" w:rsidRDefault="006131C3" w:rsidP="00D72925">
      <w:pPr>
        <w:pStyle w:val="CM55"/>
        <w:spacing w:after="0"/>
        <w:ind w:right="-17"/>
        <w:jc w:val="both"/>
        <w:rPr>
          <w:color w:val="FF0000"/>
          <w:sz w:val="22"/>
          <w:szCs w:val="22"/>
          <w:u w:val="single"/>
          <w:lang w:val="hr-HR"/>
        </w:rPr>
      </w:pPr>
    </w:p>
    <w:p w14:paraId="3664D9F6" w14:textId="77777777" w:rsidR="006131C3" w:rsidRPr="00913317" w:rsidRDefault="005A7815" w:rsidP="00D72925">
      <w:pPr>
        <w:pStyle w:val="CM55"/>
        <w:spacing w:after="0"/>
        <w:ind w:right="-17"/>
        <w:jc w:val="both"/>
        <w:rPr>
          <w:sz w:val="22"/>
          <w:szCs w:val="22"/>
          <w:lang w:val="hr-HR"/>
        </w:rPr>
      </w:pPr>
      <w:r w:rsidRPr="00913317">
        <w:rPr>
          <w:sz w:val="22"/>
          <w:szCs w:val="22"/>
          <w:u w:val="single"/>
          <w:lang w:val="hr-HR"/>
        </w:rPr>
        <w:t>Metadon (CYP3A4 supstrat)</w:t>
      </w:r>
    </w:p>
    <w:p w14:paraId="560A70B5" w14:textId="5DC0FD36" w:rsidR="006131C3" w:rsidRPr="00913317" w:rsidRDefault="005A7815" w:rsidP="00D72925">
      <w:pPr>
        <w:pStyle w:val="CM55"/>
        <w:spacing w:after="0"/>
        <w:ind w:right="-17"/>
        <w:jc w:val="both"/>
        <w:rPr>
          <w:sz w:val="22"/>
          <w:szCs w:val="22"/>
          <w:lang w:val="hr-HR"/>
        </w:rPr>
      </w:pPr>
      <w:r w:rsidRPr="00913317">
        <w:rPr>
          <w:sz w:val="22"/>
          <w:szCs w:val="22"/>
          <w:lang w:val="hr-HR"/>
        </w:rPr>
        <w:t xml:space="preserve">Stalno praćenje neželjenih reakcija i toksičnosti izazvanih metadonom, uključujući i produženje QTc intervala se preporučuje kada se on </w:t>
      </w:r>
      <w:r w:rsidR="004D45E7" w:rsidRPr="00913317">
        <w:rPr>
          <w:sz w:val="22"/>
          <w:szCs w:val="22"/>
          <w:lang w:val="hr-HR"/>
        </w:rPr>
        <w:t>primjen</w:t>
      </w:r>
      <w:r w:rsidRPr="00913317">
        <w:rPr>
          <w:sz w:val="22"/>
          <w:szCs w:val="22"/>
          <w:lang w:val="hr-HR"/>
        </w:rPr>
        <w:t>juje istovremeno sa vorikonazolom, zato što je tada koncentracija metadona u krvi veća. Može biti potrebna redukcija doze metadona (</w:t>
      </w:r>
      <w:r w:rsidR="004D45E7" w:rsidRPr="00913317">
        <w:rPr>
          <w:sz w:val="22"/>
          <w:szCs w:val="22"/>
          <w:lang w:val="hr-HR"/>
        </w:rPr>
        <w:t xml:space="preserve">vidjeti </w:t>
      </w:r>
      <w:r w:rsidR="00954637" w:rsidRPr="00913317">
        <w:rPr>
          <w:sz w:val="22"/>
          <w:szCs w:val="22"/>
          <w:lang w:val="hr-HR"/>
        </w:rPr>
        <w:t>dio</w:t>
      </w:r>
      <w:r w:rsidRPr="00913317">
        <w:rPr>
          <w:sz w:val="22"/>
          <w:szCs w:val="22"/>
          <w:lang w:val="hr-HR"/>
        </w:rPr>
        <w:t xml:space="preserve"> 4.5).</w:t>
      </w:r>
    </w:p>
    <w:p w14:paraId="6992AE63" w14:textId="77777777" w:rsidR="006131C3" w:rsidRPr="00913317" w:rsidRDefault="006131C3" w:rsidP="00D72925">
      <w:pPr>
        <w:rPr>
          <w:szCs w:val="22"/>
          <w:u w:val="single"/>
          <w:lang w:val="hr-HR"/>
        </w:rPr>
      </w:pPr>
    </w:p>
    <w:p w14:paraId="3B38F59D" w14:textId="77777777" w:rsidR="006131C3" w:rsidRPr="00913317" w:rsidRDefault="005A7815" w:rsidP="00D72925">
      <w:pPr>
        <w:rPr>
          <w:szCs w:val="22"/>
          <w:u w:val="single"/>
          <w:lang w:val="hr-HR"/>
        </w:rPr>
      </w:pPr>
      <w:r w:rsidRPr="00913317">
        <w:rPr>
          <w:szCs w:val="22"/>
          <w:u w:val="single"/>
          <w:lang w:val="hr-HR"/>
        </w:rPr>
        <w:t>Opioidi kratkog dejstva (CYP3A4 supstrat</w:t>
      </w:r>
      <w:r w:rsidR="003E7EE8" w:rsidRPr="00913317">
        <w:rPr>
          <w:szCs w:val="22"/>
          <w:u w:val="single"/>
          <w:lang w:val="hr-HR"/>
        </w:rPr>
        <w:t>i</w:t>
      </w:r>
      <w:r w:rsidRPr="00913317">
        <w:rPr>
          <w:szCs w:val="22"/>
          <w:u w:val="single"/>
          <w:lang w:val="hr-HR"/>
        </w:rPr>
        <w:t>)</w:t>
      </w:r>
    </w:p>
    <w:p w14:paraId="13336639" w14:textId="464E6D07" w:rsidR="006131C3" w:rsidRPr="00913317" w:rsidRDefault="005A7815" w:rsidP="00D72925">
      <w:pPr>
        <w:rPr>
          <w:szCs w:val="22"/>
          <w:u w:val="single"/>
          <w:lang w:val="hr-HR"/>
        </w:rPr>
      </w:pPr>
      <w:r w:rsidRPr="00913317">
        <w:rPr>
          <w:szCs w:val="22"/>
          <w:lang w:val="hr-HR"/>
        </w:rPr>
        <w:t xml:space="preserve">Treba razmotriti smanjenje doze alfentanila, fentanila i drugih opioida kratkog dejstva slične strukture kao alfentanil koji se metabolišu preko CYP3A4 (npr. sufentanil), ako se </w:t>
      </w:r>
      <w:r w:rsidR="004D45E7" w:rsidRPr="00913317">
        <w:rPr>
          <w:szCs w:val="22"/>
          <w:lang w:val="hr-HR"/>
        </w:rPr>
        <w:t>primjen</w:t>
      </w:r>
      <w:r w:rsidRPr="00913317">
        <w:rPr>
          <w:szCs w:val="22"/>
          <w:lang w:val="hr-HR"/>
        </w:rPr>
        <w:t>juju istovremeno sa vorikonazolom (</w:t>
      </w:r>
      <w:r w:rsidR="004D45E7" w:rsidRPr="00913317">
        <w:rPr>
          <w:szCs w:val="22"/>
          <w:lang w:val="hr-HR"/>
        </w:rPr>
        <w:t xml:space="preserve">vidjeti </w:t>
      </w:r>
      <w:r w:rsidR="00954637" w:rsidRPr="00913317">
        <w:rPr>
          <w:szCs w:val="22"/>
          <w:lang w:val="hr-HR"/>
        </w:rPr>
        <w:t xml:space="preserve">dio </w:t>
      </w:r>
      <w:r w:rsidRPr="00913317">
        <w:rPr>
          <w:szCs w:val="22"/>
          <w:lang w:val="hr-HR"/>
        </w:rPr>
        <w:t>4.5). Pošto se poluvr</w:t>
      </w:r>
      <w:r w:rsidR="00FC15EB" w:rsidRPr="00913317">
        <w:rPr>
          <w:szCs w:val="22"/>
          <w:lang w:val="hr-HR"/>
        </w:rPr>
        <w:t>ij</w:t>
      </w:r>
      <w:r w:rsidRPr="00913317">
        <w:rPr>
          <w:szCs w:val="22"/>
          <w:lang w:val="hr-HR"/>
        </w:rPr>
        <w:t xml:space="preserve">eme eliminacije alfentanila produžava četiri puta kada se ovaj </w:t>
      </w:r>
      <w:r w:rsidR="004D45E7" w:rsidRPr="00913317">
        <w:rPr>
          <w:szCs w:val="22"/>
          <w:lang w:val="hr-HR"/>
        </w:rPr>
        <w:t>lijek</w:t>
      </w:r>
      <w:r w:rsidRPr="00913317">
        <w:rPr>
          <w:szCs w:val="22"/>
          <w:lang w:val="hr-HR"/>
        </w:rPr>
        <w:t xml:space="preserve"> </w:t>
      </w:r>
      <w:r w:rsidR="004D45E7" w:rsidRPr="00913317">
        <w:rPr>
          <w:szCs w:val="22"/>
          <w:lang w:val="hr-HR"/>
        </w:rPr>
        <w:t>primjen</w:t>
      </w:r>
      <w:r w:rsidRPr="00913317">
        <w:rPr>
          <w:szCs w:val="22"/>
          <w:lang w:val="hr-HR"/>
        </w:rPr>
        <w:t>juje i</w:t>
      </w:r>
      <w:r w:rsidR="00FC15EB" w:rsidRPr="00913317">
        <w:rPr>
          <w:szCs w:val="22"/>
          <w:lang w:val="hr-HR"/>
        </w:rPr>
        <w:t xml:space="preserve">stovremeno sa vorikonazolom i </w:t>
      </w:r>
      <w:r w:rsidRPr="00913317">
        <w:rPr>
          <w:szCs w:val="22"/>
          <w:lang w:val="hr-HR"/>
        </w:rPr>
        <w:t xml:space="preserve">obzirom </w:t>
      </w:r>
      <w:r w:rsidR="00FC15EB" w:rsidRPr="00913317">
        <w:rPr>
          <w:szCs w:val="22"/>
          <w:lang w:val="hr-HR"/>
        </w:rPr>
        <w:t xml:space="preserve">na to </w:t>
      </w:r>
      <w:r w:rsidRPr="00913317">
        <w:rPr>
          <w:szCs w:val="22"/>
          <w:lang w:val="hr-HR"/>
        </w:rPr>
        <w:t xml:space="preserve">da je jedna nezavisna objavljena studija pokazala da istovremena </w:t>
      </w:r>
      <w:r w:rsidR="004D45E7" w:rsidRPr="00913317">
        <w:rPr>
          <w:szCs w:val="22"/>
          <w:lang w:val="hr-HR"/>
        </w:rPr>
        <w:t>primjen</w:t>
      </w:r>
      <w:r w:rsidRPr="00913317">
        <w:rPr>
          <w:szCs w:val="22"/>
          <w:lang w:val="hr-HR"/>
        </w:rPr>
        <w:t>a fentanila i vorikonazola dovodi do povećanja pros</w:t>
      </w:r>
      <w:r w:rsidR="002E7C46" w:rsidRPr="00913317">
        <w:rPr>
          <w:szCs w:val="22"/>
          <w:lang w:val="hr-HR"/>
        </w:rPr>
        <w:t>j</w:t>
      </w:r>
      <w:r w:rsidRPr="00913317">
        <w:rPr>
          <w:szCs w:val="22"/>
          <w:lang w:val="hr-HR"/>
        </w:rPr>
        <w:t>ečne PIK</w:t>
      </w:r>
      <w:r w:rsidRPr="00913317">
        <w:rPr>
          <w:szCs w:val="22"/>
          <w:vertAlign w:val="subscript"/>
          <w:lang w:val="hr-HR"/>
        </w:rPr>
        <w:t>0-∞</w:t>
      </w:r>
      <w:r w:rsidRPr="00913317">
        <w:rPr>
          <w:szCs w:val="22"/>
          <w:lang w:val="hr-HR"/>
        </w:rPr>
        <w:t xml:space="preserve"> fentanila, može biti potrebno često praćenje u cilju otkrivanja neželjenih dejstava povezanih sa opioidima (uključujući praćenje respiratorne funkcije u dužem periodu). </w:t>
      </w:r>
    </w:p>
    <w:p w14:paraId="35E5588C" w14:textId="77777777" w:rsidR="006131C3" w:rsidRPr="00913317" w:rsidRDefault="006131C3" w:rsidP="00D72925">
      <w:pPr>
        <w:pStyle w:val="Paragraph"/>
        <w:spacing w:after="0"/>
        <w:jc w:val="both"/>
        <w:rPr>
          <w:snapToGrid w:val="0"/>
          <w:color w:val="FF0000"/>
          <w:sz w:val="22"/>
          <w:szCs w:val="22"/>
          <w:u w:val="single"/>
          <w:lang w:val="hr-HR"/>
        </w:rPr>
      </w:pPr>
    </w:p>
    <w:p w14:paraId="3A82C368" w14:textId="77777777" w:rsidR="006131C3" w:rsidRPr="00913317" w:rsidRDefault="005A7815" w:rsidP="00D72925">
      <w:pPr>
        <w:pStyle w:val="Paragraph"/>
        <w:keepNext/>
        <w:spacing w:after="0"/>
        <w:jc w:val="both"/>
        <w:rPr>
          <w:b/>
          <w:snapToGrid w:val="0"/>
          <w:sz w:val="22"/>
          <w:szCs w:val="22"/>
          <w:u w:val="single"/>
          <w:lang w:val="hr-HR"/>
        </w:rPr>
      </w:pPr>
      <w:r w:rsidRPr="00913317">
        <w:rPr>
          <w:snapToGrid w:val="0"/>
          <w:sz w:val="22"/>
          <w:szCs w:val="22"/>
          <w:u w:val="single"/>
          <w:lang w:val="hr-HR"/>
        </w:rPr>
        <w:t>Opioidi dugog dejstva</w:t>
      </w:r>
      <w:r w:rsidRPr="00913317">
        <w:rPr>
          <w:sz w:val="22"/>
          <w:szCs w:val="22"/>
          <w:u w:val="single"/>
          <w:lang w:val="hr-HR" w:eastAsia="nl-NL"/>
        </w:rPr>
        <w:t xml:space="preserve"> </w:t>
      </w:r>
      <w:r w:rsidRPr="00913317">
        <w:rPr>
          <w:snapToGrid w:val="0"/>
          <w:sz w:val="22"/>
          <w:szCs w:val="22"/>
          <w:u w:val="single"/>
          <w:lang w:val="hr-HR"/>
        </w:rPr>
        <w:t>(CYP3A4 supstrati)</w:t>
      </w:r>
    </w:p>
    <w:p w14:paraId="458F50BC" w14:textId="49B990EA" w:rsidR="006131C3" w:rsidRPr="00913317" w:rsidRDefault="005A7815" w:rsidP="00D72925">
      <w:pPr>
        <w:pStyle w:val="Paragraph"/>
        <w:spacing w:after="0"/>
        <w:jc w:val="both"/>
        <w:rPr>
          <w:b/>
          <w:snapToGrid w:val="0"/>
          <w:sz w:val="22"/>
          <w:szCs w:val="22"/>
          <w:lang w:val="hr-HR"/>
        </w:rPr>
      </w:pPr>
      <w:r w:rsidRPr="00913317">
        <w:rPr>
          <w:sz w:val="22"/>
          <w:szCs w:val="22"/>
          <w:lang w:val="hr-HR"/>
        </w:rPr>
        <w:t xml:space="preserve">Potrebno je razmotriti smanjenje doze oksikodona i drugih opioida dugog dejstva koji se metabolišu putem CYP3A4 (npr. hidrokodon) kada se ovi </w:t>
      </w:r>
      <w:r w:rsidR="004D45E7" w:rsidRPr="00913317">
        <w:rPr>
          <w:sz w:val="22"/>
          <w:szCs w:val="22"/>
          <w:lang w:val="hr-HR"/>
        </w:rPr>
        <w:t>ljekov</w:t>
      </w:r>
      <w:r w:rsidRPr="00913317">
        <w:rPr>
          <w:sz w:val="22"/>
          <w:szCs w:val="22"/>
          <w:lang w:val="hr-HR"/>
        </w:rPr>
        <w:t xml:space="preserve">i </w:t>
      </w:r>
      <w:r w:rsidR="004D45E7" w:rsidRPr="00913317">
        <w:rPr>
          <w:sz w:val="22"/>
          <w:szCs w:val="22"/>
          <w:lang w:val="hr-HR"/>
        </w:rPr>
        <w:t>primjen</w:t>
      </w:r>
      <w:r w:rsidRPr="00913317">
        <w:rPr>
          <w:sz w:val="22"/>
          <w:szCs w:val="22"/>
          <w:lang w:val="hr-HR"/>
        </w:rPr>
        <w:t>juju istovremeno sa vorikonazolom. Može biti potrebno često praćenje u cilju otkrivanja neželjenih dejstava povezanih sa opioidima (</w:t>
      </w:r>
      <w:r w:rsidR="004D45E7" w:rsidRPr="00913317">
        <w:rPr>
          <w:sz w:val="22"/>
          <w:szCs w:val="22"/>
          <w:lang w:val="hr-HR"/>
        </w:rPr>
        <w:t xml:space="preserve">vidjeti </w:t>
      </w:r>
      <w:r w:rsidR="00954637" w:rsidRPr="00913317">
        <w:rPr>
          <w:sz w:val="22"/>
          <w:szCs w:val="22"/>
          <w:lang w:val="hr-HR"/>
        </w:rPr>
        <w:t>dio</w:t>
      </w:r>
      <w:r w:rsidRPr="00913317">
        <w:rPr>
          <w:sz w:val="22"/>
          <w:szCs w:val="22"/>
          <w:lang w:val="hr-HR"/>
        </w:rPr>
        <w:t xml:space="preserve"> 4.5).</w:t>
      </w:r>
    </w:p>
    <w:p w14:paraId="261921FA" w14:textId="77777777" w:rsidR="006131C3" w:rsidRPr="00913317" w:rsidRDefault="006131C3" w:rsidP="00D72925">
      <w:pPr>
        <w:pStyle w:val="Paragraph"/>
        <w:spacing w:after="0"/>
        <w:jc w:val="both"/>
        <w:rPr>
          <w:bCs/>
          <w:sz w:val="22"/>
          <w:szCs w:val="22"/>
          <w:u w:val="single"/>
          <w:lang w:val="hr-HR"/>
        </w:rPr>
      </w:pPr>
    </w:p>
    <w:p w14:paraId="2D3939F4" w14:textId="77777777" w:rsidR="006131C3" w:rsidRPr="00913317" w:rsidRDefault="005A7815" w:rsidP="00D72925">
      <w:pPr>
        <w:pStyle w:val="Paragraph"/>
        <w:spacing w:after="0"/>
        <w:jc w:val="both"/>
        <w:rPr>
          <w:b/>
          <w:bCs/>
          <w:sz w:val="22"/>
          <w:szCs w:val="22"/>
          <w:lang w:val="hr-HR"/>
        </w:rPr>
      </w:pPr>
      <w:r w:rsidRPr="00913317">
        <w:rPr>
          <w:bCs/>
          <w:sz w:val="22"/>
          <w:szCs w:val="22"/>
          <w:u w:val="single"/>
          <w:lang w:val="hr-HR"/>
        </w:rPr>
        <w:t>Flukonazol</w:t>
      </w:r>
      <w:r w:rsidRPr="00913317">
        <w:rPr>
          <w:b/>
          <w:bCs/>
          <w:i/>
          <w:sz w:val="22"/>
          <w:szCs w:val="22"/>
          <w:u w:val="single"/>
          <w:lang w:val="hr-HR"/>
        </w:rPr>
        <w:t xml:space="preserve"> </w:t>
      </w:r>
      <w:r w:rsidRPr="00913317">
        <w:rPr>
          <w:bCs/>
          <w:sz w:val="22"/>
          <w:szCs w:val="22"/>
          <w:u w:val="single"/>
          <w:lang w:val="hr-HR"/>
        </w:rPr>
        <w:t>(CYP2C9, CYP2C19 i CYP3A4 inhibitor)</w:t>
      </w:r>
    </w:p>
    <w:p w14:paraId="07712015" w14:textId="68DDC004" w:rsidR="006131C3" w:rsidRPr="00913317" w:rsidRDefault="005A7815" w:rsidP="00D72925">
      <w:pPr>
        <w:pStyle w:val="Paragraph"/>
        <w:spacing w:after="0"/>
        <w:jc w:val="both"/>
        <w:rPr>
          <w:sz w:val="22"/>
          <w:szCs w:val="22"/>
          <w:lang w:val="hr-HR"/>
        </w:rPr>
      </w:pPr>
      <w:r w:rsidRPr="00913317">
        <w:rPr>
          <w:bCs/>
          <w:sz w:val="22"/>
          <w:szCs w:val="22"/>
          <w:lang w:val="hr-HR"/>
        </w:rPr>
        <w:t xml:space="preserve">Istovremena oralna </w:t>
      </w:r>
      <w:r w:rsidR="004D45E7" w:rsidRPr="00913317">
        <w:rPr>
          <w:bCs/>
          <w:sz w:val="22"/>
          <w:szCs w:val="22"/>
          <w:lang w:val="hr-HR"/>
        </w:rPr>
        <w:t>primjen</w:t>
      </w:r>
      <w:r w:rsidRPr="00913317">
        <w:rPr>
          <w:bCs/>
          <w:sz w:val="22"/>
          <w:szCs w:val="22"/>
          <w:lang w:val="hr-HR"/>
        </w:rPr>
        <w:t>a vorikonazola i flukonazola imala je za posl</w:t>
      </w:r>
      <w:r w:rsidR="00FC15EB" w:rsidRPr="00913317">
        <w:rPr>
          <w:bCs/>
          <w:sz w:val="22"/>
          <w:szCs w:val="22"/>
          <w:lang w:val="hr-HR"/>
        </w:rPr>
        <w:t>j</w:t>
      </w:r>
      <w:r w:rsidRPr="00913317">
        <w:rPr>
          <w:bCs/>
          <w:sz w:val="22"/>
          <w:szCs w:val="22"/>
          <w:lang w:val="hr-HR"/>
        </w:rPr>
        <w:t xml:space="preserve">edicu značajno povećanje </w:t>
      </w:r>
      <w:r w:rsidR="004D45E7" w:rsidRPr="00913317">
        <w:rPr>
          <w:bCs/>
          <w:sz w:val="22"/>
          <w:szCs w:val="22"/>
          <w:lang w:val="hr-HR"/>
        </w:rPr>
        <w:t>vrijedno</w:t>
      </w:r>
      <w:r w:rsidR="00A77C87" w:rsidRPr="00913317">
        <w:rPr>
          <w:bCs/>
          <w:sz w:val="22"/>
          <w:szCs w:val="22"/>
          <w:lang w:val="hr-HR"/>
        </w:rPr>
        <w:t xml:space="preserve">sti </w:t>
      </w:r>
      <w:r w:rsidRPr="00913317">
        <w:rPr>
          <w:sz w:val="22"/>
          <w:szCs w:val="22"/>
          <w:lang w:val="hr-HR"/>
        </w:rPr>
        <w:t>C</w:t>
      </w:r>
      <w:r w:rsidRPr="00913317">
        <w:rPr>
          <w:sz w:val="22"/>
          <w:szCs w:val="22"/>
          <w:vertAlign w:val="subscript"/>
          <w:lang w:val="hr-HR"/>
        </w:rPr>
        <w:t>max</w:t>
      </w:r>
      <w:r w:rsidRPr="00913317">
        <w:rPr>
          <w:sz w:val="22"/>
          <w:szCs w:val="22"/>
          <w:lang w:val="hr-HR"/>
        </w:rPr>
        <w:t xml:space="preserve"> i PIK</w:t>
      </w:r>
      <w:r w:rsidRPr="00913317">
        <w:rPr>
          <w:rFonts w:eastAsia="SymbolMT"/>
          <w:sz w:val="22"/>
          <w:szCs w:val="22"/>
          <w:lang w:val="hr-HR"/>
        </w:rPr>
        <w:t xml:space="preserve">τ </w:t>
      </w:r>
      <w:r w:rsidRPr="00913317">
        <w:rPr>
          <w:sz w:val="22"/>
          <w:szCs w:val="22"/>
          <w:lang w:val="hr-HR"/>
        </w:rPr>
        <w:t xml:space="preserve">vorikonazola kod zdravih ispitanika. Nije utvrđena </w:t>
      </w:r>
      <w:r w:rsidR="002768AE" w:rsidRPr="00913317">
        <w:rPr>
          <w:sz w:val="22"/>
          <w:szCs w:val="22"/>
          <w:lang w:val="hr-HR"/>
        </w:rPr>
        <w:t>manja</w:t>
      </w:r>
      <w:r w:rsidRPr="00913317">
        <w:rPr>
          <w:sz w:val="22"/>
          <w:szCs w:val="22"/>
          <w:lang w:val="hr-HR"/>
        </w:rPr>
        <w:t xml:space="preserve"> doza i/ili učestalost </w:t>
      </w:r>
      <w:r w:rsidR="004D45E7" w:rsidRPr="00913317">
        <w:rPr>
          <w:sz w:val="22"/>
          <w:szCs w:val="22"/>
          <w:lang w:val="hr-HR"/>
        </w:rPr>
        <w:t>primjen</w:t>
      </w:r>
      <w:r w:rsidRPr="00913317">
        <w:rPr>
          <w:sz w:val="22"/>
          <w:szCs w:val="22"/>
          <w:lang w:val="hr-HR"/>
        </w:rPr>
        <w:t>e vorikonazola i flukonazola koja bi eliminisala ovaj efekat. Praćenje neželjenih događaja povezanih sa vorikonazolom preporučuje se ako se vorikonazol uzima posl</w:t>
      </w:r>
      <w:r w:rsidR="009476B1" w:rsidRPr="00913317">
        <w:rPr>
          <w:sz w:val="22"/>
          <w:szCs w:val="22"/>
          <w:lang w:val="hr-HR"/>
        </w:rPr>
        <w:t>ij</w:t>
      </w:r>
      <w:r w:rsidRPr="00913317">
        <w:rPr>
          <w:sz w:val="22"/>
          <w:szCs w:val="22"/>
          <w:lang w:val="hr-HR"/>
        </w:rPr>
        <w:t>e flukonazola (</w:t>
      </w:r>
      <w:r w:rsidR="004D45E7" w:rsidRPr="00913317">
        <w:rPr>
          <w:sz w:val="22"/>
          <w:szCs w:val="22"/>
          <w:lang w:val="hr-HR"/>
        </w:rPr>
        <w:t xml:space="preserve">vidjeti </w:t>
      </w:r>
      <w:r w:rsidR="00954637" w:rsidRPr="00913317">
        <w:rPr>
          <w:sz w:val="22"/>
          <w:szCs w:val="22"/>
          <w:lang w:val="hr-HR"/>
        </w:rPr>
        <w:t xml:space="preserve">dio </w:t>
      </w:r>
      <w:r w:rsidRPr="00913317">
        <w:rPr>
          <w:sz w:val="22"/>
          <w:szCs w:val="22"/>
          <w:lang w:val="hr-HR"/>
        </w:rPr>
        <w:t xml:space="preserve">4.5). </w:t>
      </w:r>
    </w:p>
    <w:p w14:paraId="19E88253" w14:textId="0C068748" w:rsidR="0029457E" w:rsidRDefault="0029457E" w:rsidP="00D72925">
      <w:pPr>
        <w:tabs>
          <w:tab w:val="clear" w:pos="284"/>
        </w:tabs>
        <w:jc w:val="left"/>
        <w:rPr>
          <w:color w:val="FF0000"/>
          <w:szCs w:val="22"/>
          <w:u w:val="single"/>
          <w:lang w:val="hr-HR"/>
        </w:rPr>
      </w:pPr>
    </w:p>
    <w:p w14:paraId="54EBA15F" w14:textId="0603923C" w:rsidR="00F451FE" w:rsidRPr="009C1794" w:rsidRDefault="00F451FE" w:rsidP="00D72925">
      <w:pPr>
        <w:pStyle w:val="Header"/>
        <w:rPr>
          <w:color w:val="FF0000"/>
          <w:szCs w:val="22"/>
          <w:u w:val="single"/>
          <w:lang w:val="hr-HR"/>
        </w:rPr>
      </w:pPr>
      <w:r w:rsidRPr="0029457E">
        <w:rPr>
          <w:szCs w:val="22"/>
          <w:u w:val="single"/>
          <w:lang w:val="hr-HR"/>
        </w:rPr>
        <w:t>Pomoćne supstance</w:t>
      </w:r>
    </w:p>
    <w:p w14:paraId="520DC516" w14:textId="77777777" w:rsidR="00F451FE" w:rsidRPr="00913317" w:rsidRDefault="00F451FE" w:rsidP="00D72925">
      <w:pPr>
        <w:pStyle w:val="Header"/>
        <w:rPr>
          <w:color w:val="FF0000"/>
          <w:szCs w:val="22"/>
          <w:u w:val="single"/>
          <w:lang w:val="hr-HR"/>
        </w:rPr>
      </w:pPr>
    </w:p>
    <w:p w14:paraId="07DC6294" w14:textId="766805F0" w:rsidR="006131C3" w:rsidRPr="00913317" w:rsidRDefault="00F451FE" w:rsidP="00D72925">
      <w:pPr>
        <w:pStyle w:val="Header"/>
        <w:rPr>
          <w:szCs w:val="22"/>
          <w:lang w:val="hr-HR"/>
        </w:rPr>
      </w:pPr>
      <w:r w:rsidRPr="00913317">
        <w:rPr>
          <w:i/>
          <w:iCs/>
          <w:szCs w:val="22"/>
          <w:u w:val="single"/>
          <w:lang w:val="hr-HR"/>
        </w:rPr>
        <w:t>N</w:t>
      </w:r>
      <w:r w:rsidR="005A7815" w:rsidRPr="00913317">
        <w:rPr>
          <w:i/>
          <w:iCs/>
          <w:szCs w:val="22"/>
          <w:u w:val="single"/>
          <w:lang w:val="hr-HR"/>
        </w:rPr>
        <w:t>atrijum</w:t>
      </w:r>
    </w:p>
    <w:p w14:paraId="1D3AEEA9" w14:textId="27C9FE4A" w:rsidR="00F451FE" w:rsidRPr="00913317" w:rsidRDefault="00F451FE" w:rsidP="00D72925">
      <w:pPr>
        <w:pStyle w:val="Header"/>
        <w:rPr>
          <w:szCs w:val="22"/>
          <w:lang w:val="hr-HR"/>
        </w:rPr>
      </w:pPr>
      <w:r w:rsidRPr="00913317">
        <w:rPr>
          <w:szCs w:val="22"/>
          <w:lang w:val="hr-HR"/>
        </w:rPr>
        <w:t>Ovaj lijek sadrži 221 mg natrijuma po bočici, što odgovara 11% maksimalnog dnevnog unosa od 2 g natrijuma prema preporukama Svjetske zdravstvene organizacije za odraslu osobu.</w:t>
      </w:r>
    </w:p>
    <w:p w14:paraId="7B5D4B2F" w14:textId="77777777" w:rsidR="00F451FE" w:rsidRPr="00913317" w:rsidRDefault="00F451FE" w:rsidP="00D72925">
      <w:pPr>
        <w:pStyle w:val="Header"/>
        <w:rPr>
          <w:szCs w:val="22"/>
          <w:lang w:val="hr-HR"/>
        </w:rPr>
      </w:pPr>
    </w:p>
    <w:p w14:paraId="78E28A94" w14:textId="77777777" w:rsidR="00F451FE" w:rsidRPr="00913317" w:rsidRDefault="00F451FE" w:rsidP="00D72925">
      <w:pPr>
        <w:pStyle w:val="Header"/>
        <w:rPr>
          <w:i/>
          <w:iCs/>
          <w:szCs w:val="22"/>
          <w:u w:val="single"/>
          <w:lang w:val="hr-HR"/>
        </w:rPr>
      </w:pPr>
      <w:r w:rsidRPr="00913317">
        <w:rPr>
          <w:i/>
          <w:iCs/>
          <w:szCs w:val="22"/>
          <w:u w:val="single"/>
          <w:lang w:val="hr-HR"/>
        </w:rPr>
        <w:t>Ciklodekstrini</w:t>
      </w:r>
    </w:p>
    <w:p w14:paraId="101A582D" w14:textId="6EF94602" w:rsidR="00F451FE" w:rsidRPr="00913317" w:rsidRDefault="00F451FE" w:rsidP="00D72925">
      <w:pPr>
        <w:pStyle w:val="Header"/>
        <w:rPr>
          <w:szCs w:val="22"/>
          <w:lang w:val="hr-HR"/>
        </w:rPr>
      </w:pPr>
      <w:r w:rsidRPr="00913317">
        <w:rPr>
          <w:szCs w:val="22"/>
          <w:lang w:val="hr-HR"/>
        </w:rPr>
        <w:t>Prašak za rastvor za infuziju sadrži ciklodekstrine (3200 mg ciklodekstrina u jednoj bočici, što odgovara 160 mg/m</w:t>
      </w:r>
      <w:r w:rsidR="00C8309D" w:rsidRPr="00913317">
        <w:rPr>
          <w:szCs w:val="22"/>
          <w:lang w:val="hr-HR"/>
        </w:rPr>
        <w:t>l</w:t>
      </w:r>
      <w:r w:rsidRPr="00913317">
        <w:rPr>
          <w:szCs w:val="22"/>
          <w:lang w:val="hr-HR"/>
        </w:rPr>
        <w:t xml:space="preserve"> kada se rekonstituiše u 20 m</w:t>
      </w:r>
      <w:r w:rsidR="00C8309D" w:rsidRPr="00913317">
        <w:rPr>
          <w:szCs w:val="22"/>
          <w:lang w:val="hr-HR"/>
        </w:rPr>
        <w:t>l</w:t>
      </w:r>
      <w:r w:rsidRPr="00913317">
        <w:rPr>
          <w:szCs w:val="22"/>
          <w:lang w:val="hr-HR"/>
        </w:rPr>
        <w:t xml:space="preserve">, vidjeti </w:t>
      </w:r>
      <w:r w:rsidR="00954637" w:rsidRPr="00913317">
        <w:rPr>
          <w:szCs w:val="22"/>
          <w:lang w:val="hr-HR"/>
        </w:rPr>
        <w:t>djelove</w:t>
      </w:r>
      <w:r w:rsidRPr="00913317">
        <w:rPr>
          <w:szCs w:val="22"/>
          <w:lang w:val="hr-HR"/>
        </w:rPr>
        <w:t xml:space="preserve"> 2 i 6.1), što može uticati na svojstva </w:t>
      </w:r>
      <w:r w:rsidRPr="00913317">
        <w:rPr>
          <w:szCs w:val="22"/>
          <w:lang w:val="hr-HR"/>
        </w:rPr>
        <w:lastRenderedPageBreak/>
        <w:t xml:space="preserve">(poput toksičnosti) aktivne supstance i drugih </w:t>
      </w:r>
      <w:r w:rsidR="003C18A0" w:rsidRPr="00913317">
        <w:rPr>
          <w:szCs w:val="22"/>
          <w:lang w:val="hr-HR"/>
        </w:rPr>
        <w:t>ljekova</w:t>
      </w:r>
      <w:r w:rsidRPr="00913317">
        <w:rPr>
          <w:szCs w:val="22"/>
          <w:lang w:val="hr-HR"/>
        </w:rPr>
        <w:t>. Bezbjednosni aspekti ciklodekstrina razmatrani su tokom razvoja i bezbjednosne ocjene lijeka.</w:t>
      </w:r>
    </w:p>
    <w:p w14:paraId="18117ECD" w14:textId="77777777" w:rsidR="00F451FE" w:rsidRPr="00913317" w:rsidRDefault="00F451FE" w:rsidP="00D72925">
      <w:pPr>
        <w:pStyle w:val="Header"/>
        <w:rPr>
          <w:szCs w:val="22"/>
          <w:lang w:val="hr-HR"/>
        </w:rPr>
      </w:pPr>
    </w:p>
    <w:p w14:paraId="2CBE72A0" w14:textId="14FC61C3" w:rsidR="006131C3" w:rsidRPr="00913317" w:rsidRDefault="00F451FE" w:rsidP="00D72925">
      <w:pPr>
        <w:pStyle w:val="Header"/>
        <w:rPr>
          <w:szCs w:val="22"/>
          <w:lang w:val="hr-HR"/>
        </w:rPr>
      </w:pPr>
      <w:r w:rsidRPr="00913317">
        <w:rPr>
          <w:szCs w:val="22"/>
          <w:lang w:val="hr-HR"/>
        </w:rPr>
        <w:t>Budući da se ciklodekstrini izlučuju putem bubrega, kod pacijenata sa umjerenim do teškim oštećenjem funkcije bubrega može doći do akumulacije ciklodekstrina.</w:t>
      </w:r>
    </w:p>
    <w:p w14:paraId="38008521" w14:textId="77777777" w:rsidR="00F12304" w:rsidRPr="00913317" w:rsidRDefault="00F12304" w:rsidP="00D72925">
      <w:pPr>
        <w:pStyle w:val="CommentText"/>
        <w:rPr>
          <w:color w:val="FF0000"/>
          <w:sz w:val="22"/>
          <w:szCs w:val="22"/>
          <w:lang w:val="hr-HR"/>
        </w:rPr>
      </w:pPr>
    </w:p>
    <w:p w14:paraId="07000C7F" w14:textId="02F75218" w:rsidR="006131C3" w:rsidRPr="00913317" w:rsidRDefault="00CE09F3" w:rsidP="00D72925">
      <w:pPr>
        <w:rPr>
          <w:b/>
          <w:bCs/>
          <w:szCs w:val="22"/>
          <w:lang w:val="hr-HR"/>
        </w:rPr>
      </w:pPr>
      <w:r w:rsidRPr="00913317">
        <w:rPr>
          <w:b/>
          <w:bCs/>
          <w:szCs w:val="22"/>
          <w:lang w:val="hr-HR"/>
        </w:rPr>
        <w:t>4.5.</w:t>
      </w:r>
      <w:r w:rsidR="00F451FE" w:rsidRPr="00913317">
        <w:rPr>
          <w:b/>
          <w:bCs/>
          <w:szCs w:val="22"/>
          <w:lang w:val="hr-HR"/>
        </w:rPr>
        <w:tab/>
      </w:r>
      <w:r w:rsidRPr="00913317">
        <w:rPr>
          <w:b/>
          <w:bCs/>
          <w:szCs w:val="22"/>
          <w:lang w:val="hr-HR"/>
        </w:rPr>
        <w:t>Interakcije sa drugim l</w:t>
      </w:r>
      <w:r w:rsidR="00096DB7" w:rsidRPr="00913317">
        <w:rPr>
          <w:b/>
          <w:bCs/>
          <w:szCs w:val="22"/>
          <w:lang w:val="hr-HR"/>
        </w:rPr>
        <w:t>j</w:t>
      </w:r>
      <w:r w:rsidRPr="00913317">
        <w:rPr>
          <w:b/>
          <w:bCs/>
          <w:szCs w:val="22"/>
          <w:lang w:val="hr-HR"/>
        </w:rPr>
        <w:t>ekovima i druge vrste interakcija</w:t>
      </w:r>
    </w:p>
    <w:p w14:paraId="27EC1EE2" w14:textId="77777777" w:rsidR="006131C3" w:rsidRPr="00913317" w:rsidRDefault="006131C3" w:rsidP="00D72925">
      <w:pPr>
        <w:rPr>
          <w:color w:val="FF0000"/>
          <w:szCs w:val="22"/>
          <w:lang w:val="hr-HR"/>
        </w:rPr>
      </w:pPr>
    </w:p>
    <w:p w14:paraId="2869872A" w14:textId="3EDC243B" w:rsidR="006131C3" w:rsidRPr="00913317" w:rsidRDefault="005A7815" w:rsidP="00D72925">
      <w:pPr>
        <w:rPr>
          <w:szCs w:val="22"/>
          <w:lang w:val="hr-HR"/>
        </w:rPr>
      </w:pPr>
      <w:r w:rsidRPr="00913317">
        <w:rPr>
          <w:szCs w:val="22"/>
          <w:lang w:val="hr-HR"/>
        </w:rPr>
        <w:t>Vorikonazol se metaboliše putem citohrom P450 izoenzima CYP2C19, CYP2C9 i CYP3A4, a takođe je i njihov inhibitor. Inhibitori i</w:t>
      </w:r>
      <w:r w:rsidR="00973E23" w:rsidRPr="00913317">
        <w:rPr>
          <w:szCs w:val="22"/>
          <w:lang w:val="hr-HR"/>
        </w:rPr>
        <w:t>li</w:t>
      </w:r>
      <w:r w:rsidRPr="00913317">
        <w:rPr>
          <w:szCs w:val="22"/>
          <w:lang w:val="hr-HR"/>
        </w:rPr>
        <w:t xml:space="preserve"> induktori ovih izoenzima mogu da povećaju ili smanje koncentraciju vorikonazola u plazmi, kao što i vorikonazol ima potencijal da poveća koncentracije u plazmi </w:t>
      </w:r>
      <w:r w:rsidR="004D45E7" w:rsidRPr="00913317">
        <w:rPr>
          <w:szCs w:val="22"/>
          <w:lang w:val="hr-HR"/>
        </w:rPr>
        <w:t>ljekov</w:t>
      </w:r>
      <w:r w:rsidRPr="00913317">
        <w:rPr>
          <w:szCs w:val="22"/>
          <w:lang w:val="hr-HR"/>
        </w:rPr>
        <w:t>a koji se metabolišu putem CYP450 izoenzima</w:t>
      </w:r>
      <w:r w:rsidR="00F451FE" w:rsidRPr="00913317">
        <w:rPr>
          <w:szCs w:val="22"/>
          <w:lang w:val="hr-HR"/>
        </w:rPr>
        <w:t xml:space="preserve">, što se naročito odnosi na supstance koje se metabolišu putem CYP3A4 jer je vorikonazol jak inhibitor CYP3A4, iako povećanje AUC zavisi od supstrata (vidjeti </w:t>
      </w:r>
      <w:r w:rsidR="008467F0" w:rsidRPr="00913317">
        <w:rPr>
          <w:szCs w:val="22"/>
          <w:lang w:val="hr-HR"/>
        </w:rPr>
        <w:t>T</w:t>
      </w:r>
      <w:r w:rsidR="00F451FE" w:rsidRPr="00913317">
        <w:rPr>
          <w:szCs w:val="22"/>
          <w:lang w:val="hr-HR"/>
        </w:rPr>
        <w:t>abelu u nastavku)</w:t>
      </w:r>
      <w:r w:rsidRPr="00913317">
        <w:rPr>
          <w:szCs w:val="22"/>
          <w:lang w:val="hr-HR"/>
        </w:rPr>
        <w:t>.</w:t>
      </w:r>
    </w:p>
    <w:p w14:paraId="73731F89" w14:textId="54A4F657" w:rsidR="006131C3" w:rsidRPr="00913317" w:rsidRDefault="005A7815" w:rsidP="00D72925">
      <w:pPr>
        <w:rPr>
          <w:szCs w:val="22"/>
          <w:lang w:val="hr-HR"/>
        </w:rPr>
      </w:pPr>
      <w:r w:rsidRPr="00913317">
        <w:rPr>
          <w:szCs w:val="22"/>
          <w:lang w:val="hr-HR"/>
        </w:rPr>
        <w:t xml:space="preserve">Ukoliko nije drugačije naznačeno, studije interakcija su sprovedene na zdravim </w:t>
      </w:r>
      <w:r w:rsidR="00A77C87" w:rsidRPr="00913317">
        <w:rPr>
          <w:szCs w:val="22"/>
          <w:lang w:val="hr-HR"/>
        </w:rPr>
        <w:t xml:space="preserve">ispitanicima </w:t>
      </w:r>
      <w:r w:rsidRPr="00913317">
        <w:rPr>
          <w:szCs w:val="22"/>
          <w:lang w:val="hr-HR"/>
        </w:rPr>
        <w:t xml:space="preserve">muškog pola koji su </w:t>
      </w:r>
      <w:r w:rsidR="00C7273D" w:rsidRPr="00913317">
        <w:rPr>
          <w:szCs w:val="22"/>
          <w:lang w:val="hr-HR"/>
        </w:rPr>
        <w:t>oralno</w:t>
      </w:r>
      <w:r w:rsidRPr="00913317">
        <w:rPr>
          <w:szCs w:val="22"/>
          <w:lang w:val="hr-HR"/>
        </w:rPr>
        <w:t xml:space="preserve"> dobijali </w:t>
      </w:r>
      <w:r w:rsidR="00A77C87" w:rsidRPr="00913317">
        <w:rPr>
          <w:szCs w:val="22"/>
          <w:lang w:val="hr-HR"/>
        </w:rPr>
        <w:t xml:space="preserve">dozu od </w:t>
      </w:r>
      <w:r w:rsidRPr="00913317">
        <w:rPr>
          <w:szCs w:val="22"/>
          <w:lang w:val="hr-HR"/>
        </w:rPr>
        <w:t xml:space="preserve">200 mg vorikonazola, dva puta dnevno pri ponovljenom doziranju do postizanja stanja ravnoteže. Ovi podaci se odnose i na druge populacije i načine </w:t>
      </w:r>
      <w:r w:rsidR="004D45E7" w:rsidRPr="00913317">
        <w:rPr>
          <w:szCs w:val="22"/>
          <w:lang w:val="hr-HR"/>
        </w:rPr>
        <w:t>primjen</w:t>
      </w:r>
      <w:r w:rsidRPr="00913317">
        <w:rPr>
          <w:szCs w:val="22"/>
          <w:lang w:val="hr-HR"/>
        </w:rPr>
        <w:t xml:space="preserve">e. </w:t>
      </w:r>
    </w:p>
    <w:p w14:paraId="228DBD56" w14:textId="71F930C1" w:rsidR="006131C3" w:rsidRPr="00913317" w:rsidRDefault="005A7815" w:rsidP="00D72925">
      <w:pPr>
        <w:rPr>
          <w:szCs w:val="22"/>
          <w:lang w:val="hr-HR"/>
        </w:rPr>
      </w:pPr>
      <w:r w:rsidRPr="00913317">
        <w:rPr>
          <w:szCs w:val="22"/>
          <w:lang w:val="hr-HR"/>
        </w:rPr>
        <w:t xml:space="preserve">Vorikonazol se mora koristiti sa oprezom kod pacijenata koji istovremeno primaju </w:t>
      </w:r>
      <w:r w:rsidR="004D45E7" w:rsidRPr="00913317">
        <w:rPr>
          <w:szCs w:val="22"/>
          <w:lang w:val="hr-HR"/>
        </w:rPr>
        <w:t>ljekov</w:t>
      </w:r>
      <w:r w:rsidRPr="00913317">
        <w:rPr>
          <w:szCs w:val="22"/>
          <w:lang w:val="hr-HR"/>
        </w:rPr>
        <w:t xml:space="preserve">e koji produžavaju QTc interval. Kako vorikonazol potencira dejstvo </w:t>
      </w:r>
      <w:r w:rsidR="004D45E7" w:rsidRPr="00913317">
        <w:rPr>
          <w:szCs w:val="22"/>
          <w:lang w:val="hr-HR"/>
        </w:rPr>
        <w:t>ljekov</w:t>
      </w:r>
      <w:r w:rsidRPr="00913317">
        <w:rPr>
          <w:szCs w:val="22"/>
          <w:lang w:val="hr-HR"/>
        </w:rPr>
        <w:t xml:space="preserve">a koje metabolišu CYP3A4 izoenzimi (neki </w:t>
      </w:r>
      <w:r w:rsidRPr="00913317">
        <w:rPr>
          <w:spacing w:val="-4"/>
          <w:szCs w:val="22"/>
          <w:lang w:val="hr-HR"/>
        </w:rPr>
        <w:t>antihistaminici, hinidin, cisaprid, pimozid</w:t>
      </w:r>
      <w:r w:rsidR="008467F0" w:rsidRPr="00913317">
        <w:rPr>
          <w:spacing w:val="-4"/>
          <w:szCs w:val="22"/>
          <w:lang w:val="hr-HR"/>
        </w:rPr>
        <w:t xml:space="preserve"> i ivabradin</w:t>
      </w:r>
      <w:r w:rsidRPr="00913317">
        <w:rPr>
          <w:spacing w:val="-4"/>
          <w:szCs w:val="22"/>
          <w:lang w:val="hr-HR"/>
        </w:rPr>
        <w:t xml:space="preserve">) njihova istovremena </w:t>
      </w:r>
      <w:r w:rsidR="004D45E7" w:rsidRPr="00913317">
        <w:rPr>
          <w:spacing w:val="-4"/>
          <w:szCs w:val="22"/>
          <w:lang w:val="hr-HR"/>
        </w:rPr>
        <w:t>primjen</w:t>
      </w:r>
      <w:r w:rsidRPr="00913317">
        <w:rPr>
          <w:spacing w:val="-4"/>
          <w:szCs w:val="22"/>
          <w:lang w:val="hr-HR"/>
        </w:rPr>
        <w:t>a je kontraindikovana (</w:t>
      </w:r>
      <w:r w:rsidR="00F5199B" w:rsidRPr="00913317">
        <w:rPr>
          <w:szCs w:val="22"/>
          <w:lang w:val="hr-HR"/>
        </w:rPr>
        <w:t>vid</w:t>
      </w:r>
      <w:r w:rsidR="00673867" w:rsidRPr="00913317">
        <w:rPr>
          <w:szCs w:val="22"/>
          <w:lang w:val="hr-HR"/>
        </w:rPr>
        <w:t>j</w:t>
      </w:r>
      <w:r w:rsidR="00F5199B" w:rsidRPr="00913317">
        <w:rPr>
          <w:szCs w:val="22"/>
          <w:lang w:val="hr-HR"/>
        </w:rPr>
        <w:t>eti tekst u nastavku i</w:t>
      </w:r>
      <w:r w:rsidRPr="00913317">
        <w:rPr>
          <w:spacing w:val="-4"/>
          <w:szCs w:val="22"/>
          <w:lang w:val="hr-HR"/>
        </w:rPr>
        <w:t xml:space="preserve"> </w:t>
      </w:r>
      <w:r w:rsidR="00954637" w:rsidRPr="00913317">
        <w:rPr>
          <w:spacing w:val="-4"/>
          <w:szCs w:val="22"/>
          <w:lang w:val="hr-HR"/>
        </w:rPr>
        <w:t xml:space="preserve">dio </w:t>
      </w:r>
      <w:r w:rsidRPr="00913317">
        <w:rPr>
          <w:spacing w:val="-4"/>
          <w:szCs w:val="22"/>
          <w:lang w:val="hr-HR"/>
        </w:rPr>
        <w:t xml:space="preserve"> 4.3).</w:t>
      </w:r>
    </w:p>
    <w:p w14:paraId="32A55BBE" w14:textId="77777777" w:rsidR="005A7815" w:rsidRPr="00913317" w:rsidRDefault="005A7815" w:rsidP="00D72925">
      <w:pPr>
        <w:pStyle w:val="CM56"/>
        <w:keepNext/>
        <w:spacing w:after="0"/>
        <w:ind w:right="248"/>
        <w:jc w:val="both"/>
        <w:rPr>
          <w:sz w:val="22"/>
          <w:szCs w:val="22"/>
          <w:u w:val="single"/>
          <w:lang w:val="hr-HR"/>
        </w:rPr>
      </w:pPr>
      <w:r w:rsidRPr="00913317">
        <w:rPr>
          <w:sz w:val="22"/>
          <w:szCs w:val="22"/>
          <w:u w:val="single"/>
          <w:lang w:val="hr-HR"/>
        </w:rPr>
        <w:t>Tabela sa prikazom interakcija</w:t>
      </w:r>
    </w:p>
    <w:p w14:paraId="0CBD5727" w14:textId="208F08A3" w:rsidR="006131C3" w:rsidRPr="00913317" w:rsidRDefault="005A7815" w:rsidP="00D72925">
      <w:pPr>
        <w:pStyle w:val="CM56"/>
        <w:keepNext/>
        <w:spacing w:after="0"/>
        <w:jc w:val="both"/>
        <w:rPr>
          <w:sz w:val="22"/>
          <w:szCs w:val="22"/>
          <w:lang w:val="hr-HR"/>
        </w:rPr>
      </w:pPr>
      <w:r w:rsidRPr="00913317">
        <w:rPr>
          <w:sz w:val="22"/>
          <w:szCs w:val="22"/>
          <w:lang w:val="hr-HR"/>
        </w:rPr>
        <w:t xml:space="preserve">Interakcije vorikonazola sa drugim </w:t>
      </w:r>
      <w:r w:rsidR="004D45E7" w:rsidRPr="00913317">
        <w:rPr>
          <w:sz w:val="22"/>
          <w:szCs w:val="22"/>
          <w:lang w:val="hr-HR"/>
        </w:rPr>
        <w:t>ljekov</w:t>
      </w:r>
      <w:r w:rsidRPr="00913317">
        <w:rPr>
          <w:sz w:val="22"/>
          <w:szCs w:val="22"/>
          <w:lang w:val="hr-HR"/>
        </w:rPr>
        <w:t>ima prikazane su u sl</w:t>
      </w:r>
      <w:r w:rsidR="00956080" w:rsidRPr="00913317">
        <w:rPr>
          <w:sz w:val="22"/>
          <w:szCs w:val="22"/>
          <w:lang w:val="hr-HR"/>
        </w:rPr>
        <w:t>j</w:t>
      </w:r>
      <w:r w:rsidRPr="00913317">
        <w:rPr>
          <w:sz w:val="22"/>
          <w:szCs w:val="22"/>
          <w:lang w:val="hr-HR"/>
        </w:rPr>
        <w:t>edećoj tabeli. Sm</w:t>
      </w:r>
      <w:r w:rsidR="00956080" w:rsidRPr="00913317">
        <w:rPr>
          <w:sz w:val="22"/>
          <w:szCs w:val="22"/>
          <w:lang w:val="hr-HR"/>
        </w:rPr>
        <w:t>j</w:t>
      </w:r>
      <w:r w:rsidRPr="00913317">
        <w:rPr>
          <w:sz w:val="22"/>
          <w:szCs w:val="22"/>
          <w:lang w:val="hr-HR"/>
        </w:rPr>
        <w:t>er strelice za svaki farmakokinetički paramet</w:t>
      </w:r>
      <w:r w:rsidR="00426F1F" w:rsidRPr="00913317">
        <w:rPr>
          <w:sz w:val="22"/>
          <w:szCs w:val="22"/>
          <w:lang w:val="hr-HR"/>
        </w:rPr>
        <w:t>a</w:t>
      </w:r>
      <w:r w:rsidRPr="00913317">
        <w:rPr>
          <w:sz w:val="22"/>
          <w:szCs w:val="22"/>
          <w:lang w:val="hr-HR"/>
        </w:rPr>
        <w:t>r se zasniva na 90% intervalu</w:t>
      </w:r>
      <w:r w:rsidR="00852042" w:rsidRPr="00913317">
        <w:rPr>
          <w:sz w:val="22"/>
          <w:szCs w:val="22"/>
          <w:lang w:val="hr-HR"/>
        </w:rPr>
        <w:t xml:space="preserve"> pouzdanosti</w:t>
      </w:r>
      <w:r w:rsidRPr="00913317">
        <w:rPr>
          <w:sz w:val="22"/>
          <w:szCs w:val="22"/>
          <w:lang w:val="hr-HR"/>
        </w:rPr>
        <w:t xml:space="preserve"> geometrijske srednje </w:t>
      </w:r>
      <w:r w:rsidR="004D45E7" w:rsidRPr="00913317">
        <w:rPr>
          <w:sz w:val="22"/>
          <w:szCs w:val="22"/>
          <w:lang w:val="hr-HR"/>
        </w:rPr>
        <w:t>vrijedno</w:t>
      </w:r>
      <w:r w:rsidRPr="00913317">
        <w:rPr>
          <w:sz w:val="22"/>
          <w:szCs w:val="22"/>
          <w:lang w:val="hr-HR"/>
        </w:rPr>
        <w:t>sti, gd</w:t>
      </w:r>
      <w:r w:rsidR="00956080" w:rsidRPr="00913317">
        <w:rPr>
          <w:sz w:val="22"/>
          <w:szCs w:val="22"/>
          <w:lang w:val="hr-HR"/>
        </w:rPr>
        <w:t>j</w:t>
      </w:r>
      <w:r w:rsidRPr="00913317">
        <w:rPr>
          <w:sz w:val="22"/>
          <w:szCs w:val="22"/>
          <w:lang w:val="hr-HR"/>
        </w:rPr>
        <w:t xml:space="preserve">e je (↔) u okviru, (↓) </w:t>
      </w:r>
      <w:r w:rsidRPr="00913317">
        <w:rPr>
          <w:spacing w:val="-2"/>
          <w:sz w:val="22"/>
          <w:szCs w:val="22"/>
          <w:lang w:val="hr-HR"/>
        </w:rPr>
        <w:t>ispod ili (↑) iznad raspona od 80-125%. Zv</w:t>
      </w:r>
      <w:r w:rsidR="00956080" w:rsidRPr="00913317">
        <w:rPr>
          <w:spacing w:val="-2"/>
          <w:sz w:val="22"/>
          <w:szCs w:val="22"/>
          <w:lang w:val="hr-HR"/>
        </w:rPr>
        <w:t>j</w:t>
      </w:r>
      <w:r w:rsidRPr="00913317">
        <w:rPr>
          <w:spacing w:val="-2"/>
          <w:sz w:val="22"/>
          <w:szCs w:val="22"/>
          <w:lang w:val="hr-HR"/>
        </w:rPr>
        <w:t>ezdica (*) ukazuje na uzajamnu interakciju. PIK</w:t>
      </w:r>
      <w:r w:rsidRPr="00913317">
        <w:rPr>
          <w:spacing w:val="-2"/>
          <w:sz w:val="22"/>
          <w:szCs w:val="22"/>
          <w:vertAlign w:val="subscript"/>
          <w:lang w:val="hr-HR"/>
        </w:rPr>
        <w:sym w:font="Symbol" w:char="F074"/>
      </w:r>
      <w:r w:rsidRPr="00913317">
        <w:rPr>
          <w:spacing w:val="-2"/>
          <w:sz w:val="22"/>
          <w:szCs w:val="22"/>
          <w:lang w:val="hr-HR"/>
        </w:rPr>
        <w:t xml:space="preserve"> predstavlja površinu ispod krive u okviru doznog intervala, PIK</w:t>
      </w:r>
      <w:r w:rsidRPr="00913317">
        <w:rPr>
          <w:spacing w:val="-2"/>
          <w:sz w:val="22"/>
          <w:szCs w:val="22"/>
          <w:vertAlign w:val="subscript"/>
          <w:lang w:val="hr-HR"/>
        </w:rPr>
        <w:t>t</w:t>
      </w:r>
      <w:r w:rsidRPr="00913317">
        <w:rPr>
          <w:spacing w:val="-2"/>
          <w:sz w:val="22"/>
          <w:szCs w:val="22"/>
          <w:lang w:val="hr-HR"/>
        </w:rPr>
        <w:t xml:space="preserve"> površinu ispod krive od nultog trenutka do trenutka detekcije i PIK</w:t>
      </w:r>
      <w:r w:rsidRPr="00913317">
        <w:rPr>
          <w:spacing w:val="-2"/>
          <w:sz w:val="22"/>
          <w:szCs w:val="22"/>
          <w:vertAlign w:val="subscript"/>
          <w:lang w:val="hr-HR"/>
        </w:rPr>
        <w:t>0-</w:t>
      </w:r>
      <w:r w:rsidRPr="00913317">
        <w:rPr>
          <w:spacing w:val="-2"/>
          <w:sz w:val="22"/>
          <w:szCs w:val="22"/>
          <w:vertAlign w:val="subscript"/>
          <w:lang w:val="hr-HR"/>
        </w:rPr>
        <w:sym w:font="Symbol" w:char="F0A5"/>
      </w:r>
      <w:r w:rsidRPr="00913317">
        <w:rPr>
          <w:spacing w:val="-2"/>
          <w:sz w:val="22"/>
          <w:szCs w:val="22"/>
          <w:lang w:val="hr-HR"/>
        </w:rPr>
        <w:t xml:space="preserve"> površinu ispod krive od nultog trenutka do beskonačnosti.</w:t>
      </w:r>
    </w:p>
    <w:p w14:paraId="56C51F73" w14:textId="2AFEEBF1" w:rsidR="006131C3" w:rsidRPr="00913317" w:rsidRDefault="005A7815" w:rsidP="00D72925">
      <w:pPr>
        <w:pStyle w:val="CM56"/>
        <w:spacing w:after="0"/>
        <w:jc w:val="both"/>
        <w:rPr>
          <w:sz w:val="22"/>
          <w:szCs w:val="22"/>
          <w:lang w:val="hr-HR"/>
        </w:rPr>
      </w:pPr>
      <w:r w:rsidRPr="008C59C8">
        <w:rPr>
          <w:sz w:val="22"/>
          <w:szCs w:val="22"/>
          <w:lang w:val="hr-HR"/>
        </w:rPr>
        <w:t>Interakcije su u tabeli prikazane sl</w:t>
      </w:r>
      <w:r w:rsidR="00956080" w:rsidRPr="008C59C8">
        <w:rPr>
          <w:sz w:val="22"/>
          <w:szCs w:val="22"/>
          <w:lang w:val="hr-HR"/>
        </w:rPr>
        <w:t>j</w:t>
      </w:r>
      <w:r w:rsidRPr="008C59C8">
        <w:rPr>
          <w:sz w:val="22"/>
          <w:szCs w:val="22"/>
          <w:lang w:val="hr-HR"/>
        </w:rPr>
        <w:t>edećim redosl</w:t>
      </w:r>
      <w:r w:rsidR="003D53A2" w:rsidRPr="008C59C8">
        <w:rPr>
          <w:sz w:val="22"/>
          <w:szCs w:val="22"/>
          <w:lang w:val="hr-HR"/>
        </w:rPr>
        <w:t>j</w:t>
      </w:r>
      <w:r w:rsidRPr="008C59C8">
        <w:rPr>
          <w:sz w:val="22"/>
          <w:szCs w:val="22"/>
          <w:lang w:val="hr-HR"/>
        </w:rPr>
        <w:t xml:space="preserve">edom: kontraindikovana istovremena </w:t>
      </w:r>
      <w:r w:rsidR="004D45E7" w:rsidRPr="008C59C8">
        <w:rPr>
          <w:sz w:val="22"/>
          <w:szCs w:val="22"/>
          <w:lang w:val="hr-HR"/>
        </w:rPr>
        <w:t>primjen</w:t>
      </w:r>
      <w:r w:rsidRPr="008C59C8">
        <w:rPr>
          <w:sz w:val="22"/>
          <w:szCs w:val="22"/>
          <w:lang w:val="hr-HR"/>
        </w:rPr>
        <w:t xml:space="preserve">a, interakcije koje </w:t>
      </w:r>
      <w:r w:rsidR="00D85AC5" w:rsidRPr="00D837A3">
        <w:rPr>
          <w:sz w:val="22"/>
          <w:szCs w:val="22"/>
          <w:lang w:val="hr-HR"/>
        </w:rPr>
        <w:t>zahtijeva</w:t>
      </w:r>
      <w:r w:rsidRPr="003307B5">
        <w:rPr>
          <w:sz w:val="22"/>
          <w:szCs w:val="22"/>
          <w:lang w:val="hr-HR"/>
        </w:rPr>
        <w:t>ju prilagođavanje doze i pažljivo kliničko i/ili biološko praćenje i na kraju slučajevi kada nije utvrđena značajna farmakokinetička interakcija</w:t>
      </w:r>
      <w:r w:rsidR="003D53A2" w:rsidRPr="0029457E">
        <w:rPr>
          <w:sz w:val="22"/>
          <w:szCs w:val="22"/>
          <w:lang w:val="hr-HR"/>
        </w:rPr>
        <w:t>,</w:t>
      </w:r>
      <w:r w:rsidRPr="009C1794">
        <w:rPr>
          <w:sz w:val="22"/>
          <w:szCs w:val="22"/>
          <w:lang w:val="hr-HR"/>
        </w:rPr>
        <w:t xml:space="preserve"> ali mogu biti od kliničkog interesa u okviru terapijske oblasti.</w:t>
      </w:r>
    </w:p>
    <w:p w14:paraId="10AE4C5A" w14:textId="77777777" w:rsidR="000E029E" w:rsidRPr="00723F41" w:rsidRDefault="000E029E" w:rsidP="00D72925">
      <w:pPr>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2588"/>
        <w:gridCol w:w="3315"/>
        <w:gridCol w:w="3202"/>
        <w:gridCol w:w="38"/>
      </w:tblGrid>
      <w:tr w:rsidR="00935053" w:rsidRPr="00913317" w14:paraId="6CA47AFB" w14:textId="77777777" w:rsidTr="00581521">
        <w:trPr>
          <w:gridAfter w:val="1"/>
          <w:wAfter w:w="21" w:type="pct"/>
        </w:trPr>
        <w:tc>
          <w:tcPr>
            <w:tcW w:w="1415" w:type="pct"/>
          </w:tcPr>
          <w:p w14:paraId="63546607" w14:textId="2DA86BC5" w:rsidR="005A7815" w:rsidRPr="00913317" w:rsidRDefault="004D45E7" w:rsidP="00D72925">
            <w:pPr>
              <w:pStyle w:val="TableText"/>
              <w:keepNext/>
              <w:overflowPunct w:val="0"/>
              <w:autoSpaceDE w:val="0"/>
              <w:autoSpaceDN w:val="0"/>
              <w:adjustRightInd w:val="0"/>
              <w:jc w:val="both"/>
              <w:textAlignment w:val="baseline"/>
              <w:rPr>
                <w:rFonts w:cs="Times New Roman"/>
                <w:b/>
                <w:sz w:val="22"/>
                <w:szCs w:val="22"/>
                <w:lang w:val="hr-HR"/>
              </w:rPr>
            </w:pPr>
            <w:r w:rsidRPr="00913317">
              <w:rPr>
                <w:rFonts w:cs="Times New Roman"/>
                <w:b/>
                <w:sz w:val="22"/>
                <w:szCs w:val="22"/>
                <w:lang w:val="hr-HR"/>
              </w:rPr>
              <w:t>Lijek</w:t>
            </w:r>
            <w:r w:rsidR="005A7815" w:rsidRPr="00913317">
              <w:rPr>
                <w:rFonts w:cs="Times New Roman"/>
                <w:b/>
                <w:sz w:val="22"/>
                <w:szCs w:val="22"/>
                <w:lang w:val="hr-HR"/>
              </w:rPr>
              <w:br/>
            </w:r>
            <w:r w:rsidR="005A7815" w:rsidRPr="00913317">
              <w:rPr>
                <w:rFonts w:cs="Times New Roman"/>
                <w:b/>
                <w:i/>
                <w:sz w:val="22"/>
                <w:szCs w:val="22"/>
                <w:lang w:val="hr-HR"/>
              </w:rPr>
              <w:t>[Mehanizam interakcije]</w:t>
            </w:r>
          </w:p>
        </w:tc>
        <w:tc>
          <w:tcPr>
            <w:tcW w:w="1813" w:type="pct"/>
          </w:tcPr>
          <w:p w14:paraId="37DAFFEC" w14:textId="6534D580" w:rsidR="005A7815" w:rsidRPr="00913317" w:rsidRDefault="005A7815" w:rsidP="00D72925">
            <w:pPr>
              <w:pStyle w:val="TableText"/>
              <w:keepNext/>
              <w:overflowPunct w:val="0"/>
              <w:autoSpaceDE w:val="0"/>
              <w:autoSpaceDN w:val="0"/>
              <w:adjustRightInd w:val="0"/>
              <w:jc w:val="both"/>
              <w:textAlignment w:val="baseline"/>
              <w:rPr>
                <w:rFonts w:cs="Times New Roman"/>
                <w:b/>
                <w:sz w:val="22"/>
                <w:szCs w:val="22"/>
                <w:lang w:val="hr-HR"/>
              </w:rPr>
            </w:pPr>
            <w:r w:rsidRPr="00913317">
              <w:rPr>
                <w:rFonts w:cs="Times New Roman"/>
                <w:b/>
                <w:sz w:val="22"/>
                <w:szCs w:val="22"/>
                <w:lang w:val="hr-HR"/>
              </w:rPr>
              <w:t>Interakcija</w:t>
            </w:r>
            <w:r w:rsidRPr="00913317">
              <w:rPr>
                <w:rFonts w:cs="Times New Roman"/>
                <w:b/>
                <w:sz w:val="22"/>
                <w:szCs w:val="22"/>
                <w:lang w:val="hr-HR"/>
              </w:rPr>
              <w:br/>
            </w:r>
            <w:r w:rsidR="00C7273D" w:rsidRPr="00913317">
              <w:rPr>
                <w:rFonts w:cs="Times New Roman"/>
                <w:b/>
                <w:sz w:val="22"/>
                <w:szCs w:val="22"/>
                <w:lang w:val="hr-HR"/>
              </w:rPr>
              <w:t xml:space="preserve">Geometrijska srednja </w:t>
            </w:r>
            <w:r w:rsidR="004D45E7" w:rsidRPr="00913317">
              <w:rPr>
                <w:rFonts w:cs="Times New Roman"/>
                <w:b/>
                <w:sz w:val="22"/>
                <w:szCs w:val="22"/>
                <w:lang w:val="hr-HR"/>
              </w:rPr>
              <w:t>vrijedno</w:t>
            </w:r>
            <w:r w:rsidR="00C7273D" w:rsidRPr="00913317">
              <w:rPr>
                <w:rFonts w:cs="Times New Roman"/>
                <w:b/>
                <w:sz w:val="22"/>
                <w:szCs w:val="22"/>
                <w:lang w:val="hr-HR"/>
              </w:rPr>
              <w:t>st</w:t>
            </w:r>
            <w:r w:rsidRPr="00913317">
              <w:rPr>
                <w:rFonts w:cs="Times New Roman"/>
                <w:b/>
                <w:sz w:val="22"/>
                <w:szCs w:val="22"/>
                <w:lang w:val="hr-HR"/>
              </w:rPr>
              <w:t xml:space="preserve"> prom</w:t>
            </w:r>
            <w:r w:rsidR="00956080" w:rsidRPr="00913317">
              <w:rPr>
                <w:rFonts w:cs="Times New Roman"/>
                <w:b/>
                <w:sz w:val="22"/>
                <w:szCs w:val="22"/>
                <w:lang w:val="hr-HR"/>
              </w:rPr>
              <w:t>j</w:t>
            </w:r>
            <w:r w:rsidRPr="00913317">
              <w:rPr>
                <w:rFonts w:cs="Times New Roman"/>
                <w:b/>
                <w:sz w:val="22"/>
                <w:szCs w:val="22"/>
                <w:lang w:val="hr-HR"/>
              </w:rPr>
              <w:t>ene (%)</w:t>
            </w:r>
          </w:p>
        </w:tc>
        <w:tc>
          <w:tcPr>
            <w:tcW w:w="1751" w:type="pct"/>
          </w:tcPr>
          <w:p w14:paraId="6798D15B" w14:textId="757DD16E" w:rsidR="005A7815" w:rsidRPr="00913317" w:rsidRDefault="005A7815" w:rsidP="00D72925">
            <w:pPr>
              <w:pStyle w:val="TableText"/>
              <w:keepNext/>
              <w:overflowPunct w:val="0"/>
              <w:autoSpaceDE w:val="0"/>
              <w:autoSpaceDN w:val="0"/>
              <w:adjustRightInd w:val="0"/>
              <w:jc w:val="both"/>
              <w:textAlignment w:val="baseline"/>
              <w:rPr>
                <w:rFonts w:cs="Times New Roman"/>
                <w:b/>
                <w:sz w:val="22"/>
                <w:szCs w:val="22"/>
                <w:lang w:val="hr-HR"/>
              </w:rPr>
            </w:pPr>
            <w:r w:rsidRPr="00913317">
              <w:rPr>
                <w:rFonts w:cs="Times New Roman"/>
                <w:b/>
                <w:sz w:val="22"/>
                <w:szCs w:val="22"/>
                <w:lang w:val="hr-HR"/>
              </w:rPr>
              <w:t xml:space="preserve">Preporuke po pitanju istovremene </w:t>
            </w:r>
            <w:r w:rsidR="004D45E7" w:rsidRPr="00913317">
              <w:rPr>
                <w:rFonts w:cs="Times New Roman"/>
                <w:b/>
                <w:sz w:val="22"/>
                <w:szCs w:val="22"/>
                <w:lang w:val="hr-HR"/>
              </w:rPr>
              <w:t>primjen</w:t>
            </w:r>
            <w:r w:rsidRPr="00913317">
              <w:rPr>
                <w:rFonts w:cs="Times New Roman"/>
                <w:b/>
                <w:sz w:val="22"/>
                <w:szCs w:val="22"/>
                <w:lang w:val="hr-HR"/>
              </w:rPr>
              <w:t>e</w:t>
            </w:r>
          </w:p>
        </w:tc>
      </w:tr>
      <w:tr w:rsidR="00935053" w:rsidRPr="00913317" w14:paraId="7904E77E" w14:textId="77777777" w:rsidTr="00581521">
        <w:trPr>
          <w:gridAfter w:val="1"/>
          <w:wAfter w:w="21" w:type="pct"/>
        </w:trPr>
        <w:tc>
          <w:tcPr>
            <w:tcW w:w="1415" w:type="pct"/>
          </w:tcPr>
          <w:p w14:paraId="7D0ED0BD" w14:textId="7FD04CA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Astemizol, cisaprid, pimozid, hinidin</w:t>
            </w:r>
            <w:r w:rsidR="008467F0" w:rsidRPr="00913317">
              <w:rPr>
                <w:rFonts w:cs="Times New Roman"/>
                <w:sz w:val="22"/>
                <w:szCs w:val="22"/>
                <w:lang w:val="hr-HR"/>
              </w:rPr>
              <w:t xml:space="preserve">, </w:t>
            </w:r>
            <w:r w:rsidRPr="00913317">
              <w:rPr>
                <w:rFonts w:cs="Times New Roman"/>
                <w:sz w:val="22"/>
                <w:szCs w:val="22"/>
                <w:lang w:val="hr-HR"/>
              </w:rPr>
              <w:t>terfenadin</w:t>
            </w:r>
            <w:r w:rsidR="008467F0" w:rsidRPr="00913317">
              <w:rPr>
                <w:rFonts w:cs="Times New Roman"/>
                <w:sz w:val="22"/>
                <w:szCs w:val="22"/>
                <w:lang w:val="hr-HR"/>
              </w:rPr>
              <w:t xml:space="preserve"> i ivabradin</w:t>
            </w:r>
          </w:p>
          <w:p w14:paraId="3C6ACF88"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i/>
                <w:sz w:val="22"/>
                <w:szCs w:val="22"/>
                <w:lang w:val="hr-HR"/>
              </w:rPr>
              <w:t>[CYP3A4 supstrati]</w:t>
            </w:r>
          </w:p>
        </w:tc>
        <w:tc>
          <w:tcPr>
            <w:tcW w:w="1813" w:type="pct"/>
          </w:tcPr>
          <w:p w14:paraId="68A86B65" w14:textId="52BF56BA" w:rsidR="005A7815" w:rsidRPr="00913317" w:rsidRDefault="005A7815" w:rsidP="00D72925">
            <w:pPr>
              <w:rPr>
                <w:szCs w:val="22"/>
                <w:lang w:val="hr-HR"/>
              </w:rPr>
            </w:pPr>
            <w:r w:rsidRPr="00913317">
              <w:rPr>
                <w:szCs w:val="22"/>
                <w:lang w:val="hr-HR"/>
              </w:rPr>
              <w:t xml:space="preserve">Iako nije ispitivano, povećana koncentracija ovih </w:t>
            </w:r>
            <w:r w:rsidR="004D45E7" w:rsidRPr="00913317">
              <w:rPr>
                <w:szCs w:val="22"/>
                <w:lang w:val="hr-HR"/>
              </w:rPr>
              <w:t>ljekov</w:t>
            </w:r>
            <w:r w:rsidRPr="00913317">
              <w:rPr>
                <w:szCs w:val="22"/>
                <w:lang w:val="hr-HR"/>
              </w:rPr>
              <w:t>a u plazmi može da prouzrokuje produženje QTc intervala i r</w:t>
            </w:r>
            <w:r w:rsidR="00956080" w:rsidRPr="00913317">
              <w:rPr>
                <w:szCs w:val="22"/>
                <w:lang w:val="hr-HR"/>
              </w:rPr>
              <w:t>ij</w:t>
            </w:r>
            <w:r w:rsidRPr="00913317">
              <w:rPr>
                <w:szCs w:val="22"/>
                <w:lang w:val="hr-HR"/>
              </w:rPr>
              <w:t xml:space="preserve">etku pojavu </w:t>
            </w:r>
            <w:r w:rsidRPr="00913317">
              <w:rPr>
                <w:i/>
                <w:szCs w:val="22"/>
                <w:lang w:val="hr-HR"/>
              </w:rPr>
              <w:t>torsades de pointes</w:t>
            </w:r>
            <w:r w:rsidRPr="00913317">
              <w:rPr>
                <w:szCs w:val="22"/>
                <w:lang w:val="hr-HR"/>
              </w:rPr>
              <w:t xml:space="preserve"> aritmija.</w:t>
            </w:r>
          </w:p>
        </w:tc>
        <w:tc>
          <w:tcPr>
            <w:tcW w:w="1751" w:type="pct"/>
          </w:tcPr>
          <w:p w14:paraId="202CFD7A" w14:textId="728D2223"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b/>
                <w:sz w:val="22"/>
                <w:szCs w:val="22"/>
                <w:lang w:val="hr-HR"/>
              </w:rPr>
              <w:t>Kontraindikovano</w:t>
            </w:r>
            <w:r w:rsidRPr="00913317">
              <w:rPr>
                <w:rFonts w:cs="Times New Roman"/>
                <w:sz w:val="22"/>
                <w:szCs w:val="22"/>
                <w:lang w:val="hr-HR"/>
              </w:rPr>
              <w:t xml:space="preserve"> </w:t>
            </w:r>
            <w:r w:rsidRPr="00913317">
              <w:rPr>
                <w:rFonts w:cs="Times New Roman"/>
                <w:sz w:val="22"/>
                <w:szCs w:val="22"/>
                <w:lang w:val="hr-HR"/>
              </w:rPr>
              <w:br/>
              <w:t>(</w:t>
            </w:r>
            <w:r w:rsidR="004D45E7" w:rsidRPr="00913317">
              <w:rPr>
                <w:rFonts w:cs="Times New Roman"/>
                <w:sz w:val="22"/>
                <w:szCs w:val="22"/>
                <w:lang w:val="hr-HR"/>
              </w:rPr>
              <w:t xml:space="preserve">vidjeti </w:t>
            </w:r>
            <w:r w:rsidR="00954637" w:rsidRPr="00913317">
              <w:rPr>
                <w:rFonts w:cs="Times New Roman"/>
                <w:sz w:val="22"/>
                <w:szCs w:val="22"/>
                <w:lang w:val="hr-HR"/>
              </w:rPr>
              <w:t xml:space="preserve">dio </w:t>
            </w:r>
            <w:r w:rsidRPr="00913317">
              <w:rPr>
                <w:rFonts w:cs="Times New Roman"/>
                <w:sz w:val="22"/>
                <w:szCs w:val="22"/>
                <w:lang w:val="hr-HR"/>
              </w:rPr>
              <w:t xml:space="preserve"> 4.3)</w:t>
            </w:r>
          </w:p>
        </w:tc>
      </w:tr>
      <w:tr w:rsidR="00935053" w:rsidRPr="00913317" w14:paraId="737F7687" w14:textId="77777777" w:rsidTr="00581521">
        <w:trPr>
          <w:gridAfter w:val="1"/>
          <w:wAfter w:w="21" w:type="pct"/>
        </w:trPr>
        <w:tc>
          <w:tcPr>
            <w:tcW w:w="1415" w:type="pct"/>
          </w:tcPr>
          <w:p w14:paraId="4C31B320" w14:textId="1A52DF01"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Karbamazepin i barbiturati dugog dejstva (</w:t>
            </w:r>
            <w:r w:rsidR="00286267" w:rsidRPr="00913317">
              <w:rPr>
                <w:rFonts w:cs="Times New Roman"/>
                <w:sz w:val="22"/>
                <w:szCs w:val="22"/>
                <w:lang w:val="hr-HR"/>
              </w:rPr>
              <w:t>uključujući</w:t>
            </w:r>
            <w:r w:rsidR="00947351" w:rsidRPr="00913317">
              <w:rPr>
                <w:rFonts w:cs="Times New Roman"/>
                <w:sz w:val="22"/>
                <w:szCs w:val="22"/>
                <w:lang w:val="hr-HR"/>
              </w:rPr>
              <w:t xml:space="preserve"> ali ne ograničavajući se na:</w:t>
            </w:r>
            <w:r w:rsidRPr="00913317">
              <w:rPr>
                <w:rFonts w:cs="Times New Roman"/>
                <w:sz w:val="22"/>
                <w:szCs w:val="22"/>
                <w:lang w:val="hr-HR"/>
              </w:rPr>
              <w:t xml:space="preserve"> fenobarbital, mefobarbital)</w:t>
            </w:r>
            <w:r w:rsidRPr="00913317">
              <w:rPr>
                <w:rFonts w:cs="Times New Roman"/>
                <w:sz w:val="22"/>
                <w:szCs w:val="22"/>
                <w:lang w:val="hr-HR"/>
              </w:rPr>
              <w:br/>
            </w:r>
            <w:r w:rsidRPr="00913317">
              <w:rPr>
                <w:rFonts w:cs="Times New Roman"/>
                <w:i/>
                <w:sz w:val="22"/>
                <w:szCs w:val="22"/>
                <w:lang w:val="hr-HR"/>
              </w:rPr>
              <w:t>[snažni CYP450 induktori]</w:t>
            </w:r>
          </w:p>
        </w:tc>
        <w:tc>
          <w:tcPr>
            <w:tcW w:w="1813" w:type="pct"/>
          </w:tcPr>
          <w:p w14:paraId="29B1B11C" w14:textId="6F70A1EF" w:rsidR="005A7815" w:rsidRPr="00913317" w:rsidRDefault="005A7815" w:rsidP="00D72925">
            <w:pPr>
              <w:rPr>
                <w:szCs w:val="22"/>
                <w:lang w:val="hr-HR"/>
              </w:rPr>
            </w:pPr>
            <w:r w:rsidRPr="00913317">
              <w:rPr>
                <w:szCs w:val="22"/>
                <w:lang w:val="hr-HR"/>
              </w:rPr>
              <w:t>Iako nije ispitivano, karbamazepin i barbiturati dugog dejstva v</w:t>
            </w:r>
            <w:r w:rsidR="00956080" w:rsidRPr="00913317">
              <w:rPr>
                <w:szCs w:val="22"/>
                <w:lang w:val="hr-HR"/>
              </w:rPr>
              <w:t>j</w:t>
            </w:r>
            <w:r w:rsidRPr="00913317">
              <w:rPr>
                <w:szCs w:val="22"/>
                <w:lang w:val="hr-HR"/>
              </w:rPr>
              <w:t xml:space="preserve">erovatno značajno smanjuju koncentraciju vorikonazola u plazmi. </w:t>
            </w:r>
          </w:p>
        </w:tc>
        <w:tc>
          <w:tcPr>
            <w:tcW w:w="1751" w:type="pct"/>
          </w:tcPr>
          <w:p w14:paraId="20E45AE3" w14:textId="24C659F3" w:rsidR="005A7815" w:rsidRPr="00913317" w:rsidRDefault="005A7815" w:rsidP="00D72925">
            <w:pPr>
              <w:pStyle w:val="TableText"/>
              <w:overflowPunct w:val="0"/>
              <w:autoSpaceDE w:val="0"/>
              <w:autoSpaceDN w:val="0"/>
              <w:adjustRightInd w:val="0"/>
              <w:jc w:val="both"/>
              <w:textAlignment w:val="baseline"/>
              <w:rPr>
                <w:rFonts w:cs="Times New Roman"/>
                <w:b/>
                <w:sz w:val="22"/>
                <w:szCs w:val="22"/>
                <w:lang w:val="hr-HR"/>
              </w:rPr>
            </w:pPr>
            <w:r w:rsidRPr="00913317">
              <w:rPr>
                <w:rFonts w:cs="Times New Roman"/>
                <w:b/>
                <w:sz w:val="22"/>
                <w:szCs w:val="22"/>
                <w:lang w:val="hr-HR"/>
              </w:rPr>
              <w:t>Kontraindikovano</w:t>
            </w:r>
            <w:r w:rsidRPr="00913317" w:rsidDel="00D940F8">
              <w:rPr>
                <w:rFonts w:cs="Times New Roman"/>
                <w:sz w:val="22"/>
                <w:szCs w:val="22"/>
                <w:lang w:val="hr-HR"/>
              </w:rPr>
              <w:t xml:space="preserve"> </w:t>
            </w:r>
            <w:r w:rsidRPr="00913317">
              <w:rPr>
                <w:rFonts w:cs="Times New Roman"/>
                <w:sz w:val="22"/>
                <w:szCs w:val="22"/>
                <w:lang w:val="hr-HR"/>
              </w:rPr>
              <w:br/>
              <w:t>(</w:t>
            </w:r>
            <w:r w:rsidR="004D45E7" w:rsidRPr="00913317">
              <w:rPr>
                <w:rFonts w:cs="Times New Roman"/>
                <w:sz w:val="22"/>
                <w:szCs w:val="22"/>
                <w:lang w:val="hr-HR"/>
              </w:rPr>
              <w:t xml:space="preserve">vidjeti </w:t>
            </w:r>
            <w:r w:rsidR="00954637" w:rsidRPr="00913317">
              <w:rPr>
                <w:rFonts w:cs="Times New Roman"/>
                <w:sz w:val="22"/>
                <w:szCs w:val="22"/>
                <w:lang w:val="hr-HR"/>
              </w:rPr>
              <w:t xml:space="preserve">dio </w:t>
            </w:r>
            <w:r w:rsidRPr="00913317">
              <w:rPr>
                <w:rFonts w:cs="Times New Roman"/>
                <w:sz w:val="22"/>
                <w:szCs w:val="22"/>
                <w:lang w:val="hr-HR"/>
              </w:rPr>
              <w:t xml:space="preserve"> 4.3)</w:t>
            </w:r>
          </w:p>
        </w:tc>
      </w:tr>
      <w:tr w:rsidR="00935053" w:rsidRPr="0054718D" w14:paraId="5120A29F" w14:textId="77777777" w:rsidTr="00581521">
        <w:trPr>
          <w:gridAfter w:val="1"/>
          <w:wAfter w:w="21" w:type="pct"/>
        </w:trPr>
        <w:tc>
          <w:tcPr>
            <w:tcW w:w="1415" w:type="pct"/>
          </w:tcPr>
          <w:p w14:paraId="7BF2FE7E"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Efavirenz (ne-nukleozidni inhibitor reverzne transkriptaze) </w:t>
            </w:r>
          </w:p>
          <w:p w14:paraId="341A25BB"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i/>
                <w:sz w:val="22"/>
                <w:szCs w:val="22"/>
                <w:lang w:val="hr-HR"/>
              </w:rPr>
              <w:t>[CYP450 induktor; CYP3A4 inhibitor i supstrat]</w:t>
            </w:r>
          </w:p>
          <w:p w14:paraId="6A263772"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p>
          <w:p w14:paraId="5729F950" w14:textId="1E72A589" w:rsidR="005A7815" w:rsidRPr="00913317" w:rsidRDefault="005A7815" w:rsidP="00D72925">
            <w:pPr>
              <w:pStyle w:val="TableText"/>
              <w:tabs>
                <w:tab w:val="left" w:pos="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Efavirenz 400 mg jednom dnevno, istovremeno </w:t>
            </w:r>
            <w:r w:rsidR="004D45E7" w:rsidRPr="00913317">
              <w:rPr>
                <w:rFonts w:cs="Times New Roman"/>
                <w:sz w:val="22"/>
                <w:szCs w:val="22"/>
                <w:lang w:val="hr-HR"/>
              </w:rPr>
              <w:t>prim</w:t>
            </w:r>
            <w:r w:rsidR="00956080" w:rsidRPr="00913317">
              <w:rPr>
                <w:rFonts w:cs="Times New Roman"/>
                <w:sz w:val="22"/>
                <w:szCs w:val="22"/>
                <w:lang w:val="hr-HR"/>
              </w:rPr>
              <w:t>i</w:t>
            </w:r>
            <w:r w:rsidR="004D45E7" w:rsidRPr="00913317">
              <w:rPr>
                <w:rFonts w:cs="Times New Roman"/>
                <w:sz w:val="22"/>
                <w:szCs w:val="22"/>
                <w:lang w:val="hr-HR"/>
              </w:rPr>
              <w:t>jen</w:t>
            </w:r>
            <w:r w:rsidRPr="00913317">
              <w:rPr>
                <w:rFonts w:cs="Times New Roman"/>
                <w:sz w:val="22"/>
                <w:szCs w:val="22"/>
                <w:lang w:val="hr-HR"/>
              </w:rPr>
              <w:t>jen sa 200 mg vorikonazola dva puta dnevno</w:t>
            </w:r>
            <w:r w:rsidRPr="00913317">
              <w:rPr>
                <w:rFonts w:cs="Times New Roman"/>
                <w:sz w:val="22"/>
                <w:szCs w:val="22"/>
                <w:vertAlign w:val="superscript"/>
                <w:lang w:val="hr-HR"/>
              </w:rPr>
              <w:t>*</w:t>
            </w:r>
          </w:p>
          <w:p w14:paraId="7F7F8FA0" w14:textId="46FC5A0E"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p>
          <w:p w14:paraId="5BB5DC51"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6AD1FE8B" w14:textId="7C7422A2"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Efavirenz 300 mg jednom dnevno, istovremeno </w:t>
            </w:r>
            <w:r w:rsidR="004D45E7" w:rsidRPr="00913317">
              <w:rPr>
                <w:rFonts w:cs="Times New Roman"/>
                <w:sz w:val="22"/>
                <w:szCs w:val="22"/>
                <w:lang w:val="hr-HR"/>
              </w:rPr>
              <w:t>primjen</w:t>
            </w:r>
            <w:r w:rsidRPr="00913317">
              <w:rPr>
                <w:rFonts w:cs="Times New Roman"/>
                <w:sz w:val="22"/>
                <w:szCs w:val="22"/>
                <w:lang w:val="hr-HR"/>
              </w:rPr>
              <w:t>jen sa 400 mg vorikonazola dva puta dnevno</w:t>
            </w:r>
            <w:r w:rsidRPr="00913317">
              <w:rPr>
                <w:rFonts w:cs="Times New Roman"/>
                <w:sz w:val="22"/>
                <w:szCs w:val="22"/>
                <w:vertAlign w:val="superscript"/>
                <w:lang w:val="hr-HR"/>
              </w:rPr>
              <w:t>*</w:t>
            </w:r>
          </w:p>
        </w:tc>
        <w:tc>
          <w:tcPr>
            <w:tcW w:w="1813" w:type="pct"/>
          </w:tcPr>
          <w:p w14:paraId="61B56036" w14:textId="1B8117B8"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0638E385"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4F7D0802"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Efavirenz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38%</w:t>
            </w:r>
            <w:r w:rsidRPr="00913317">
              <w:rPr>
                <w:rFonts w:cs="Times New Roman"/>
                <w:sz w:val="22"/>
                <w:szCs w:val="22"/>
                <w:lang w:val="hr-HR"/>
              </w:rPr>
              <w:br/>
              <w:t>Efavirenz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44%</w:t>
            </w:r>
          </w:p>
          <w:p w14:paraId="0AA91264"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Vorikonazol C</w:t>
            </w:r>
            <w:r w:rsidRPr="008C59C8">
              <w:rPr>
                <w:rFonts w:cs="Times New Roman"/>
                <w:sz w:val="22"/>
                <w:szCs w:val="22"/>
                <w:vertAlign w:val="subscript"/>
                <w:lang w:val="hr-HR"/>
              </w:rPr>
              <w:t>max</w:t>
            </w:r>
            <w:r w:rsidRPr="008C59C8">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61%</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77%</w:t>
            </w:r>
          </w:p>
          <w:p w14:paraId="13333BC1" w14:textId="77777777" w:rsidR="005A7815" w:rsidRPr="008C59C8"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p>
          <w:p w14:paraId="2F882226" w14:textId="77777777" w:rsidR="005A7815" w:rsidRPr="003307B5"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p>
          <w:p w14:paraId="1492C6C7" w14:textId="77777777" w:rsidR="005A7815" w:rsidRPr="009C1794"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U poređenju sa efaviren</w:t>
            </w:r>
            <w:r w:rsidRPr="009C1794">
              <w:rPr>
                <w:rFonts w:cs="Times New Roman"/>
                <w:sz w:val="22"/>
                <w:szCs w:val="22"/>
                <w:lang w:val="hr-HR"/>
              </w:rPr>
              <w:t xml:space="preserve">zom </w:t>
            </w:r>
            <w:r w:rsidRPr="009C1794">
              <w:rPr>
                <w:rFonts w:cs="Times New Roman"/>
                <w:sz w:val="22"/>
                <w:szCs w:val="22"/>
                <w:lang w:val="hr-HR"/>
              </w:rPr>
              <w:br/>
              <w:t>600 mg jednom dnevno,</w:t>
            </w:r>
          </w:p>
          <w:p w14:paraId="5DE071E5" w14:textId="77777777" w:rsidR="005A7815" w:rsidRPr="00913317"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Efavirenz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br/>
            </w:r>
            <w:r w:rsidRPr="00913317">
              <w:rPr>
                <w:rFonts w:cs="Times New Roman"/>
                <w:sz w:val="22"/>
                <w:szCs w:val="22"/>
                <w:lang w:val="hr-HR"/>
              </w:rPr>
              <w:lastRenderedPageBreak/>
              <w:t>Efavirenz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17%</w:t>
            </w:r>
            <w:r w:rsidRPr="00913317">
              <w:rPr>
                <w:rFonts w:cs="Times New Roman"/>
                <w:sz w:val="22"/>
                <w:szCs w:val="22"/>
                <w:lang w:val="hr-HR"/>
              </w:rPr>
              <w:br/>
            </w:r>
          </w:p>
          <w:p w14:paraId="067E417A" w14:textId="77777777" w:rsidR="005A7815" w:rsidRPr="008C59C8"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 xml:space="preserve">U poređenju sa vorikonazolom </w:t>
            </w:r>
            <w:r w:rsidRPr="008C59C8">
              <w:rPr>
                <w:rFonts w:cs="Times New Roman"/>
                <w:sz w:val="22"/>
                <w:szCs w:val="22"/>
                <w:lang w:val="hr-HR"/>
              </w:rPr>
              <w:br/>
              <w:t>200 mg dva puta dnevno,</w:t>
            </w:r>
          </w:p>
          <w:p w14:paraId="34A28C49"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3307B5">
              <w:rPr>
                <w:rFonts w:cs="Times New Roman"/>
                <w:sz w:val="22"/>
                <w:szCs w:val="22"/>
                <w:lang w:val="hr-HR"/>
              </w:rPr>
              <w:t>Vorikonazol C</w:t>
            </w:r>
            <w:r w:rsidRPr="003307B5">
              <w:rPr>
                <w:rFonts w:cs="Times New Roman"/>
                <w:sz w:val="22"/>
                <w:szCs w:val="22"/>
                <w:vertAlign w:val="subscript"/>
                <w:lang w:val="hr-HR"/>
              </w:rPr>
              <w:t>max</w:t>
            </w:r>
            <w:r w:rsidRPr="0029457E">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23%</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7%</w:t>
            </w:r>
          </w:p>
        </w:tc>
        <w:tc>
          <w:tcPr>
            <w:tcW w:w="1751" w:type="pct"/>
          </w:tcPr>
          <w:p w14:paraId="5AEC9161" w14:textId="01521327" w:rsidR="005A7815" w:rsidRPr="009C1794" w:rsidRDefault="004D45E7" w:rsidP="00D72925">
            <w:pPr>
              <w:pStyle w:val="TableText"/>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lastRenderedPageBreak/>
              <w:t>Primjen</w:t>
            </w:r>
            <w:r w:rsidR="005A7815" w:rsidRPr="008C59C8">
              <w:rPr>
                <w:rFonts w:cs="Times New Roman"/>
                <w:sz w:val="22"/>
                <w:szCs w:val="22"/>
                <w:lang w:val="hr-HR"/>
              </w:rPr>
              <w:t xml:space="preserve">a standardne doze vorikonazola i efavirenza u dozi od 400 mg jednom dnevno ili više </w:t>
            </w:r>
            <w:r w:rsidR="005A7815" w:rsidRPr="003307B5">
              <w:rPr>
                <w:rFonts w:cs="Times New Roman"/>
                <w:sz w:val="22"/>
                <w:szCs w:val="22"/>
                <w:lang w:val="hr-HR"/>
              </w:rPr>
              <w:t xml:space="preserve">je </w:t>
            </w:r>
            <w:r w:rsidR="005A7815" w:rsidRPr="0029457E">
              <w:rPr>
                <w:rFonts w:cs="Times New Roman"/>
                <w:b/>
                <w:sz w:val="22"/>
                <w:szCs w:val="22"/>
                <w:lang w:val="hr-HR"/>
              </w:rPr>
              <w:t>kontraindikovana</w:t>
            </w:r>
            <w:r w:rsidR="005A7815" w:rsidRPr="009C1794">
              <w:rPr>
                <w:rFonts w:cs="Times New Roman"/>
                <w:sz w:val="22"/>
                <w:szCs w:val="22"/>
                <w:lang w:val="hr-HR"/>
              </w:rPr>
              <w:t xml:space="preserve"> (</w:t>
            </w:r>
            <w:r w:rsidRPr="009C1794">
              <w:rPr>
                <w:rFonts w:cs="Times New Roman"/>
                <w:sz w:val="22"/>
                <w:szCs w:val="22"/>
                <w:lang w:val="hr-HR"/>
              </w:rPr>
              <w:t xml:space="preserve">vidjeti </w:t>
            </w:r>
            <w:r w:rsidR="00954637" w:rsidRPr="009C1794">
              <w:rPr>
                <w:rFonts w:cs="Times New Roman"/>
                <w:sz w:val="22"/>
                <w:szCs w:val="22"/>
                <w:lang w:val="hr-HR"/>
              </w:rPr>
              <w:t xml:space="preserve">dio </w:t>
            </w:r>
            <w:r w:rsidR="005A7815" w:rsidRPr="009C1794">
              <w:rPr>
                <w:rFonts w:cs="Times New Roman"/>
                <w:sz w:val="22"/>
                <w:szCs w:val="22"/>
                <w:lang w:val="hr-HR"/>
              </w:rPr>
              <w:t xml:space="preserve"> 4.3).  </w:t>
            </w:r>
          </w:p>
          <w:p w14:paraId="40920D4E"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3E1545B9" w14:textId="7841F39D" w:rsidR="005A7815" w:rsidRPr="00913317" w:rsidRDefault="005A7815" w:rsidP="00D72925">
            <w:pPr>
              <w:rPr>
                <w:szCs w:val="22"/>
                <w:lang w:val="hr-HR"/>
              </w:rPr>
            </w:pPr>
            <w:r w:rsidRPr="00913317">
              <w:rPr>
                <w:szCs w:val="22"/>
                <w:lang w:val="hr-HR"/>
              </w:rPr>
              <w:t xml:space="preserve">Vorikonazol se može </w:t>
            </w:r>
            <w:r w:rsidR="004D45E7" w:rsidRPr="00913317">
              <w:rPr>
                <w:szCs w:val="22"/>
                <w:lang w:val="hr-HR"/>
              </w:rPr>
              <w:t>primjen</w:t>
            </w:r>
            <w:r w:rsidRPr="00913317">
              <w:rPr>
                <w:szCs w:val="22"/>
                <w:lang w:val="hr-HR"/>
              </w:rPr>
              <w:t xml:space="preserve">jivati istovremeno sa efavirenzom ukoliko se doza održavanja vorikonazola poveća na 400 mg dva puta dnevno i doza efavirenza </w:t>
            </w:r>
            <w:r w:rsidRPr="00913317">
              <w:rPr>
                <w:szCs w:val="22"/>
                <w:lang w:val="hr-HR"/>
              </w:rPr>
              <w:lastRenderedPageBreak/>
              <w:t>smanji na 300 mg jednom dnevno. Kada se terapija vorikonazolom prekine, efavirenz treba vratiti na početnu dozu (</w:t>
            </w:r>
            <w:r w:rsidR="004D45E7" w:rsidRPr="00913317">
              <w:rPr>
                <w:szCs w:val="22"/>
                <w:lang w:val="hr-HR"/>
              </w:rPr>
              <w:t xml:space="preserve">vidjeti </w:t>
            </w:r>
            <w:r w:rsidR="00954637" w:rsidRPr="00913317">
              <w:rPr>
                <w:szCs w:val="22"/>
                <w:lang w:val="hr-HR"/>
              </w:rPr>
              <w:t>djelove</w:t>
            </w:r>
            <w:r w:rsidRPr="00913317">
              <w:rPr>
                <w:szCs w:val="22"/>
                <w:lang w:val="hr-HR"/>
              </w:rPr>
              <w:t xml:space="preserve"> 4.2 i 4.4).</w:t>
            </w:r>
          </w:p>
        </w:tc>
      </w:tr>
      <w:tr w:rsidR="00935053" w:rsidRPr="00913317" w14:paraId="278B147C" w14:textId="77777777" w:rsidTr="00581521">
        <w:trPr>
          <w:gridAfter w:val="1"/>
          <w:wAfter w:w="21" w:type="pct"/>
        </w:trPr>
        <w:tc>
          <w:tcPr>
            <w:tcW w:w="1415" w:type="pct"/>
          </w:tcPr>
          <w:p w14:paraId="6C0B947C" w14:textId="27D8812F"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lastRenderedPageBreak/>
              <w:t>Ergot alkaloidi (</w:t>
            </w:r>
            <w:r w:rsidR="00947351" w:rsidRPr="00913317">
              <w:rPr>
                <w:rFonts w:cs="Times New Roman"/>
                <w:sz w:val="22"/>
                <w:szCs w:val="22"/>
                <w:lang w:val="hr-HR"/>
              </w:rPr>
              <w:t xml:space="preserve">uključujući ali ne ograničavajući se na: </w:t>
            </w:r>
            <w:r w:rsidRPr="00913317">
              <w:rPr>
                <w:rFonts w:cs="Times New Roman"/>
                <w:sz w:val="22"/>
                <w:szCs w:val="22"/>
                <w:lang w:val="hr-HR"/>
              </w:rPr>
              <w:t>ergotamin i dihidroergotamin)</w:t>
            </w:r>
            <w:r w:rsidRPr="00913317">
              <w:rPr>
                <w:rFonts w:cs="Times New Roman"/>
                <w:sz w:val="22"/>
                <w:szCs w:val="22"/>
                <w:lang w:val="hr-HR"/>
              </w:rPr>
              <w:br/>
            </w:r>
            <w:r w:rsidRPr="00913317">
              <w:rPr>
                <w:rFonts w:cs="Times New Roman"/>
                <w:i/>
                <w:sz w:val="22"/>
                <w:szCs w:val="22"/>
                <w:lang w:val="hr-HR"/>
              </w:rPr>
              <w:t>[CYP3A4 supstrati]</w:t>
            </w:r>
          </w:p>
        </w:tc>
        <w:tc>
          <w:tcPr>
            <w:tcW w:w="1813" w:type="pct"/>
          </w:tcPr>
          <w:p w14:paraId="134C5A60" w14:textId="77777777" w:rsidR="005A7815" w:rsidRPr="00913317" w:rsidRDefault="005A7815" w:rsidP="00D72925">
            <w:pPr>
              <w:rPr>
                <w:szCs w:val="22"/>
                <w:lang w:val="hr-HR"/>
              </w:rPr>
            </w:pPr>
            <w:r w:rsidRPr="00913317">
              <w:rPr>
                <w:szCs w:val="22"/>
                <w:lang w:val="hr-HR"/>
              </w:rPr>
              <w:t xml:space="preserve">Iako nije ispitivano, vorikonazol može povećati koncentraciju u plazmi ergot alkaloida što prouzrokuje ergotizam. </w:t>
            </w:r>
          </w:p>
        </w:tc>
        <w:tc>
          <w:tcPr>
            <w:tcW w:w="1751" w:type="pct"/>
          </w:tcPr>
          <w:p w14:paraId="7333DBFB" w14:textId="6ED718D0"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b/>
                <w:sz w:val="22"/>
                <w:szCs w:val="22"/>
                <w:lang w:val="hr-HR"/>
              </w:rPr>
              <w:t>Kontraindikovano</w:t>
            </w:r>
            <w:r w:rsidRPr="00913317">
              <w:rPr>
                <w:rFonts w:cs="Times New Roman"/>
                <w:sz w:val="22"/>
                <w:szCs w:val="22"/>
                <w:lang w:val="hr-HR"/>
              </w:rPr>
              <w:t xml:space="preserve"> </w:t>
            </w:r>
            <w:r w:rsidRPr="00913317">
              <w:rPr>
                <w:rFonts w:cs="Times New Roman"/>
                <w:sz w:val="22"/>
                <w:szCs w:val="22"/>
                <w:lang w:val="hr-HR"/>
              </w:rPr>
              <w:br/>
              <w:t>(</w:t>
            </w:r>
            <w:r w:rsidR="004D45E7" w:rsidRPr="00913317">
              <w:rPr>
                <w:rFonts w:cs="Times New Roman"/>
                <w:sz w:val="22"/>
                <w:szCs w:val="22"/>
                <w:lang w:val="hr-HR"/>
              </w:rPr>
              <w:t xml:space="preserve">vidjeti </w:t>
            </w:r>
            <w:r w:rsidR="00954637" w:rsidRPr="00913317">
              <w:rPr>
                <w:rFonts w:cs="Times New Roman"/>
                <w:sz w:val="22"/>
                <w:szCs w:val="22"/>
                <w:lang w:val="hr-HR"/>
              </w:rPr>
              <w:t xml:space="preserve">dio </w:t>
            </w:r>
            <w:r w:rsidRPr="00913317">
              <w:rPr>
                <w:rFonts w:cs="Times New Roman"/>
                <w:sz w:val="22"/>
                <w:szCs w:val="22"/>
                <w:lang w:val="hr-HR"/>
              </w:rPr>
              <w:t xml:space="preserve"> 4.3)</w:t>
            </w:r>
          </w:p>
        </w:tc>
      </w:tr>
      <w:tr w:rsidR="008467F0" w:rsidRPr="00913317" w14:paraId="32E2584A" w14:textId="77777777" w:rsidTr="00581521">
        <w:tc>
          <w:tcPr>
            <w:tcW w:w="1415" w:type="pct"/>
          </w:tcPr>
          <w:p w14:paraId="0A9A23A2" w14:textId="7C6B789D" w:rsidR="008467F0" w:rsidRPr="00913317" w:rsidRDefault="008467F0" w:rsidP="00D72925">
            <w:pPr>
              <w:tabs>
                <w:tab w:val="left" w:pos="360"/>
              </w:tabs>
              <w:ind w:left="216" w:hanging="216"/>
              <w:rPr>
                <w:szCs w:val="22"/>
                <w:lang w:val="hr-HR"/>
              </w:rPr>
            </w:pPr>
            <w:r w:rsidRPr="00913317">
              <w:rPr>
                <w:szCs w:val="22"/>
                <w:lang w:val="hr-HR"/>
              </w:rPr>
              <w:t xml:space="preserve">Lurasidon </w:t>
            </w:r>
          </w:p>
          <w:p w14:paraId="36D0154F" w14:textId="1998DFC7" w:rsidR="008467F0" w:rsidRPr="00913317" w:rsidRDefault="008467F0"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i/>
                <w:iCs/>
                <w:sz w:val="22"/>
                <w:szCs w:val="22"/>
                <w:lang w:val="hr-HR"/>
              </w:rPr>
              <w:t>[CYP3A4 supstrat]</w:t>
            </w:r>
          </w:p>
        </w:tc>
        <w:tc>
          <w:tcPr>
            <w:tcW w:w="1813" w:type="pct"/>
          </w:tcPr>
          <w:p w14:paraId="67CE543C" w14:textId="45A53601" w:rsidR="008467F0" w:rsidRPr="00913317" w:rsidRDefault="008467F0" w:rsidP="00D72925">
            <w:pPr>
              <w:rPr>
                <w:szCs w:val="22"/>
                <w:lang w:val="hr-HR"/>
              </w:rPr>
            </w:pPr>
            <w:r w:rsidRPr="00913317">
              <w:rPr>
                <w:szCs w:val="22"/>
                <w:lang w:val="hr-HR"/>
              </w:rPr>
              <w:t>Iako nije ispitano, vorikonazol može značajno povećati koncentraciju lurasidona u plazmi</w:t>
            </w:r>
          </w:p>
        </w:tc>
        <w:tc>
          <w:tcPr>
            <w:tcW w:w="1772" w:type="pct"/>
            <w:gridSpan w:val="2"/>
          </w:tcPr>
          <w:p w14:paraId="71826825" w14:textId="4CDFE0BA" w:rsidR="008467F0" w:rsidRPr="00913317" w:rsidRDefault="008467F0" w:rsidP="00D72925">
            <w:pPr>
              <w:pStyle w:val="TableText"/>
              <w:overflowPunct w:val="0"/>
              <w:autoSpaceDE w:val="0"/>
              <w:autoSpaceDN w:val="0"/>
              <w:adjustRightInd w:val="0"/>
              <w:jc w:val="both"/>
              <w:textAlignment w:val="baseline"/>
              <w:rPr>
                <w:rFonts w:cs="Times New Roman"/>
                <w:b/>
                <w:sz w:val="22"/>
                <w:szCs w:val="22"/>
                <w:lang w:val="hr-HR"/>
              </w:rPr>
            </w:pPr>
            <w:r w:rsidRPr="00913317">
              <w:rPr>
                <w:rFonts w:cs="Times New Roman"/>
                <w:b/>
                <w:sz w:val="22"/>
                <w:szCs w:val="22"/>
                <w:lang w:val="hr-HR"/>
              </w:rPr>
              <w:t>Kontraindikovano</w:t>
            </w:r>
            <w:r w:rsidRPr="00913317">
              <w:rPr>
                <w:rFonts w:cs="Times New Roman"/>
                <w:sz w:val="22"/>
                <w:szCs w:val="22"/>
                <w:lang w:val="hr-HR"/>
              </w:rPr>
              <w:t xml:space="preserve"> (vidjeti </w:t>
            </w:r>
            <w:r w:rsidR="00954637" w:rsidRPr="00913317">
              <w:rPr>
                <w:rFonts w:cs="Times New Roman"/>
                <w:sz w:val="22"/>
                <w:szCs w:val="22"/>
                <w:lang w:val="hr-HR"/>
              </w:rPr>
              <w:t xml:space="preserve">dio </w:t>
            </w:r>
            <w:r w:rsidRPr="00913317">
              <w:rPr>
                <w:rFonts w:cs="Times New Roman"/>
                <w:sz w:val="22"/>
                <w:szCs w:val="22"/>
                <w:lang w:val="hr-HR"/>
              </w:rPr>
              <w:t xml:space="preserve"> 4.3)</w:t>
            </w:r>
          </w:p>
        </w:tc>
      </w:tr>
      <w:tr w:rsidR="008467F0" w:rsidRPr="00913317" w14:paraId="4B4B1FEC" w14:textId="77777777" w:rsidTr="00581521">
        <w:tc>
          <w:tcPr>
            <w:tcW w:w="1415" w:type="pct"/>
          </w:tcPr>
          <w:p w14:paraId="7571600B" w14:textId="4B9BEC44" w:rsidR="008467F0" w:rsidRPr="00913317" w:rsidRDefault="008467F0" w:rsidP="00D72925">
            <w:pPr>
              <w:tabs>
                <w:tab w:val="left" w:pos="360"/>
              </w:tabs>
              <w:ind w:left="216" w:hanging="216"/>
              <w:rPr>
                <w:szCs w:val="22"/>
                <w:lang w:val="hr-HR"/>
              </w:rPr>
            </w:pPr>
            <w:r w:rsidRPr="00913317">
              <w:rPr>
                <w:szCs w:val="22"/>
                <w:lang w:val="hr-HR"/>
              </w:rPr>
              <w:t>Naloksegol</w:t>
            </w:r>
          </w:p>
          <w:p w14:paraId="4475F38B" w14:textId="7E154336" w:rsidR="008467F0" w:rsidRPr="00913317" w:rsidRDefault="008467F0"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i/>
                <w:sz w:val="22"/>
                <w:szCs w:val="22"/>
                <w:lang w:val="hr-HR"/>
              </w:rPr>
              <w:t>[CYP3A4 supstrat]</w:t>
            </w:r>
          </w:p>
        </w:tc>
        <w:tc>
          <w:tcPr>
            <w:tcW w:w="1813" w:type="pct"/>
          </w:tcPr>
          <w:p w14:paraId="7C0CF256" w14:textId="1B7FEDAA" w:rsidR="008467F0" w:rsidRPr="00913317" w:rsidRDefault="008467F0" w:rsidP="00D72925">
            <w:pPr>
              <w:rPr>
                <w:szCs w:val="22"/>
                <w:lang w:val="hr-HR"/>
              </w:rPr>
            </w:pPr>
            <w:r w:rsidRPr="00913317">
              <w:rPr>
                <w:szCs w:val="22"/>
                <w:lang w:val="hr-HR"/>
              </w:rPr>
              <w:t>Iako nije ispitano, vorikonazol može značajno povećati koncentraciju naloksegola u plazmi</w:t>
            </w:r>
          </w:p>
        </w:tc>
        <w:tc>
          <w:tcPr>
            <w:tcW w:w="1772" w:type="pct"/>
            <w:gridSpan w:val="2"/>
          </w:tcPr>
          <w:p w14:paraId="17B9BB17" w14:textId="43BD0F38" w:rsidR="008467F0" w:rsidRPr="00913317" w:rsidRDefault="008467F0" w:rsidP="00D72925">
            <w:pPr>
              <w:pStyle w:val="TableText"/>
              <w:overflowPunct w:val="0"/>
              <w:autoSpaceDE w:val="0"/>
              <w:autoSpaceDN w:val="0"/>
              <w:adjustRightInd w:val="0"/>
              <w:jc w:val="both"/>
              <w:textAlignment w:val="baseline"/>
              <w:rPr>
                <w:rFonts w:cs="Times New Roman"/>
                <w:b/>
                <w:sz w:val="22"/>
                <w:szCs w:val="22"/>
                <w:lang w:val="hr-HR"/>
              </w:rPr>
            </w:pPr>
            <w:r w:rsidRPr="00913317">
              <w:rPr>
                <w:rFonts w:cs="Times New Roman"/>
                <w:b/>
                <w:sz w:val="22"/>
                <w:szCs w:val="22"/>
                <w:lang w:val="hr-HR"/>
              </w:rPr>
              <w:t>Kontraindikovano</w:t>
            </w:r>
            <w:r w:rsidRPr="00913317">
              <w:rPr>
                <w:rFonts w:cs="Times New Roman"/>
                <w:sz w:val="22"/>
                <w:szCs w:val="22"/>
                <w:lang w:val="hr-HR"/>
              </w:rPr>
              <w:t xml:space="preserve"> (vidjeti </w:t>
            </w:r>
            <w:r w:rsidR="00954637" w:rsidRPr="00913317">
              <w:rPr>
                <w:rFonts w:cs="Times New Roman"/>
                <w:sz w:val="22"/>
                <w:szCs w:val="22"/>
                <w:lang w:val="hr-HR"/>
              </w:rPr>
              <w:t xml:space="preserve">dio </w:t>
            </w:r>
            <w:r w:rsidRPr="00913317">
              <w:rPr>
                <w:rFonts w:cs="Times New Roman"/>
                <w:sz w:val="22"/>
                <w:szCs w:val="22"/>
                <w:lang w:val="hr-HR"/>
              </w:rPr>
              <w:t xml:space="preserve"> 4.3)</w:t>
            </w:r>
          </w:p>
        </w:tc>
      </w:tr>
      <w:tr w:rsidR="00935053" w:rsidRPr="0054718D" w14:paraId="6EA9D7C7" w14:textId="77777777" w:rsidTr="00D72925">
        <w:trPr>
          <w:gridAfter w:val="1"/>
          <w:wAfter w:w="21" w:type="pct"/>
          <w:trHeight w:val="4823"/>
        </w:trPr>
        <w:tc>
          <w:tcPr>
            <w:tcW w:w="1415" w:type="pct"/>
          </w:tcPr>
          <w:p w14:paraId="1D9DACE5"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Rifabutin </w:t>
            </w:r>
          </w:p>
          <w:p w14:paraId="44FE8A7C"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i/>
                <w:sz w:val="22"/>
                <w:szCs w:val="22"/>
                <w:lang w:val="hr-HR"/>
              </w:rPr>
              <w:t>[snažni CYP450 induktor]</w:t>
            </w:r>
          </w:p>
          <w:p w14:paraId="741380D9"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p>
          <w:p w14:paraId="2B4301D0"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300 mg jednom dnevno </w:t>
            </w:r>
          </w:p>
          <w:p w14:paraId="44A96181"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p>
          <w:p w14:paraId="310E5CA5"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p>
          <w:p w14:paraId="0F04E40F" w14:textId="77777777" w:rsidR="00B75384" w:rsidRPr="00913317" w:rsidRDefault="00B75384"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p>
          <w:p w14:paraId="49ADDD2E" w14:textId="193CA7F2"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vertAlign w:val="superscript"/>
                <w:lang w:val="hr-HR"/>
              </w:rPr>
            </w:pPr>
            <w:r w:rsidRPr="00913317">
              <w:rPr>
                <w:rFonts w:cs="Times New Roman"/>
                <w:sz w:val="22"/>
                <w:szCs w:val="22"/>
                <w:lang w:val="hr-HR"/>
              </w:rPr>
              <w:t xml:space="preserve">300 mg jednom dnevno (istovremeno </w:t>
            </w:r>
            <w:r w:rsidR="004D45E7" w:rsidRPr="00913317">
              <w:rPr>
                <w:rFonts w:cs="Times New Roman"/>
                <w:sz w:val="22"/>
                <w:szCs w:val="22"/>
                <w:lang w:val="hr-HR"/>
              </w:rPr>
              <w:t>prim</w:t>
            </w:r>
            <w:r w:rsidR="00956080" w:rsidRPr="00913317">
              <w:rPr>
                <w:rFonts w:cs="Times New Roman"/>
                <w:sz w:val="22"/>
                <w:szCs w:val="22"/>
                <w:lang w:val="hr-HR"/>
              </w:rPr>
              <w:t>i</w:t>
            </w:r>
            <w:r w:rsidR="004D45E7" w:rsidRPr="00913317">
              <w:rPr>
                <w:rFonts w:cs="Times New Roman"/>
                <w:sz w:val="22"/>
                <w:szCs w:val="22"/>
                <w:lang w:val="hr-HR"/>
              </w:rPr>
              <w:t>jen</w:t>
            </w:r>
            <w:r w:rsidRPr="00913317">
              <w:rPr>
                <w:rFonts w:cs="Times New Roman"/>
                <w:sz w:val="22"/>
                <w:szCs w:val="22"/>
                <w:lang w:val="hr-HR"/>
              </w:rPr>
              <w:t>jen sa vorikonazolom 350 mg dva puta dnevno)</w:t>
            </w:r>
            <w:r w:rsidRPr="00913317">
              <w:rPr>
                <w:rFonts w:cs="Times New Roman"/>
                <w:sz w:val="22"/>
                <w:szCs w:val="22"/>
                <w:vertAlign w:val="superscript"/>
                <w:lang w:val="hr-HR"/>
              </w:rPr>
              <w:t>*</w:t>
            </w:r>
          </w:p>
          <w:p w14:paraId="2E0AFD5C"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76A68F7B"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6EDB5273" w14:textId="6F162091"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300 mg jednom dnevno (istovremeno </w:t>
            </w:r>
            <w:r w:rsidR="004D45E7" w:rsidRPr="00913317">
              <w:rPr>
                <w:rFonts w:cs="Times New Roman"/>
                <w:sz w:val="22"/>
                <w:szCs w:val="22"/>
                <w:lang w:val="hr-HR"/>
              </w:rPr>
              <w:t>prim</w:t>
            </w:r>
            <w:r w:rsidR="00956080" w:rsidRPr="00913317">
              <w:rPr>
                <w:rFonts w:cs="Times New Roman"/>
                <w:sz w:val="22"/>
                <w:szCs w:val="22"/>
                <w:lang w:val="hr-HR"/>
              </w:rPr>
              <w:t>i</w:t>
            </w:r>
            <w:r w:rsidR="004D45E7" w:rsidRPr="00913317">
              <w:rPr>
                <w:rFonts w:cs="Times New Roman"/>
                <w:sz w:val="22"/>
                <w:szCs w:val="22"/>
                <w:lang w:val="hr-HR"/>
              </w:rPr>
              <w:t>jen</w:t>
            </w:r>
            <w:r w:rsidRPr="00913317">
              <w:rPr>
                <w:rFonts w:cs="Times New Roman"/>
                <w:sz w:val="22"/>
                <w:szCs w:val="22"/>
                <w:lang w:val="hr-HR"/>
              </w:rPr>
              <w:t>jen sa vorikonazolom 400 mg dva puta dnevno)</w:t>
            </w:r>
            <w:r w:rsidRPr="00913317">
              <w:rPr>
                <w:rFonts w:cs="Times New Roman"/>
                <w:sz w:val="22"/>
                <w:szCs w:val="22"/>
                <w:vertAlign w:val="superscript"/>
                <w:lang w:val="hr-HR"/>
              </w:rPr>
              <w:t>*</w:t>
            </w:r>
          </w:p>
        </w:tc>
        <w:tc>
          <w:tcPr>
            <w:tcW w:w="1813" w:type="pct"/>
          </w:tcPr>
          <w:p w14:paraId="6EF6EDDA"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7DE93D19"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77D9D9F8"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69%</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78%</w:t>
            </w:r>
          </w:p>
          <w:p w14:paraId="7B8C02E4" w14:textId="77777777" w:rsidR="005A7815" w:rsidRPr="008C59C8"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4557D226" w14:textId="77777777" w:rsidR="00B75384" w:rsidRPr="003307B5" w:rsidRDefault="00B75384"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5525D63E" w14:textId="77777777" w:rsidR="005A7815" w:rsidRPr="0029457E"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U poređenju sa vorikonazolom 200 mg dva puta dnevno,</w:t>
            </w:r>
          </w:p>
          <w:p w14:paraId="2798EB95"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4%</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32% </w:t>
            </w:r>
          </w:p>
          <w:p w14:paraId="30926B8D" w14:textId="6CA7C53C" w:rsidR="005A7815" w:rsidRPr="008C59C8"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7B467778" w14:textId="77777777" w:rsidR="00FB61DF" w:rsidRPr="003307B5" w:rsidRDefault="00FB61DF"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7C34D171"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Rifabutin C</w:t>
            </w:r>
            <w:r w:rsidRPr="009C1794">
              <w:rPr>
                <w:rFonts w:cs="Times New Roman"/>
                <w:sz w:val="22"/>
                <w:szCs w:val="22"/>
                <w:vertAlign w:val="subscript"/>
                <w:lang w:val="hr-HR"/>
              </w:rPr>
              <w:t>max</w:t>
            </w:r>
            <w:r w:rsidRPr="009C1794">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195%</w:t>
            </w:r>
            <w:r w:rsidRPr="00913317">
              <w:rPr>
                <w:rFonts w:cs="Times New Roman"/>
                <w:sz w:val="22"/>
                <w:szCs w:val="22"/>
                <w:lang w:val="hr-HR"/>
              </w:rPr>
              <w:br/>
              <w:t>Rifabutin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331%</w:t>
            </w:r>
          </w:p>
          <w:p w14:paraId="1153D85C" w14:textId="77777777" w:rsidR="005A7815" w:rsidRPr="008C59C8"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U poređenju sa vorikonazolom 200 mg dva puta dnevno,</w:t>
            </w:r>
          </w:p>
          <w:p w14:paraId="58A00215"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3307B5">
              <w:rPr>
                <w:rFonts w:cs="Times New Roman"/>
                <w:sz w:val="22"/>
                <w:szCs w:val="22"/>
                <w:lang w:val="hr-HR"/>
              </w:rPr>
              <w:t>Vorikonazol C</w:t>
            </w:r>
            <w:r w:rsidRPr="003307B5">
              <w:rPr>
                <w:rFonts w:cs="Times New Roman"/>
                <w:sz w:val="22"/>
                <w:szCs w:val="22"/>
                <w:vertAlign w:val="subscript"/>
                <w:lang w:val="hr-HR"/>
              </w:rPr>
              <w:t>max</w:t>
            </w:r>
            <w:r w:rsidRPr="0029457E">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104%</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87% </w:t>
            </w:r>
          </w:p>
        </w:tc>
        <w:tc>
          <w:tcPr>
            <w:tcW w:w="1751" w:type="pct"/>
          </w:tcPr>
          <w:p w14:paraId="0D7CD678" w14:textId="3A42A36D" w:rsidR="005A7815" w:rsidRPr="0029457E" w:rsidRDefault="005A7815" w:rsidP="00D72925">
            <w:pPr>
              <w:rPr>
                <w:szCs w:val="22"/>
                <w:lang w:val="hr-HR"/>
              </w:rPr>
            </w:pPr>
            <w:r w:rsidRPr="008C59C8">
              <w:rPr>
                <w:szCs w:val="22"/>
                <w:lang w:val="hr-HR"/>
              </w:rPr>
              <w:t xml:space="preserve">Istovremenu </w:t>
            </w:r>
            <w:r w:rsidR="004D45E7" w:rsidRPr="008C59C8">
              <w:rPr>
                <w:szCs w:val="22"/>
                <w:lang w:val="hr-HR"/>
              </w:rPr>
              <w:t>primjen</w:t>
            </w:r>
            <w:r w:rsidRPr="008C59C8">
              <w:rPr>
                <w:szCs w:val="22"/>
                <w:lang w:val="hr-HR"/>
              </w:rPr>
              <w:t>u rifabutina i vorikonazola treba izb</w:t>
            </w:r>
            <w:r w:rsidR="00956080" w:rsidRPr="003307B5">
              <w:rPr>
                <w:szCs w:val="22"/>
                <w:lang w:val="hr-HR"/>
              </w:rPr>
              <w:t>j</w:t>
            </w:r>
            <w:r w:rsidRPr="003307B5">
              <w:rPr>
                <w:szCs w:val="22"/>
                <w:lang w:val="hr-HR"/>
              </w:rPr>
              <w:t>egavati, osim kada korist prevazil</w:t>
            </w:r>
            <w:r w:rsidRPr="0029457E">
              <w:rPr>
                <w:szCs w:val="22"/>
                <w:lang w:val="hr-HR"/>
              </w:rPr>
              <w:t>azi rizik.</w:t>
            </w:r>
          </w:p>
          <w:p w14:paraId="093C7038" w14:textId="703BD025" w:rsidR="005A7815" w:rsidRPr="00913317" w:rsidRDefault="005A7815" w:rsidP="00D72925">
            <w:pPr>
              <w:rPr>
                <w:szCs w:val="22"/>
                <w:lang w:val="hr-HR"/>
              </w:rPr>
            </w:pPr>
            <w:r w:rsidRPr="00913317">
              <w:rPr>
                <w:szCs w:val="22"/>
                <w:lang w:val="hr-HR"/>
              </w:rPr>
              <w:t xml:space="preserve">Dozu održavanja vorikonazola treba povećati na 5 mg/kg intravenski, dva puta dnevno ili sa 200 mg na 350 mg oralno, dva puta </w:t>
            </w:r>
            <w:r w:rsidRPr="00913317">
              <w:rPr>
                <w:spacing w:val="-4"/>
                <w:szCs w:val="22"/>
                <w:lang w:val="hr-HR"/>
              </w:rPr>
              <w:t xml:space="preserve">dnevno (odnosno </w:t>
            </w:r>
            <w:r w:rsidRPr="00913317">
              <w:rPr>
                <w:spacing w:val="-4"/>
                <w:szCs w:val="22"/>
                <w:lang w:val="hr-HR"/>
              </w:rPr>
              <w:br/>
              <w:t>100 mg do 200 mg oralno, dva puta dnevno kod pacijenata čija je t</w:t>
            </w:r>
            <w:r w:rsidR="003D53A2" w:rsidRPr="00913317">
              <w:rPr>
                <w:spacing w:val="-4"/>
                <w:szCs w:val="22"/>
                <w:lang w:val="hr-HR"/>
              </w:rPr>
              <w:t>j</w:t>
            </w:r>
            <w:r w:rsidRPr="00913317">
              <w:rPr>
                <w:spacing w:val="-4"/>
                <w:szCs w:val="22"/>
                <w:lang w:val="hr-HR"/>
              </w:rPr>
              <w:t>elesna masa manja od 40 kg</w:t>
            </w:r>
            <w:r w:rsidRPr="00913317">
              <w:rPr>
                <w:szCs w:val="22"/>
                <w:lang w:val="hr-HR"/>
              </w:rPr>
              <w:t>)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4.2). Potrebno je pažljivo praćenje kompletne krvne slike, kao i neželjenih dejstava rifabutina (npr. uveitis) kada se rifabutin </w:t>
            </w:r>
            <w:r w:rsidR="004D45E7" w:rsidRPr="00913317">
              <w:rPr>
                <w:szCs w:val="22"/>
                <w:lang w:val="hr-HR"/>
              </w:rPr>
              <w:t>primjen</w:t>
            </w:r>
            <w:r w:rsidRPr="00913317">
              <w:rPr>
                <w:szCs w:val="22"/>
                <w:lang w:val="hr-HR"/>
              </w:rPr>
              <w:t>juje istovremeno sa vorikonazolom.</w:t>
            </w:r>
          </w:p>
        </w:tc>
      </w:tr>
      <w:tr w:rsidR="00935053" w:rsidRPr="00913317" w14:paraId="4DAF8AA2" w14:textId="77777777" w:rsidTr="00581521">
        <w:trPr>
          <w:gridAfter w:val="1"/>
          <w:wAfter w:w="21" w:type="pct"/>
        </w:trPr>
        <w:tc>
          <w:tcPr>
            <w:tcW w:w="1415" w:type="pct"/>
          </w:tcPr>
          <w:p w14:paraId="04C7D96B"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Rifampicin (600 mg jednom dnevno)</w:t>
            </w:r>
            <w:r w:rsidRPr="00913317">
              <w:rPr>
                <w:rFonts w:cs="Times New Roman"/>
                <w:sz w:val="22"/>
                <w:szCs w:val="22"/>
                <w:lang w:val="hr-HR"/>
              </w:rPr>
              <w:br/>
            </w:r>
            <w:r w:rsidRPr="00913317">
              <w:rPr>
                <w:rFonts w:cs="Times New Roman"/>
                <w:i/>
                <w:sz w:val="22"/>
                <w:szCs w:val="22"/>
                <w:lang w:val="hr-HR"/>
              </w:rPr>
              <w:t>[snažni CYP450 induktor]</w:t>
            </w:r>
          </w:p>
        </w:tc>
        <w:tc>
          <w:tcPr>
            <w:tcW w:w="1813" w:type="pct"/>
          </w:tcPr>
          <w:p w14:paraId="01EC958C"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93%</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96%</w:t>
            </w:r>
          </w:p>
        </w:tc>
        <w:tc>
          <w:tcPr>
            <w:tcW w:w="1751" w:type="pct"/>
          </w:tcPr>
          <w:p w14:paraId="6C31CDC2" w14:textId="371CE23D" w:rsidR="005A7815" w:rsidRPr="0029457E"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b/>
                <w:sz w:val="22"/>
                <w:szCs w:val="22"/>
                <w:lang w:val="hr-HR"/>
              </w:rPr>
              <w:t>Kontraindikovano</w:t>
            </w:r>
            <w:r w:rsidRPr="00913317" w:rsidDel="00D940F8">
              <w:rPr>
                <w:rFonts w:cs="Times New Roman"/>
                <w:sz w:val="22"/>
                <w:szCs w:val="22"/>
                <w:lang w:val="hr-HR"/>
              </w:rPr>
              <w:t xml:space="preserve"> </w:t>
            </w:r>
            <w:r w:rsidRPr="008C59C8">
              <w:rPr>
                <w:rFonts w:cs="Times New Roman"/>
                <w:sz w:val="22"/>
                <w:szCs w:val="22"/>
                <w:lang w:val="hr-HR"/>
              </w:rPr>
              <w:br/>
              <w:t>(</w:t>
            </w:r>
            <w:r w:rsidR="004D45E7" w:rsidRPr="003307B5">
              <w:rPr>
                <w:rFonts w:cs="Times New Roman"/>
                <w:sz w:val="22"/>
                <w:szCs w:val="22"/>
                <w:lang w:val="hr-HR"/>
              </w:rPr>
              <w:t xml:space="preserve">vidjeti </w:t>
            </w:r>
            <w:r w:rsidR="00954637" w:rsidRPr="003307B5">
              <w:rPr>
                <w:rFonts w:cs="Times New Roman"/>
                <w:sz w:val="22"/>
                <w:szCs w:val="22"/>
                <w:lang w:val="hr-HR"/>
              </w:rPr>
              <w:t xml:space="preserve">dio </w:t>
            </w:r>
            <w:r w:rsidRPr="0029457E">
              <w:rPr>
                <w:rFonts w:cs="Times New Roman"/>
                <w:sz w:val="22"/>
                <w:szCs w:val="22"/>
                <w:lang w:val="hr-HR"/>
              </w:rPr>
              <w:t xml:space="preserve"> 4.3)</w:t>
            </w:r>
          </w:p>
        </w:tc>
      </w:tr>
      <w:tr w:rsidR="00935053" w:rsidRPr="0054718D" w14:paraId="56D8D0E6" w14:textId="77777777" w:rsidTr="00581521">
        <w:trPr>
          <w:gridAfter w:val="1"/>
          <w:wAfter w:w="21" w:type="pct"/>
        </w:trPr>
        <w:tc>
          <w:tcPr>
            <w:tcW w:w="1415" w:type="pct"/>
          </w:tcPr>
          <w:p w14:paraId="62663CB2" w14:textId="77777777" w:rsidR="005A7815" w:rsidRPr="00913317" w:rsidRDefault="005A7815" w:rsidP="00D72925">
            <w:pPr>
              <w:pStyle w:val="TableText"/>
              <w:keepN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Ritonavir (inhibitor proteaze) </w:t>
            </w:r>
            <w:r w:rsidRPr="00913317">
              <w:rPr>
                <w:rFonts w:cs="Times New Roman"/>
                <w:sz w:val="22"/>
                <w:szCs w:val="22"/>
                <w:lang w:val="hr-HR"/>
              </w:rPr>
              <w:br/>
            </w:r>
            <w:r w:rsidRPr="00913317">
              <w:rPr>
                <w:rFonts w:cs="Times New Roman"/>
                <w:i/>
                <w:sz w:val="22"/>
                <w:szCs w:val="22"/>
                <w:lang w:val="hr-HR"/>
              </w:rPr>
              <w:t>[snažni CYP450 induktor; CYP3A4 inhibitor i supstrat]</w:t>
            </w:r>
            <w:r w:rsidRPr="00913317">
              <w:rPr>
                <w:rFonts w:cs="Times New Roman"/>
                <w:sz w:val="22"/>
                <w:szCs w:val="22"/>
                <w:lang w:val="hr-HR"/>
              </w:rPr>
              <w:br/>
            </w:r>
          </w:p>
          <w:p w14:paraId="07335C53"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Velike doze (400 mg dva puta dnevno)</w:t>
            </w:r>
          </w:p>
          <w:p w14:paraId="58697F98" w14:textId="77777777" w:rsidR="005A7815" w:rsidRPr="00913317" w:rsidRDefault="005A7815" w:rsidP="00D72925">
            <w:pPr>
              <w:pStyle w:val="TableText"/>
              <w:overflowPunct w:val="0"/>
              <w:autoSpaceDE w:val="0"/>
              <w:autoSpaceDN w:val="0"/>
              <w:adjustRightInd w:val="0"/>
              <w:ind w:left="144"/>
              <w:jc w:val="both"/>
              <w:textAlignment w:val="baseline"/>
              <w:rPr>
                <w:rFonts w:cs="Times New Roman"/>
                <w:sz w:val="22"/>
                <w:szCs w:val="22"/>
                <w:lang w:val="hr-HR"/>
              </w:rPr>
            </w:pPr>
          </w:p>
          <w:p w14:paraId="6250C0D6"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4F02AAAE" w14:textId="77777777" w:rsidR="005A7815" w:rsidRPr="00913317" w:rsidRDefault="005A7815" w:rsidP="00D72925">
            <w:pPr>
              <w:pStyle w:val="TableText"/>
              <w:overflowPunct w:val="0"/>
              <w:autoSpaceDE w:val="0"/>
              <w:autoSpaceDN w:val="0"/>
              <w:adjustRightInd w:val="0"/>
              <w:jc w:val="both"/>
              <w:textAlignment w:val="baseline"/>
              <w:rPr>
                <w:rFonts w:cs="Times New Roman"/>
                <w:spacing w:val="-14"/>
                <w:sz w:val="22"/>
                <w:szCs w:val="22"/>
                <w:lang w:val="hr-HR"/>
              </w:rPr>
            </w:pPr>
            <w:r w:rsidRPr="00913317">
              <w:rPr>
                <w:rFonts w:cs="Times New Roman"/>
                <w:spacing w:val="-14"/>
                <w:sz w:val="22"/>
                <w:szCs w:val="22"/>
                <w:lang w:val="hr-HR"/>
              </w:rPr>
              <w:t>Male doze (100 mg dva puta dnevno)</w:t>
            </w:r>
            <w:r w:rsidRPr="00913317">
              <w:rPr>
                <w:rFonts w:cs="Times New Roman"/>
                <w:spacing w:val="-14"/>
                <w:sz w:val="22"/>
                <w:szCs w:val="22"/>
                <w:vertAlign w:val="superscript"/>
                <w:lang w:val="hr-HR"/>
              </w:rPr>
              <w:t>*</w:t>
            </w:r>
            <w:r w:rsidRPr="00913317">
              <w:rPr>
                <w:rFonts w:cs="Times New Roman"/>
                <w:spacing w:val="-14"/>
                <w:sz w:val="22"/>
                <w:szCs w:val="22"/>
                <w:lang w:val="hr-HR"/>
              </w:rPr>
              <w:br/>
            </w:r>
          </w:p>
        </w:tc>
        <w:tc>
          <w:tcPr>
            <w:tcW w:w="1813" w:type="pct"/>
          </w:tcPr>
          <w:p w14:paraId="345AC65B"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19784F2D"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37823B14"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1A213DEB"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Ritonavir C</w:t>
            </w:r>
            <w:r w:rsidRPr="00913317">
              <w:rPr>
                <w:rFonts w:cs="Times New Roman"/>
                <w:sz w:val="22"/>
                <w:szCs w:val="22"/>
                <w:vertAlign w:val="subscript"/>
                <w:lang w:val="hr-HR"/>
              </w:rPr>
              <w:t>max</w:t>
            </w:r>
            <w:r w:rsidRPr="00913317">
              <w:rPr>
                <w:rFonts w:cs="Times New Roman"/>
                <w:sz w:val="22"/>
                <w:szCs w:val="22"/>
                <w:lang w:val="hr-HR"/>
              </w:rPr>
              <w:t xml:space="preserve"> i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br/>
              <w:t>Vorikonazol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66%</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82%</w:t>
            </w:r>
            <w:r w:rsidRPr="00913317">
              <w:rPr>
                <w:rFonts w:cs="Times New Roman"/>
                <w:sz w:val="22"/>
                <w:szCs w:val="22"/>
                <w:lang w:val="hr-HR"/>
              </w:rPr>
              <w:br/>
            </w:r>
          </w:p>
          <w:p w14:paraId="08511713" w14:textId="77777777" w:rsidR="005A7815" w:rsidRPr="008C59C8"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29EED7F2" w14:textId="1E1C5576"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3307B5">
              <w:rPr>
                <w:rFonts w:cs="Times New Roman"/>
                <w:sz w:val="22"/>
                <w:szCs w:val="22"/>
                <w:lang w:val="hr-HR"/>
              </w:rPr>
              <w:t>Ritonavir C</w:t>
            </w:r>
            <w:r w:rsidRPr="003307B5">
              <w:rPr>
                <w:rFonts w:cs="Times New Roman"/>
                <w:sz w:val="22"/>
                <w:szCs w:val="22"/>
                <w:vertAlign w:val="subscript"/>
                <w:lang w:val="hr-HR"/>
              </w:rPr>
              <w:t>max</w:t>
            </w:r>
            <w:r w:rsidRPr="0029457E">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25%</w:t>
            </w:r>
            <w:r w:rsidRPr="00913317">
              <w:rPr>
                <w:rFonts w:cs="Times New Roman"/>
                <w:sz w:val="22"/>
                <w:szCs w:val="22"/>
                <w:lang w:val="hr-HR"/>
              </w:rPr>
              <w:br/>
              <w:t>Ritonavir PIK</w:t>
            </w:r>
            <w:r w:rsidRPr="00913317">
              <w:rPr>
                <w:rFonts w:cs="Times New Roman"/>
                <w:sz w:val="22"/>
                <w:szCs w:val="22"/>
                <w:lang w:val="hr-HR"/>
              </w:rPr>
              <w:sym w:font="Symbol" w:char="F074"/>
            </w:r>
            <w:r w:rsidR="003D53A2"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13%</w:t>
            </w:r>
            <w:r w:rsidRPr="00913317">
              <w:rPr>
                <w:rFonts w:cs="Times New Roman"/>
                <w:sz w:val="22"/>
                <w:szCs w:val="22"/>
                <w:lang w:val="hr-HR"/>
              </w:rPr>
              <w:br/>
              <w:t>Vorikonazol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24%</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39%</w:t>
            </w:r>
          </w:p>
        </w:tc>
        <w:tc>
          <w:tcPr>
            <w:tcW w:w="1751" w:type="pct"/>
          </w:tcPr>
          <w:p w14:paraId="4ADF208D" w14:textId="6A76D57E" w:rsidR="005A7815" w:rsidRPr="001D27D4"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 xml:space="preserve">Istovremena </w:t>
            </w:r>
            <w:r w:rsidR="004D45E7" w:rsidRPr="008C59C8">
              <w:rPr>
                <w:rFonts w:cs="Times New Roman"/>
                <w:sz w:val="22"/>
                <w:szCs w:val="22"/>
                <w:lang w:val="hr-HR"/>
              </w:rPr>
              <w:t>primjen</w:t>
            </w:r>
            <w:r w:rsidRPr="003307B5">
              <w:rPr>
                <w:rFonts w:cs="Times New Roman"/>
                <w:sz w:val="22"/>
                <w:szCs w:val="22"/>
                <w:lang w:val="hr-HR"/>
              </w:rPr>
              <w:t>a vorikonazola sa velikim dozama ritonavira (400 mg i ve</w:t>
            </w:r>
            <w:r w:rsidR="00031958" w:rsidRPr="003307B5">
              <w:rPr>
                <w:rFonts w:cs="Times New Roman"/>
                <w:sz w:val="22"/>
                <w:szCs w:val="22"/>
                <w:lang w:val="hr-HR"/>
              </w:rPr>
              <w:t>će</w:t>
            </w:r>
            <w:r w:rsidRPr="0029457E">
              <w:rPr>
                <w:rFonts w:cs="Times New Roman"/>
                <w:sz w:val="22"/>
                <w:szCs w:val="22"/>
                <w:lang w:val="hr-HR"/>
              </w:rPr>
              <w:t xml:space="preserve">, dva puta dnevno) je </w:t>
            </w:r>
            <w:r w:rsidRPr="0029457E">
              <w:rPr>
                <w:rFonts w:cs="Times New Roman"/>
                <w:b/>
                <w:sz w:val="22"/>
                <w:szCs w:val="22"/>
                <w:lang w:val="hr-HR"/>
              </w:rPr>
              <w:t>kontraindikovana</w:t>
            </w:r>
            <w:r w:rsidRPr="009C1794">
              <w:rPr>
                <w:rFonts w:cs="Times New Roman"/>
                <w:sz w:val="22"/>
                <w:szCs w:val="22"/>
                <w:lang w:val="hr-HR"/>
              </w:rPr>
              <w:t xml:space="preserve"> (</w:t>
            </w:r>
            <w:r w:rsidR="004D45E7" w:rsidRPr="009C1794">
              <w:rPr>
                <w:rFonts w:cs="Times New Roman"/>
                <w:sz w:val="22"/>
                <w:szCs w:val="22"/>
                <w:lang w:val="hr-HR"/>
              </w:rPr>
              <w:t xml:space="preserve">vidjeti </w:t>
            </w:r>
            <w:r w:rsidR="00954637" w:rsidRPr="009C1794">
              <w:rPr>
                <w:rFonts w:cs="Times New Roman"/>
                <w:sz w:val="22"/>
                <w:szCs w:val="22"/>
                <w:lang w:val="hr-HR"/>
              </w:rPr>
              <w:t xml:space="preserve">dio </w:t>
            </w:r>
            <w:r w:rsidRPr="001D27D4">
              <w:rPr>
                <w:rFonts w:cs="Times New Roman"/>
                <w:sz w:val="22"/>
                <w:szCs w:val="22"/>
                <w:lang w:val="hr-HR"/>
              </w:rPr>
              <w:t xml:space="preserve"> 4.3).</w:t>
            </w:r>
          </w:p>
          <w:p w14:paraId="6CF09F8E"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6625FEB9"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5AA9EDE0"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44178F14" w14:textId="4D511CDF" w:rsidR="005A7815" w:rsidRPr="00913317" w:rsidRDefault="005A7815" w:rsidP="00D72925">
            <w:pPr>
              <w:rPr>
                <w:b/>
                <w:szCs w:val="22"/>
                <w:lang w:val="hr-HR"/>
              </w:rPr>
            </w:pPr>
            <w:r w:rsidRPr="00913317">
              <w:rPr>
                <w:szCs w:val="22"/>
                <w:lang w:val="hr-HR"/>
              </w:rPr>
              <w:t xml:space="preserve">Istovremenu </w:t>
            </w:r>
            <w:r w:rsidR="004D45E7" w:rsidRPr="00913317">
              <w:rPr>
                <w:szCs w:val="22"/>
                <w:lang w:val="hr-HR"/>
              </w:rPr>
              <w:t>primjen</w:t>
            </w:r>
            <w:r w:rsidRPr="00913317">
              <w:rPr>
                <w:szCs w:val="22"/>
                <w:lang w:val="hr-HR"/>
              </w:rPr>
              <w:t>u vorikonazola sa malim dozama ritonavira (100 mg dva puta dnevno) treba izb</w:t>
            </w:r>
            <w:r w:rsidR="00956080" w:rsidRPr="00913317">
              <w:rPr>
                <w:szCs w:val="22"/>
                <w:lang w:val="hr-HR"/>
              </w:rPr>
              <w:t>j</w:t>
            </w:r>
            <w:r w:rsidRPr="00913317">
              <w:rPr>
                <w:szCs w:val="22"/>
                <w:lang w:val="hr-HR"/>
              </w:rPr>
              <w:t xml:space="preserve">egavati, osim kada </w:t>
            </w:r>
            <w:r w:rsidR="004D45E7" w:rsidRPr="00913317">
              <w:rPr>
                <w:szCs w:val="22"/>
                <w:lang w:val="hr-HR"/>
              </w:rPr>
              <w:t>procjen</w:t>
            </w:r>
            <w:r w:rsidRPr="00913317">
              <w:rPr>
                <w:szCs w:val="22"/>
                <w:lang w:val="hr-HR"/>
              </w:rPr>
              <w:t xml:space="preserve">a odnosa korist/rizik opravdava </w:t>
            </w:r>
            <w:r w:rsidR="004D45E7" w:rsidRPr="00913317">
              <w:rPr>
                <w:szCs w:val="22"/>
                <w:lang w:val="hr-HR"/>
              </w:rPr>
              <w:t>primjen</w:t>
            </w:r>
            <w:r w:rsidRPr="00913317">
              <w:rPr>
                <w:szCs w:val="22"/>
                <w:lang w:val="hr-HR"/>
              </w:rPr>
              <w:t>u vorikonazola.</w:t>
            </w:r>
          </w:p>
        </w:tc>
      </w:tr>
      <w:tr w:rsidR="00935053" w:rsidRPr="00913317" w14:paraId="4DA8D4C3" w14:textId="77777777" w:rsidTr="00581521">
        <w:trPr>
          <w:gridAfter w:val="1"/>
          <w:wAfter w:w="21" w:type="pct"/>
        </w:trPr>
        <w:tc>
          <w:tcPr>
            <w:tcW w:w="1415" w:type="pct"/>
          </w:tcPr>
          <w:p w14:paraId="56D2F134"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Kantarion</w:t>
            </w:r>
          </w:p>
          <w:p w14:paraId="757C3613" w14:textId="77777777" w:rsidR="005A7815" w:rsidRPr="00913317" w:rsidRDefault="005A7815" w:rsidP="00D72925">
            <w:pPr>
              <w:pStyle w:val="TableText"/>
              <w:overflowPunct w:val="0"/>
              <w:autoSpaceDE w:val="0"/>
              <w:autoSpaceDN w:val="0"/>
              <w:adjustRightInd w:val="0"/>
              <w:jc w:val="both"/>
              <w:textAlignment w:val="baseline"/>
              <w:rPr>
                <w:rFonts w:cs="Times New Roman"/>
                <w:i/>
                <w:sz w:val="22"/>
                <w:szCs w:val="22"/>
                <w:lang w:val="hr-HR"/>
              </w:rPr>
            </w:pPr>
            <w:r w:rsidRPr="00913317">
              <w:rPr>
                <w:rFonts w:cs="Times New Roman"/>
                <w:i/>
                <w:sz w:val="22"/>
                <w:szCs w:val="22"/>
                <w:lang w:val="hr-HR"/>
              </w:rPr>
              <w:t>[CYP450 induktor; P-gp induktor]</w:t>
            </w:r>
          </w:p>
          <w:p w14:paraId="39335D1B" w14:textId="354D5CC5"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lastRenderedPageBreak/>
              <w:t xml:space="preserve">300 mg tri puta dnevno (istovremeno </w:t>
            </w:r>
            <w:r w:rsidR="004D45E7" w:rsidRPr="00913317">
              <w:rPr>
                <w:rFonts w:cs="Times New Roman"/>
                <w:sz w:val="22"/>
                <w:szCs w:val="22"/>
                <w:lang w:val="hr-HR"/>
              </w:rPr>
              <w:t>prim</w:t>
            </w:r>
            <w:r w:rsidR="00956080" w:rsidRPr="00913317">
              <w:rPr>
                <w:rFonts w:cs="Times New Roman"/>
                <w:sz w:val="22"/>
                <w:szCs w:val="22"/>
                <w:lang w:val="hr-HR"/>
              </w:rPr>
              <w:t>i</w:t>
            </w:r>
            <w:r w:rsidR="004D45E7" w:rsidRPr="00913317">
              <w:rPr>
                <w:rFonts w:cs="Times New Roman"/>
                <w:sz w:val="22"/>
                <w:szCs w:val="22"/>
                <w:lang w:val="hr-HR"/>
              </w:rPr>
              <w:t>jen</w:t>
            </w:r>
            <w:r w:rsidRPr="00913317">
              <w:rPr>
                <w:rFonts w:cs="Times New Roman"/>
                <w:sz w:val="22"/>
                <w:szCs w:val="22"/>
                <w:lang w:val="hr-HR"/>
              </w:rPr>
              <w:t>jen sa vorikonazolom 400 mg pojedinačna doza)</w:t>
            </w:r>
          </w:p>
        </w:tc>
        <w:tc>
          <w:tcPr>
            <w:tcW w:w="1813" w:type="pct"/>
          </w:tcPr>
          <w:p w14:paraId="0287A55C"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28DF7804"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U jednoj nezavisnoj objavljenoj studiji, </w:t>
            </w:r>
          </w:p>
          <w:p w14:paraId="200BF0C6"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lastRenderedPageBreak/>
              <w:t>Vorikonazol PIK</w:t>
            </w:r>
            <w:r w:rsidRPr="00913317">
              <w:rPr>
                <w:rFonts w:cs="Times New Roman"/>
                <w:sz w:val="22"/>
                <w:szCs w:val="22"/>
                <w:vertAlign w:val="subscript"/>
                <w:lang w:val="hr-HR"/>
              </w:rPr>
              <w:t>0→∞</w:t>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59%</w:t>
            </w:r>
          </w:p>
        </w:tc>
        <w:tc>
          <w:tcPr>
            <w:tcW w:w="1751" w:type="pct"/>
          </w:tcPr>
          <w:p w14:paraId="052092B5" w14:textId="6F003F63" w:rsidR="005A7815" w:rsidRPr="0029457E"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b/>
                <w:sz w:val="22"/>
                <w:szCs w:val="22"/>
                <w:lang w:val="hr-HR"/>
              </w:rPr>
              <w:lastRenderedPageBreak/>
              <w:t>Kontraindikovano</w:t>
            </w:r>
            <w:r w:rsidRPr="008C59C8" w:rsidDel="00D940F8">
              <w:rPr>
                <w:rFonts w:cs="Times New Roman"/>
                <w:sz w:val="22"/>
                <w:szCs w:val="22"/>
                <w:lang w:val="hr-HR"/>
              </w:rPr>
              <w:t xml:space="preserve"> </w:t>
            </w:r>
            <w:r w:rsidRPr="008C59C8">
              <w:rPr>
                <w:rFonts w:cs="Times New Roman"/>
                <w:sz w:val="22"/>
                <w:szCs w:val="22"/>
                <w:lang w:val="hr-HR"/>
              </w:rPr>
              <w:br/>
              <w:t>(</w:t>
            </w:r>
            <w:r w:rsidR="004D45E7" w:rsidRPr="003307B5">
              <w:rPr>
                <w:rFonts w:cs="Times New Roman"/>
                <w:sz w:val="22"/>
                <w:szCs w:val="22"/>
                <w:lang w:val="hr-HR"/>
              </w:rPr>
              <w:t xml:space="preserve">vidjeti </w:t>
            </w:r>
            <w:r w:rsidR="00954637" w:rsidRPr="003307B5">
              <w:rPr>
                <w:rFonts w:cs="Times New Roman"/>
                <w:sz w:val="22"/>
                <w:szCs w:val="22"/>
                <w:lang w:val="hr-HR"/>
              </w:rPr>
              <w:t xml:space="preserve">dio </w:t>
            </w:r>
            <w:r w:rsidRPr="0029457E">
              <w:rPr>
                <w:rFonts w:cs="Times New Roman"/>
                <w:sz w:val="22"/>
                <w:szCs w:val="22"/>
                <w:lang w:val="hr-HR"/>
              </w:rPr>
              <w:t xml:space="preserve"> 4.3)</w:t>
            </w:r>
          </w:p>
        </w:tc>
      </w:tr>
      <w:tr w:rsidR="0023597B" w:rsidRPr="00913317" w14:paraId="52BC1E76" w14:textId="77777777" w:rsidTr="00581521">
        <w:tc>
          <w:tcPr>
            <w:tcW w:w="1415" w:type="pct"/>
          </w:tcPr>
          <w:p w14:paraId="166C915F" w14:textId="77777777" w:rsidR="0023597B" w:rsidRPr="00913317" w:rsidRDefault="0023597B" w:rsidP="00D72925">
            <w:pPr>
              <w:pStyle w:val="TableText"/>
              <w:tabs>
                <w:tab w:val="left" w:pos="360"/>
              </w:tabs>
              <w:overflowPunct w:val="0"/>
              <w:autoSpaceDE w:val="0"/>
              <w:autoSpaceDN w:val="0"/>
              <w:adjustRightInd w:val="0"/>
              <w:jc w:val="both"/>
              <w:textAlignment w:val="baseline"/>
              <w:rPr>
                <w:rFonts w:cs="Times New Roman"/>
                <w:sz w:val="22"/>
                <w:szCs w:val="22"/>
                <w:lang w:val="hr-HR" w:eastAsia="ko-KR"/>
              </w:rPr>
            </w:pPr>
            <w:r w:rsidRPr="00913317">
              <w:rPr>
                <w:rFonts w:cs="Times New Roman"/>
                <w:sz w:val="22"/>
                <w:szCs w:val="22"/>
                <w:lang w:val="hr-HR" w:eastAsia="ko-KR"/>
              </w:rPr>
              <w:lastRenderedPageBreak/>
              <w:t xml:space="preserve">Tolvaptan </w:t>
            </w:r>
          </w:p>
          <w:p w14:paraId="7511484D" w14:textId="5E11A3E1" w:rsidR="0023597B" w:rsidRPr="00913317" w:rsidRDefault="0023597B"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i/>
                <w:sz w:val="22"/>
                <w:szCs w:val="22"/>
                <w:lang w:val="hr-HR" w:eastAsia="ko-KR"/>
              </w:rPr>
              <w:t>[</w:t>
            </w:r>
            <w:r w:rsidRPr="00913317">
              <w:rPr>
                <w:rFonts w:cs="Times New Roman"/>
                <w:i/>
                <w:iCs/>
                <w:sz w:val="22"/>
                <w:szCs w:val="22"/>
                <w:lang w:val="hr-HR" w:eastAsia="ko-KR"/>
              </w:rPr>
              <w:t>CYP3A supstrat</w:t>
            </w:r>
            <w:r w:rsidRPr="00913317">
              <w:rPr>
                <w:rFonts w:cs="Times New Roman"/>
                <w:i/>
                <w:sz w:val="22"/>
                <w:szCs w:val="22"/>
                <w:lang w:val="hr-HR" w:eastAsia="ko-KR"/>
              </w:rPr>
              <w:t>]</w:t>
            </w:r>
          </w:p>
        </w:tc>
        <w:tc>
          <w:tcPr>
            <w:tcW w:w="1813" w:type="pct"/>
          </w:tcPr>
          <w:p w14:paraId="330FA0DE" w14:textId="7B7E3B06" w:rsidR="0023597B" w:rsidRPr="00913317" w:rsidRDefault="0023597B"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Iako nije ispitivano, </w:t>
            </w:r>
            <w:r w:rsidRPr="00913317">
              <w:rPr>
                <w:rFonts w:cs="Times New Roman"/>
                <w:snapToGrid w:val="0"/>
                <w:sz w:val="22"/>
                <w:szCs w:val="22"/>
                <w:lang w:val="hr-HR"/>
              </w:rPr>
              <w:t>očekuje se da vorikonazol značajno poveća koncentraciju tolvaptana</w:t>
            </w:r>
            <w:r w:rsidRPr="00913317">
              <w:rPr>
                <w:rFonts w:cs="Times New Roman"/>
                <w:sz w:val="22"/>
                <w:szCs w:val="22"/>
                <w:lang w:val="hr-HR"/>
              </w:rPr>
              <w:t xml:space="preserve"> u plazmi.</w:t>
            </w:r>
          </w:p>
        </w:tc>
        <w:tc>
          <w:tcPr>
            <w:tcW w:w="1772" w:type="pct"/>
            <w:gridSpan w:val="2"/>
          </w:tcPr>
          <w:p w14:paraId="799B37E4" w14:textId="778CA2B0" w:rsidR="0023597B" w:rsidRPr="00913317" w:rsidRDefault="0023597B" w:rsidP="00D72925">
            <w:pPr>
              <w:pStyle w:val="TableText"/>
              <w:overflowPunct w:val="0"/>
              <w:autoSpaceDE w:val="0"/>
              <w:autoSpaceDN w:val="0"/>
              <w:adjustRightInd w:val="0"/>
              <w:jc w:val="both"/>
              <w:textAlignment w:val="baseline"/>
              <w:rPr>
                <w:rFonts w:cs="Times New Roman"/>
                <w:b/>
                <w:sz w:val="22"/>
                <w:szCs w:val="22"/>
                <w:lang w:val="hr-HR"/>
              </w:rPr>
            </w:pPr>
            <w:r w:rsidRPr="00913317">
              <w:rPr>
                <w:rFonts w:cs="Times New Roman"/>
                <w:b/>
                <w:sz w:val="22"/>
                <w:szCs w:val="22"/>
                <w:lang w:val="hr-HR"/>
              </w:rPr>
              <w:t>Kontraindikovano</w:t>
            </w:r>
            <w:r w:rsidRPr="00913317" w:rsidDel="00D940F8">
              <w:rPr>
                <w:rFonts w:cs="Times New Roman"/>
                <w:sz w:val="22"/>
                <w:szCs w:val="22"/>
                <w:lang w:val="hr-HR"/>
              </w:rPr>
              <w:t xml:space="preserve"> </w:t>
            </w:r>
            <w:r w:rsidRPr="00913317">
              <w:rPr>
                <w:rFonts w:cs="Times New Roman"/>
                <w:sz w:val="22"/>
                <w:szCs w:val="22"/>
                <w:lang w:val="hr-HR"/>
              </w:rPr>
              <w:t xml:space="preserve">(vidjeti </w:t>
            </w:r>
            <w:r w:rsidR="00954637" w:rsidRPr="00913317">
              <w:rPr>
                <w:rFonts w:cs="Times New Roman"/>
                <w:sz w:val="22"/>
                <w:szCs w:val="22"/>
                <w:lang w:val="hr-HR"/>
              </w:rPr>
              <w:t xml:space="preserve">dio </w:t>
            </w:r>
            <w:r w:rsidRPr="00913317">
              <w:rPr>
                <w:rFonts w:cs="Times New Roman"/>
                <w:sz w:val="22"/>
                <w:szCs w:val="22"/>
                <w:lang w:val="hr-HR"/>
              </w:rPr>
              <w:t xml:space="preserve"> 4.3)</w:t>
            </w:r>
          </w:p>
        </w:tc>
      </w:tr>
      <w:tr w:rsidR="00935053" w:rsidRPr="0054718D" w14:paraId="148EC18E" w14:textId="77777777" w:rsidTr="00581521">
        <w:trPr>
          <w:gridAfter w:val="1"/>
          <w:wAfter w:w="21" w:type="pct"/>
        </w:trPr>
        <w:tc>
          <w:tcPr>
            <w:tcW w:w="1415" w:type="pct"/>
          </w:tcPr>
          <w:p w14:paraId="60F720B8" w14:textId="694A1F2A" w:rsidR="005A7815" w:rsidRPr="00913317" w:rsidRDefault="0023597B" w:rsidP="00D72925">
            <w:pPr>
              <w:pStyle w:val="TableText"/>
              <w:tabs>
                <w:tab w:val="left" w:pos="360"/>
              </w:tabs>
              <w:overflowPunct w:val="0"/>
              <w:autoSpaceDE w:val="0"/>
              <w:autoSpaceDN w:val="0"/>
              <w:adjustRightInd w:val="0"/>
              <w:ind w:left="216" w:hanging="216"/>
              <w:jc w:val="both"/>
              <w:textAlignment w:val="baseline"/>
              <w:rPr>
                <w:rFonts w:cs="Times New Roman"/>
                <w:sz w:val="22"/>
                <w:szCs w:val="22"/>
                <w:lang w:val="hr-HR"/>
              </w:rPr>
            </w:pPr>
            <w:r w:rsidRPr="00913317">
              <w:rPr>
                <w:rFonts w:cs="Times New Roman"/>
                <w:sz w:val="22"/>
                <w:szCs w:val="22"/>
                <w:lang w:val="hr-HR"/>
              </w:rPr>
              <w:t>Venetoklaks</w:t>
            </w:r>
          </w:p>
          <w:p w14:paraId="03AF118F" w14:textId="5AEFB574"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i/>
                <w:sz w:val="22"/>
                <w:szCs w:val="22"/>
                <w:lang w:val="hr-HR"/>
              </w:rPr>
              <w:t>[CYP3A supstrat]</w:t>
            </w:r>
          </w:p>
        </w:tc>
        <w:tc>
          <w:tcPr>
            <w:tcW w:w="1813" w:type="pct"/>
          </w:tcPr>
          <w:p w14:paraId="6E413ED6" w14:textId="5B3C0110" w:rsidR="005A7815" w:rsidRPr="00913317"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Iako nije ispitivano, </w:t>
            </w:r>
            <w:r w:rsidRPr="00913317">
              <w:rPr>
                <w:rFonts w:cs="Times New Roman"/>
                <w:snapToGrid w:val="0"/>
                <w:sz w:val="22"/>
                <w:szCs w:val="22"/>
                <w:lang w:val="hr-HR"/>
              </w:rPr>
              <w:t xml:space="preserve">očekuje se da vorikonazol značajno poveća koncentraciju </w:t>
            </w:r>
            <w:r w:rsidR="0023597B" w:rsidRPr="00913317">
              <w:rPr>
                <w:rFonts w:cs="Times New Roman"/>
                <w:snapToGrid w:val="0"/>
                <w:sz w:val="22"/>
                <w:szCs w:val="22"/>
                <w:lang w:val="hr-HR"/>
              </w:rPr>
              <w:t>venetoklaksa</w:t>
            </w:r>
            <w:r w:rsidR="0023597B" w:rsidRPr="00913317">
              <w:rPr>
                <w:rFonts w:cs="Times New Roman"/>
                <w:sz w:val="22"/>
                <w:szCs w:val="22"/>
                <w:lang w:val="hr-HR"/>
              </w:rPr>
              <w:t xml:space="preserve"> </w:t>
            </w:r>
            <w:r w:rsidRPr="00913317">
              <w:rPr>
                <w:rFonts w:cs="Times New Roman"/>
                <w:sz w:val="22"/>
                <w:szCs w:val="22"/>
                <w:lang w:val="hr-HR"/>
              </w:rPr>
              <w:t>u plazmi.</w:t>
            </w:r>
          </w:p>
          <w:p w14:paraId="5814982B" w14:textId="77777777" w:rsidR="005A7815" w:rsidRPr="00913317"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p>
        </w:tc>
        <w:tc>
          <w:tcPr>
            <w:tcW w:w="1751" w:type="pct"/>
          </w:tcPr>
          <w:p w14:paraId="291E9033" w14:textId="3A664D3B"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napToGrid w:val="0"/>
                <w:sz w:val="22"/>
                <w:szCs w:val="22"/>
                <w:lang w:val="hr-HR"/>
              </w:rPr>
              <w:t xml:space="preserve">Istovremena </w:t>
            </w:r>
            <w:r w:rsidR="004D45E7" w:rsidRPr="00913317">
              <w:rPr>
                <w:rFonts w:cs="Times New Roman"/>
                <w:snapToGrid w:val="0"/>
                <w:sz w:val="22"/>
                <w:szCs w:val="22"/>
                <w:lang w:val="hr-HR"/>
              </w:rPr>
              <w:t>primjen</w:t>
            </w:r>
            <w:r w:rsidRPr="00913317">
              <w:rPr>
                <w:rFonts w:cs="Times New Roman"/>
                <w:snapToGrid w:val="0"/>
                <w:sz w:val="22"/>
                <w:szCs w:val="22"/>
                <w:lang w:val="hr-HR"/>
              </w:rPr>
              <w:t xml:space="preserve">a vorikonazola </w:t>
            </w:r>
            <w:r w:rsidR="0023597B" w:rsidRPr="00913317">
              <w:rPr>
                <w:rFonts w:cs="Times New Roman"/>
                <w:snapToGrid w:val="0"/>
                <w:sz w:val="22"/>
                <w:szCs w:val="22"/>
                <w:lang w:val="hr-HR"/>
              </w:rPr>
              <w:t xml:space="preserve">je </w:t>
            </w:r>
            <w:r w:rsidR="0023597B" w:rsidRPr="00913317">
              <w:rPr>
                <w:rFonts w:cs="Times New Roman"/>
                <w:b/>
                <w:bCs/>
                <w:snapToGrid w:val="0"/>
                <w:sz w:val="22"/>
                <w:szCs w:val="22"/>
                <w:lang w:val="hr-HR"/>
              </w:rPr>
              <w:t>kontraindikovana</w:t>
            </w:r>
            <w:r w:rsidR="0023597B" w:rsidRPr="00913317">
              <w:rPr>
                <w:rFonts w:cs="Times New Roman"/>
                <w:snapToGrid w:val="0"/>
                <w:sz w:val="22"/>
                <w:szCs w:val="22"/>
                <w:lang w:val="hr-HR"/>
              </w:rPr>
              <w:t xml:space="preserve"> pri uvođenju liječenja i tokom faze titracije doze venetoklaksa (vidjeti </w:t>
            </w:r>
            <w:r w:rsidR="00954637" w:rsidRPr="00913317">
              <w:rPr>
                <w:rFonts w:cs="Times New Roman"/>
                <w:snapToGrid w:val="0"/>
                <w:sz w:val="22"/>
                <w:szCs w:val="22"/>
                <w:lang w:val="hr-HR"/>
              </w:rPr>
              <w:t xml:space="preserve">dio </w:t>
            </w:r>
            <w:r w:rsidR="0023597B" w:rsidRPr="00913317">
              <w:rPr>
                <w:rFonts w:cs="Times New Roman"/>
                <w:snapToGrid w:val="0"/>
                <w:sz w:val="22"/>
                <w:szCs w:val="22"/>
                <w:lang w:val="hr-HR"/>
              </w:rPr>
              <w:t xml:space="preserve"> 4.3). Smanjenje doze venetoklaksa</w:t>
            </w:r>
            <w:r w:rsidRPr="00913317">
              <w:rPr>
                <w:rFonts w:cs="Times New Roman"/>
                <w:snapToGrid w:val="0"/>
                <w:sz w:val="22"/>
                <w:szCs w:val="22"/>
                <w:lang w:val="hr-HR"/>
              </w:rPr>
              <w:t xml:space="preserve"> </w:t>
            </w:r>
            <w:r w:rsidR="0023597B" w:rsidRPr="00913317">
              <w:rPr>
                <w:rFonts w:cs="Times New Roman"/>
                <w:snapToGrid w:val="0"/>
                <w:sz w:val="22"/>
                <w:szCs w:val="22"/>
                <w:lang w:val="hr-HR"/>
              </w:rPr>
              <w:t xml:space="preserve">u skladu sa informacijama o lijeku za venetoklaks tokom stabilnog dnevnog doziranja; preporučuje se </w:t>
            </w:r>
            <w:r w:rsidR="00990A01" w:rsidRPr="00913317">
              <w:rPr>
                <w:rFonts w:cs="Times New Roman"/>
                <w:snapToGrid w:val="0"/>
                <w:sz w:val="22"/>
                <w:szCs w:val="22"/>
                <w:lang w:val="hr-HR"/>
              </w:rPr>
              <w:t>pažljivo praćenje</w:t>
            </w:r>
            <w:r w:rsidR="0023597B" w:rsidRPr="00913317">
              <w:rPr>
                <w:rFonts w:cs="Times New Roman"/>
                <w:snapToGrid w:val="0"/>
                <w:sz w:val="22"/>
                <w:szCs w:val="22"/>
                <w:lang w:val="hr-HR"/>
              </w:rPr>
              <w:t xml:space="preserve"> zbog moguće pojave znakova toksičnosti.</w:t>
            </w:r>
            <w:r w:rsidR="00954637" w:rsidRPr="00913317">
              <w:rPr>
                <w:rFonts w:cs="Times New Roman"/>
                <w:iCs/>
                <w:sz w:val="22"/>
                <w:szCs w:val="22"/>
                <w:lang w:val="hr-HR"/>
              </w:rPr>
              <w:t xml:space="preserve"> </w:t>
            </w:r>
          </w:p>
        </w:tc>
      </w:tr>
      <w:tr w:rsidR="00935053" w:rsidRPr="0054718D" w14:paraId="34DD9B44" w14:textId="77777777" w:rsidTr="00581521">
        <w:trPr>
          <w:gridAfter w:val="1"/>
          <w:wAfter w:w="21" w:type="pct"/>
        </w:trPr>
        <w:tc>
          <w:tcPr>
            <w:tcW w:w="1415" w:type="pct"/>
          </w:tcPr>
          <w:p w14:paraId="43A433EF"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sz w:val="22"/>
                <w:szCs w:val="22"/>
                <w:lang w:val="hr-HR"/>
              </w:rPr>
              <w:t>Flukonazol (200 mg jednom dnevno)</w:t>
            </w:r>
            <w:r w:rsidRPr="00913317">
              <w:rPr>
                <w:rFonts w:cs="Times New Roman"/>
                <w:sz w:val="22"/>
                <w:szCs w:val="22"/>
                <w:lang w:val="hr-HR"/>
              </w:rPr>
              <w:br/>
            </w:r>
            <w:r w:rsidRPr="00913317">
              <w:rPr>
                <w:rFonts w:cs="Times New Roman"/>
                <w:i/>
                <w:sz w:val="22"/>
                <w:szCs w:val="22"/>
                <w:lang w:val="hr-HR"/>
              </w:rPr>
              <w:t>[CYP2C9, CYP2C19 i CYP3A4 inhibitor]</w:t>
            </w:r>
          </w:p>
          <w:p w14:paraId="0D693F61" w14:textId="77777777" w:rsidR="005A7815" w:rsidRPr="00913317" w:rsidRDefault="005A7815" w:rsidP="00D72925">
            <w:pPr>
              <w:pStyle w:val="TableText"/>
              <w:tabs>
                <w:tab w:val="left" w:pos="360"/>
              </w:tabs>
              <w:overflowPunct w:val="0"/>
              <w:autoSpaceDE w:val="0"/>
              <w:autoSpaceDN w:val="0"/>
              <w:adjustRightInd w:val="0"/>
              <w:ind w:left="216" w:hanging="216"/>
              <w:jc w:val="both"/>
              <w:textAlignment w:val="baseline"/>
              <w:rPr>
                <w:rFonts w:cs="Times New Roman"/>
                <w:sz w:val="22"/>
                <w:szCs w:val="22"/>
                <w:lang w:val="hr-HR"/>
              </w:rPr>
            </w:pPr>
          </w:p>
        </w:tc>
        <w:tc>
          <w:tcPr>
            <w:tcW w:w="1813" w:type="pct"/>
          </w:tcPr>
          <w:p w14:paraId="19B120C4"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57%</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79%</w:t>
            </w:r>
          </w:p>
          <w:p w14:paraId="3B42BF58"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Flukonazol C</w:t>
            </w:r>
            <w:r w:rsidRPr="008C59C8">
              <w:rPr>
                <w:rFonts w:cs="Times New Roman"/>
                <w:sz w:val="22"/>
                <w:szCs w:val="22"/>
                <w:vertAlign w:val="subscript"/>
                <w:lang w:val="hr-HR"/>
              </w:rPr>
              <w:t>max</w:t>
            </w:r>
            <w:r w:rsidRPr="003307B5">
              <w:rPr>
                <w:rFonts w:cs="Times New Roman"/>
                <w:sz w:val="22"/>
                <w:szCs w:val="22"/>
                <w:lang w:val="hr-HR"/>
              </w:rPr>
              <w:t xml:space="preserve"> nije utvrđeno</w:t>
            </w:r>
            <w:r w:rsidRPr="003307B5">
              <w:rPr>
                <w:rFonts w:cs="Times New Roman"/>
                <w:sz w:val="22"/>
                <w:szCs w:val="22"/>
                <w:lang w:val="hr-HR"/>
              </w:rPr>
              <w:br/>
              <w:t>Flukonazol PIK</w:t>
            </w:r>
            <w:r w:rsidRPr="00913317">
              <w:rPr>
                <w:rFonts w:cs="Times New Roman"/>
                <w:sz w:val="22"/>
                <w:szCs w:val="22"/>
                <w:lang w:val="hr-HR"/>
              </w:rPr>
              <w:sym w:font="Symbol" w:char="F074"/>
            </w:r>
            <w:r w:rsidRPr="00913317">
              <w:rPr>
                <w:rFonts w:cs="Times New Roman"/>
                <w:sz w:val="22"/>
                <w:szCs w:val="22"/>
                <w:lang w:val="hr-HR"/>
              </w:rPr>
              <w:t xml:space="preserve"> nije utvrđeno</w:t>
            </w:r>
          </w:p>
          <w:p w14:paraId="0AB35908" w14:textId="77777777" w:rsidR="005A7815" w:rsidRPr="008C59C8"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br/>
            </w:r>
          </w:p>
        </w:tc>
        <w:tc>
          <w:tcPr>
            <w:tcW w:w="1751" w:type="pct"/>
          </w:tcPr>
          <w:p w14:paraId="1D6B3504" w14:textId="24F936B0" w:rsidR="006131C3" w:rsidRPr="00913317" w:rsidRDefault="005A7815" w:rsidP="00D72925">
            <w:pPr>
              <w:pStyle w:val="Paragraph"/>
              <w:spacing w:after="0"/>
              <w:jc w:val="both"/>
              <w:rPr>
                <w:sz w:val="22"/>
                <w:szCs w:val="22"/>
                <w:lang w:val="hr-HR"/>
              </w:rPr>
            </w:pPr>
            <w:r w:rsidRPr="003307B5">
              <w:rPr>
                <w:sz w:val="22"/>
                <w:szCs w:val="22"/>
                <w:lang w:val="hr-HR"/>
              </w:rPr>
              <w:t xml:space="preserve">Nije utvrđena </w:t>
            </w:r>
            <w:r w:rsidR="00031958" w:rsidRPr="003307B5">
              <w:rPr>
                <w:sz w:val="22"/>
                <w:szCs w:val="22"/>
                <w:lang w:val="hr-HR"/>
              </w:rPr>
              <w:t>manja</w:t>
            </w:r>
            <w:r w:rsidRPr="0029457E">
              <w:rPr>
                <w:sz w:val="22"/>
                <w:szCs w:val="22"/>
                <w:lang w:val="hr-HR"/>
              </w:rPr>
              <w:t xml:space="preserve"> doza i/ili učestalost </w:t>
            </w:r>
            <w:r w:rsidR="004D45E7" w:rsidRPr="0029457E">
              <w:rPr>
                <w:sz w:val="22"/>
                <w:szCs w:val="22"/>
                <w:lang w:val="hr-HR"/>
              </w:rPr>
              <w:t>primjen</w:t>
            </w:r>
            <w:r w:rsidRPr="009C1794">
              <w:rPr>
                <w:sz w:val="22"/>
                <w:szCs w:val="22"/>
                <w:lang w:val="hr-HR"/>
              </w:rPr>
              <w:t>e vorikonazola i fluko</w:t>
            </w:r>
            <w:r w:rsidRPr="00913317">
              <w:rPr>
                <w:sz w:val="22"/>
                <w:szCs w:val="22"/>
                <w:lang w:val="hr-HR"/>
              </w:rPr>
              <w:t>nazola koja bi eliminisala ovaj efekat. Praćenje neželjenih događaja povezanih sa vorikonazolom preporučuje se ako se vorikonazol uzima posl</w:t>
            </w:r>
            <w:r w:rsidR="003D53A2" w:rsidRPr="00913317">
              <w:rPr>
                <w:sz w:val="22"/>
                <w:szCs w:val="22"/>
                <w:lang w:val="hr-HR"/>
              </w:rPr>
              <w:t>ij</w:t>
            </w:r>
            <w:r w:rsidRPr="00913317">
              <w:rPr>
                <w:sz w:val="22"/>
                <w:szCs w:val="22"/>
                <w:lang w:val="hr-HR"/>
              </w:rPr>
              <w:t>e flukonazola.</w:t>
            </w:r>
          </w:p>
        </w:tc>
      </w:tr>
      <w:tr w:rsidR="00935053" w:rsidRPr="0054718D" w14:paraId="6A5CCC51" w14:textId="77777777" w:rsidTr="00581521">
        <w:trPr>
          <w:gridAfter w:val="1"/>
          <w:wAfter w:w="21" w:type="pct"/>
        </w:trPr>
        <w:tc>
          <w:tcPr>
            <w:tcW w:w="1415" w:type="pct"/>
          </w:tcPr>
          <w:p w14:paraId="349A5E1D"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sz w:val="22"/>
                <w:szCs w:val="22"/>
                <w:lang w:val="hr-HR"/>
              </w:rPr>
              <w:t>Fenitoin</w:t>
            </w:r>
            <w:r w:rsidRPr="00913317">
              <w:rPr>
                <w:rFonts w:cs="Times New Roman"/>
                <w:sz w:val="22"/>
                <w:szCs w:val="22"/>
                <w:lang w:val="hr-HR"/>
              </w:rPr>
              <w:br/>
            </w:r>
            <w:r w:rsidRPr="00913317">
              <w:rPr>
                <w:rFonts w:cs="Times New Roman"/>
                <w:i/>
                <w:sz w:val="22"/>
                <w:szCs w:val="22"/>
                <w:lang w:val="hr-HR"/>
              </w:rPr>
              <w:t>[CYP2C9 supstrat i snažni CYP450 induktor]</w:t>
            </w:r>
          </w:p>
          <w:p w14:paraId="21195348"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p>
          <w:p w14:paraId="639CB557"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300 mg jednom dnevno</w:t>
            </w:r>
          </w:p>
          <w:p w14:paraId="0DE5AFB0"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3F91A7B0"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51DADFFB"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300 mg jednom dnevno</w:t>
            </w:r>
          </w:p>
          <w:p w14:paraId="54CF803E" w14:textId="6F269828"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(istovremeno </w:t>
            </w:r>
            <w:r w:rsidR="004D45E7" w:rsidRPr="00913317">
              <w:rPr>
                <w:rFonts w:cs="Times New Roman"/>
                <w:sz w:val="22"/>
                <w:szCs w:val="22"/>
                <w:lang w:val="hr-HR"/>
              </w:rPr>
              <w:t>primjen</w:t>
            </w:r>
            <w:r w:rsidRPr="00913317">
              <w:rPr>
                <w:rFonts w:cs="Times New Roman"/>
                <w:sz w:val="22"/>
                <w:szCs w:val="22"/>
                <w:lang w:val="hr-HR"/>
              </w:rPr>
              <w:t>jen sa vorikonazolom 400 mg dva puta dnevno)</w:t>
            </w:r>
            <w:r w:rsidRPr="00913317">
              <w:rPr>
                <w:rFonts w:cs="Times New Roman"/>
                <w:sz w:val="22"/>
                <w:szCs w:val="22"/>
                <w:vertAlign w:val="superscript"/>
                <w:lang w:val="hr-HR"/>
              </w:rPr>
              <w:t>*</w:t>
            </w:r>
          </w:p>
        </w:tc>
        <w:tc>
          <w:tcPr>
            <w:tcW w:w="1813" w:type="pct"/>
          </w:tcPr>
          <w:p w14:paraId="37779F1E"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03201E84"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023F4E8D"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51B52B39"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49%</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F"/>
            </w:r>
            <w:r w:rsidRPr="00913317">
              <w:rPr>
                <w:rFonts w:cs="Times New Roman"/>
                <w:sz w:val="22"/>
                <w:szCs w:val="22"/>
                <w:lang w:val="hr-HR"/>
              </w:rPr>
              <w:t xml:space="preserve"> 69%</w:t>
            </w:r>
          </w:p>
          <w:p w14:paraId="2E481CCB" w14:textId="77777777" w:rsidR="005A7815" w:rsidRPr="008C59C8"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1F8569F2" w14:textId="77777777" w:rsidR="005A7815" w:rsidRPr="003307B5"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5C3E265B"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Fenitoin C</w:t>
            </w:r>
            <w:r w:rsidRPr="009C1794">
              <w:rPr>
                <w:rFonts w:cs="Times New Roman"/>
                <w:sz w:val="22"/>
                <w:szCs w:val="22"/>
                <w:vertAlign w:val="subscript"/>
                <w:lang w:val="hr-HR"/>
              </w:rPr>
              <w:t>max</w:t>
            </w:r>
            <w:r w:rsidRPr="009C1794">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67%</w:t>
            </w:r>
            <w:r w:rsidRPr="00913317">
              <w:rPr>
                <w:rFonts w:cs="Times New Roman"/>
                <w:sz w:val="22"/>
                <w:szCs w:val="22"/>
                <w:lang w:val="hr-HR"/>
              </w:rPr>
              <w:br/>
              <w:t>Fenitoin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81%</w:t>
            </w:r>
          </w:p>
          <w:p w14:paraId="575248CC" w14:textId="77777777" w:rsidR="005A7815" w:rsidRPr="008C59C8"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U poređenju sa vorikonazolom 200 mg dva puta dnevno,</w:t>
            </w:r>
          </w:p>
          <w:p w14:paraId="0ABFAEDA" w14:textId="77777777" w:rsidR="005A7815" w:rsidRPr="00913317"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3307B5">
              <w:rPr>
                <w:rFonts w:cs="Times New Roman"/>
                <w:sz w:val="22"/>
                <w:szCs w:val="22"/>
                <w:lang w:val="hr-HR"/>
              </w:rPr>
              <w:t>Vorikonazol C</w:t>
            </w:r>
            <w:r w:rsidRPr="003307B5">
              <w:rPr>
                <w:rFonts w:cs="Times New Roman"/>
                <w:sz w:val="22"/>
                <w:szCs w:val="22"/>
                <w:vertAlign w:val="subscript"/>
                <w:lang w:val="hr-HR"/>
              </w:rPr>
              <w:t>max</w:t>
            </w:r>
            <w:r w:rsidRPr="0029457E">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34%</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39%</w:t>
            </w:r>
          </w:p>
        </w:tc>
        <w:tc>
          <w:tcPr>
            <w:tcW w:w="1751" w:type="pct"/>
          </w:tcPr>
          <w:p w14:paraId="76A39485" w14:textId="59FC0F8F" w:rsidR="005A7815" w:rsidRPr="009C1794" w:rsidRDefault="005A7815" w:rsidP="00D72925">
            <w:pPr>
              <w:rPr>
                <w:szCs w:val="22"/>
                <w:lang w:val="hr-HR"/>
              </w:rPr>
            </w:pPr>
            <w:r w:rsidRPr="008C59C8">
              <w:rPr>
                <w:szCs w:val="22"/>
                <w:lang w:val="hr-HR"/>
              </w:rPr>
              <w:t xml:space="preserve">Istovremenu </w:t>
            </w:r>
            <w:r w:rsidR="004D45E7" w:rsidRPr="003307B5">
              <w:rPr>
                <w:szCs w:val="22"/>
                <w:lang w:val="hr-HR"/>
              </w:rPr>
              <w:t>primjen</w:t>
            </w:r>
            <w:r w:rsidRPr="003307B5">
              <w:rPr>
                <w:szCs w:val="22"/>
                <w:lang w:val="hr-HR"/>
              </w:rPr>
              <w:t>u fenitoina i vorikonazola treba izb</w:t>
            </w:r>
            <w:r w:rsidR="00956080" w:rsidRPr="0029457E">
              <w:rPr>
                <w:szCs w:val="22"/>
                <w:lang w:val="hr-HR"/>
              </w:rPr>
              <w:t>j</w:t>
            </w:r>
            <w:r w:rsidRPr="009C1794">
              <w:rPr>
                <w:szCs w:val="22"/>
                <w:lang w:val="hr-HR"/>
              </w:rPr>
              <w:t>egavati, osim kada korist prevazilazi rizik.</w:t>
            </w:r>
          </w:p>
          <w:p w14:paraId="7C859C69"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Preporučuje se pažljivo praćenje koncentracije fenitoina.</w:t>
            </w:r>
          </w:p>
          <w:p w14:paraId="2CCE7024"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06B0E2A2" w14:textId="77777777" w:rsidR="005A7815" w:rsidRPr="00913317" w:rsidRDefault="005A7815" w:rsidP="00D72925">
            <w:pPr>
              <w:rPr>
                <w:szCs w:val="22"/>
                <w:lang w:val="hr-HR"/>
              </w:rPr>
            </w:pPr>
          </w:p>
          <w:p w14:paraId="4AF31441" w14:textId="40075AF2" w:rsidR="005A7815" w:rsidRPr="00913317" w:rsidRDefault="005A7815" w:rsidP="00D72925">
            <w:pPr>
              <w:rPr>
                <w:szCs w:val="22"/>
                <w:lang w:val="hr-HR"/>
              </w:rPr>
            </w:pPr>
            <w:r w:rsidRPr="00913317">
              <w:rPr>
                <w:szCs w:val="22"/>
                <w:lang w:val="hr-HR"/>
              </w:rPr>
              <w:t xml:space="preserve">Fenitoin može da se </w:t>
            </w:r>
            <w:r w:rsidR="004D45E7" w:rsidRPr="00913317">
              <w:rPr>
                <w:szCs w:val="22"/>
                <w:lang w:val="hr-HR"/>
              </w:rPr>
              <w:t>prim</w:t>
            </w:r>
            <w:r w:rsidR="00956080" w:rsidRPr="00913317">
              <w:rPr>
                <w:szCs w:val="22"/>
                <w:lang w:val="hr-HR"/>
              </w:rPr>
              <w:t>i</w:t>
            </w:r>
            <w:r w:rsidR="004D45E7" w:rsidRPr="00913317">
              <w:rPr>
                <w:szCs w:val="22"/>
                <w:lang w:val="hr-HR"/>
              </w:rPr>
              <w:t>jen</w:t>
            </w:r>
            <w:r w:rsidRPr="00913317">
              <w:rPr>
                <w:szCs w:val="22"/>
                <w:lang w:val="hr-HR"/>
              </w:rPr>
              <w:t xml:space="preserve">i istovremeno sa vorikonazolom, ako se doza održavanja vorikonazola poveća na 5 mg/kg intravenski dva puta dnevno odnosno sa 200 mg na 400 mg oralno, dva puta dnevno (100 mg do 200 mg oralno, dva puta dnevno kod pacijenata </w:t>
            </w:r>
            <w:r w:rsidRPr="00913317">
              <w:rPr>
                <w:spacing w:val="-4"/>
                <w:szCs w:val="22"/>
                <w:lang w:val="hr-HR"/>
              </w:rPr>
              <w:t>čija je t</w:t>
            </w:r>
            <w:r w:rsidR="00956080" w:rsidRPr="00913317">
              <w:rPr>
                <w:spacing w:val="-4"/>
                <w:szCs w:val="22"/>
                <w:lang w:val="hr-HR"/>
              </w:rPr>
              <w:t>j</w:t>
            </w:r>
            <w:r w:rsidRPr="00913317">
              <w:rPr>
                <w:spacing w:val="-4"/>
                <w:szCs w:val="22"/>
                <w:lang w:val="hr-HR"/>
              </w:rPr>
              <w:t>elesna masa manja od 40 kg</w:t>
            </w:r>
            <w:r w:rsidRPr="00913317">
              <w:rPr>
                <w:szCs w:val="22"/>
                <w:lang w:val="hr-HR"/>
              </w:rPr>
              <w:t>) (</w:t>
            </w:r>
            <w:r w:rsidR="004D45E7" w:rsidRPr="00913317">
              <w:rPr>
                <w:szCs w:val="22"/>
                <w:lang w:val="hr-HR"/>
              </w:rPr>
              <w:t xml:space="preserve">vidjeti </w:t>
            </w:r>
            <w:r w:rsidR="00954637" w:rsidRPr="00913317">
              <w:rPr>
                <w:szCs w:val="22"/>
                <w:lang w:val="hr-HR"/>
              </w:rPr>
              <w:t>dio</w:t>
            </w:r>
            <w:r w:rsidRPr="00913317">
              <w:rPr>
                <w:szCs w:val="22"/>
                <w:lang w:val="hr-HR"/>
              </w:rPr>
              <w:t xml:space="preserve"> 4.2). </w:t>
            </w:r>
          </w:p>
        </w:tc>
      </w:tr>
      <w:tr w:rsidR="0099164B" w:rsidRPr="0054718D" w14:paraId="1A8AE999" w14:textId="77777777" w:rsidTr="00581521">
        <w:tc>
          <w:tcPr>
            <w:tcW w:w="1415" w:type="pct"/>
          </w:tcPr>
          <w:p w14:paraId="35D39674" w14:textId="77777777" w:rsidR="0099164B" w:rsidRPr="00913317" w:rsidRDefault="0099164B"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Letermovir </w:t>
            </w:r>
          </w:p>
          <w:p w14:paraId="1D6D802A" w14:textId="7156108E" w:rsidR="0099164B" w:rsidRPr="00913317" w:rsidRDefault="0099164B" w:rsidP="00D72925">
            <w:pPr>
              <w:pStyle w:val="TableText"/>
              <w:keepN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i/>
                <w:iCs/>
                <w:sz w:val="22"/>
                <w:szCs w:val="22"/>
                <w:lang w:val="hr-HR"/>
              </w:rPr>
              <w:t xml:space="preserve">[CYP2C9 </w:t>
            </w:r>
            <w:r w:rsidR="00F917A3" w:rsidRPr="00913317">
              <w:rPr>
                <w:rFonts w:cs="Times New Roman"/>
                <w:i/>
                <w:iCs/>
                <w:sz w:val="22"/>
                <w:szCs w:val="22"/>
                <w:lang w:val="hr-HR"/>
              </w:rPr>
              <w:t>i</w:t>
            </w:r>
            <w:r w:rsidRPr="00913317">
              <w:rPr>
                <w:rFonts w:cs="Times New Roman"/>
                <w:i/>
                <w:iCs/>
                <w:sz w:val="22"/>
                <w:szCs w:val="22"/>
                <w:lang w:val="hr-HR"/>
              </w:rPr>
              <w:t xml:space="preserve"> CYP2C19 indu</w:t>
            </w:r>
            <w:r w:rsidR="00F917A3" w:rsidRPr="00913317">
              <w:rPr>
                <w:rFonts w:cs="Times New Roman"/>
                <w:i/>
                <w:iCs/>
                <w:sz w:val="22"/>
                <w:szCs w:val="22"/>
                <w:lang w:val="hr-HR"/>
              </w:rPr>
              <w:t>ktor</w:t>
            </w:r>
            <w:r w:rsidRPr="00913317">
              <w:rPr>
                <w:rFonts w:cs="Times New Roman"/>
                <w:i/>
                <w:iCs/>
                <w:sz w:val="22"/>
                <w:szCs w:val="22"/>
                <w:lang w:val="hr-HR"/>
              </w:rPr>
              <w:t>]</w:t>
            </w:r>
          </w:p>
        </w:tc>
        <w:tc>
          <w:tcPr>
            <w:tcW w:w="1813" w:type="pct"/>
          </w:tcPr>
          <w:p w14:paraId="50EC109A" w14:textId="719F3DF6" w:rsidR="0099164B" w:rsidRPr="00913317" w:rsidRDefault="0099164B"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w:t>
            </w:r>
            <w:r w:rsidR="00F917A3" w:rsidRPr="00913317">
              <w:rPr>
                <w:rFonts w:cs="Times New Roman"/>
                <w:sz w:val="22"/>
                <w:szCs w:val="22"/>
                <w:lang w:val="hr-HR"/>
              </w:rPr>
              <w:t>k</w:t>
            </w:r>
            <w:r w:rsidRPr="00913317">
              <w:rPr>
                <w:rFonts w:cs="Times New Roman"/>
                <w:sz w:val="22"/>
                <w:szCs w:val="22"/>
                <w:lang w:val="hr-HR"/>
              </w:rPr>
              <w:t>onazol Cmax ↓ 39%</w:t>
            </w:r>
          </w:p>
          <w:p w14:paraId="0B45C3C8" w14:textId="7BAFDE7C" w:rsidR="0099164B" w:rsidRPr="00913317" w:rsidRDefault="00F917A3"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w:t>
            </w:r>
            <w:r w:rsidR="0099164B" w:rsidRPr="00913317">
              <w:rPr>
                <w:rFonts w:cs="Times New Roman"/>
                <w:sz w:val="22"/>
                <w:szCs w:val="22"/>
                <w:lang w:val="hr-HR"/>
              </w:rPr>
              <w:t xml:space="preserve"> AUC0-12 ↓ 44%</w:t>
            </w:r>
          </w:p>
          <w:p w14:paraId="0CDA8375" w14:textId="4FF31F0C" w:rsidR="0099164B" w:rsidRPr="00913317" w:rsidRDefault="00F917A3"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w:t>
            </w:r>
            <w:r w:rsidR="0099164B" w:rsidRPr="00913317">
              <w:rPr>
                <w:rFonts w:cs="Times New Roman"/>
                <w:sz w:val="22"/>
                <w:szCs w:val="22"/>
                <w:lang w:val="hr-HR"/>
              </w:rPr>
              <w:t xml:space="preserve"> C12 ↓ 51%</w:t>
            </w:r>
          </w:p>
        </w:tc>
        <w:tc>
          <w:tcPr>
            <w:tcW w:w="1772" w:type="pct"/>
            <w:gridSpan w:val="2"/>
          </w:tcPr>
          <w:p w14:paraId="35F1DBD2" w14:textId="4D1659A1" w:rsidR="0099164B" w:rsidRPr="00913317" w:rsidRDefault="00F917A3"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Ako nije moguće izbjeći istovremenu primjenu </w:t>
            </w:r>
            <w:r w:rsidR="0099164B" w:rsidRPr="00913317">
              <w:rPr>
                <w:rFonts w:cs="Times New Roman"/>
                <w:sz w:val="22"/>
                <w:szCs w:val="22"/>
                <w:lang w:val="hr-HR"/>
              </w:rPr>
              <w:t>vori</w:t>
            </w:r>
            <w:r w:rsidRPr="00913317">
              <w:rPr>
                <w:rFonts w:cs="Times New Roman"/>
                <w:sz w:val="22"/>
                <w:szCs w:val="22"/>
                <w:lang w:val="hr-HR"/>
              </w:rPr>
              <w:t>k</w:t>
            </w:r>
            <w:r w:rsidR="0099164B" w:rsidRPr="00913317">
              <w:rPr>
                <w:rFonts w:cs="Times New Roman"/>
                <w:sz w:val="22"/>
                <w:szCs w:val="22"/>
                <w:lang w:val="hr-HR"/>
              </w:rPr>
              <w:t>onazol</w:t>
            </w:r>
            <w:r w:rsidRPr="00913317">
              <w:rPr>
                <w:rFonts w:cs="Times New Roman"/>
                <w:sz w:val="22"/>
                <w:szCs w:val="22"/>
                <w:lang w:val="hr-HR"/>
              </w:rPr>
              <w:t xml:space="preserve">a sa </w:t>
            </w:r>
            <w:r w:rsidR="0099164B" w:rsidRPr="00913317">
              <w:rPr>
                <w:rFonts w:cs="Times New Roman"/>
                <w:sz w:val="22"/>
                <w:szCs w:val="22"/>
                <w:lang w:val="hr-HR"/>
              </w:rPr>
              <w:t>letermovir</w:t>
            </w:r>
            <w:r w:rsidRPr="00913317">
              <w:rPr>
                <w:rFonts w:cs="Times New Roman"/>
                <w:sz w:val="22"/>
                <w:szCs w:val="22"/>
                <w:lang w:val="hr-HR"/>
              </w:rPr>
              <w:t>om</w:t>
            </w:r>
            <w:r w:rsidR="0099164B" w:rsidRPr="00913317">
              <w:rPr>
                <w:rFonts w:cs="Times New Roman"/>
                <w:sz w:val="22"/>
                <w:szCs w:val="22"/>
                <w:lang w:val="hr-HR"/>
              </w:rPr>
              <w:t xml:space="preserve">, </w:t>
            </w:r>
            <w:r w:rsidRPr="00913317">
              <w:rPr>
                <w:rFonts w:cs="Times New Roman"/>
                <w:sz w:val="22"/>
                <w:szCs w:val="22"/>
                <w:lang w:val="hr-HR"/>
              </w:rPr>
              <w:t xml:space="preserve">potrebno je praćenje eventualnog gubitka </w:t>
            </w:r>
            <w:r w:rsidR="00990A01" w:rsidRPr="00913317">
              <w:rPr>
                <w:rFonts w:cs="Times New Roman"/>
                <w:sz w:val="22"/>
                <w:szCs w:val="22"/>
                <w:lang w:val="hr-HR"/>
              </w:rPr>
              <w:t>efikasnosti</w:t>
            </w:r>
            <w:r w:rsidRPr="00913317">
              <w:rPr>
                <w:rFonts w:cs="Times New Roman"/>
                <w:sz w:val="22"/>
                <w:szCs w:val="22"/>
                <w:lang w:val="hr-HR"/>
              </w:rPr>
              <w:t xml:space="preserve"> </w:t>
            </w:r>
            <w:r w:rsidR="0099164B" w:rsidRPr="00913317">
              <w:rPr>
                <w:rFonts w:cs="Times New Roman"/>
                <w:sz w:val="22"/>
                <w:szCs w:val="22"/>
                <w:lang w:val="hr-HR"/>
              </w:rPr>
              <w:t>vori</w:t>
            </w:r>
            <w:r w:rsidRPr="00913317">
              <w:rPr>
                <w:rFonts w:cs="Times New Roman"/>
                <w:sz w:val="22"/>
                <w:szCs w:val="22"/>
                <w:lang w:val="hr-HR"/>
              </w:rPr>
              <w:t>k</w:t>
            </w:r>
            <w:r w:rsidR="0099164B" w:rsidRPr="00913317">
              <w:rPr>
                <w:rFonts w:cs="Times New Roman"/>
                <w:sz w:val="22"/>
                <w:szCs w:val="22"/>
                <w:lang w:val="hr-HR"/>
              </w:rPr>
              <w:t>onazol</w:t>
            </w:r>
            <w:r w:rsidRPr="00913317">
              <w:rPr>
                <w:rFonts w:cs="Times New Roman"/>
                <w:sz w:val="22"/>
                <w:szCs w:val="22"/>
                <w:lang w:val="hr-HR"/>
              </w:rPr>
              <w:t>a</w:t>
            </w:r>
            <w:r w:rsidR="0099164B" w:rsidRPr="00913317">
              <w:rPr>
                <w:rFonts w:cs="Times New Roman"/>
                <w:sz w:val="22"/>
                <w:szCs w:val="22"/>
                <w:lang w:val="hr-HR"/>
              </w:rPr>
              <w:t>.</w:t>
            </w:r>
          </w:p>
        </w:tc>
      </w:tr>
      <w:tr w:rsidR="00427BDD" w:rsidRPr="0054718D" w14:paraId="6724D6A9" w14:textId="77777777" w:rsidTr="00581521">
        <w:tc>
          <w:tcPr>
            <w:tcW w:w="1415" w:type="pct"/>
          </w:tcPr>
          <w:p w14:paraId="3F85D96D" w14:textId="77777777" w:rsidR="00DC1DAB" w:rsidRPr="00913317" w:rsidRDefault="00DC1DAB"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Flukloksacilin</w:t>
            </w:r>
          </w:p>
          <w:p w14:paraId="0511CDAD" w14:textId="59FE1D0F" w:rsidR="00427BDD" w:rsidRPr="00913317" w:rsidRDefault="00DC1DAB" w:rsidP="00D72925">
            <w:pPr>
              <w:pStyle w:val="TableText"/>
              <w:tabs>
                <w:tab w:val="left" w:pos="360"/>
              </w:tabs>
              <w:overflowPunct w:val="0"/>
              <w:autoSpaceDE w:val="0"/>
              <w:autoSpaceDN w:val="0"/>
              <w:adjustRightInd w:val="0"/>
              <w:jc w:val="both"/>
              <w:textAlignment w:val="baseline"/>
              <w:rPr>
                <w:rFonts w:cs="Times New Roman"/>
                <w:i/>
                <w:iCs/>
                <w:sz w:val="22"/>
                <w:szCs w:val="22"/>
                <w:lang w:val="hr-HR"/>
              </w:rPr>
            </w:pPr>
            <w:r w:rsidRPr="00913317">
              <w:rPr>
                <w:rFonts w:cs="Times New Roman"/>
                <w:i/>
                <w:iCs/>
                <w:sz w:val="22"/>
                <w:szCs w:val="22"/>
                <w:lang w:val="hr-HR"/>
              </w:rPr>
              <w:t>[CYP450 induktor]</w:t>
            </w:r>
          </w:p>
        </w:tc>
        <w:tc>
          <w:tcPr>
            <w:tcW w:w="1813" w:type="pct"/>
          </w:tcPr>
          <w:p w14:paraId="170C0DF0" w14:textId="648469F5" w:rsidR="00427BDD" w:rsidRPr="00913317" w:rsidRDefault="006A51E9"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Prijavljene su značajno smanjene koncentracije vorikonazola u plazmi.</w:t>
            </w:r>
          </w:p>
        </w:tc>
        <w:tc>
          <w:tcPr>
            <w:tcW w:w="1772" w:type="pct"/>
            <w:gridSpan w:val="2"/>
          </w:tcPr>
          <w:p w14:paraId="447F6A7B" w14:textId="21D8E45A" w:rsidR="00427BDD" w:rsidRPr="00913317" w:rsidRDefault="007D2234"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Ako se istovremena primjena vorikonazola sa flukloksacilinom ne može izbjeći, pratite potencijalni gubitak efikasnosti vorikonazola (npr. terapijskim praćenjem lekova); može biti potrebno povećanje doze vorikonazola.</w:t>
            </w:r>
          </w:p>
        </w:tc>
      </w:tr>
      <w:tr w:rsidR="0099164B" w:rsidRPr="0054718D" w14:paraId="2E4B5812" w14:textId="77777777" w:rsidTr="00581521">
        <w:tc>
          <w:tcPr>
            <w:tcW w:w="1415" w:type="pct"/>
          </w:tcPr>
          <w:p w14:paraId="42900316" w14:textId="3F649BFA" w:rsidR="0099164B" w:rsidRPr="00913317" w:rsidRDefault="0099164B" w:rsidP="00D72925">
            <w:pPr>
              <w:pStyle w:val="TableText"/>
              <w:keepN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lastRenderedPageBreak/>
              <w:t>Glasdegib</w:t>
            </w:r>
            <w:r w:rsidRPr="00913317">
              <w:rPr>
                <w:rFonts w:cs="Times New Roman"/>
                <w:sz w:val="22"/>
                <w:szCs w:val="22"/>
                <w:lang w:val="hr-HR"/>
              </w:rPr>
              <w:br/>
            </w:r>
            <w:r w:rsidRPr="00913317">
              <w:rPr>
                <w:rFonts w:cs="Times New Roman"/>
                <w:i/>
                <w:iCs/>
                <w:sz w:val="22"/>
                <w:szCs w:val="22"/>
                <w:lang w:val="hr-HR"/>
              </w:rPr>
              <w:t xml:space="preserve">[CYP3A4 </w:t>
            </w:r>
            <w:r w:rsidR="00F917A3" w:rsidRPr="00913317">
              <w:rPr>
                <w:rFonts w:cs="Times New Roman"/>
                <w:i/>
                <w:iCs/>
                <w:sz w:val="22"/>
                <w:szCs w:val="22"/>
                <w:lang w:val="hr-HR"/>
              </w:rPr>
              <w:t>supstrat</w:t>
            </w:r>
            <w:r w:rsidRPr="00913317">
              <w:rPr>
                <w:rFonts w:cs="Times New Roman"/>
                <w:i/>
                <w:iCs/>
                <w:sz w:val="22"/>
                <w:szCs w:val="22"/>
                <w:lang w:val="hr-HR"/>
              </w:rPr>
              <w:t>]</w:t>
            </w:r>
          </w:p>
        </w:tc>
        <w:tc>
          <w:tcPr>
            <w:tcW w:w="1813" w:type="pct"/>
          </w:tcPr>
          <w:p w14:paraId="29D34467" w14:textId="5A51693A" w:rsidR="0099164B" w:rsidRPr="00913317" w:rsidRDefault="00F917A3"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Iako nije ispitivano</w:t>
            </w:r>
            <w:r w:rsidR="0099164B" w:rsidRPr="00913317">
              <w:rPr>
                <w:rFonts w:cs="Times New Roman"/>
                <w:sz w:val="22"/>
                <w:szCs w:val="22"/>
                <w:lang w:val="hr-HR"/>
              </w:rPr>
              <w:t>, vori</w:t>
            </w:r>
            <w:r w:rsidRPr="00913317">
              <w:rPr>
                <w:rFonts w:cs="Times New Roman"/>
                <w:sz w:val="22"/>
                <w:szCs w:val="22"/>
                <w:lang w:val="hr-HR"/>
              </w:rPr>
              <w:t>ko</w:t>
            </w:r>
            <w:r w:rsidR="0099164B" w:rsidRPr="00913317">
              <w:rPr>
                <w:rFonts w:cs="Times New Roman"/>
                <w:sz w:val="22"/>
                <w:szCs w:val="22"/>
                <w:lang w:val="hr-HR"/>
              </w:rPr>
              <w:t xml:space="preserve">nazol </w:t>
            </w:r>
            <w:r w:rsidRPr="00913317">
              <w:rPr>
                <w:rFonts w:cs="Times New Roman"/>
                <w:sz w:val="22"/>
                <w:szCs w:val="22"/>
                <w:lang w:val="hr-HR"/>
              </w:rPr>
              <w:t xml:space="preserve">može povećati koncentracije </w:t>
            </w:r>
            <w:r w:rsidR="0099164B" w:rsidRPr="00913317">
              <w:rPr>
                <w:rFonts w:cs="Times New Roman"/>
                <w:sz w:val="22"/>
                <w:szCs w:val="22"/>
                <w:lang w:val="hr-HR"/>
              </w:rPr>
              <w:t>glasdegib</w:t>
            </w:r>
            <w:r w:rsidRPr="00913317">
              <w:rPr>
                <w:rFonts w:cs="Times New Roman"/>
                <w:sz w:val="22"/>
                <w:szCs w:val="22"/>
                <w:lang w:val="hr-HR"/>
              </w:rPr>
              <w:t>a</w:t>
            </w:r>
            <w:r w:rsidR="0099164B" w:rsidRPr="00913317">
              <w:rPr>
                <w:rFonts w:cs="Times New Roman"/>
                <w:sz w:val="22"/>
                <w:szCs w:val="22"/>
                <w:lang w:val="hr-HR"/>
              </w:rPr>
              <w:t xml:space="preserve"> </w:t>
            </w:r>
            <w:r w:rsidRPr="00913317">
              <w:rPr>
                <w:rFonts w:cs="Times New Roman"/>
                <w:sz w:val="22"/>
                <w:szCs w:val="22"/>
                <w:lang w:val="hr-HR"/>
              </w:rPr>
              <w:t>u plazmi i povećati rizik od produženja</w:t>
            </w:r>
            <w:r w:rsidR="0099164B" w:rsidRPr="00913317">
              <w:rPr>
                <w:rFonts w:cs="Times New Roman"/>
                <w:sz w:val="22"/>
                <w:szCs w:val="22"/>
                <w:lang w:val="hr-HR"/>
              </w:rPr>
              <w:t xml:space="preserve"> QTc </w:t>
            </w:r>
            <w:r w:rsidRPr="00913317">
              <w:rPr>
                <w:rFonts w:cs="Times New Roman"/>
                <w:sz w:val="22"/>
                <w:szCs w:val="22"/>
                <w:lang w:val="hr-HR"/>
              </w:rPr>
              <w:t>intervala</w:t>
            </w:r>
            <w:r w:rsidR="0099164B" w:rsidRPr="00913317">
              <w:rPr>
                <w:rFonts w:cs="Times New Roman"/>
                <w:sz w:val="22"/>
                <w:szCs w:val="22"/>
                <w:lang w:val="hr-HR"/>
              </w:rPr>
              <w:t>.</w:t>
            </w:r>
          </w:p>
        </w:tc>
        <w:tc>
          <w:tcPr>
            <w:tcW w:w="1772" w:type="pct"/>
            <w:gridSpan w:val="2"/>
          </w:tcPr>
          <w:p w14:paraId="28F3DBFE" w14:textId="1F1C31B5" w:rsidR="0099164B" w:rsidRPr="00913317" w:rsidRDefault="00F917A3"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Ako nije moguće izbjeći istovremenu primjenu</w:t>
            </w:r>
            <w:r w:rsidR="0099164B" w:rsidRPr="00913317">
              <w:rPr>
                <w:rFonts w:cs="Times New Roman"/>
                <w:sz w:val="22"/>
                <w:szCs w:val="22"/>
                <w:lang w:val="hr-HR"/>
              </w:rPr>
              <w:t xml:space="preserve">, </w:t>
            </w:r>
            <w:r w:rsidRPr="00913317">
              <w:rPr>
                <w:rFonts w:cs="Times New Roman"/>
                <w:sz w:val="22"/>
                <w:szCs w:val="22"/>
                <w:lang w:val="hr-HR"/>
              </w:rPr>
              <w:t xml:space="preserve">preporučuje se često praćenje </w:t>
            </w:r>
            <w:r w:rsidR="0099164B" w:rsidRPr="00913317">
              <w:rPr>
                <w:rFonts w:cs="Times New Roman"/>
                <w:sz w:val="22"/>
                <w:szCs w:val="22"/>
                <w:lang w:val="hr-HR"/>
              </w:rPr>
              <w:t>E</w:t>
            </w:r>
            <w:r w:rsidRPr="00913317">
              <w:rPr>
                <w:rFonts w:cs="Times New Roman"/>
                <w:sz w:val="22"/>
                <w:szCs w:val="22"/>
                <w:lang w:val="hr-HR"/>
              </w:rPr>
              <w:t>K</w:t>
            </w:r>
            <w:r w:rsidR="0099164B" w:rsidRPr="00913317">
              <w:rPr>
                <w:rFonts w:cs="Times New Roman"/>
                <w:sz w:val="22"/>
                <w:szCs w:val="22"/>
                <w:lang w:val="hr-HR"/>
              </w:rPr>
              <w:t>G</w:t>
            </w:r>
            <w:r w:rsidRPr="00913317">
              <w:rPr>
                <w:rFonts w:cs="Times New Roman"/>
                <w:sz w:val="22"/>
                <w:szCs w:val="22"/>
                <w:lang w:val="hr-HR"/>
              </w:rPr>
              <w:t>-a</w:t>
            </w:r>
            <w:r w:rsidR="0099164B" w:rsidRPr="00913317">
              <w:rPr>
                <w:rFonts w:cs="Times New Roman"/>
                <w:sz w:val="22"/>
                <w:szCs w:val="22"/>
                <w:lang w:val="hr-HR"/>
              </w:rPr>
              <w:t xml:space="preserve"> (</w:t>
            </w:r>
            <w:r w:rsidRPr="00913317">
              <w:rPr>
                <w:rFonts w:cs="Times New Roman"/>
                <w:sz w:val="22"/>
                <w:szCs w:val="22"/>
                <w:lang w:val="hr-HR"/>
              </w:rPr>
              <w:t xml:space="preserve">vidjeti </w:t>
            </w:r>
            <w:r w:rsidR="00954637" w:rsidRPr="00913317">
              <w:rPr>
                <w:rFonts w:cs="Times New Roman"/>
                <w:sz w:val="22"/>
                <w:szCs w:val="22"/>
                <w:lang w:val="hr-HR"/>
              </w:rPr>
              <w:t xml:space="preserve">dio </w:t>
            </w:r>
            <w:r w:rsidR="0099164B" w:rsidRPr="00913317">
              <w:rPr>
                <w:rFonts w:cs="Times New Roman"/>
                <w:sz w:val="22"/>
                <w:szCs w:val="22"/>
                <w:lang w:val="hr-HR"/>
              </w:rPr>
              <w:t xml:space="preserve"> 4.4).</w:t>
            </w:r>
          </w:p>
        </w:tc>
      </w:tr>
      <w:tr w:rsidR="0099164B" w:rsidRPr="0054718D" w14:paraId="4705E3BA" w14:textId="77777777" w:rsidTr="00581521">
        <w:tc>
          <w:tcPr>
            <w:tcW w:w="1415" w:type="pct"/>
          </w:tcPr>
          <w:p w14:paraId="129CB634" w14:textId="41AD6003" w:rsidR="0099164B" w:rsidRPr="00913317" w:rsidRDefault="00F917A3"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Inhibitori tirozin kinaze (</w:t>
            </w:r>
            <w:r w:rsidR="00947351" w:rsidRPr="00913317">
              <w:rPr>
                <w:rFonts w:cs="Times New Roman"/>
                <w:sz w:val="22"/>
                <w:szCs w:val="22"/>
                <w:lang w:val="hr-HR"/>
              </w:rPr>
              <w:t xml:space="preserve">uključujući ali ne ograničavajući se na: </w:t>
            </w:r>
            <w:r w:rsidRPr="00913317">
              <w:rPr>
                <w:rFonts w:cs="Times New Roman"/>
                <w:sz w:val="22"/>
                <w:szCs w:val="22"/>
                <w:lang w:val="hr-HR"/>
              </w:rPr>
              <w:t>aksitinib, bosutinib, kabozantinib, ceritinib, kobimetinib, dabrafenib, dasatinib, nilotinib, sunitinib, ibrutinib, ribociklib)</w:t>
            </w:r>
            <w:r w:rsidRPr="00913317">
              <w:rPr>
                <w:rFonts w:cs="Times New Roman"/>
                <w:i/>
                <w:iCs/>
                <w:sz w:val="22"/>
                <w:szCs w:val="22"/>
                <w:lang w:val="hr-HR"/>
              </w:rPr>
              <w:t xml:space="preserve"> </w:t>
            </w:r>
            <w:r w:rsidR="0099164B" w:rsidRPr="00913317">
              <w:rPr>
                <w:rFonts w:cs="Times New Roman"/>
                <w:i/>
                <w:iCs/>
                <w:sz w:val="22"/>
                <w:szCs w:val="22"/>
                <w:lang w:val="hr-HR"/>
              </w:rPr>
              <w:t xml:space="preserve">[CYP3A4 </w:t>
            </w:r>
            <w:r w:rsidR="00990A01" w:rsidRPr="00913317">
              <w:rPr>
                <w:rFonts w:cs="Times New Roman"/>
                <w:i/>
                <w:iCs/>
                <w:sz w:val="22"/>
                <w:szCs w:val="22"/>
                <w:lang w:val="hr-HR"/>
              </w:rPr>
              <w:t>supstrati</w:t>
            </w:r>
            <w:r w:rsidR="0099164B" w:rsidRPr="00913317">
              <w:rPr>
                <w:rFonts w:cs="Times New Roman"/>
                <w:i/>
                <w:iCs/>
                <w:sz w:val="22"/>
                <w:szCs w:val="22"/>
                <w:lang w:val="hr-HR"/>
              </w:rPr>
              <w:t>]</w:t>
            </w:r>
          </w:p>
        </w:tc>
        <w:tc>
          <w:tcPr>
            <w:tcW w:w="1813" w:type="pct"/>
          </w:tcPr>
          <w:p w14:paraId="21069E64" w14:textId="58207213" w:rsidR="0099164B" w:rsidRPr="00913317" w:rsidRDefault="00F917A3"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Iako nije ispitivano, vorikonazol može povećati koncentracije inhibitora tirozin kina</w:t>
            </w:r>
            <w:r w:rsidR="00990A01" w:rsidRPr="00913317">
              <w:rPr>
                <w:rFonts w:cs="Times New Roman"/>
                <w:sz w:val="22"/>
                <w:szCs w:val="22"/>
                <w:lang w:val="hr-HR"/>
              </w:rPr>
              <w:t>z</w:t>
            </w:r>
            <w:r w:rsidRPr="00913317">
              <w:rPr>
                <w:rFonts w:cs="Times New Roman"/>
                <w:sz w:val="22"/>
                <w:szCs w:val="22"/>
                <w:lang w:val="hr-HR"/>
              </w:rPr>
              <w:t>e koje metaboliše</w:t>
            </w:r>
            <w:r w:rsidR="0099164B" w:rsidRPr="00913317">
              <w:rPr>
                <w:rFonts w:cs="Times New Roman"/>
                <w:sz w:val="22"/>
                <w:szCs w:val="22"/>
                <w:lang w:val="hr-HR"/>
              </w:rPr>
              <w:t xml:space="preserve"> CYP3A4.</w:t>
            </w:r>
          </w:p>
        </w:tc>
        <w:tc>
          <w:tcPr>
            <w:tcW w:w="1772" w:type="pct"/>
            <w:gridSpan w:val="2"/>
          </w:tcPr>
          <w:p w14:paraId="15F73055" w14:textId="2A5CA529" w:rsidR="0099164B" w:rsidRPr="008C59C8" w:rsidRDefault="00F917A3"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Ako nije moguće izbjeći istovremenu primjenu</w:t>
            </w:r>
            <w:r w:rsidR="0099164B" w:rsidRPr="00913317">
              <w:rPr>
                <w:rFonts w:cs="Times New Roman"/>
                <w:sz w:val="22"/>
                <w:szCs w:val="22"/>
                <w:lang w:val="hr-HR"/>
              </w:rPr>
              <w:t xml:space="preserve">, </w:t>
            </w:r>
            <w:r w:rsidRPr="00913317">
              <w:rPr>
                <w:rFonts w:cs="Times New Roman"/>
                <w:sz w:val="22"/>
                <w:szCs w:val="22"/>
                <w:lang w:val="hr-HR"/>
              </w:rPr>
              <w:t>preporučuje se smanjenje doze inhibitora tirozin kinaze</w:t>
            </w:r>
            <w:r w:rsidR="0099164B" w:rsidRPr="00913317">
              <w:rPr>
                <w:rFonts w:cs="Times New Roman"/>
                <w:sz w:val="22"/>
                <w:szCs w:val="22"/>
                <w:lang w:val="hr-HR"/>
              </w:rPr>
              <w:t xml:space="preserve"> </w:t>
            </w:r>
            <w:r w:rsidR="005A76FE" w:rsidRPr="00723F41">
              <w:rPr>
                <w:rFonts w:cs="Times New Roman"/>
                <w:sz w:val="22"/>
                <w:szCs w:val="22"/>
                <w:lang w:val="hr-HR"/>
              </w:rPr>
              <w:t xml:space="preserve">i pažljivo kliničko praćenje </w:t>
            </w:r>
            <w:r w:rsidR="0099164B" w:rsidRPr="00913317">
              <w:rPr>
                <w:rFonts w:cs="Times New Roman"/>
                <w:sz w:val="22"/>
                <w:szCs w:val="22"/>
                <w:lang w:val="hr-HR"/>
              </w:rPr>
              <w:t>(</w:t>
            </w:r>
            <w:r w:rsidRPr="00913317">
              <w:rPr>
                <w:rFonts w:cs="Times New Roman"/>
                <w:sz w:val="22"/>
                <w:szCs w:val="22"/>
                <w:lang w:val="hr-HR"/>
              </w:rPr>
              <w:t xml:space="preserve">vidjeti </w:t>
            </w:r>
            <w:r w:rsidR="00954637" w:rsidRPr="00913317">
              <w:rPr>
                <w:rFonts w:cs="Times New Roman"/>
                <w:sz w:val="22"/>
                <w:szCs w:val="22"/>
                <w:lang w:val="hr-HR"/>
              </w:rPr>
              <w:t xml:space="preserve">dio </w:t>
            </w:r>
            <w:r w:rsidR="0099164B" w:rsidRPr="008C59C8">
              <w:rPr>
                <w:rFonts w:cs="Times New Roman"/>
                <w:sz w:val="22"/>
                <w:szCs w:val="22"/>
                <w:lang w:val="hr-HR"/>
              </w:rPr>
              <w:t xml:space="preserve"> 4.4).</w:t>
            </w:r>
          </w:p>
        </w:tc>
      </w:tr>
      <w:tr w:rsidR="00935053" w:rsidRPr="0054718D" w14:paraId="2EF951CD" w14:textId="77777777" w:rsidTr="00581521">
        <w:trPr>
          <w:gridAfter w:val="1"/>
          <w:wAfter w:w="21" w:type="pct"/>
        </w:trPr>
        <w:tc>
          <w:tcPr>
            <w:tcW w:w="1415" w:type="pct"/>
          </w:tcPr>
          <w:p w14:paraId="05171CF1" w14:textId="77777777" w:rsidR="005A7815" w:rsidRPr="00913317" w:rsidRDefault="005A7815" w:rsidP="00D72925">
            <w:pPr>
              <w:pStyle w:val="TableText"/>
              <w:keepN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Antikoagulansi</w:t>
            </w:r>
          </w:p>
          <w:p w14:paraId="62BDF109"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p>
          <w:p w14:paraId="2BD4DBE9" w14:textId="102A831C"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Varfarin (30 mg pojedinačna doza, istovremeno </w:t>
            </w:r>
            <w:r w:rsidR="004D45E7" w:rsidRPr="00913317">
              <w:rPr>
                <w:rFonts w:cs="Times New Roman"/>
                <w:sz w:val="22"/>
                <w:szCs w:val="22"/>
                <w:lang w:val="hr-HR"/>
              </w:rPr>
              <w:t>primjen</w:t>
            </w:r>
            <w:r w:rsidRPr="00913317">
              <w:rPr>
                <w:rFonts w:cs="Times New Roman"/>
                <w:sz w:val="22"/>
                <w:szCs w:val="22"/>
                <w:lang w:val="hr-HR"/>
              </w:rPr>
              <w:t>jen sa 300 mg vorikonazola dva puta dnevno)</w:t>
            </w:r>
          </w:p>
          <w:p w14:paraId="200533DE"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i/>
                <w:sz w:val="22"/>
                <w:szCs w:val="22"/>
                <w:lang w:val="hr-HR"/>
              </w:rPr>
              <w:t>[CYP2C9 supstrat]</w:t>
            </w:r>
          </w:p>
          <w:p w14:paraId="02A3844C"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i/>
                <w:sz w:val="22"/>
                <w:szCs w:val="22"/>
                <w:lang w:val="hr-HR"/>
              </w:rPr>
            </w:pPr>
          </w:p>
          <w:p w14:paraId="5617175F" w14:textId="1867827B" w:rsidR="005A7815" w:rsidRPr="00913317" w:rsidRDefault="00F433A7"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Ostali kumarinski </w:t>
            </w:r>
            <w:r w:rsidR="004D45E7" w:rsidRPr="00913317">
              <w:rPr>
                <w:rFonts w:cs="Times New Roman"/>
                <w:sz w:val="22"/>
                <w:szCs w:val="22"/>
                <w:lang w:val="hr-HR"/>
              </w:rPr>
              <w:t>ljekov</w:t>
            </w:r>
            <w:r w:rsidR="003256B9" w:rsidRPr="00913317">
              <w:rPr>
                <w:rFonts w:cs="Times New Roman"/>
                <w:sz w:val="22"/>
                <w:szCs w:val="22"/>
                <w:lang w:val="hr-HR"/>
              </w:rPr>
              <w:t>i koji se uzimaju oralno</w:t>
            </w:r>
            <w:r w:rsidRPr="00913317">
              <w:rPr>
                <w:rFonts w:cs="Times New Roman"/>
                <w:sz w:val="22"/>
                <w:szCs w:val="22"/>
                <w:lang w:val="hr-HR"/>
              </w:rPr>
              <w:br/>
            </w:r>
            <w:r w:rsidR="005A7815" w:rsidRPr="00913317">
              <w:rPr>
                <w:rFonts w:cs="Times New Roman"/>
                <w:sz w:val="22"/>
                <w:szCs w:val="22"/>
                <w:lang w:val="hr-HR"/>
              </w:rPr>
              <w:t>(</w:t>
            </w:r>
            <w:r w:rsidR="00947351" w:rsidRPr="00913317">
              <w:rPr>
                <w:rFonts w:cs="Times New Roman"/>
                <w:sz w:val="22"/>
                <w:szCs w:val="22"/>
                <w:lang w:val="hr-HR"/>
              </w:rPr>
              <w:t xml:space="preserve">uključujući ali ne ograničavajući se na: </w:t>
            </w:r>
            <w:r w:rsidR="005A7815" w:rsidRPr="00913317">
              <w:rPr>
                <w:rFonts w:cs="Times New Roman"/>
                <w:sz w:val="22"/>
                <w:szCs w:val="22"/>
                <w:lang w:val="hr-HR"/>
              </w:rPr>
              <w:t>fenprokumon,</w:t>
            </w:r>
            <w:r w:rsidR="002768AE" w:rsidRPr="00913317">
              <w:rPr>
                <w:rFonts w:cs="Times New Roman"/>
                <w:sz w:val="22"/>
                <w:szCs w:val="22"/>
                <w:lang w:val="hr-HR"/>
              </w:rPr>
              <w:t xml:space="preserve"> </w:t>
            </w:r>
            <w:r w:rsidR="00E51B15" w:rsidRPr="00913317">
              <w:rPr>
                <w:rFonts w:cs="Times New Roman"/>
                <w:sz w:val="22"/>
                <w:szCs w:val="22"/>
                <w:lang w:val="hr-HR"/>
              </w:rPr>
              <w:t>a</w:t>
            </w:r>
            <w:r w:rsidR="005A7815" w:rsidRPr="00913317">
              <w:rPr>
                <w:rFonts w:cs="Times New Roman"/>
                <w:sz w:val="22"/>
                <w:szCs w:val="22"/>
                <w:lang w:val="hr-HR"/>
              </w:rPr>
              <w:t>cenokumarol)</w:t>
            </w:r>
          </w:p>
          <w:p w14:paraId="4EE88775" w14:textId="3028B258" w:rsidR="005A7815" w:rsidRPr="00913317" w:rsidRDefault="005A7815" w:rsidP="00D72925">
            <w:pPr>
              <w:pStyle w:val="TableText"/>
              <w:tabs>
                <w:tab w:val="left" w:pos="360"/>
              </w:tabs>
              <w:overflowPunct w:val="0"/>
              <w:autoSpaceDE w:val="0"/>
              <w:autoSpaceDN w:val="0"/>
              <w:adjustRightInd w:val="0"/>
              <w:ind w:left="144" w:hanging="144"/>
              <w:jc w:val="both"/>
              <w:textAlignment w:val="baseline"/>
              <w:rPr>
                <w:rFonts w:cs="Times New Roman"/>
                <w:sz w:val="22"/>
                <w:szCs w:val="22"/>
                <w:lang w:val="hr-HR"/>
              </w:rPr>
            </w:pPr>
            <w:r w:rsidRPr="00913317">
              <w:rPr>
                <w:rFonts w:cs="Times New Roman"/>
                <w:sz w:val="22"/>
                <w:szCs w:val="22"/>
                <w:lang w:val="hr-HR"/>
              </w:rPr>
              <w:t xml:space="preserve"> </w:t>
            </w:r>
            <w:r w:rsidRPr="00913317">
              <w:rPr>
                <w:rFonts w:cs="Times New Roman"/>
                <w:i/>
                <w:sz w:val="22"/>
                <w:szCs w:val="22"/>
                <w:lang w:val="hr-HR"/>
              </w:rPr>
              <w:t>[CYP2C9 i CYP3A4 supstrati]</w:t>
            </w:r>
          </w:p>
        </w:tc>
        <w:tc>
          <w:tcPr>
            <w:tcW w:w="1813" w:type="pct"/>
          </w:tcPr>
          <w:p w14:paraId="49A16C38"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50C17C94"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29D52A9C"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Maksimalno povećanje protrombinskog vremena iznosilo je približno dva puta</w:t>
            </w:r>
            <w:r w:rsidR="003E7EE8" w:rsidRPr="00913317">
              <w:rPr>
                <w:rFonts w:cs="Times New Roman"/>
                <w:sz w:val="22"/>
                <w:szCs w:val="22"/>
                <w:lang w:val="hr-HR"/>
              </w:rPr>
              <w:t>.</w:t>
            </w:r>
          </w:p>
          <w:p w14:paraId="71D06B46"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63B05D01"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7FECE3E0" w14:textId="77777777" w:rsidR="005A7815" w:rsidRPr="00913317"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p>
          <w:p w14:paraId="3DEEF386" w14:textId="4AE570C4" w:rsidR="005A7815" w:rsidRPr="00913317" w:rsidRDefault="005A7815" w:rsidP="00D72925">
            <w:pPr>
              <w:pStyle w:val="TableText"/>
              <w:tabs>
                <w:tab w:val="left" w:pos="216"/>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Iako nije ispitivano, vorikonazol može povećati koncentracije kumarina u plazmi što može dovesti do povećanja </w:t>
            </w:r>
            <w:r w:rsidR="004D45E7" w:rsidRPr="00913317">
              <w:rPr>
                <w:rFonts w:cs="Times New Roman"/>
                <w:sz w:val="22"/>
                <w:szCs w:val="22"/>
                <w:lang w:val="hr-HR"/>
              </w:rPr>
              <w:t>vrijedno</w:t>
            </w:r>
            <w:r w:rsidR="00C66585" w:rsidRPr="00913317">
              <w:rPr>
                <w:rFonts w:cs="Times New Roman"/>
                <w:sz w:val="22"/>
                <w:szCs w:val="22"/>
                <w:lang w:val="hr-HR"/>
              </w:rPr>
              <w:t xml:space="preserve">sti </w:t>
            </w:r>
            <w:r w:rsidRPr="00913317">
              <w:rPr>
                <w:rFonts w:cs="Times New Roman"/>
                <w:sz w:val="22"/>
                <w:szCs w:val="22"/>
                <w:lang w:val="hr-HR"/>
              </w:rPr>
              <w:t>protrombinskog vremena.</w:t>
            </w:r>
          </w:p>
        </w:tc>
        <w:tc>
          <w:tcPr>
            <w:tcW w:w="1751" w:type="pct"/>
          </w:tcPr>
          <w:p w14:paraId="13012BC8"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Preporučuje se pažljivo praćenje protrombinskog vremena ili nekog drugog odgovarajućeg antikoagulacionog testa, kao i prilagođavanje doze antikoagulansa. </w:t>
            </w:r>
          </w:p>
        </w:tc>
      </w:tr>
      <w:tr w:rsidR="00934BB0" w:rsidRPr="0054718D" w14:paraId="01444C35" w14:textId="77777777" w:rsidTr="00581521">
        <w:tc>
          <w:tcPr>
            <w:tcW w:w="1415" w:type="pct"/>
          </w:tcPr>
          <w:p w14:paraId="58E1F915" w14:textId="332002A2" w:rsidR="00934BB0" w:rsidRPr="00913317" w:rsidRDefault="00934BB0" w:rsidP="00D72925">
            <w:pPr>
              <w:pStyle w:val="TableText"/>
              <w:jc w:val="both"/>
              <w:rPr>
                <w:rFonts w:cs="Times New Roman"/>
                <w:sz w:val="22"/>
                <w:szCs w:val="22"/>
                <w:lang w:val="hr-HR"/>
              </w:rPr>
            </w:pPr>
            <w:r w:rsidRPr="00913317">
              <w:rPr>
                <w:rFonts w:cs="Times New Roman"/>
                <w:sz w:val="22"/>
                <w:szCs w:val="22"/>
                <w:lang w:val="hr-HR"/>
              </w:rPr>
              <w:t>Ivakaftor</w:t>
            </w:r>
          </w:p>
          <w:p w14:paraId="353E1D31" w14:textId="5C1FE442" w:rsidR="00934BB0" w:rsidRPr="00913317" w:rsidRDefault="00934BB0" w:rsidP="00D72925">
            <w:pPr>
              <w:pStyle w:val="TableText"/>
              <w:keepN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i/>
                <w:iCs/>
                <w:sz w:val="22"/>
                <w:szCs w:val="22"/>
                <w:lang w:val="hr-HR"/>
              </w:rPr>
              <w:t>[CYP3A4 supstrat]</w:t>
            </w:r>
          </w:p>
        </w:tc>
        <w:tc>
          <w:tcPr>
            <w:tcW w:w="1813" w:type="pct"/>
          </w:tcPr>
          <w:p w14:paraId="2AF2BFBD" w14:textId="24DD6A67" w:rsidR="00934BB0" w:rsidRPr="00913317" w:rsidRDefault="00934BB0"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Iako nije ispitivano, vorikonazol može povećati koncentracije ivakaftora u plazmi, uz rizik od povećanih neželjenih reakcija.</w:t>
            </w:r>
          </w:p>
        </w:tc>
        <w:tc>
          <w:tcPr>
            <w:tcW w:w="1772" w:type="pct"/>
            <w:gridSpan w:val="2"/>
          </w:tcPr>
          <w:p w14:paraId="3DB26E75" w14:textId="095F5EB0" w:rsidR="00934BB0" w:rsidRPr="00913317" w:rsidRDefault="00934BB0"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Preporučuje se smanjenje doze ivakaftora.</w:t>
            </w:r>
          </w:p>
        </w:tc>
      </w:tr>
      <w:tr w:rsidR="00935053" w:rsidRPr="0054718D" w14:paraId="3A17CC50" w14:textId="77777777" w:rsidTr="00581521">
        <w:trPr>
          <w:gridAfter w:val="1"/>
          <w:wAfter w:w="21" w:type="pct"/>
        </w:trPr>
        <w:tc>
          <w:tcPr>
            <w:tcW w:w="1415" w:type="pct"/>
          </w:tcPr>
          <w:p w14:paraId="2DC3FD84" w14:textId="244EB6F5"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Benzodiazepini</w:t>
            </w:r>
          </w:p>
          <w:p w14:paraId="794AF794"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i/>
                <w:sz w:val="22"/>
                <w:szCs w:val="22"/>
                <w:lang w:val="hr-HR"/>
              </w:rPr>
              <w:t>[CYP3A4 supstrati]</w:t>
            </w:r>
          </w:p>
          <w:p w14:paraId="20B4281C" w14:textId="31627882" w:rsidR="00977B69" w:rsidRPr="00913317" w:rsidRDefault="00977B69"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Midazolam (jedna doza od 0,05 mg/kg intravenski)</w:t>
            </w:r>
          </w:p>
          <w:p w14:paraId="29B5D551" w14:textId="77777777" w:rsidR="00977B69" w:rsidRPr="00913317" w:rsidRDefault="00977B69" w:rsidP="00D72925">
            <w:pPr>
              <w:pStyle w:val="TableText"/>
              <w:tabs>
                <w:tab w:val="left" w:pos="360"/>
              </w:tabs>
              <w:overflowPunct w:val="0"/>
              <w:autoSpaceDE w:val="0"/>
              <w:autoSpaceDN w:val="0"/>
              <w:adjustRightInd w:val="0"/>
              <w:ind w:left="567"/>
              <w:jc w:val="both"/>
              <w:textAlignment w:val="baseline"/>
              <w:rPr>
                <w:rFonts w:cs="Times New Roman"/>
                <w:sz w:val="22"/>
                <w:szCs w:val="22"/>
                <w:lang w:val="hr-HR"/>
              </w:rPr>
            </w:pPr>
          </w:p>
          <w:p w14:paraId="7BB4EEC8" w14:textId="085BFFEC" w:rsidR="00977B69" w:rsidRPr="00913317" w:rsidRDefault="00977B69"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Midazolam (jedna doza od 7,5 mg peroralno)</w:t>
            </w:r>
          </w:p>
          <w:p w14:paraId="4C75A73F" w14:textId="6AEB5B76" w:rsidR="00977B69" w:rsidRPr="00913317" w:rsidRDefault="00977B69" w:rsidP="00D72925">
            <w:pPr>
              <w:pStyle w:val="TableText"/>
              <w:tabs>
                <w:tab w:val="left" w:pos="360"/>
              </w:tabs>
              <w:overflowPunct w:val="0"/>
              <w:autoSpaceDE w:val="0"/>
              <w:autoSpaceDN w:val="0"/>
              <w:adjustRightInd w:val="0"/>
              <w:ind w:left="567"/>
              <w:jc w:val="both"/>
              <w:textAlignment w:val="baseline"/>
              <w:rPr>
                <w:rFonts w:cs="Times New Roman"/>
                <w:sz w:val="22"/>
                <w:szCs w:val="22"/>
                <w:lang w:val="hr-HR"/>
              </w:rPr>
            </w:pPr>
          </w:p>
          <w:p w14:paraId="6220B54D" w14:textId="77777777" w:rsidR="00977B69" w:rsidRPr="00913317" w:rsidRDefault="00977B69" w:rsidP="00D72925">
            <w:pPr>
              <w:pStyle w:val="TableText"/>
              <w:tabs>
                <w:tab w:val="left" w:pos="360"/>
              </w:tabs>
              <w:overflowPunct w:val="0"/>
              <w:autoSpaceDE w:val="0"/>
              <w:autoSpaceDN w:val="0"/>
              <w:adjustRightInd w:val="0"/>
              <w:ind w:left="567"/>
              <w:jc w:val="both"/>
              <w:textAlignment w:val="baseline"/>
              <w:rPr>
                <w:rFonts w:cs="Times New Roman"/>
                <w:sz w:val="22"/>
                <w:szCs w:val="22"/>
                <w:lang w:val="hr-HR"/>
              </w:rPr>
            </w:pPr>
          </w:p>
          <w:p w14:paraId="007D3DBF" w14:textId="173A88A4" w:rsidR="00977B69" w:rsidRPr="00913317" w:rsidRDefault="00977B69"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Drugi benzodiazepini (</w:t>
            </w:r>
            <w:r w:rsidR="00947351" w:rsidRPr="00913317">
              <w:rPr>
                <w:rFonts w:cs="Times New Roman"/>
                <w:sz w:val="22"/>
                <w:szCs w:val="22"/>
                <w:lang w:val="hr-HR"/>
              </w:rPr>
              <w:t xml:space="preserve">uključujući ali ne ograničavajući se na: </w:t>
            </w:r>
            <w:r w:rsidRPr="00913317">
              <w:rPr>
                <w:rFonts w:cs="Times New Roman"/>
                <w:sz w:val="22"/>
                <w:szCs w:val="22"/>
                <w:lang w:val="hr-HR"/>
              </w:rPr>
              <w:t xml:space="preserve">triazolam, </w:t>
            </w:r>
            <w:r w:rsidR="00581521">
              <w:rPr>
                <w:rFonts w:cs="Times New Roman"/>
                <w:sz w:val="22"/>
                <w:szCs w:val="22"/>
                <w:lang w:val="hr-HR"/>
              </w:rPr>
              <w:t>a</w:t>
            </w:r>
            <w:r w:rsidRPr="00913317">
              <w:rPr>
                <w:rFonts w:cs="Times New Roman"/>
                <w:sz w:val="22"/>
                <w:szCs w:val="22"/>
                <w:lang w:val="hr-HR"/>
              </w:rPr>
              <w:t>lprazolam)</w:t>
            </w:r>
          </w:p>
          <w:p w14:paraId="52E174D6" w14:textId="1B07420A" w:rsidR="00830283" w:rsidRPr="00913317" w:rsidRDefault="00830283" w:rsidP="00D72925">
            <w:pPr>
              <w:pStyle w:val="TableText"/>
              <w:tabs>
                <w:tab w:val="left" w:pos="360"/>
              </w:tabs>
              <w:overflowPunct w:val="0"/>
              <w:autoSpaceDE w:val="0"/>
              <w:autoSpaceDN w:val="0"/>
              <w:adjustRightInd w:val="0"/>
              <w:ind w:left="567"/>
              <w:jc w:val="both"/>
              <w:textAlignment w:val="baseline"/>
              <w:rPr>
                <w:rFonts w:cs="Times New Roman"/>
                <w:sz w:val="22"/>
                <w:szCs w:val="22"/>
                <w:lang w:val="hr-HR"/>
              </w:rPr>
            </w:pPr>
          </w:p>
        </w:tc>
        <w:tc>
          <w:tcPr>
            <w:tcW w:w="1813" w:type="pct"/>
          </w:tcPr>
          <w:p w14:paraId="31243526" w14:textId="77777777" w:rsidR="00830283" w:rsidRPr="00913317" w:rsidRDefault="00830283"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4838CC6B" w14:textId="77777777" w:rsidR="00830283" w:rsidRPr="00913317" w:rsidRDefault="00830283"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4CFDBD5D" w14:textId="7ACD9870" w:rsidR="00830283" w:rsidRPr="00913317" w:rsidRDefault="00830283" w:rsidP="00D72925">
            <w:pPr>
              <w:tabs>
                <w:tab w:val="left" w:pos="216"/>
              </w:tabs>
              <w:overflowPunct w:val="0"/>
              <w:autoSpaceDE w:val="0"/>
              <w:autoSpaceDN w:val="0"/>
              <w:adjustRightInd w:val="0"/>
              <w:textAlignment w:val="baseline"/>
              <w:rPr>
                <w:szCs w:val="22"/>
                <w:lang w:val="hr-HR"/>
              </w:rPr>
            </w:pPr>
            <w:r w:rsidRPr="00913317">
              <w:rPr>
                <w:szCs w:val="22"/>
                <w:lang w:val="hr-HR"/>
              </w:rPr>
              <w:t>U jednoj nezavisnoj objavljenoj studiji, Midazolam AUC</w:t>
            </w:r>
            <w:r w:rsidRPr="00913317">
              <w:rPr>
                <w:szCs w:val="22"/>
                <w:vertAlign w:val="subscript"/>
                <w:lang w:val="hr-HR"/>
              </w:rPr>
              <w:t>0-</w:t>
            </w:r>
            <w:r w:rsidRPr="00913317">
              <w:rPr>
                <w:szCs w:val="22"/>
                <w:vertAlign w:val="subscript"/>
                <w:lang w:val="hr-HR"/>
              </w:rPr>
              <w:sym w:font="Symbol" w:char="F0A5"/>
            </w:r>
            <w:r w:rsidRPr="00913317">
              <w:rPr>
                <w:szCs w:val="22"/>
                <w:lang w:val="hr-HR"/>
              </w:rPr>
              <w:t xml:space="preserve"> </w:t>
            </w:r>
            <w:r w:rsidRPr="00913317">
              <w:rPr>
                <w:szCs w:val="22"/>
                <w:lang w:val="hr-HR"/>
              </w:rPr>
              <w:sym w:font="Symbol" w:char="F0AD"/>
            </w:r>
            <w:r w:rsidRPr="00913317">
              <w:rPr>
                <w:szCs w:val="22"/>
                <w:lang w:val="hr-HR"/>
              </w:rPr>
              <w:t xml:space="preserve"> 3,7 puta</w:t>
            </w:r>
          </w:p>
          <w:p w14:paraId="3D56648A" w14:textId="77777777" w:rsidR="00830283" w:rsidRPr="008C59C8" w:rsidRDefault="00830283" w:rsidP="00D72925">
            <w:pPr>
              <w:tabs>
                <w:tab w:val="left" w:pos="216"/>
              </w:tabs>
              <w:overflowPunct w:val="0"/>
              <w:autoSpaceDE w:val="0"/>
              <w:autoSpaceDN w:val="0"/>
              <w:adjustRightInd w:val="0"/>
              <w:textAlignment w:val="baseline"/>
              <w:rPr>
                <w:szCs w:val="22"/>
                <w:lang w:val="hr-HR"/>
              </w:rPr>
            </w:pPr>
          </w:p>
          <w:p w14:paraId="7AFEE90D" w14:textId="3C5DECCF" w:rsidR="00830283" w:rsidRPr="00913317" w:rsidRDefault="00830283" w:rsidP="00D72925">
            <w:pPr>
              <w:tabs>
                <w:tab w:val="left" w:pos="216"/>
              </w:tabs>
              <w:overflowPunct w:val="0"/>
              <w:autoSpaceDE w:val="0"/>
              <w:autoSpaceDN w:val="0"/>
              <w:adjustRightInd w:val="0"/>
              <w:textAlignment w:val="baseline"/>
              <w:rPr>
                <w:szCs w:val="22"/>
                <w:lang w:val="hr-HR"/>
              </w:rPr>
            </w:pPr>
            <w:r w:rsidRPr="003307B5">
              <w:rPr>
                <w:szCs w:val="22"/>
                <w:lang w:val="hr-HR"/>
              </w:rPr>
              <w:t>U jednoj nezavisnoj objavljenoj studiji, Midazolam C</w:t>
            </w:r>
            <w:r w:rsidRPr="003307B5">
              <w:rPr>
                <w:szCs w:val="22"/>
                <w:vertAlign w:val="subscript"/>
                <w:lang w:val="hr-HR"/>
              </w:rPr>
              <w:t>max</w:t>
            </w:r>
            <w:r w:rsidRPr="0029457E">
              <w:rPr>
                <w:szCs w:val="22"/>
                <w:lang w:val="hr-HR"/>
              </w:rPr>
              <w:t xml:space="preserve"> </w:t>
            </w:r>
            <w:r w:rsidRPr="00913317">
              <w:rPr>
                <w:szCs w:val="22"/>
                <w:lang w:val="hr-HR"/>
              </w:rPr>
              <w:sym w:font="Symbol" w:char="F0AD"/>
            </w:r>
            <w:r w:rsidRPr="00913317">
              <w:rPr>
                <w:szCs w:val="22"/>
                <w:lang w:val="hr-HR"/>
              </w:rPr>
              <w:t xml:space="preserve"> 3,8 puta</w:t>
            </w:r>
          </w:p>
          <w:p w14:paraId="203F929B" w14:textId="5E71D2A1" w:rsidR="00830283" w:rsidRPr="00913317" w:rsidRDefault="00830283" w:rsidP="00D72925">
            <w:pPr>
              <w:tabs>
                <w:tab w:val="left" w:pos="216"/>
              </w:tabs>
              <w:overflowPunct w:val="0"/>
              <w:autoSpaceDE w:val="0"/>
              <w:autoSpaceDN w:val="0"/>
              <w:adjustRightInd w:val="0"/>
              <w:textAlignment w:val="baseline"/>
              <w:rPr>
                <w:szCs w:val="22"/>
                <w:lang w:val="hr-HR"/>
              </w:rPr>
            </w:pPr>
            <w:r w:rsidRPr="00913317">
              <w:rPr>
                <w:szCs w:val="22"/>
                <w:lang w:val="hr-HR"/>
              </w:rPr>
              <w:t>Midazolam AUC</w:t>
            </w:r>
            <w:r w:rsidRPr="008C59C8">
              <w:rPr>
                <w:szCs w:val="22"/>
                <w:vertAlign w:val="subscript"/>
                <w:lang w:val="hr-HR"/>
              </w:rPr>
              <w:t>0-</w:t>
            </w:r>
            <w:r w:rsidRPr="00913317">
              <w:rPr>
                <w:szCs w:val="22"/>
                <w:vertAlign w:val="subscript"/>
                <w:lang w:val="hr-HR"/>
              </w:rPr>
              <w:sym w:font="Symbol" w:char="F0A5"/>
            </w:r>
            <w:r w:rsidRPr="00913317">
              <w:rPr>
                <w:szCs w:val="22"/>
                <w:lang w:val="hr-HR"/>
              </w:rPr>
              <w:t xml:space="preserve"> </w:t>
            </w:r>
            <w:r w:rsidRPr="00913317">
              <w:rPr>
                <w:szCs w:val="22"/>
                <w:lang w:val="hr-HR"/>
              </w:rPr>
              <w:sym w:font="Symbol" w:char="F0AD"/>
            </w:r>
            <w:r w:rsidRPr="00913317">
              <w:rPr>
                <w:szCs w:val="22"/>
                <w:lang w:val="hr-HR"/>
              </w:rPr>
              <w:t xml:space="preserve"> 10,3 puta</w:t>
            </w:r>
          </w:p>
          <w:p w14:paraId="1B11EF86" w14:textId="77777777" w:rsidR="00830283" w:rsidRPr="008C59C8" w:rsidRDefault="00830283"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2E4C2550" w14:textId="48208CA4"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3307B5">
              <w:rPr>
                <w:rFonts w:cs="Times New Roman"/>
                <w:sz w:val="22"/>
                <w:szCs w:val="22"/>
                <w:lang w:val="hr-HR"/>
              </w:rPr>
              <w:t>Iako nije ispitivano, v</w:t>
            </w:r>
            <w:r w:rsidR="00D76171" w:rsidRPr="003307B5">
              <w:rPr>
                <w:rFonts w:cs="Times New Roman"/>
                <w:sz w:val="22"/>
                <w:szCs w:val="22"/>
                <w:lang w:val="hr-HR"/>
              </w:rPr>
              <w:t>j</w:t>
            </w:r>
            <w:r w:rsidRPr="0029457E">
              <w:rPr>
                <w:rFonts w:cs="Times New Roman"/>
                <w:sz w:val="22"/>
                <w:szCs w:val="22"/>
                <w:lang w:val="hr-HR"/>
              </w:rPr>
              <w:t xml:space="preserve">erovatno je da vorikonazol može da poveća koncentraciju </w:t>
            </w:r>
            <w:r w:rsidR="00830283" w:rsidRPr="009C1794">
              <w:rPr>
                <w:rFonts w:cs="Times New Roman"/>
                <w:sz w:val="22"/>
                <w:szCs w:val="22"/>
                <w:lang w:val="hr-HR"/>
              </w:rPr>
              <w:t>drugih</w:t>
            </w:r>
            <w:r w:rsidR="00581521">
              <w:rPr>
                <w:rFonts w:cs="Times New Roman"/>
                <w:sz w:val="22"/>
                <w:szCs w:val="22"/>
                <w:lang w:val="hr-HR"/>
              </w:rPr>
              <w:t xml:space="preserve"> </w:t>
            </w:r>
            <w:r w:rsidRPr="00913317">
              <w:rPr>
                <w:rFonts w:cs="Times New Roman"/>
                <w:sz w:val="22"/>
                <w:szCs w:val="22"/>
                <w:lang w:val="hr-HR"/>
              </w:rPr>
              <w:t xml:space="preserve">benzodiazepina u plazmi koji se metabolišu preko CYP3A4 i da dovede do produženog sedativnog efekta.  </w:t>
            </w:r>
          </w:p>
        </w:tc>
        <w:tc>
          <w:tcPr>
            <w:tcW w:w="1751" w:type="pct"/>
          </w:tcPr>
          <w:p w14:paraId="17667FC0" w14:textId="77777777" w:rsidR="00830283" w:rsidRPr="00913317" w:rsidRDefault="00830283" w:rsidP="00D72925">
            <w:pPr>
              <w:rPr>
                <w:szCs w:val="22"/>
                <w:lang w:val="hr-HR"/>
              </w:rPr>
            </w:pPr>
          </w:p>
          <w:p w14:paraId="3A40334C" w14:textId="4D06C2A8" w:rsidR="005A7815" w:rsidRPr="00913317" w:rsidRDefault="005A7815" w:rsidP="00D72925">
            <w:pPr>
              <w:rPr>
                <w:szCs w:val="22"/>
                <w:lang w:val="hr-HR"/>
              </w:rPr>
            </w:pPr>
            <w:r w:rsidRPr="00913317">
              <w:rPr>
                <w:szCs w:val="22"/>
                <w:lang w:val="hr-HR"/>
              </w:rPr>
              <w:t>Treba razmotriti smanjenje doze benzodiazepina.</w:t>
            </w:r>
          </w:p>
          <w:p w14:paraId="4BFCBE27"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tc>
      </w:tr>
      <w:tr w:rsidR="00935053" w:rsidRPr="0054718D" w14:paraId="202C472E" w14:textId="77777777" w:rsidTr="00581521">
        <w:trPr>
          <w:gridAfter w:val="1"/>
          <w:wAfter w:w="21" w:type="pct"/>
        </w:trPr>
        <w:tc>
          <w:tcPr>
            <w:tcW w:w="1415" w:type="pct"/>
          </w:tcPr>
          <w:p w14:paraId="3E05F35A"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Imunosupresivi</w:t>
            </w:r>
          </w:p>
          <w:p w14:paraId="055598D1"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i/>
                <w:sz w:val="22"/>
                <w:szCs w:val="22"/>
                <w:lang w:val="hr-HR"/>
              </w:rPr>
              <w:t>[CYP3A4 supstrati]</w:t>
            </w:r>
          </w:p>
          <w:p w14:paraId="3FD44A97" w14:textId="77777777" w:rsidR="005A7815" w:rsidRPr="00913317" w:rsidRDefault="005A7815" w:rsidP="00D72925">
            <w:pPr>
              <w:pStyle w:val="TableText"/>
              <w:tabs>
                <w:tab w:val="left" w:pos="360"/>
              </w:tabs>
              <w:overflowPunct w:val="0"/>
              <w:autoSpaceDE w:val="0"/>
              <w:autoSpaceDN w:val="0"/>
              <w:adjustRightInd w:val="0"/>
              <w:ind w:left="216" w:hanging="216"/>
              <w:jc w:val="both"/>
              <w:textAlignment w:val="baseline"/>
              <w:rPr>
                <w:rFonts w:cs="Times New Roman"/>
                <w:i/>
                <w:sz w:val="22"/>
                <w:szCs w:val="22"/>
                <w:lang w:val="hr-HR"/>
              </w:rPr>
            </w:pPr>
          </w:p>
          <w:p w14:paraId="4E3E5354" w14:textId="4EB39910" w:rsidR="005A7815" w:rsidRPr="00913317" w:rsidRDefault="005A7815" w:rsidP="00D72925">
            <w:pPr>
              <w:pStyle w:val="TableText"/>
              <w:tabs>
                <w:tab w:val="left" w:pos="360"/>
              </w:tabs>
              <w:overflowPunct w:val="0"/>
              <w:autoSpaceDE w:val="0"/>
              <w:autoSpaceDN w:val="0"/>
              <w:adjustRightInd w:val="0"/>
              <w:ind w:left="144" w:hanging="144"/>
              <w:jc w:val="both"/>
              <w:textAlignment w:val="baseline"/>
              <w:rPr>
                <w:rFonts w:cs="Times New Roman"/>
                <w:sz w:val="22"/>
                <w:szCs w:val="22"/>
                <w:lang w:val="hr-HR"/>
              </w:rPr>
            </w:pPr>
            <w:r w:rsidRPr="00913317">
              <w:rPr>
                <w:rFonts w:cs="Times New Roman"/>
                <w:sz w:val="22"/>
                <w:szCs w:val="22"/>
                <w:lang w:val="hr-HR"/>
              </w:rPr>
              <w:t>Sirolimus (2 mg pojedinačna doza)</w:t>
            </w:r>
          </w:p>
          <w:p w14:paraId="480F9A80" w14:textId="77777777" w:rsidR="005A7815" w:rsidRPr="00913317" w:rsidRDefault="005A7815" w:rsidP="00D72925">
            <w:pPr>
              <w:pStyle w:val="TableText"/>
              <w:tabs>
                <w:tab w:val="left" w:pos="360"/>
              </w:tabs>
              <w:overflowPunct w:val="0"/>
              <w:autoSpaceDE w:val="0"/>
              <w:autoSpaceDN w:val="0"/>
              <w:adjustRightInd w:val="0"/>
              <w:ind w:left="144" w:hanging="216"/>
              <w:jc w:val="both"/>
              <w:textAlignment w:val="baseline"/>
              <w:rPr>
                <w:rFonts w:cs="Times New Roman"/>
                <w:sz w:val="22"/>
                <w:szCs w:val="22"/>
                <w:lang w:val="hr-HR"/>
              </w:rPr>
            </w:pPr>
          </w:p>
          <w:p w14:paraId="19A70A4D" w14:textId="77777777" w:rsidR="005A7815" w:rsidRPr="00913317" w:rsidRDefault="005A7815" w:rsidP="00D72925">
            <w:pPr>
              <w:pStyle w:val="TableText"/>
              <w:tabs>
                <w:tab w:val="left" w:pos="360"/>
              </w:tabs>
              <w:overflowPunct w:val="0"/>
              <w:autoSpaceDE w:val="0"/>
              <w:autoSpaceDN w:val="0"/>
              <w:adjustRightInd w:val="0"/>
              <w:ind w:left="144" w:hanging="216"/>
              <w:jc w:val="both"/>
              <w:textAlignment w:val="baseline"/>
              <w:rPr>
                <w:rFonts w:cs="Times New Roman"/>
                <w:sz w:val="22"/>
                <w:szCs w:val="22"/>
                <w:lang w:val="hr-HR"/>
              </w:rPr>
            </w:pPr>
          </w:p>
          <w:p w14:paraId="3842F1BB" w14:textId="5880F09F" w:rsidR="005A7815" w:rsidRPr="00913317" w:rsidRDefault="005A7815" w:rsidP="00D72925">
            <w:pPr>
              <w:pStyle w:val="TableText"/>
              <w:tabs>
                <w:tab w:val="left" w:pos="360"/>
              </w:tabs>
              <w:overflowPunct w:val="0"/>
              <w:autoSpaceDE w:val="0"/>
              <w:autoSpaceDN w:val="0"/>
              <w:adjustRightInd w:val="0"/>
              <w:ind w:left="144" w:hanging="216"/>
              <w:jc w:val="both"/>
              <w:textAlignment w:val="baseline"/>
              <w:rPr>
                <w:rFonts w:cs="Times New Roman"/>
                <w:sz w:val="22"/>
                <w:szCs w:val="22"/>
                <w:lang w:val="hr-HR"/>
              </w:rPr>
            </w:pPr>
          </w:p>
          <w:p w14:paraId="659BF593" w14:textId="77777777" w:rsidR="00115487" w:rsidRPr="00913317" w:rsidRDefault="00115487" w:rsidP="00D72925">
            <w:pPr>
              <w:pStyle w:val="TableText"/>
              <w:tabs>
                <w:tab w:val="left" w:pos="360"/>
              </w:tabs>
              <w:overflowPunct w:val="0"/>
              <w:autoSpaceDE w:val="0"/>
              <w:autoSpaceDN w:val="0"/>
              <w:adjustRightInd w:val="0"/>
              <w:ind w:left="144" w:hanging="216"/>
              <w:jc w:val="both"/>
              <w:textAlignment w:val="baseline"/>
              <w:rPr>
                <w:rFonts w:cs="Times New Roman"/>
                <w:sz w:val="22"/>
                <w:szCs w:val="22"/>
                <w:lang w:val="hr-HR"/>
              </w:rPr>
            </w:pPr>
          </w:p>
          <w:p w14:paraId="655CCD04" w14:textId="77777777" w:rsidR="00830283" w:rsidRPr="00913317" w:rsidRDefault="00830283" w:rsidP="00D72925">
            <w:pPr>
              <w:rPr>
                <w:szCs w:val="22"/>
                <w:lang w:val="hr-HR"/>
              </w:rPr>
            </w:pPr>
            <w:r w:rsidRPr="00913317">
              <w:rPr>
                <w:szCs w:val="22"/>
                <w:lang w:val="hr-HR"/>
              </w:rPr>
              <w:t>Everolimus</w:t>
            </w:r>
          </w:p>
          <w:p w14:paraId="3431F343" w14:textId="42A2717C" w:rsidR="00830283" w:rsidRPr="00913317" w:rsidRDefault="00830283" w:rsidP="00D72925">
            <w:pPr>
              <w:tabs>
                <w:tab w:val="left" w:pos="360"/>
              </w:tabs>
              <w:overflowPunct w:val="0"/>
              <w:autoSpaceDE w:val="0"/>
              <w:autoSpaceDN w:val="0"/>
              <w:adjustRightInd w:val="0"/>
              <w:ind w:left="90" w:hanging="90"/>
              <w:textAlignment w:val="baseline"/>
              <w:rPr>
                <w:i/>
                <w:szCs w:val="22"/>
                <w:lang w:val="hr-HR"/>
              </w:rPr>
            </w:pPr>
            <w:r w:rsidRPr="00913317">
              <w:rPr>
                <w:i/>
                <w:szCs w:val="22"/>
                <w:lang w:val="hr-HR"/>
              </w:rPr>
              <w:t>[takođe P</w:t>
            </w:r>
            <w:r w:rsidRPr="00913317">
              <w:rPr>
                <w:i/>
                <w:szCs w:val="22"/>
                <w:lang w:val="hr-HR"/>
              </w:rPr>
              <w:noBreakHyphen/>
            </w:r>
            <w:r w:rsidR="00073D6C" w:rsidRPr="00913317">
              <w:rPr>
                <w:i/>
                <w:szCs w:val="22"/>
                <w:lang w:val="hr-HR"/>
              </w:rPr>
              <w:t xml:space="preserve">gp </w:t>
            </w:r>
            <w:r w:rsidRPr="00913317">
              <w:rPr>
                <w:i/>
                <w:szCs w:val="22"/>
                <w:lang w:val="hr-HR"/>
              </w:rPr>
              <w:t>supstrat]</w:t>
            </w:r>
          </w:p>
          <w:p w14:paraId="7DDB393B" w14:textId="77777777" w:rsidR="00830283" w:rsidRPr="00913317" w:rsidRDefault="00830283"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1000AF42" w14:textId="77777777" w:rsidR="00830283" w:rsidRPr="00913317" w:rsidRDefault="00830283"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6D9F2B26" w14:textId="77777777" w:rsidR="00830283" w:rsidRPr="00913317" w:rsidRDefault="00830283"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5F54FE68" w14:textId="77777777" w:rsidR="00830283" w:rsidRPr="00913317" w:rsidRDefault="00830283"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7B4070E4" w14:textId="04BF214B"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sz w:val="22"/>
                <w:szCs w:val="22"/>
                <w:lang w:val="hr-HR"/>
              </w:rPr>
              <w:t>Ciklosporin (</w:t>
            </w:r>
            <w:r w:rsidR="003E7EE8" w:rsidRPr="00913317">
              <w:rPr>
                <w:rFonts w:cs="Times New Roman"/>
                <w:sz w:val="22"/>
                <w:szCs w:val="22"/>
                <w:lang w:val="hr-HR"/>
              </w:rPr>
              <w:t>k</w:t>
            </w:r>
            <w:r w:rsidRPr="00913317">
              <w:rPr>
                <w:rFonts w:cs="Times New Roman"/>
                <w:sz w:val="22"/>
                <w:szCs w:val="22"/>
                <w:lang w:val="hr-HR"/>
              </w:rPr>
              <w:t>od stabilnih pacijenata posl</w:t>
            </w:r>
            <w:r w:rsidR="00A37C1A" w:rsidRPr="00913317">
              <w:rPr>
                <w:rFonts w:cs="Times New Roman"/>
                <w:sz w:val="22"/>
                <w:szCs w:val="22"/>
                <w:lang w:val="hr-HR"/>
              </w:rPr>
              <w:t>ij</w:t>
            </w:r>
            <w:r w:rsidRPr="00913317">
              <w:rPr>
                <w:rFonts w:cs="Times New Roman"/>
                <w:sz w:val="22"/>
                <w:szCs w:val="22"/>
                <w:lang w:val="hr-HR"/>
              </w:rPr>
              <w:t>e transplantacije bubrega na hroničnoj terapiji ciklosporinom)</w:t>
            </w:r>
            <w:r w:rsidRPr="00913317">
              <w:rPr>
                <w:rFonts w:cs="Times New Roman"/>
                <w:sz w:val="22"/>
                <w:szCs w:val="22"/>
                <w:lang w:val="hr-HR"/>
              </w:rPr>
              <w:br/>
            </w:r>
          </w:p>
          <w:p w14:paraId="7237D27C"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i/>
                <w:sz w:val="22"/>
                <w:szCs w:val="22"/>
                <w:lang w:val="hr-HR"/>
              </w:rPr>
            </w:pPr>
          </w:p>
          <w:p w14:paraId="6292E265"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i/>
                <w:sz w:val="22"/>
                <w:szCs w:val="22"/>
                <w:lang w:val="hr-HR"/>
              </w:rPr>
            </w:pPr>
          </w:p>
          <w:p w14:paraId="38042691"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12485568"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7C012A41"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53BEF7A6"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602F74B1"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r w:rsidRPr="00913317">
              <w:rPr>
                <w:rFonts w:cs="Times New Roman"/>
                <w:sz w:val="22"/>
                <w:szCs w:val="22"/>
                <w:lang w:val="hr-HR"/>
              </w:rPr>
              <w:t>Takrolimus (0,1 mg/kg pojedinačna doza)</w:t>
            </w:r>
            <w:r w:rsidRPr="00913317">
              <w:rPr>
                <w:rFonts w:cs="Times New Roman"/>
                <w:sz w:val="22"/>
                <w:szCs w:val="22"/>
                <w:lang w:val="hr-HR"/>
              </w:rPr>
              <w:br/>
            </w:r>
          </w:p>
        </w:tc>
        <w:tc>
          <w:tcPr>
            <w:tcW w:w="1813" w:type="pct"/>
          </w:tcPr>
          <w:p w14:paraId="179C9EE4"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6E885C94"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00548C1C"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U jednoj nezavisnoj objavljenoj studiji, </w:t>
            </w:r>
          </w:p>
          <w:p w14:paraId="468FC8B1"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Sirolimus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6,6 puta</w:t>
            </w:r>
            <w:r w:rsidRPr="00913317">
              <w:rPr>
                <w:rFonts w:cs="Times New Roman"/>
                <w:sz w:val="22"/>
                <w:szCs w:val="22"/>
                <w:lang w:val="hr-HR"/>
              </w:rPr>
              <w:br/>
            </w:r>
            <w:r w:rsidRPr="00913317">
              <w:rPr>
                <w:rFonts w:cs="Times New Roman"/>
                <w:sz w:val="22"/>
                <w:szCs w:val="22"/>
                <w:lang w:val="hr-HR"/>
              </w:rPr>
              <w:lastRenderedPageBreak/>
              <w:t>Sirolimus PIK</w:t>
            </w:r>
            <w:r w:rsidRPr="00913317">
              <w:rPr>
                <w:rFonts w:cs="Times New Roman"/>
                <w:sz w:val="22"/>
                <w:szCs w:val="22"/>
                <w:vertAlign w:val="subscript"/>
                <w:lang w:val="hr-HR"/>
              </w:rPr>
              <w:t>0→∞</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11-puta</w:t>
            </w:r>
          </w:p>
          <w:p w14:paraId="151302D3" w14:textId="77777777" w:rsidR="005A7815" w:rsidRPr="008C59C8"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15601652" w14:textId="77777777" w:rsidR="005A7815" w:rsidRPr="003307B5"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6B6194D3" w14:textId="00924901" w:rsidR="00830283" w:rsidRPr="00913317" w:rsidRDefault="00830283" w:rsidP="00D72925">
            <w:pPr>
              <w:pStyle w:val="TableText"/>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 xml:space="preserve">Iako nije ispitivano, vorikonazol </w:t>
            </w:r>
            <w:r w:rsidR="00990A01" w:rsidRPr="00913317">
              <w:rPr>
                <w:rFonts w:cs="Times New Roman"/>
                <w:sz w:val="22"/>
                <w:szCs w:val="22"/>
                <w:lang w:val="hr-HR"/>
              </w:rPr>
              <w:t xml:space="preserve">može </w:t>
            </w:r>
            <w:r w:rsidR="00115487" w:rsidRPr="00913317">
              <w:rPr>
                <w:rFonts w:cs="Times New Roman"/>
                <w:sz w:val="22"/>
                <w:szCs w:val="22"/>
                <w:lang w:val="hr-HR"/>
              </w:rPr>
              <w:t xml:space="preserve">značajno </w:t>
            </w:r>
            <w:r w:rsidRPr="00913317">
              <w:rPr>
                <w:rFonts w:cs="Times New Roman"/>
                <w:sz w:val="22"/>
                <w:szCs w:val="22"/>
                <w:lang w:val="hr-HR"/>
              </w:rPr>
              <w:t>povećati koncentraciju everolimusa u plazmi.</w:t>
            </w:r>
          </w:p>
          <w:p w14:paraId="4442C8BA" w14:textId="77777777" w:rsidR="00830283" w:rsidRPr="00913317" w:rsidRDefault="00830283" w:rsidP="00D72925">
            <w:pPr>
              <w:pStyle w:val="TableText"/>
              <w:overflowPunct w:val="0"/>
              <w:autoSpaceDE w:val="0"/>
              <w:autoSpaceDN w:val="0"/>
              <w:adjustRightInd w:val="0"/>
              <w:jc w:val="both"/>
              <w:textAlignment w:val="baseline"/>
              <w:rPr>
                <w:rFonts w:cs="Times New Roman"/>
                <w:sz w:val="22"/>
                <w:szCs w:val="22"/>
                <w:lang w:val="hr-HR"/>
              </w:rPr>
            </w:pPr>
          </w:p>
          <w:p w14:paraId="1FFA0B91" w14:textId="77777777" w:rsidR="00830283" w:rsidRPr="00913317" w:rsidRDefault="00830283" w:rsidP="00D72925">
            <w:pPr>
              <w:pStyle w:val="TableText"/>
              <w:overflowPunct w:val="0"/>
              <w:autoSpaceDE w:val="0"/>
              <w:autoSpaceDN w:val="0"/>
              <w:adjustRightInd w:val="0"/>
              <w:jc w:val="both"/>
              <w:textAlignment w:val="baseline"/>
              <w:rPr>
                <w:rFonts w:cs="Times New Roman"/>
                <w:sz w:val="22"/>
                <w:szCs w:val="22"/>
                <w:lang w:val="hr-HR"/>
              </w:rPr>
            </w:pPr>
          </w:p>
          <w:p w14:paraId="712B8251" w14:textId="77777777" w:rsidR="00830283" w:rsidRPr="00913317" w:rsidRDefault="00830283" w:rsidP="00D72925">
            <w:pPr>
              <w:pStyle w:val="TableText"/>
              <w:overflowPunct w:val="0"/>
              <w:autoSpaceDE w:val="0"/>
              <w:autoSpaceDN w:val="0"/>
              <w:adjustRightInd w:val="0"/>
              <w:jc w:val="both"/>
              <w:textAlignment w:val="baseline"/>
              <w:rPr>
                <w:rFonts w:cs="Times New Roman"/>
                <w:sz w:val="22"/>
                <w:szCs w:val="22"/>
                <w:lang w:val="hr-HR"/>
              </w:rPr>
            </w:pPr>
          </w:p>
          <w:p w14:paraId="22450E13" w14:textId="4E676F74"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Ciklosporin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13%</w:t>
            </w:r>
            <w:r w:rsidRPr="00913317">
              <w:rPr>
                <w:rFonts w:cs="Times New Roman"/>
                <w:sz w:val="22"/>
                <w:szCs w:val="22"/>
                <w:lang w:val="hr-HR"/>
              </w:rPr>
              <w:br/>
              <w:t>Ciklosporin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70%</w:t>
            </w:r>
          </w:p>
          <w:p w14:paraId="4E39B0EA" w14:textId="77777777" w:rsidR="005A7815" w:rsidRPr="008C59C8"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1644DBD3" w14:textId="77777777" w:rsidR="005A7815" w:rsidRPr="003307B5"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6AB1E6D2" w14:textId="77777777" w:rsidR="005A7815" w:rsidRPr="0029457E"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45F0F6D5"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483A1C79"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786338A7" w14:textId="77777777" w:rsidR="005A7815" w:rsidRPr="00913317" w:rsidRDefault="005A7815" w:rsidP="00D72925">
            <w:pPr>
              <w:rPr>
                <w:szCs w:val="22"/>
                <w:lang w:val="hr-HR"/>
              </w:rPr>
            </w:pPr>
          </w:p>
          <w:p w14:paraId="4EA65A80" w14:textId="77777777" w:rsidR="00A37C1A" w:rsidRPr="00913317" w:rsidRDefault="00A37C1A" w:rsidP="00D72925">
            <w:pPr>
              <w:pStyle w:val="TableText"/>
              <w:overflowPunct w:val="0"/>
              <w:autoSpaceDE w:val="0"/>
              <w:autoSpaceDN w:val="0"/>
              <w:adjustRightInd w:val="0"/>
              <w:jc w:val="both"/>
              <w:textAlignment w:val="baseline"/>
              <w:rPr>
                <w:rFonts w:cs="Times New Roman"/>
                <w:sz w:val="22"/>
                <w:szCs w:val="22"/>
                <w:lang w:val="hr-HR"/>
              </w:rPr>
            </w:pPr>
          </w:p>
          <w:p w14:paraId="29277986"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6A6DC013"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Takrolimus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117%</w:t>
            </w:r>
            <w:r w:rsidRPr="00913317">
              <w:rPr>
                <w:rFonts w:cs="Times New Roman"/>
                <w:sz w:val="22"/>
                <w:szCs w:val="22"/>
                <w:lang w:val="hr-HR"/>
              </w:rPr>
              <w:br/>
              <w:t>Takrolimus PIK</w:t>
            </w:r>
            <w:r w:rsidRPr="00913317">
              <w:rPr>
                <w:rFonts w:cs="Times New Roman"/>
                <w:sz w:val="22"/>
                <w:szCs w:val="22"/>
                <w:vertAlign w:val="subscript"/>
                <w:lang w:val="hr-HR"/>
              </w:rPr>
              <w:t>t</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221%</w:t>
            </w:r>
          </w:p>
        </w:tc>
        <w:tc>
          <w:tcPr>
            <w:tcW w:w="1751" w:type="pct"/>
          </w:tcPr>
          <w:p w14:paraId="700D52C8" w14:textId="77777777" w:rsidR="00990A01" w:rsidRPr="008C59C8" w:rsidRDefault="00990A01" w:rsidP="00D72925">
            <w:pPr>
              <w:pStyle w:val="TableText"/>
              <w:overflowPunct w:val="0"/>
              <w:autoSpaceDE w:val="0"/>
              <w:autoSpaceDN w:val="0"/>
              <w:adjustRightInd w:val="0"/>
              <w:jc w:val="both"/>
              <w:textAlignment w:val="baseline"/>
              <w:rPr>
                <w:rFonts w:cs="Times New Roman"/>
                <w:sz w:val="22"/>
                <w:szCs w:val="22"/>
                <w:lang w:val="hr-HR"/>
              </w:rPr>
            </w:pPr>
          </w:p>
          <w:p w14:paraId="41FCA091" w14:textId="77777777" w:rsidR="00990A01" w:rsidRPr="003307B5" w:rsidRDefault="00990A01" w:rsidP="00D72925">
            <w:pPr>
              <w:pStyle w:val="TableText"/>
              <w:overflowPunct w:val="0"/>
              <w:autoSpaceDE w:val="0"/>
              <w:autoSpaceDN w:val="0"/>
              <w:adjustRightInd w:val="0"/>
              <w:jc w:val="both"/>
              <w:textAlignment w:val="baseline"/>
              <w:rPr>
                <w:rFonts w:cs="Times New Roman"/>
                <w:sz w:val="22"/>
                <w:szCs w:val="22"/>
                <w:lang w:val="hr-HR"/>
              </w:rPr>
            </w:pPr>
          </w:p>
          <w:p w14:paraId="0F6E942A" w14:textId="7538CFE6"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Istovreme</w:t>
            </w:r>
            <w:r w:rsidRPr="009C1794">
              <w:rPr>
                <w:rFonts w:cs="Times New Roman"/>
                <w:sz w:val="22"/>
                <w:szCs w:val="22"/>
                <w:lang w:val="hr-HR"/>
              </w:rPr>
              <w:t xml:space="preserve">na </w:t>
            </w:r>
            <w:r w:rsidR="004D45E7" w:rsidRPr="009C1794">
              <w:rPr>
                <w:rFonts w:cs="Times New Roman"/>
                <w:sz w:val="22"/>
                <w:szCs w:val="22"/>
                <w:lang w:val="hr-HR"/>
              </w:rPr>
              <w:t>primjen</w:t>
            </w:r>
            <w:r w:rsidRPr="009C1794">
              <w:rPr>
                <w:rFonts w:cs="Times New Roman"/>
                <w:sz w:val="22"/>
                <w:szCs w:val="22"/>
                <w:lang w:val="hr-HR"/>
              </w:rPr>
              <w:t xml:space="preserve">a vorikonazola i sirolimusa je </w:t>
            </w:r>
            <w:r w:rsidRPr="00913317">
              <w:rPr>
                <w:rFonts w:cs="Times New Roman"/>
                <w:b/>
                <w:sz w:val="22"/>
                <w:szCs w:val="22"/>
                <w:lang w:val="hr-HR"/>
              </w:rPr>
              <w:t>kontraindikovana</w:t>
            </w:r>
            <w:r w:rsidRPr="00913317">
              <w:rPr>
                <w:rFonts w:cs="Times New Roman"/>
                <w:sz w:val="22"/>
                <w:szCs w:val="22"/>
                <w:lang w:val="hr-HR"/>
              </w:rPr>
              <w:t xml:space="preserve"> (</w:t>
            </w:r>
            <w:r w:rsidR="004D45E7" w:rsidRPr="00913317">
              <w:rPr>
                <w:rFonts w:cs="Times New Roman"/>
                <w:sz w:val="22"/>
                <w:szCs w:val="22"/>
                <w:lang w:val="hr-HR"/>
              </w:rPr>
              <w:t xml:space="preserve">vidjeti </w:t>
            </w:r>
            <w:r w:rsidR="00954637" w:rsidRPr="00913317">
              <w:rPr>
                <w:rFonts w:cs="Times New Roman"/>
                <w:sz w:val="22"/>
                <w:szCs w:val="22"/>
                <w:lang w:val="hr-HR"/>
              </w:rPr>
              <w:t>dio</w:t>
            </w:r>
            <w:r w:rsidRPr="00913317">
              <w:rPr>
                <w:rFonts w:cs="Times New Roman"/>
                <w:sz w:val="22"/>
                <w:szCs w:val="22"/>
                <w:lang w:val="hr-HR"/>
              </w:rPr>
              <w:t xml:space="preserve"> 4.3).</w:t>
            </w:r>
          </w:p>
          <w:p w14:paraId="2036BB05" w14:textId="590DF9C2"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08337C5E" w14:textId="02203CCC" w:rsidR="00830283" w:rsidRPr="00913317" w:rsidRDefault="00830283" w:rsidP="00D72925">
            <w:pPr>
              <w:pStyle w:val="TableText"/>
              <w:overflowPunct w:val="0"/>
              <w:autoSpaceDE w:val="0"/>
              <w:autoSpaceDN w:val="0"/>
              <w:adjustRightInd w:val="0"/>
              <w:jc w:val="both"/>
              <w:textAlignment w:val="baseline"/>
              <w:rPr>
                <w:rFonts w:cs="Times New Roman"/>
                <w:sz w:val="22"/>
                <w:szCs w:val="22"/>
                <w:lang w:val="hr-HR"/>
              </w:rPr>
            </w:pPr>
          </w:p>
          <w:p w14:paraId="29C918DB" w14:textId="77777777" w:rsidR="00990A01" w:rsidRPr="00913317" w:rsidRDefault="00990A01" w:rsidP="00D72925">
            <w:pPr>
              <w:pStyle w:val="TableText"/>
              <w:overflowPunct w:val="0"/>
              <w:autoSpaceDE w:val="0"/>
              <w:autoSpaceDN w:val="0"/>
              <w:adjustRightInd w:val="0"/>
              <w:jc w:val="both"/>
              <w:textAlignment w:val="baseline"/>
              <w:rPr>
                <w:rFonts w:cs="Times New Roman"/>
                <w:sz w:val="22"/>
                <w:szCs w:val="22"/>
                <w:lang w:val="hr-HR"/>
              </w:rPr>
            </w:pPr>
          </w:p>
          <w:p w14:paraId="2DDC5BC5" w14:textId="1F8CB087" w:rsidR="00830283" w:rsidRPr="00913317" w:rsidRDefault="003C18A0"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Istovremena</w:t>
            </w:r>
            <w:r w:rsidR="00830283" w:rsidRPr="00913317">
              <w:rPr>
                <w:rFonts w:cs="Times New Roman"/>
                <w:sz w:val="22"/>
                <w:szCs w:val="22"/>
                <w:lang w:val="hr-HR"/>
              </w:rPr>
              <w:t xml:space="preserve"> primjena vorikonazola i everolimusa se ne preporučuje, zato što se očekuje da će vorikonazol značajno povećati koncentraciju everolimusa (vidjeti </w:t>
            </w:r>
            <w:r w:rsidR="00954637" w:rsidRPr="00913317">
              <w:rPr>
                <w:rFonts w:cs="Times New Roman"/>
                <w:sz w:val="22"/>
                <w:szCs w:val="22"/>
                <w:lang w:val="hr-HR"/>
              </w:rPr>
              <w:t xml:space="preserve">dio </w:t>
            </w:r>
            <w:r w:rsidR="00830283" w:rsidRPr="00913317">
              <w:rPr>
                <w:rFonts w:cs="Times New Roman"/>
                <w:sz w:val="22"/>
                <w:szCs w:val="22"/>
                <w:lang w:val="hr-HR"/>
              </w:rPr>
              <w:t>4.4).</w:t>
            </w:r>
          </w:p>
          <w:p w14:paraId="22089F86" w14:textId="77777777" w:rsidR="00830283" w:rsidRPr="00913317" w:rsidRDefault="00830283" w:rsidP="00D72925">
            <w:pPr>
              <w:pStyle w:val="TableText"/>
              <w:overflowPunct w:val="0"/>
              <w:autoSpaceDE w:val="0"/>
              <w:autoSpaceDN w:val="0"/>
              <w:adjustRightInd w:val="0"/>
              <w:jc w:val="both"/>
              <w:textAlignment w:val="baseline"/>
              <w:rPr>
                <w:rFonts w:cs="Times New Roman"/>
                <w:sz w:val="22"/>
                <w:szCs w:val="22"/>
                <w:lang w:val="hr-HR"/>
              </w:rPr>
            </w:pPr>
          </w:p>
          <w:p w14:paraId="6EB16549" w14:textId="72AD0C20" w:rsidR="005A7815" w:rsidRPr="00913317" w:rsidRDefault="005A7815" w:rsidP="00D72925">
            <w:pPr>
              <w:rPr>
                <w:szCs w:val="22"/>
                <w:lang w:val="hr-HR"/>
              </w:rPr>
            </w:pPr>
            <w:r w:rsidRPr="00913317">
              <w:rPr>
                <w:szCs w:val="22"/>
                <w:lang w:val="hr-HR"/>
              </w:rPr>
              <w:t xml:space="preserve">Kada se </w:t>
            </w:r>
            <w:r w:rsidR="00C66585" w:rsidRPr="00913317">
              <w:rPr>
                <w:szCs w:val="22"/>
                <w:lang w:val="hr-HR"/>
              </w:rPr>
              <w:t>za</w:t>
            </w:r>
            <w:r w:rsidRPr="00913317">
              <w:rPr>
                <w:szCs w:val="22"/>
                <w:lang w:val="hr-HR"/>
              </w:rPr>
              <w:t xml:space="preserve">počne terapija vorikonazolom kod pacijenata koji već primaju ciklosporin preporučuje se da se doza ciklosporina prepolovi, a koncentracija ciklosporina pažljivo prati. Povećane koncentracije ciklosporina udružene su sa nefrotoksičnošću. </w:t>
            </w:r>
            <w:r w:rsidRPr="00913317">
              <w:rPr>
                <w:szCs w:val="22"/>
                <w:u w:val="single"/>
                <w:lang w:val="hr-HR"/>
              </w:rPr>
              <w:t>Kada se vorikonazol obustavi, koncentracija ciklosporina se mora pažljivo pratiti i doza povećati ako je to potrebno.</w:t>
            </w:r>
            <w:r w:rsidRPr="00913317">
              <w:rPr>
                <w:szCs w:val="22"/>
                <w:lang w:val="hr-HR"/>
              </w:rPr>
              <w:t xml:space="preserve"> </w:t>
            </w:r>
          </w:p>
          <w:p w14:paraId="2687A3BF"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3CA1A463" w14:textId="62663B4D" w:rsidR="005A7815" w:rsidRPr="00913317" w:rsidRDefault="005A7815" w:rsidP="00D72925">
            <w:pPr>
              <w:rPr>
                <w:szCs w:val="22"/>
                <w:lang w:val="hr-HR"/>
              </w:rPr>
            </w:pPr>
            <w:r w:rsidRPr="00913317">
              <w:rPr>
                <w:szCs w:val="22"/>
                <w:lang w:val="hr-HR"/>
              </w:rPr>
              <w:t xml:space="preserve">Kada se </w:t>
            </w:r>
            <w:r w:rsidR="00C66585" w:rsidRPr="00913317">
              <w:rPr>
                <w:szCs w:val="22"/>
                <w:lang w:val="hr-HR"/>
              </w:rPr>
              <w:t>za</w:t>
            </w:r>
            <w:r w:rsidRPr="00913317">
              <w:rPr>
                <w:szCs w:val="22"/>
                <w:lang w:val="hr-HR"/>
              </w:rPr>
              <w:t xml:space="preserve">počne sa </w:t>
            </w:r>
            <w:r w:rsidR="004D45E7" w:rsidRPr="00913317">
              <w:rPr>
                <w:szCs w:val="22"/>
                <w:lang w:val="hr-HR"/>
              </w:rPr>
              <w:t>primjen</w:t>
            </w:r>
            <w:r w:rsidRPr="00913317">
              <w:rPr>
                <w:szCs w:val="22"/>
                <w:lang w:val="hr-HR"/>
              </w:rPr>
              <w:t xml:space="preserve">om vorikonazola kod pacijenata koji već primaju takrolimus, preporučuje se da se doza takrolimusa smanji na trećinu od osnovne doze i da se koncentracija takrolimusa u plazmi pažljivo prati. Povećana koncentracija takrolimusa može delovati nefrotoksično. </w:t>
            </w:r>
            <w:r w:rsidRPr="00913317">
              <w:rPr>
                <w:szCs w:val="22"/>
                <w:u w:val="single"/>
                <w:lang w:val="hr-HR"/>
              </w:rPr>
              <w:t>Kada se vorikonazol obustavi, koncentracija takrolimusa se mora pažljivo pratiti i doza povećati ako je to potrebno.</w:t>
            </w:r>
            <w:r w:rsidRPr="00913317">
              <w:rPr>
                <w:szCs w:val="22"/>
                <w:lang w:val="hr-HR"/>
              </w:rPr>
              <w:t xml:space="preserve"> </w:t>
            </w:r>
          </w:p>
        </w:tc>
      </w:tr>
      <w:tr w:rsidR="00935053" w:rsidRPr="0054718D" w14:paraId="1BFAB1A8" w14:textId="77777777" w:rsidTr="00581521">
        <w:trPr>
          <w:gridAfter w:val="1"/>
          <w:wAfter w:w="21" w:type="pct"/>
        </w:trPr>
        <w:tc>
          <w:tcPr>
            <w:tcW w:w="1415" w:type="pct"/>
          </w:tcPr>
          <w:p w14:paraId="5DB361B0" w14:textId="77777777" w:rsidR="005A7815" w:rsidRPr="00913317" w:rsidRDefault="005A7815" w:rsidP="00D72925">
            <w:pPr>
              <w:pStyle w:val="TableText"/>
              <w:keepNext/>
              <w:tabs>
                <w:tab w:val="left" w:pos="360"/>
              </w:tabs>
              <w:overflowPunct w:val="0"/>
              <w:autoSpaceDE w:val="0"/>
              <w:autoSpaceDN w:val="0"/>
              <w:adjustRightInd w:val="0"/>
              <w:ind w:left="215" w:hanging="215"/>
              <w:jc w:val="both"/>
              <w:textAlignment w:val="baseline"/>
              <w:rPr>
                <w:rFonts w:cs="Times New Roman"/>
                <w:sz w:val="22"/>
                <w:szCs w:val="22"/>
                <w:lang w:val="hr-HR"/>
              </w:rPr>
            </w:pPr>
            <w:r w:rsidRPr="00913317">
              <w:rPr>
                <w:rFonts w:cs="Times New Roman"/>
                <w:snapToGrid w:val="0"/>
                <w:sz w:val="22"/>
                <w:szCs w:val="22"/>
                <w:lang w:val="hr-HR"/>
              </w:rPr>
              <w:lastRenderedPageBreak/>
              <w:t>Opijati dugog dejstva</w:t>
            </w:r>
          </w:p>
          <w:p w14:paraId="45B77CB2" w14:textId="77777777" w:rsidR="005A7815" w:rsidRPr="00913317" w:rsidRDefault="005A7815" w:rsidP="00D72925">
            <w:pPr>
              <w:pStyle w:val="TableText"/>
              <w:tabs>
                <w:tab w:val="left" w:pos="360"/>
              </w:tabs>
              <w:overflowPunct w:val="0"/>
              <w:autoSpaceDE w:val="0"/>
              <w:autoSpaceDN w:val="0"/>
              <w:adjustRightInd w:val="0"/>
              <w:ind w:left="216" w:hanging="216"/>
              <w:jc w:val="both"/>
              <w:textAlignment w:val="baseline"/>
              <w:rPr>
                <w:rFonts w:cs="Times New Roman"/>
                <w:sz w:val="22"/>
                <w:szCs w:val="22"/>
                <w:lang w:val="hr-HR"/>
              </w:rPr>
            </w:pPr>
            <w:r w:rsidRPr="00913317">
              <w:rPr>
                <w:rFonts w:cs="Times New Roman"/>
                <w:i/>
                <w:sz w:val="22"/>
                <w:szCs w:val="22"/>
                <w:lang w:val="hr-HR"/>
              </w:rPr>
              <w:t>[CYP3A4 supstrati]</w:t>
            </w:r>
            <w:r w:rsidRPr="00913317">
              <w:rPr>
                <w:rFonts w:cs="Times New Roman"/>
                <w:sz w:val="22"/>
                <w:szCs w:val="22"/>
                <w:lang w:val="hr-HR"/>
              </w:rPr>
              <w:br/>
            </w:r>
          </w:p>
          <w:p w14:paraId="2B3797C0"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r w:rsidRPr="00913317">
              <w:rPr>
                <w:rFonts w:cs="Times New Roman"/>
                <w:sz w:val="22"/>
                <w:szCs w:val="22"/>
                <w:lang w:val="hr-HR"/>
              </w:rPr>
              <w:t>Oksikodon (10 mg pojedinačna doza)</w:t>
            </w:r>
          </w:p>
        </w:tc>
        <w:tc>
          <w:tcPr>
            <w:tcW w:w="1813" w:type="pct"/>
          </w:tcPr>
          <w:p w14:paraId="4BE8CE50" w14:textId="77777777" w:rsidR="005A7815" w:rsidRPr="00913317"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U jednoj nezavisnoj objavljenoj studiji,</w:t>
            </w:r>
          </w:p>
          <w:p w14:paraId="3D3FB4D8"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Oksikodon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w:t>
            </w:r>
            <w:r w:rsidR="00426F1F" w:rsidRPr="00913317">
              <w:rPr>
                <w:rFonts w:cs="Times New Roman"/>
                <w:sz w:val="22"/>
                <w:szCs w:val="22"/>
                <w:lang w:val="hr-HR"/>
              </w:rPr>
              <w:t>,</w:t>
            </w:r>
            <w:r w:rsidRPr="00913317">
              <w:rPr>
                <w:rFonts w:cs="Times New Roman"/>
                <w:sz w:val="22"/>
                <w:szCs w:val="22"/>
                <w:lang w:val="hr-HR"/>
              </w:rPr>
              <w:t>7-puta</w:t>
            </w:r>
            <w:r w:rsidRPr="00913317">
              <w:rPr>
                <w:rFonts w:cs="Times New Roman"/>
                <w:sz w:val="22"/>
                <w:szCs w:val="22"/>
                <w:lang w:val="hr-HR"/>
              </w:rPr>
              <w:br/>
              <w:t>Oksikodon PIK</w:t>
            </w:r>
            <w:r w:rsidRPr="00913317">
              <w:rPr>
                <w:rFonts w:cs="Times New Roman"/>
                <w:sz w:val="22"/>
                <w:szCs w:val="22"/>
                <w:vertAlign w:val="subscript"/>
                <w:lang w:val="hr-HR"/>
              </w:rPr>
              <w:t>0→∞</w:t>
            </w:r>
            <w:r w:rsidRPr="008C59C8">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3</w:t>
            </w:r>
            <w:r w:rsidR="00426F1F" w:rsidRPr="00913317">
              <w:rPr>
                <w:rFonts w:cs="Times New Roman"/>
                <w:sz w:val="22"/>
                <w:szCs w:val="22"/>
                <w:lang w:val="hr-HR"/>
              </w:rPr>
              <w:t>,</w:t>
            </w:r>
            <w:r w:rsidRPr="00913317">
              <w:rPr>
                <w:rFonts w:cs="Times New Roman"/>
                <w:sz w:val="22"/>
                <w:szCs w:val="22"/>
                <w:lang w:val="hr-HR"/>
              </w:rPr>
              <w:t>6-puta</w:t>
            </w:r>
          </w:p>
        </w:tc>
        <w:tc>
          <w:tcPr>
            <w:tcW w:w="1751" w:type="pct"/>
          </w:tcPr>
          <w:p w14:paraId="50099DE1" w14:textId="77777777" w:rsidR="005A7815" w:rsidRPr="008C59C8" w:rsidRDefault="005A7815" w:rsidP="00D72925">
            <w:pPr>
              <w:pStyle w:val="Paragraph"/>
              <w:spacing w:after="0"/>
              <w:jc w:val="both"/>
              <w:rPr>
                <w:sz w:val="22"/>
                <w:szCs w:val="22"/>
                <w:lang w:val="hr-HR"/>
              </w:rPr>
            </w:pPr>
            <w:r w:rsidRPr="008C59C8">
              <w:rPr>
                <w:sz w:val="22"/>
                <w:szCs w:val="22"/>
                <w:lang w:val="hr-HR"/>
              </w:rPr>
              <w:t>Potrebno je razmotriti smanjenje doze oksikodona i drugih opijata dugog dejstva koji se metabolišu putem CYP3A4 (npr. hidrokodon). Može biti potrebno često praćenje u cilju otkrivanja neželjenih dejstava povezanih sa opijatima.</w:t>
            </w:r>
          </w:p>
        </w:tc>
      </w:tr>
      <w:tr w:rsidR="00935053" w:rsidRPr="00913317" w14:paraId="7BC8A917" w14:textId="77777777" w:rsidTr="00581521">
        <w:trPr>
          <w:gridAfter w:val="1"/>
          <w:wAfter w:w="21" w:type="pct"/>
        </w:trPr>
        <w:tc>
          <w:tcPr>
            <w:tcW w:w="1415" w:type="pct"/>
          </w:tcPr>
          <w:p w14:paraId="7B7E499A"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Metadon (32-100 mg jednom dnevno)</w:t>
            </w:r>
          </w:p>
          <w:p w14:paraId="36DA9567" w14:textId="77777777" w:rsidR="005A7815" w:rsidRPr="00913317" w:rsidRDefault="005A7815" w:rsidP="00D72925">
            <w:pPr>
              <w:pStyle w:val="TableText"/>
              <w:tabs>
                <w:tab w:val="left" w:pos="360"/>
              </w:tabs>
              <w:overflowPunct w:val="0"/>
              <w:autoSpaceDE w:val="0"/>
              <w:autoSpaceDN w:val="0"/>
              <w:adjustRightInd w:val="0"/>
              <w:ind w:left="216" w:hanging="216"/>
              <w:jc w:val="both"/>
              <w:textAlignment w:val="baseline"/>
              <w:rPr>
                <w:rFonts w:cs="Times New Roman"/>
                <w:sz w:val="22"/>
                <w:szCs w:val="22"/>
                <w:lang w:val="hr-HR"/>
              </w:rPr>
            </w:pPr>
            <w:r w:rsidRPr="00913317">
              <w:rPr>
                <w:rFonts w:cs="Times New Roman"/>
                <w:i/>
                <w:sz w:val="22"/>
                <w:szCs w:val="22"/>
                <w:lang w:val="hr-HR"/>
              </w:rPr>
              <w:t>[CYP3A4 supstrat]</w:t>
            </w:r>
          </w:p>
        </w:tc>
        <w:tc>
          <w:tcPr>
            <w:tcW w:w="1813" w:type="pct"/>
          </w:tcPr>
          <w:p w14:paraId="7AA25F04"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R-metadon (aktivan)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31%</w:t>
            </w:r>
            <w:r w:rsidRPr="00913317">
              <w:rPr>
                <w:rFonts w:cs="Times New Roman"/>
                <w:sz w:val="22"/>
                <w:szCs w:val="22"/>
                <w:lang w:val="hr-HR"/>
              </w:rPr>
              <w:br/>
              <w:t>R- metadon (aktivan)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47%</w:t>
            </w:r>
            <w:r w:rsidRPr="00913317">
              <w:rPr>
                <w:rFonts w:cs="Times New Roman"/>
                <w:sz w:val="22"/>
                <w:szCs w:val="22"/>
                <w:lang w:val="hr-HR"/>
              </w:rPr>
              <w:br/>
              <w:t>S- metadon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65%</w:t>
            </w:r>
            <w:r w:rsidRPr="00913317">
              <w:rPr>
                <w:rFonts w:cs="Times New Roman"/>
                <w:sz w:val="22"/>
                <w:szCs w:val="22"/>
                <w:lang w:val="hr-HR"/>
              </w:rPr>
              <w:br/>
              <w:t>S- metadon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103%</w:t>
            </w:r>
          </w:p>
        </w:tc>
        <w:tc>
          <w:tcPr>
            <w:tcW w:w="1751" w:type="pct"/>
          </w:tcPr>
          <w:p w14:paraId="42240B0C" w14:textId="77777777" w:rsidR="005A7815" w:rsidRPr="003307B5" w:rsidRDefault="005A7815" w:rsidP="00D72925">
            <w:pPr>
              <w:rPr>
                <w:szCs w:val="22"/>
                <w:u w:val="single"/>
                <w:lang w:val="hr-HR"/>
              </w:rPr>
            </w:pPr>
            <w:r w:rsidRPr="008C59C8">
              <w:rPr>
                <w:szCs w:val="22"/>
                <w:lang w:val="hr-HR"/>
              </w:rPr>
              <w:t xml:space="preserve">Preporučuje se </w:t>
            </w:r>
            <w:r w:rsidR="00B36FD3" w:rsidRPr="008C59C8">
              <w:rPr>
                <w:szCs w:val="22"/>
                <w:lang w:val="hr-HR"/>
              </w:rPr>
              <w:t xml:space="preserve">često </w:t>
            </w:r>
            <w:r w:rsidRPr="003307B5">
              <w:rPr>
                <w:szCs w:val="22"/>
                <w:lang w:val="hr-HR"/>
              </w:rPr>
              <w:t xml:space="preserve">praćenje neželjenih dejstava i toksičnosti koja je povezana sa metadonom, uključujući produženje QTc intervala. Smanjenje doze metadona može biti neophodno. </w:t>
            </w:r>
          </w:p>
        </w:tc>
      </w:tr>
      <w:tr w:rsidR="00935053" w:rsidRPr="00913317" w14:paraId="7A7084F9" w14:textId="77777777" w:rsidTr="00581521">
        <w:trPr>
          <w:gridAfter w:val="1"/>
          <w:wAfter w:w="21" w:type="pct"/>
        </w:trPr>
        <w:tc>
          <w:tcPr>
            <w:tcW w:w="1415" w:type="pct"/>
          </w:tcPr>
          <w:p w14:paraId="5C0BE079" w14:textId="43583563"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Nesteroidni antiinflamatorni </w:t>
            </w:r>
            <w:r w:rsidR="004D45E7" w:rsidRPr="00913317">
              <w:rPr>
                <w:rFonts w:cs="Times New Roman"/>
                <w:sz w:val="22"/>
                <w:szCs w:val="22"/>
                <w:lang w:val="hr-HR"/>
              </w:rPr>
              <w:t>ljekov</w:t>
            </w:r>
            <w:r w:rsidRPr="00913317">
              <w:rPr>
                <w:rFonts w:cs="Times New Roman"/>
                <w:sz w:val="22"/>
                <w:szCs w:val="22"/>
                <w:lang w:val="hr-HR"/>
              </w:rPr>
              <w:t>i (NSAIL)</w:t>
            </w:r>
          </w:p>
          <w:p w14:paraId="4EAF6B3B"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i/>
                <w:sz w:val="22"/>
                <w:szCs w:val="22"/>
                <w:lang w:val="hr-HR"/>
              </w:rPr>
              <w:t>[CYP2C9 supstrati]</w:t>
            </w:r>
          </w:p>
          <w:p w14:paraId="3AB19824"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Ibuprofen (400 mg pojedinačna doza)</w:t>
            </w:r>
          </w:p>
          <w:p w14:paraId="4A267186" w14:textId="77777777" w:rsidR="005A7815" w:rsidRPr="00913317" w:rsidRDefault="005A7815" w:rsidP="00D72925">
            <w:pPr>
              <w:pStyle w:val="TableText"/>
              <w:tabs>
                <w:tab w:val="left" w:pos="360"/>
              </w:tabs>
              <w:overflowPunct w:val="0"/>
              <w:autoSpaceDE w:val="0"/>
              <w:autoSpaceDN w:val="0"/>
              <w:adjustRightInd w:val="0"/>
              <w:ind w:left="144"/>
              <w:jc w:val="both"/>
              <w:textAlignment w:val="baseline"/>
              <w:rPr>
                <w:rFonts w:cs="Times New Roman"/>
                <w:sz w:val="22"/>
                <w:szCs w:val="22"/>
                <w:lang w:val="hr-HR"/>
              </w:rPr>
            </w:pPr>
          </w:p>
          <w:p w14:paraId="3FDDF05B"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Diklofenak (50 mg </w:t>
            </w:r>
            <w:r w:rsidRPr="00913317">
              <w:rPr>
                <w:rFonts w:cs="Times New Roman"/>
                <w:sz w:val="22"/>
                <w:szCs w:val="22"/>
                <w:lang w:val="hr-HR"/>
              </w:rPr>
              <w:lastRenderedPageBreak/>
              <w:t>pojedinačna doza)</w:t>
            </w:r>
          </w:p>
        </w:tc>
        <w:tc>
          <w:tcPr>
            <w:tcW w:w="1813" w:type="pct"/>
          </w:tcPr>
          <w:p w14:paraId="405AA242"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700F9797"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21375EFD"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S-Ibuprofen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20%</w:t>
            </w:r>
            <w:r w:rsidRPr="00913317">
              <w:rPr>
                <w:rFonts w:cs="Times New Roman"/>
                <w:sz w:val="22"/>
                <w:szCs w:val="22"/>
                <w:lang w:val="hr-HR"/>
              </w:rPr>
              <w:br/>
              <w:t>S-Ibuprofen PIK</w:t>
            </w:r>
            <w:r w:rsidRPr="00913317">
              <w:rPr>
                <w:rFonts w:cs="Times New Roman"/>
                <w:sz w:val="22"/>
                <w:szCs w:val="22"/>
                <w:vertAlign w:val="subscript"/>
                <w:lang w:val="hr-HR"/>
              </w:rPr>
              <w:t>0→∞</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100%</w:t>
            </w:r>
          </w:p>
          <w:p w14:paraId="6443CF5F" w14:textId="77777777" w:rsidR="005A7815" w:rsidRPr="008C59C8"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187769F3"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3307B5">
              <w:rPr>
                <w:rFonts w:cs="Times New Roman"/>
                <w:sz w:val="22"/>
                <w:szCs w:val="22"/>
                <w:lang w:val="hr-HR"/>
              </w:rPr>
              <w:t>Diklofenak C</w:t>
            </w:r>
            <w:r w:rsidRPr="003307B5">
              <w:rPr>
                <w:rFonts w:cs="Times New Roman"/>
                <w:sz w:val="22"/>
                <w:szCs w:val="22"/>
                <w:vertAlign w:val="subscript"/>
                <w:lang w:val="hr-HR"/>
              </w:rPr>
              <w:t>max</w:t>
            </w:r>
            <w:r w:rsidRPr="0029457E">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114%</w:t>
            </w:r>
            <w:r w:rsidRPr="00913317">
              <w:rPr>
                <w:rFonts w:cs="Times New Roman"/>
                <w:sz w:val="22"/>
                <w:szCs w:val="22"/>
                <w:lang w:val="hr-HR"/>
              </w:rPr>
              <w:br/>
              <w:t>Diklofenak PIK</w:t>
            </w:r>
            <w:r w:rsidRPr="00913317">
              <w:rPr>
                <w:rFonts w:cs="Times New Roman"/>
                <w:sz w:val="22"/>
                <w:szCs w:val="22"/>
                <w:vertAlign w:val="subscript"/>
                <w:lang w:val="hr-HR"/>
              </w:rPr>
              <w:t>0→∞</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78%</w:t>
            </w:r>
          </w:p>
        </w:tc>
        <w:tc>
          <w:tcPr>
            <w:tcW w:w="1751" w:type="pct"/>
          </w:tcPr>
          <w:p w14:paraId="38283B1C" w14:textId="5689B953" w:rsidR="005A7815" w:rsidRPr="009C1794"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 xml:space="preserve">Preporučuje se </w:t>
            </w:r>
            <w:r w:rsidR="00B72E13" w:rsidRPr="008C59C8">
              <w:rPr>
                <w:rFonts w:cs="Times New Roman"/>
                <w:sz w:val="22"/>
                <w:szCs w:val="22"/>
                <w:lang w:val="hr-HR"/>
              </w:rPr>
              <w:t xml:space="preserve">često </w:t>
            </w:r>
            <w:r w:rsidRPr="003307B5">
              <w:rPr>
                <w:rFonts w:cs="Times New Roman"/>
                <w:sz w:val="22"/>
                <w:szCs w:val="22"/>
                <w:lang w:val="hr-HR"/>
              </w:rPr>
              <w:t xml:space="preserve">praćenje neželjenih dejstava i toksičnosti koja je povezana sa </w:t>
            </w:r>
            <w:r w:rsidR="004D45E7" w:rsidRPr="0029457E">
              <w:rPr>
                <w:rFonts w:cs="Times New Roman"/>
                <w:sz w:val="22"/>
                <w:szCs w:val="22"/>
                <w:lang w:val="hr-HR"/>
              </w:rPr>
              <w:t>primjen</w:t>
            </w:r>
            <w:r w:rsidRPr="009C1794">
              <w:rPr>
                <w:rFonts w:cs="Times New Roman"/>
                <w:sz w:val="22"/>
                <w:szCs w:val="22"/>
                <w:lang w:val="hr-HR"/>
              </w:rPr>
              <w:t>om NSAIL. Smanjenje doze NSAIL može biti neophodno.</w:t>
            </w:r>
          </w:p>
        </w:tc>
      </w:tr>
      <w:tr w:rsidR="00935053" w:rsidRPr="0054718D" w14:paraId="203BEF75" w14:textId="77777777" w:rsidTr="00581521">
        <w:trPr>
          <w:gridAfter w:val="1"/>
          <w:wAfter w:w="21" w:type="pct"/>
        </w:trPr>
        <w:tc>
          <w:tcPr>
            <w:tcW w:w="1415" w:type="pct"/>
          </w:tcPr>
          <w:p w14:paraId="49AA4290"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Omeprazol (40 mg jednom dnevno)</w:t>
            </w:r>
            <w:r w:rsidRPr="00913317">
              <w:rPr>
                <w:rFonts w:cs="Times New Roman"/>
                <w:sz w:val="22"/>
                <w:szCs w:val="22"/>
                <w:vertAlign w:val="superscript"/>
                <w:lang w:val="hr-HR"/>
              </w:rPr>
              <w:t>*</w:t>
            </w:r>
            <w:r w:rsidRPr="00913317">
              <w:rPr>
                <w:rFonts w:cs="Times New Roman"/>
                <w:sz w:val="22"/>
                <w:szCs w:val="22"/>
                <w:lang w:val="hr-HR"/>
              </w:rPr>
              <w:br/>
            </w:r>
            <w:r w:rsidRPr="00913317">
              <w:rPr>
                <w:rFonts w:cs="Times New Roman"/>
                <w:i/>
                <w:sz w:val="22"/>
                <w:szCs w:val="22"/>
                <w:lang w:val="hr-HR"/>
              </w:rPr>
              <w:t>[CYP2C19 inhibitor; CYP2C19 i CYP3A4 supstrat]</w:t>
            </w:r>
          </w:p>
          <w:p w14:paraId="23C85CC4"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p>
          <w:p w14:paraId="589B857F"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p>
        </w:tc>
        <w:tc>
          <w:tcPr>
            <w:tcW w:w="1813" w:type="pct"/>
          </w:tcPr>
          <w:p w14:paraId="615D3F1D"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Omeprazol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116%</w:t>
            </w:r>
            <w:r w:rsidRPr="00913317">
              <w:rPr>
                <w:rFonts w:cs="Times New Roman"/>
                <w:sz w:val="22"/>
                <w:szCs w:val="22"/>
                <w:lang w:val="hr-HR"/>
              </w:rPr>
              <w:br/>
              <w:t>Omeprazol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280%</w:t>
            </w:r>
          </w:p>
          <w:p w14:paraId="514B1D8A"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Vorikonazol C</w:t>
            </w:r>
            <w:r w:rsidRPr="008C59C8">
              <w:rPr>
                <w:rFonts w:cs="Times New Roman"/>
                <w:sz w:val="22"/>
                <w:szCs w:val="22"/>
                <w:vertAlign w:val="subscript"/>
                <w:lang w:val="hr-HR"/>
              </w:rPr>
              <w:t>max</w:t>
            </w:r>
            <w:r w:rsidRPr="003307B5">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15%</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41%</w:t>
            </w:r>
          </w:p>
          <w:p w14:paraId="49B92773" w14:textId="77777777" w:rsidR="005A7815" w:rsidRPr="008C59C8"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5F2B4B54" w14:textId="1D1DA369" w:rsidR="005A7815" w:rsidRPr="0029457E" w:rsidRDefault="005A7815" w:rsidP="00D72925">
            <w:pPr>
              <w:rPr>
                <w:szCs w:val="22"/>
                <w:lang w:val="hr-HR"/>
              </w:rPr>
            </w:pPr>
            <w:r w:rsidRPr="003307B5">
              <w:rPr>
                <w:szCs w:val="22"/>
                <w:lang w:val="hr-HR"/>
              </w:rPr>
              <w:t xml:space="preserve">Vorikonazol može da inhibra i metabolizam drugih inhibitora protonske pumpe koji su supstrati CYP2C19, što može dovesti do povećanja koncentracije ovih </w:t>
            </w:r>
            <w:r w:rsidR="004D45E7" w:rsidRPr="003307B5">
              <w:rPr>
                <w:szCs w:val="22"/>
                <w:lang w:val="hr-HR"/>
              </w:rPr>
              <w:t>ljekov</w:t>
            </w:r>
            <w:r w:rsidRPr="0029457E">
              <w:rPr>
                <w:szCs w:val="22"/>
                <w:lang w:val="hr-HR"/>
              </w:rPr>
              <w:t>a u plazmi.</w:t>
            </w:r>
          </w:p>
        </w:tc>
        <w:tc>
          <w:tcPr>
            <w:tcW w:w="1751" w:type="pct"/>
          </w:tcPr>
          <w:p w14:paraId="1AF5CC94" w14:textId="77777777" w:rsidR="005A7815" w:rsidRPr="0029457E"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 xml:space="preserve">Nije potrebno prilagođavanje doze vorikonazola.  </w:t>
            </w:r>
          </w:p>
          <w:p w14:paraId="62B6154B"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7E5BBBAE" w14:textId="548E2C94"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Kada se </w:t>
            </w:r>
            <w:r w:rsidR="00D10B24" w:rsidRPr="00913317">
              <w:rPr>
                <w:rFonts w:cs="Times New Roman"/>
                <w:sz w:val="22"/>
                <w:szCs w:val="22"/>
                <w:lang w:val="hr-HR"/>
              </w:rPr>
              <w:t>za</w:t>
            </w:r>
            <w:r w:rsidRPr="00913317">
              <w:rPr>
                <w:rFonts w:cs="Times New Roman"/>
                <w:sz w:val="22"/>
                <w:szCs w:val="22"/>
                <w:lang w:val="hr-HR"/>
              </w:rPr>
              <w:t xml:space="preserve">počne terapija vorikonazolom kod pacijenata koji već primaju omeprazol u dozi od 40 mg i više, preporučuje se da se doza omeprazola smanji za pola. </w:t>
            </w:r>
          </w:p>
        </w:tc>
      </w:tr>
      <w:tr w:rsidR="00935053" w:rsidRPr="0054718D" w14:paraId="5D230820" w14:textId="77777777" w:rsidTr="00581521">
        <w:trPr>
          <w:gridAfter w:val="1"/>
          <w:wAfter w:w="21" w:type="pct"/>
        </w:trPr>
        <w:tc>
          <w:tcPr>
            <w:tcW w:w="1415" w:type="pct"/>
          </w:tcPr>
          <w:p w14:paraId="365E2EE6"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Oralni kontraceptivi</w:t>
            </w:r>
            <w:r w:rsidRPr="00913317">
              <w:rPr>
                <w:rFonts w:cs="Times New Roman"/>
                <w:sz w:val="22"/>
                <w:szCs w:val="22"/>
                <w:vertAlign w:val="superscript"/>
                <w:lang w:val="hr-HR"/>
              </w:rPr>
              <w:t>*</w:t>
            </w:r>
            <w:r w:rsidRPr="00913317">
              <w:rPr>
                <w:rFonts w:cs="Times New Roman"/>
                <w:sz w:val="22"/>
                <w:szCs w:val="22"/>
                <w:lang w:val="hr-HR"/>
              </w:rPr>
              <w:t xml:space="preserve"> </w:t>
            </w:r>
          </w:p>
          <w:p w14:paraId="563A0DC3"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i/>
                <w:sz w:val="22"/>
                <w:szCs w:val="22"/>
                <w:lang w:val="hr-HR"/>
              </w:rPr>
            </w:pPr>
            <w:r w:rsidRPr="00913317">
              <w:rPr>
                <w:rFonts w:cs="Times New Roman"/>
                <w:i/>
                <w:sz w:val="22"/>
                <w:szCs w:val="22"/>
                <w:lang w:val="hr-HR"/>
              </w:rPr>
              <w:t>[CYP3A4 supstrat</w:t>
            </w:r>
            <w:r w:rsidR="003E7EE8" w:rsidRPr="00913317">
              <w:rPr>
                <w:rFonts w:cs="Times New Roman"/>
                <w:i/>
                <w:sz w:val="22"/>
                <w:szCs w:val="22"/>
                <w:lang w:val="hr-HR"/>
              </w:rPr>
              <w:t>i</w:t>
            </w:r>
            <w:r w:rsidRPr="00913317">
              <w:rPr>
                <w:rFonts w:cs="Times New Roman"/>
                <w:i/>
                <w:sz w:val="22"/>
                <w:szCs w:val="22"/>
                <w:lang w:val="hr-HR"/>
              </w:rPr>
              <w:t>; CYP2C19 inhibitor</w:t>
            </w:r>
            <w:r w:rsidR="003E7EE8" w:rsidRPr="00913317">
              <w:rPr>
                <w:rFonts w:cs="Times New Roman"/>
                <w:i/>
                <w:sz w:val="22"/>
                <w:szCs w:val="22"/>
                <w:lang w:val="hr-HR"/>
              </w:rPr>
              <w:t>i</w:t>
            </w:r>
            <w:r w:rsidRPr="00913317">
              <w:rPr>
                <w:rFonts w:cs="Times New Roman"/>
                <w:i/>
                <w:sz w:val="22"/>
                <w:szCs w:val="22"/>
                <w:lang w:val="hr-HR"/>
              </w:rPr>
              <w:t>]</w:t>
            </w:r>
          </w:p>
          <w:p w14:paraId="0C2ED460"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Noretisteron/etinilestradiol</w:t>
            </w:r>
            <w:r w:rsidRPr="00913317">
              <w:rPr>
                <w:rFonts w:cs="Times New Roman"/>
                <w:sz w:val="22"/>
                <w:szCs w:val="22"/>
                <w:lang w:val="hr-HR"/>
              </w:rPr>
              <w:br/>
              <w:t xml:space="preserve">(1 mg/0,035 mg jednom dnevno) </w:t>
            </w:r>
          </w:p>
        </w:tc>
        <w:tc>
          <w:tcPr>
            <w:tcW w:w="1813" w:type="pct"/>
          </w:tcPr>
          <w:p w14:paraId="7B9614E1"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Etinilestradiol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36%</w:t>
            </w:r>
            <w:r w:rsidRPr="00913317">
              <w:rPr>
                <w:rFonts w:cs="Times New Roman"/>
                <w:sz w:val="22"/>
                <w:szCs w:val="22"/>
                <w:lang w:val="hr-HR"/>
              </w:rPr>
              <w:br/>
              <w:t>Etinilestradiol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61%</w:t>
            </w:r>
          </w:p>
          <w:p w14:paraId="47ABE9CF"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Noretisteron C</w:t>
            </w:r>
            <w:r w:rsidRPr="008C59C8">
              <w:rPr>
                <w:rFonts w:cs="Times New Roman"/>
                <w:sz w:val="22"/>
                <w:szCs w:val="22"/>
                <w:vertAlign w:val="subscript"/>
                <w:lang w:val="hr-HR"/>
              </w:rPr>
              <w:t>max</w:t>
            </w:r>
            <w:r w:rsidRPr="003307B5">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15%</w:t>
            </w:r>
            <w:r w:rsidRPr="00913317">
              <w:rPr>
                <w:rFonts w:cs="Times New Roman"/>
                <w:sz w:val="22"/>
                <w:szCs w:val="22"/>
                <w:lang w:val="hr-HR"/>
              </w:rPr>
              <w:br/>
              <w:t>Noretisteron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53%</w:t>
            </w:r>
          </w:p>
          <w:p w14:paraId="29357D99"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Vorikonazol C</w:t>
            </w:r>
            <w:r w:rsidRPr="008C59C8">
              <w:rPr>
                <w:rFonts w:cs="Times New Roman"/>
                <w:sz w:val="22"/>
                <w:szCs w:val="22"/>
                <w:vertAlign w:val="subscript"/>
                <w:lang w:val="hr-HR"/>
              </w:rPr>
              <w:t>max</w:t>
            </w:r>
            <w:r w:rsidRPr="003307B5">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14%</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46%</w:t>
            </w:r>
          </w:p>
        </w:tc>
        <w:tc>
          <w:tcPr>
            <w:tcW w:w="1751" w:type="pct"/>
          </w:tcPr>
          <w:p w14:paraId="0420106E" w14:textId="6D5113F0" w:rsidR="0024139F" w:rsidRPr="009C1794"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 xml:space="preserve">Preporučuje se praćenje neželjenih </w:t>
            </w:r>
            <w:r w:rsidR="00A81077" w:rsidRPr="003307B5">
              <w:rPr>
                <w:rFonts w:cs="Times New Roman"/>
                <w:sz w:val="22"/>
                <w:szCs w:val="22"/>
                <w:lang w:val="hr-HR"/>
              </w:rPr>
              <w:t>reakcija</w:t>
            </w:r>
            <w:r w:rsidRPr="003307B5">
              <w:rPr>
                <w:rFonts w:cs="Times New Roman"/>
                <w:sz w:val="22"/>
                <w:szCs w:val="22"/>
                <w:lang w:val="hr-HR"/>
              </w:rPr>
              <w:t xml:space="preserve"> povezanih sa oralnim kontraceptivima kao i onih povezanih sa voriko</w:t>
            </w:r>
            <w:r w:rsidRPr="0029457E">
              <w:rPr>
                <w:rFonts w:cs="Times New Roman"/>
                <w:sz w:val="22"/>
                <w:szCs w:val="22"/>
                <w:lang w:val="hr-HR"/>
              </w:rPr>
              <w:t>nazolom.</w:t>
            </w:r>
          </w:p>
        </w:tc>
      </w:tr>
      <w:tr w:rsidR="00935053" w:rsidRPr="0054718D" w14:paraId="4D458B90" w14:textId="77777777" w:rsidTr="00581521">
        <w:trPr>
          <w:gridAfter w:val="1"/>
          <w:wAfter w:w="21" w:type="pct"/>
        </w:trPr>
        <w:tc>
          <w:tcPr>
            <w:tcW w:w="1415" w:type="pct"/>
          </w:tcPr>
          <w:p w14:paraId="23FBAE5C" w14:textId="77777777" w:rsidR="005A7815" w:rsidRPr="00913317" w:rsidRDefault="005A7815" w:rsidP="00D72925">
            <w:pPr>
              <w:pStyle w:val="TableText"/>
              <w:tabs>
                <w:tab w:val="left" w:pos="360"/>
              </w:tabs>
              <w:overflowPunct w:val="0"/>
              <w:autoSpaceDE w:val="0"/>
              <w:autoSpaceDN w:val="0"/>
              <w:adjustRightInd w:val="0"/>
              <w:ind w:left="216" w:hanging="216"/>
              <w:jc w:val="both"/>
              <w:textAlignment w:val="baseline"/>
              <w:rPr>
                <w:rFonts w:cs="Times New Roman"/>
                <w:sz w:val="22"/>
                <w:szCs w:val="22"/>
                <w:lang w:val="hr-HR"/>
              </w:rPr>
            </w:pPr>
            <w:r w:rsidRPr="00913317">
              <w:rPr>
                <w:rFonts w:cs="Times New Roman"/>
                <w:snapToGrid w:val="0"/>
                <w:sz w:val="22"/>
                <w:szCs w:val="22"/>
                <w:lang w:val="hr-HR"/>
              </w:rPr>
              <w:t>Opijati kratkog dejstva</w:t>
            </w:r>
          </w:p>
          <w:p w14:paraId="095CC722" w14:textId="77777777" w:rsidR="005A7815" w:rsidRPr="00913317" w:rsidRDefault="005A7815" w:rsidP="00D72925">
            <w:pPr>
              <w:pStyle w:val="TableText"/>
              <w:keepNext/>
              <w:tabs>
                <w:tab w:val="left" w:pos="360"/>
              </w:tabs>
              <w:overflowPunct w:val="0"/>
              <w:autoSpaceDE w:val="0"/>
              <w:autoSpaceDN w:val="0"/>
              <w:adjustRightInd w:val="0"/>
              <w:ind w:left="216" w:hanging="216"/>
              <w:jc w:val="both"/>
              <w:textAlignment w:val="baseline"/>
              <w:rPr>
                <w:rFonts w:cs="Times New Roman"/>
                <w:i/>
                <w:sz w:val="22"/>
                <w:szCs w:val="22"/>
                <w:lang w:val="hr-HR"/>
              </w:rPr>
            </w:pPr>
            <w:r w:rsidRPr="00913317">
              <w:rPr>
                <w:rFonts w:cs="Times New Roman"/>
                <w:i/>
                <w:sz w:val="22"/>
                <w:szCs w:val="22"/>
                <w:lang w:val="hr-HR"/>
              </w:rPr>
              <w:t xml:space="preserve"> [CYP3A4 supstrati]</w:t>
            </w:r>
            <w:r w:rsidRPr="00913317">
              <w:rPr>
                <w:rFonts w:cs="Times New Roman"/>
                <w:i/>
                <w:sz w:val="22"/>
                <w:szCs w:val="22"/>
                <w:lang w:val="hr-HR"/>
              </w:rPr>
              <w:br/>
            </w:r>
          </w:p>
          <w:p w14:paraId="4750104F" w14:textId="702B62EC" w:rsidR="005A7815" w:rsidRPr="00913317" w:rsidRDefault="00CF4427" w:rsidP="00D72925">
            <w:pPr>
              <w:pStyle w:val="TableText"/>
              <w:keepNext/>
              <w:tabs>
                <w:tab w:val="left" w:pos="360"/>
              </w:tabs>
              <w:overflowPunct w:val="0"/>
              <w:autoSpaceDE w:val="0"/>
              <w:autoSpaceDN w:val="0"/>
              <w:adjustRightInd w:val="0"/>
              <w:ind w:hanging="71"/>
              <w:jc w:val="both"/>
              <w:textAlignment w:val="baseline"/>
              <w:rPr>
                <w:rFonts w:cs="Times New Roman"/>
                <w:sz w:val="22"/>
                <w:szCs w:val="22"/>
                <w:lang w:val="hr-HR"/>
              </w:rPr>
            </w:pPr>
            <w:r w:rsidRPr="00913317">
              <w:rPr>
                <w:rFonts w:cs="Times New Roman"/>
                <w:sz w:val="22"/>
                <w:szCs w:val="22"/>
                <w:lang w:val="hr-HR"/>
              </w:rPr>
              <w:t xml:space="preserve"> </w:t>
            </w:r>
            <w:r w:rsidR="00F433A7" w:rsidRPr="00913317">
              <w:rPr>
                <w:rFonts w:cs="Times New Roman"/>
                <w:sz w:val="22"/>
                <w:szCs w:val="22"/>
                <w:lang w:val="hr-HR"/>
              </w:rPr>
              <w:t xml:space="preserve">Alfentanil (20 </w:t>
            </w:r>
            <w:r w:rsidR="003256B9" w:rsidRPr="00913317">
              <w:rPr>
                <w:rFonts w:cs="Times New Roman"/>
                <w:sz w:val="22"/>
                <w:szCs w:val="22"/>
                <w:lang w:val="hr-HR"/>
              </w:rPr>
              <w:t>mikrogram</w:t>
            </w:r>
            <w:r w:rsidR="004B024D" w:rsidRPr="00913317">
              <w:rPr>
                <w:rFonts w:cs="Times New Roman"/>
                <w:sz w:val="22"/>
                <w:szCs w:val="22"/>
                <w:lang w:val="hr-HR"/>
              </w:rPr>
              <w:t>a</w:t>
            </w:r>
            <w:r w:rsidR="00F433A7" w:rsidRPr="00913317">
              <w:rPr>
                <w:rFonts w:cs="Times New Roman"/>
                <w:sz w:val="22"/>
                <w:szCs w:val="22"/>
                <w:lang w:val="hr-HR"/>
              </w:rPr>
              <w:t xml:space="preserve">/kg pojedinačna doza, istovremeno </w:t>
            </w:r>
            <w:r w:rsidR="004D45E7" w:rsidRPr="00913317">
              <w:rPr>
                <w:rFonts w:cs="Times New Roman"/>
                <w:sz w:val="22"/>
                <w:szCs w:val="22"/>
                <w:lang w:val="hr-HR"/>
              </w:rPr>
              <w:t>prim</w:t>
            </w:r>
            <w:r w:rsidRPr="00913317">
              <w:rPr>
                <w:rFonts w:cs="Times New Roman"/>
                <w:sz w:val="22"/>
                <w:szCs w:val="22"/>
                <w:lang w:val="hr-HR"/>
              </w:rPr>
              <w:t>i</w:t>
            </w:r>
            <w:r w:rsidR="004D45E7" w:rsidRPr="00913317">
              <w:rPr>
                <w:rFonts w:cs="Times New Roman"/>
                <w:sz w:val="22"/>
                <w:szCs w:val="22"/>
                <w:lang w:val="hr-HR"/>
              </w:rPr>
              <w:t>jen</w:t>
            </w:r>
            <w:r w:rsidR="00F433A7" w:rsidRPr="00913317">
              <w:rPr>
                <w:rFonts w:cs="Times New Roman"/>
                <w:sz w:val="22"/>
                <w:szCs w:val="22"/>
                <w:lang w:val="hr-HR"/>
              </w:rPr>
              <w:t>jen sa naloksonom)</w:t>
            </w:r>
            <w:r w:rsidR="00F433A7" w:rsidRPr="00913317">
              <w:rPr>
                <w:rFonts w:cs="Times New Roman"/>
                <w:sz w:val="22"/>
                <w:szCs w:val="22"/>
                <w:lang w:val="hr-HR"/>
              </w:rPr>
              <w:br/>
            </w:r>
          </w:p>
          <w:p w14:paraId="658E7FF0" w14:textId="77777777" w:rsidR="006131C3" w:rsidRPr="00913317" w:rsidRDefault="006131C3" w:rsidP="00D72925">
            <w:pPr>
              <w:pStyle w:val="TableText"/>
              <w:tabs>
                <w:tab w:val="left" w:pos="284"/>
                <w:tab w:val="left" w:pos="360"/>
              </w:tabs>
              <w:overflowPunct w:val="0"/>
              <w:autoSpaceDE w:val="0"/>
              <w:autoSpaceDN w:val="0"/>
              <w:adjustRightInd w:val="0"/>
              <w:ind w:left="144"/>
              <w:jc w:val="both"/>
              <w:textAlignment w:val="baseline"/>
              <w:rPr>
                <w:rFonts w:cs="Times New Roman"/>
                <w:sz w:val="22"/>
                <w:szCs w:val="22"/>
                <w:lang w:val="hr-HR"/>
              </w:rPr>
            </w:pPr>
          </w:p>
          <w:p w14:paraId="26CF00D7" w14:textId="4F50B1D4" w:rsidR="005A7815" w:rsidRPr="00913317" w:rsidRDefault="00F433A7"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Fentanil (5 </w:t>
            </w:r>
            <w:r w:rsidR="003256B9" w:rsidRPr="00913317">
              <w:rPr>
                <w:rFonts w:cs="Times New Roman"/>
                <w:sz w:val="22"/>
                <w:szCs w:val="22"/>
                <w:lang w:val="hr-HR"/>
              </w:rPr>
              <w:t>mikrogram</w:t>
            </w:r>
            <w:r w:rsidR="004B024D" w:rsidRPr="00913317">
              <w:rPr>
                <w:rFonts w:cs="Times New Roman"/>
                <w:sz w:val="22"/>
                <w:szCs w:val="22"/>
                <w:lang w:val="hr-HR"/>
              </w:rPr>
              <w:t>a</w:t>
            </w:r>
            <w:r w:rsidRPr="00913317">
              <w:rPr>
                <w:rFonts w:cs="Times New Roman"/>
                <w:sz w:val="22"/>
                <w:szCs w:val="22"/>
                <w:lang w:val="hr-HR"/>
              </w:rPr>
              <w:t>/kg pojedinačna doza)</w:t>
            </w:r>
          </w:p>
        </w:tc>
        <w:tc>
          <w:tcPr>
            <w:tcW w:w="1813" w:type="pct"/>
          </w:tcPr>
          <w:p w14:paraId="6E600C19" w14:textId="77777777" w:rsidR="005A7815" w:rsidRPr="00913317"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p>
          <w:p w14:paraId="75BD0CAC" w14:textId="77777777" w:rsidR="005A7815" w:rsidRPr="00913317"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p>
          <w:p w14:paraId="709C0A68" w14:textId="77777777" w:rsidR="005A7815" w:rsidRPr="00913317"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p>
          <w:p w14:paraId="2D483596" w14:textId="77777777" w:rsidR="005A7815" w:rsidRPr="00913317"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U jednoj nezavisnoj objavljenoj studiji,</w:t>
            </w:r>
          </w:p>
          <w:p w14:paraId="463C946F" w14:textId="77777777" w:rsidR="005A7815" w:rsidRPr="00913317"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Alfentanil PIK</w:t>
            </w:r>
            <w:r w:rsidRPr="00913317">
              <w:rPr>
                <w:rFonts w:cs="Times New Roman"/>
                <w:sz w:val="22"/>
                <w:szCs w:val="22"/>
                <w:vertAlign w:val="subscript"/>
                <w:lang w:val="hr-HR"/>
              </w:rPr>
              <w:t>0→∞</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6-puta</w:t>
            </w:r>
          </w:p>
          <w:p w14:paraId="1D17311B" w14:textId="77777777" w:rsidR="005A7815" w:rsidRPr="008C59C8"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p>
          <w:p w14:paraId="1DC396ED" w14:textId="77777777" w:rsidR="005A7815" w:rsidRPr="003307B5"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r w:rsidRPr="003307B5">
              <w:rPr>
                <w:rFonts w:cs="Times New Roman"/>
                <w:sz w:val="22"/>
                <w:szCs w:val="22"/>
                <w:lang w:val="hr-HR"/>
              </w:rPr>
              <w:t>U jednoj nezavisnoj objavljenoj studiji,</w:t>
            </w:r>
          </w:p>
          <w:p w14:paraId="7381CBD3"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Fentanil PIK</w:t>
            </w:r>
            <w:r w:rsidRPr="009C1794">
              <w:rPr>
                <w:rFonts w:cs="Times New Roman"/>
                <w:sz w:val="22"/>
                <w:szCs w:val="22"/>
                <w:vertAlign w:val="subscript"/>
                <w:lang w:val="hr-HR"/>
              </w:rPr>
              <w:t>0→∞</w:t>
            </w:r>
            <w:r w:rsidRPr="009C1794">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w:t>
            </w:r>
            <w:r w:rsidR="00426F1F" w:rsidRPr="00913317">
              <w:rPr>
                <w:rFonts w:cs="Times New Roman"/>
                <w:sz w:val="22"/>
                <w:szCs w:val="22"/>
                <w:lang w:val="hr-HR"/>
              </w:rPr>
              <w:t>,</w:t>
            </w:r>
            <w:r w:rsidRPr="00913317">
              <w:rPr>
                <w:rFonts w:cs="Times New Roman"/>
                <w:sz w:val="22"/>
                <w:szCs w:val="22"/>
                <w:lang w:val="hr-HR"/>
              </w:rPr>
              <w:t>34-puta</w:t>
            </w:r>
          </w:p>
        </w:tc>
        <w:tc>
          <w:tcPr>
            <w:tcW w:w="1751" w:type="pct"/>
          </w:tcPr>
          <w:p w14:paraId="557553AA" w14:textId="65C303AE" w:rsidR="005A7815" w:rsidRPr="00913317" w:rsidRDefault="005A7815" w:rsidP="00D72925">
            <w:pPr>
              <w:rPr>
                <w:szCs w:val="22"/>
                <w:u w:val="single"/>
                <w:lang w:val="hr-HR"/>
              </w:rPr>
            </w:pPr>
            <w:r w:rsidRPr="008C59C8">
              <w:rPr>
                <w:szCs w:val="22"/>
                <w:lang w:val="hr-HR"/>
              </w:rPr>
              <w:t xml:space="preserve">Treba razmotriti smanjenje doze alfentanila, fentanila i drugih opijata kratkog dejstva slične strukture kao alfentanil koji se metabolišu preko CYP3A4 (npr. sufentanil). Preporučuje se </w:t>
            </w:r>
            <w:r w:rsidR="00A81077" w:rsidRPr="003307B5">
              <w:rPr>
                <w:szCs w:val="22"/>
                <w:lang w:val="hr-HR"/>
              </w:rPr>
              <w:t xml:space="preserve">dugotrajno i </w:t>
            </w:r>
            <w:r w:rsidRPr="003307B5">
              <w:rPr>
                <w:szCs w:val="22"/>
                <w:lang w:val="hr-HR"/>
              </w:rPr>
              <w:t xml:space="preserve">često praćenje u cilju otkrivanja respiratorne depresije i drugih neželjenih </w:t>
            </w:r>
            <w:r w:rsidR="00A81077" w:rsidRPr="0029457E">
              <w:rPr>
                <w:szCs w:val="22"/>
                <w:lang w:val="hr-HR"/>
              </w:rPr>
              <w:t xml:space="preserve">reakcija </w:t>
            </w:r>
            <w:r w:rsidRPr="00913317">
              <w:rPr>
                <w:szCs w:val="22"/>
                <w:lang w:val="hr-HR"/>
              </w:rPr>
              <w:t>povezanih sa opijatima.</w:t>
            </w:r>
          </w:p>
          <w:p w14:paraId="11177DE6"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tc>
      </w:tr>
      <w:tr w:rsidR="00935053" w:rsidRPr="0054718D" w14:paraId="31D38072" w14:textId="77777777" w:rsidTr="00581521">
        <w:trPr>
          <w:gridAfter w:val="1"/>
          <w:wAfter w:w="21" w:type="pct"/>
        </w:trPr>
        <w:tc>
          <w:tcPr>
            <w:tcW w:w="1415" w:type="pct"/>
          </w:tcPr>
          <w:p w14:paraId="0007F732"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Statini (npr. lovastatin)</w:t>
            </w:r>
            <w:r w:rsidRPr="00913317">
              <w:rPr>
                <w:rFonts w:cs="Times New Roman"/>
                <w:sz w:val="22"/>
                <w:szCs w:val="22"/>
                <w:lang w:val="hr-HR"/>
              </w:rPr>
              <w:br/>
            </w:r>
            <w:r w:rsidRPr="00913317">
              <w:rPr>
                <w:rFonts w:cs="Times New Roman"/>
                <w:i/>
                <w:sz w:val="22"/>
                <w:szCs w:val="22"/>
                <w:lang w:val="hr-HR"/>
              </w:rPr>
              <w:t>[CYP3A4 supstrati]</w:t>
            </w:r>
          </w:p>
        </w:tc>
        <w:tc>
          <w:tcPr>
            <w:tcW w:w="1813" w:type="pct"/>
          </w:tcPr>
          <w:p w14:paraId="4CA2F182" w14:textId="39DA039C" w:rsidR="005A7815" w:rsidRPr="00913317" w:rsidRDefault="005A7815" w:rsidP="00D72925">
            <w:pPr>
              <w:pStyle w:val="TableText"/>
              <w:keepN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Iako nije ispitivano, vorikonazol može da poveća koncentracije statina koji se metabolišu preko CYP3A4 i dovede do rabdomiolize. </w:t>
            </w:r>
          </w:p>
        </w:tc>
        <w:tc>
          <w:tcPr>
            <w:tcW w:w="1751" w:type="pct"/>
          </w:tcPr>
          <w:p w14:paraId="2217F8D9" w14:textId="7BC954BB" w:rsidR="005A7815" w:rsidRPr="00913317" w:rsidRDefault="00830283" w:rsidP="00D72925">
            <w:pPr>
              <w:rPr>
                <w:szCs w:val="22"/>
                <w:lang w:val="hr-HR"/>
              </w:rPr>
            </w:pPr>
            <w:r w:rsidRPr="00913317">
              <w:rPr>
                <w:szCs w:val="22"/>
                <w:lang w:val="hr-HR"/>
              </w:rPr>
              <w:t xml:space="preserve">Ako nije moguće izbjeći istovremenu primjenu vorikonzaola sa statinima koje metaboliše CYP3A4, treba </w:t>
            </w:r>
            <w:r w:rsidR="005A7815" w:rsidRPr="00913317">
              <w:rPr>
                <w:szCs w:val="22"/>
                <w:lang w:val="hr-HR"/>
              </w:rPr>
              <w:t>razmotriti smanjenje doze statina.</w:t>
            </w:r>
          </w:p>
          <w:p w14:paraId="0CB25E2C"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tc>
      </w:tr>
      <w:tr w:rsidR="00935053" w:rsidRPr="00913317" w14:paraId="782D1BA8" w14:textId="77777777" w:rsidTr="00581521">
        <w:trPr>
          <w:gridAfter w:val="1"/>
          <w:wAfter w:w="21" w:type="pct"/>
        </w:trPr>
        <w:tc>
          <w:tcPr>
            <w:tcW w:w="1415" w:type="pct"/>
          </w:tcPr>
          <w:p w14:paraId="19F373AD" w14:textId="2BA3BF22"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Derivati sulfoniluree (</w:t>
            </w:r>
            <w:r w:rsidR="00947351" w:rsidRPr="00913317">
              <w:rPr>
                <w:rFonts w:cs="Times New Roman"/>
                <w:sz w:val="22"/>
                <w:szCs w:val="22"/>
                <w:lang w:val="hr-HR"/>
              </w:rPr>
              <w:t xml:space="preserve">uključujući ali ne ograničavajući se na: </w:t>
            </w:r>
            <w:r w:rsidRPr="00913317">
              <w:rPr>
                <w:rFonts w:cs="Times New Roman"/>
                <w:sz w:val="22"/>
                <w:szCs w:val="22"/>
                <w:lang w:val="hr-HR"/>
              </w:rPr>
              <w:t>tolbutamid, glipizid, gliburid)</w:t>
            </w:r>
          </w:p>
          <w:p w14:paraId="2BA97AA8"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i/>
                <w:sz w:val="22"/>
                <w:szCs w:val="22"/>
                <w:lang w:val="hr-HR"/>
              </w:rPr>
              <w:t>[CYP2C9 supstrati]</w:t>
            </w:r>
          </w:p>
        </w:tc>
        <w:tc>
          <w:tcPr>
            <w:tcW w:w="1813" w:type="pct"/>
          </w:tcPr>
          <w:p w14:paraId="1FD34B76" w14:textId="77777777" w:rsidR="005A7815" w:rsidRPr="00913317" w:rsidRDefault="005A7815" w:rsidP="00D72925">
            <w:pPr>
              <w:rPr>
                <w:szCs w:val="22"/>
                <w:lang w:val="hr-HR"/>
              </w:rPr>
            </w:pPr>
            <w:r w:rsidRPr="00913317">
              <w:rPr>
                <w:szCs w:val="22"/>
                <w:lang w:val="hr-HR"/>
              </w:rPr>
              <w:t xml:space="preserve">Iako nije ispitivano, vorikonazol može da poveća koncentraciju derivata sulfonilureje u plazmi i zato prouzrokuje hipoglikemiju. </w:t>
            </w:r>
          </w:p>
        </w:tc>
        <w:tc>
          <w:tcPr>
            <w:tcW w:w="1751" w:type="pct"/>
          </w:tcPr>
          <w:p w14:paraId="0802ABD6" w14:textId="5EDCF40D" w:rsidR="005A7815" w:rsidRPr="00913317" w:rsidRDefault="005A7815" w:rsidP="00D72925">
            <w:pPr>
              <w:rPr>
                <w:szCs w:val="22"/>
                <w:lang w:val="hr-HR"/>
              </w:rPr>
            </w:pPr>
            <w:r w:rsidRPr="00913317">
              <w:rPr>
                <w:szCs w:val="22"/>
                <w:lang w:val="hr-HR"/>
              </w:rPr>
              <w:t xml:space="preserve">Preporučuje se pažljivo praćenje </w:t>
            </w:r>
            <w:r w:rsidR="00A81077" w:rsidRPr="00913317">
              <w:rPr>
                <w:szCs w:val="22"/>
                <w:lang w:val="hr-HR"/>
              </w:rPr>
              <w:t>koncentracije glukoze u krvi</w:t>
            </w:r>
            <w:r w:rsidRPr="00913317">
              <w:rPr>
                <w:szCs w:val="22"/>
                <w:lang w:val="hr-HR"/>
              </w:rPr>
              <w:t>. Treba razmotriti smanjenje doze derivata sulfonilureje.</w:t>
            </w:r>
          </w:p>
          <w:p w14:paraId="6986EC88"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 </w:t>
            </w:r>
          </w:p>
        </w:tc>
      </w:tr>
      <w:tr w:rsidR="00935053" w:rsidRPr="0054718D" w14:paraId="10CD6CA0" w14:textId="77777777" w:rsidTr="00581521">
        <w:trPr>
          <w:gridAfter w:val="1"/>
          <w:wAfter w:w="21" w:type="pct"/>
        </w:trPr>
        <w:tc>
          <w:tcPr>
            <w:tcW w:w="1415" w:type="pct"/>
          </w:tcPr>
          <w:p w14:paraId="758AFEB4" w14:textId="40B1E626"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Vinka alkaloidi (</w:t>
            </w:r>
            <w:r w:rsidR="00947351" w:rsidRPr="00913317">
              <w:rPr>
                <w:rFonts w:cs="Times New Roman"/>
                <w:sz w:val="22"/>
                <w:szCs w:val="22"/>
                <w:lang w:val="hr-HR"/>
              </w:rPr>
              <w:t xml:space="preserve">uključujući ali ne ograničavajući se na: </w:t>
            </w:r>
            <w:r w:rsidRPr="00913317">
              <w:rPr>
                <w:rFonts w:cs="Times New Roman"/>
                <w:sz w:val="22"/>
                <w:szCs w:val="22"/>
                <w:lang w:val="hr-HR"/>
              </w:rPr>
              <w:t>vinkristin i vinblastin)</w:t>
            </w:r>
            <w:r w:rsidRPr="00913317">
              <w:rPr>
                <w:rFonts w:cs="Times New Roman"/>
                <w:sz w:val="22"/>
                <w:szCs w:val="22"/>
                <w:lang w:val="hr-HR"/>
              </w:rPr>
              <w:br/>
            </w:r>
            <w:r w:rsidRPr="00913317">
              <w:rPr>
                <w:rFonts w:cs="Times New Roman"/>
                <w:i/>
                <w:sz w:val="22"/>
                <w:szCs w:val="22"/>
                <w:lang w:val="hr-HR"/>
              </w:rPr>
              <w:t>[CYP3A4 supstrati]</w:t>
            </w:r>
          </w:p>
        </w:tc>
        <w:tc>
          <w:tcPr>
            <w:tcW w:w="1813" w:type="pct"/>
          </w:tcPr>
          <w:p w14:paraId="705A3733" w14:textId="77777777" w:rsidR="005A7815" w:rsidRPr="00913317" w:rsidRDefault="005A7815" w:rsidP="00D72925">
            <w:pPr>
              <w:rPr>
                <w:szCs w:val="22"/>
                <w:lang w:val="hr-HR"/>
              </w:rPr>
            </w:pPr>
            <w:r w:rsidRPr="00913317">
              <w:rPr>
                <w:szCs w:val="22"/>
                <w:lang w:val="hr-HR"/>
              </w:rPr>
              <w:t xml:space="preserve">Iako nije ispitivano, vorikonazol može da poveća koncentraciju vinka alkaloida u plazmi, što dovodi do neurotoksičnosti. </w:t>
            </w:r>
          </w:p>
        </w:tc>
        <w:tc>
          <w:tcPr>
            <w:tcW w:w="1751" w:type="pct"/>
          </w:tcPr>
          <w:p w14:paraId="50048A73" w14:textId="77777777" w:rsidR="005A7815" w:rsidRPr="00913317" w:rsidRDefault="005A7815" w:rsidP="00D72925">
            <w:pPr>
              <w:rPr>
                <w:szCs w:val="22"/>
                <w:lang w:val="hr-HR"/>
              </w:rPr>
            </w:pPr>
            <w:r w:rsidRPr="00913317">
              <w:rPr>
                <w:szCs w:val="22"/>
                <w:lang w:val="hr-HR"/>
              </w:rPr>
              <w:t>Treba razmotriti smanjenje doze vinka alkaloida.</w:t>
            </w:r>
          </w:p>
          <w:p w14:paraId="59403F68"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tc>
      </w:tr>
      <w:tr w:rsidR="00935053" w:rsidRPr="0054718D" w14:paraId="7B96A88B" w14:textId="77777777" w:rsidTr="00581521">
        <w:trPr>
          <w:gridAfter w:val="1"/>
          <w:wAfter w:w="21" w:type="pct"/>
        </w:trPr>
        <w:tc>
          <w:tcPr>
            <w:tcW w:w="1415" w:type="pct"/>
          </w:tcPr>
          <w:p w14:paraId="33CCE28F" w14:textId="6DDD222A"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Drugi inhibitori HIV proteaza (</w:t>
            </w:r>
            <w:r w:rsidR="00947351" w:rsidRPr="00913317">
              <w:rPr>
                <w:rFonts w:cs="Times New Roman"/>
                <w:sz w:val="22"/>
                <w:szCs w:val="22"/>
                <w:lang w:val="hr-HR"/>
              </w:rPr>
              <w:t xml:space="preserve">uključujući ali ne ograničavajući se na: </w:t>
            </w:r>
            <w:r w:rsidRPr="00913317">
              <w:rPr>
                <w:rFonts w:cs="Times New Roman"/>
                <w:sz w:val="22"/>
                <w:szCs w:val="22"/>
                <w:lang w:val="hr-HR"/>
              </w:rPr>
              <w:t>sakvinavir, amprenavir i nelfinavir)</w:t>
            </w:r>
            <w:r w:rsidRPr="00913317">
              <w:rPr>
                <w:rFonts w:cs="Times New Roman"/>
                <w:sz w:val="22"/>
                <w:szCs w:val="22"/>
                <w:vertAlign w:val="superscript"/>
                <w:lang w:val="hr-HR"/>
              </w:rPr>
              <w:t>*</w:t>
            </w:r>
            <w:r w:rsidRPr="00913317">
              <w:rPr>
                <w:rFonts w:cs="Times New Roman"/>
                <w:sz w:val="22"/>
                <w:szCs w:val="22"/>
                <w:lang w:val="hr-HR"/>
              </w:rPr>
              <w:br/>
            </w:r>
            <w:r w:rsidRPr="00913317">
              <w:rPr>
                <w:rFonts w:cs="Times New Roman"/>
                <w:i/>
                <w:sz w:val="22"/>
                <w:szCs w:val="22"/>
                <w:lang w:val="hr-HR"/>
              </w:rPr>
              <w:t xml:space="preserve">[CYP3A4 supstrati i </w:t>
            </w:r>
            <w:r w:rsidR="004A4700" w:rsidRPr="00913317">
              <w:rPr>
                <w:rFonts w:cs="Times New Roman"/>
                <w:i/>
                <w:sz w:val="22"/>
                <w:szCs w:val="22"/>
                <w:lang w:val="hr-HR"/>
              </w:rPr>
              <w:t>inhibitori</w:t>
            </w:r>
            <w:r w:rsidRPr="00913317">
              <w:rPr>
                <w:rFonts w:cs="Times New Roman"/>
                <w:i/>
                <w:sz w:val="22"/>
                <w:szCs w:val="22"/>
                <w:lang w:val="hr-HR"/>
              </w:rPr>
              <w:t>]</w:t>
            </w:r>
          </w:p>
        </w:tc>
        <w:tc>
          <w:tcPr>
            <w:tcW w:w="1813" w:type="pct"/>
          </w:tcPr>
          <w:p w14:paraId="561C56C6" w14:textId="77777777" w:rsidR="005A7815" w:rsidRPr="00913317" w:rsidRDefault="005A7815" w:rsidP="00D72925">
            <w:pPr>
              <w:rPr>
                <w:szCs w:val="22"/>
                <w:lang w:val="hr-HR"/>
              </w:rPr>
            </w:pPr>
            <w:r w:rsidRPr="00913317">
              <w:rPr>
                <w:szCs w:val="22"/>
                <w:lang w:val="hr-HR"/>
              </w:rPr>
              <w:t>Nije ispitivano</w:t>
            </w:r>
            <w:r w:rsidRPr="00913317">
              <w:rPr>
                <w:i/>
                <w:szCs w:val="22"/>
                <w:lang w:val="hr-HR"/>
              </w:rPr>
              <w:t xml:space="preserve"> </w:t>
            </w:r>
            <w:r w:rsidRPr="00913317">
              <w:rPr>
                <w:szCs w:val="22"/>
                <w:lang w:val="hr-HR"/>
              </w:rPr>
              <w:t>klinički.</w:t>
            </w:r>
            <w:r w:rsidRPr="00913317">
              <w:rPr>
                <w:i/>
                <w:szCs w:val="22"/>
                <w:lang w:val="hr-HR"/>
              </w:rPr>
              <w:t xml:space="preserve"> In vitro </w:t>
            </w:r>
            <w:r w:rsidRPr="00913317">
              <w:rPr>
                <w:szCs w:val="22"/>
                <w:lang w:val="hr-HR"/>
              </w:rPr>
              <w:t xml:space="preserve">studije ukazuju da vorikonazol može da inhibira metabolizam inhibitora HIV proteaza , kao što i metabolizam vorikonazola može biti inhibiran inhibitorima HIV proteaza. </w:t>
            </w:r>
          </w:p>
        </w:tc>
        <w:tc>
          <w:tcPr>
            <w:tcW w:w="1751" w:type="pct"/>
          </w:tcPr>
          <w:p w14:paraId="1839C711" w14:textId="00AAF9AB" w:rsidR="005A7815" w:rsidRPr="00913317" w:rsidRDefault="003256B9"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Mo</w:t>
            </w:r>
            <w:r w:rsidR="00E51B15" w:rsidRPr="00913317">
              <w:rPr>
                <w:rFonts w:cs="Times New Roman"/>
                <w:sz w:val="22"/>
                <w:szCs w:val="22"/>
                <w:lang w:val="hr-HR"/>
              </w:rPr>
              <w:t>že</w:t>
            </w:r>
            <w:r w:rsidRPr="00913317">
              <w:rPr>
                <w:rFonts w:cs="Times New Roman"/>
                <w:sz w:val="22"/>
                <w:szCs w:val="22"/>
                <w:lang w:val="hr-HR"/>
              </w:rPr>
              <w:t xml:space="preserve"> biti potrebno</w:t>
            </w:r>
            <w:r w:rsidR="00F433A7" w:rsidRPr="00913317">
              <w:rPr>
                <w:rFonts w:cs="Times New Roman"/>
                <w:sz w:val="22"/>
                <w:szCs w:val="22"/>
                <w:lang w:val="hr-HR"/>
              </w:rPr>
              <w:t xml:space="preserve"> pažljivo </w:t>
            </w:r>
            <w:r w:rsidR="005A7815" w:rsidRPr="00913317">
              <w:rPr>
                <w:rFonts w:cs="Times New Roman"/>
                <w:sz w:val="22"/>
                <w:szCs w:val="22"/>
                <w:lang w:val="hr-HR"/>
              </w:rPr>
              <w:t>pra</w:t>
            </w:r>
            <w:r w:rsidR="00CF5F3C" w:rsidRPr="00913317">
              <w:rPr>
                <w:rFonts w:cs="Times New Roman"/>
                <w:sz w:val="22"/>
                <w:szCs w:val="22"/>
                <w:lang w:val="hr-HR"/>
              </w:rPr>
              <w:t>ćenje</w:t>
            </w:r>
            <w:r w:rsidR="00F433A7" w:rsidRPr="00913317">
              <w:rPr>
                <w:rFonts w:cs="Times New Roman"/>
                <w:sz w:val="22"/>
                <w:szCs w:val="22"/>
                <w:lang w:val="hr-HR"/>
              </w:rPr>
              <w:t xml:space="preserve"> u pogledu pojave toksičnosti i/ili gu</w:t>
            </w:r>
            <w:r w:rsidR="005A7815" w:rsidRPr="00913317">
              <w:rPr>
                <w:rFonts w:cs="Times New Roman"/>
                <w:sz w:val="22"/>
                <w:szCs w:val="22"/>
                <w:lang w:val="hr-HR"/>
              </w:rPr>
              <w:t xml:space="preserve">bitka efikasnosti </w:t>
            </w:r>
            <w:r w:rsidR="004D45E7" w:rsidRPr="00913317">
              <w:rPr>
                <w:rFonts w:cs="Times New Roman"/>
                <w:sz w:val="22"/>
                <w:szCs w:val="22"/>
                <w:lang w:val="hr-HR"/>
              </w:rPr>
              <w:t>ljekov</w:t>
            </w:r>
            <w:r w:rsidR="005A7815" w:rsidRPr="00913317">
              <w:rPr>
                <w:rFonts w:cs="Times New Roman"/>
                <w:sz w:val="22"/>
                <w:szCs w:val="22"/>
                <w:lang w:val="hr-HR"/>
              </w:rPr>
              <w:t xml:space="preserve">a, a dozu </w:t>
            </w:r>
            <w:r w:rsidR="004D45E7" w:rsidRPr="00913317">
              <w:rPr>
                <w:rFonts w:cs="Times New Roman"/>
                <w:sz w:val="22"/>
                <w:szCs w:val="22"/>
                <w:lang w:val="hr-HR"/>
              </w:rPr>
              <w:t>ljekov</w:t>
            </w:r>
            <w:r w:rsidR="005A7815" w:rsidRPr="00913317">
              <w:rPr>
                <w:rFonts w:cs="Times New Roman"/>
                <w:sz w:val="22"/>
                <w:szCs w:val="22"/>
                <w:lang w:val="hr-HR"/>
              </w:rPr>
              <w:t>a prilagoditi.</w:t>
            </w:r>
          </w:p>
        </w:tc>
      </w:tr>
      <w:tr w:rsidR="00935053" w:rsidRPr="0054718D" w14:paraId="54BD8D7B" w14:textId="77777777" w:rsidTr="00581521">
        <w:trPr>
          <w:gridAfter w:val="1"/>
          <w:wAfter w:w="21" w:type="pct"/>
        </w:trPr>
        <w:tc>
          <w:tcPr>
            <w:tcW w:w="1415" w:type="pct"/>
          </w:tcPr>
          <w:p w14:paraId="5DCCE6BD" w14:textId="7DDA68D8" w:rsidR="006131C3"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Ostali ne-nukleozidni inhibitori reverzne transkriptaze</w:t>
            </w:r>
            <w:r w:rsidR="003256B9" w:rsidRPr="00913317">
              <w:rPr>
                <w:rFonts w:cs="Times New Roman"/>
                <w:sz w:val="22"/>
                <w:szCs w:val="22"/>
                <w:lang w:val="hr-HR"/>
              </w:rPr>
              <w:t xml:space="preserve"> (engl. </w:t>
            </w:r>
            <w:r w:rsidR="003256B9" w:rsidRPr="00913317">
              <w:rPr>
                <w:rFonts w:cs="Times New Roman"/>
                <w:i/>
                <w:sz w:val="22"/>
                <w:szCs w:val="22"/>
                <w:lang w:val="hr-HR"/>
              </w:rPr>
              <w:t xml:space="preserve">Non-Nucleoside Reverse </w:t>
            </w:r>
            <w:r w:rsidR="003256B9" w:rsidRPr="00913317">
              <w:rPr>
                <w:rFonts w:cs="Times New Roman"/>
                <w:i/>
                <w:sz w:val="22"/>
                <w:szCs w:val="22"/>
                <w:lang w:val="hr-HR"/>
              </w:rPr>
              <w:lastRenderedPageBreak/>
              <w:t xml:space="preserve">Transcriptase Inhibitors, </w:t>
            </w:r>
            <w:r w:rsidR="003256B9" w:rsidRPr="00913317">
              <w:rPr>
                <w:rFonts w:cs="Times New Roman"/>
                <w:sz w:val="22"/>
                <w:szCs w:val="22"/>
                <w:lang w:val="hr-HR"/>
              </w:rPr>
              <w:t>NNRTI)</w:t>
            </w:r>
            <w:r w:rsidRPr="00913317">
              <w:rPr>
                <w:rFonts w:cs="Times New Roman"/>
                <w:sz w:val="22"/>
                <w:szCs w:val="22"/>
                <w:lang w:val="hr-HR"/>
              </w:rPr>
              <w:t xml:space="preserve"> (</w:t>
            </w:r>
            <w:r w:rsidR="00947351" w:rsidRPr="00913317">
              <w:rPr>
                <w:rFonts w:cs="Times New Roman"/>
                <w:sz w:val="22"/>
                <w:szCs w:val="22"/>
                <w:lang w:val="hr-HR"/>
              </w:rPr>
              <w:t xml:space="preserve">uključujući ali ne ograničavajući se na: </w:t>
            </w:r>
            <w:r w:rsidRPr="00913317">
              <w:rPr>
                <w:rFonts w:cs="Times New Roman"/>
                <w:sz w:val="22"/>
                <w:szCs w:val="22"/>
                <w:lang w:val="hr-HR"/>
              </w:rPr>
              <w:t xml:space="preserve"> delavirdin, nevirapin)</w:t>
            </w:r>
            <w:r w:rsidRPr="00913317">
              <w:rPr>
                <w:rFonts w:cs="Times New Roman"/>
                <w:sz w:val="22"/>
                <w:szCs w:val="22"/>
                <w:vertAlign w:val="superscript"/>
                <w:lang w:val="hr-HR"/>
              </w:rPr>
              <w:t>*</w:t>
            </w:r>
            <w:r w:rsidRPr="00913317">
              <w:rPr>
                <w:rFonts w:cs="Times New Roman"/>
                <w:sz w:val="22"/>
                <w:szCs w:val="22"/>
                <w:lang w:val="hr-HR"/>
              </w:rPr>
              <w:br/>
            </w:r>
            <w:r w:rsidRPr="00913317">
              <w:rPr>
                <w:rFonts w:cs="Times New Roman"/>
                <w:i/>
                <w:sz w:val="22"/>
                <w:szCs w:val="22"/>
                <w:lang w:val="hr-HR"/>
              </w:rPr>
              <w:t>[CYP3A4 supstrati, inhibitori ili CYP450 induktori]</w:t>
            </w:r>
          </w:p>
        </w:tc>
        <w:tc>
          <w:tcPr>
            <w:tcW w:w="1813" w:type="pct"/>
          </w:tcPr>
          <w:p w14:paraId="18BCBF72" w14:textId="77777777" w:rsidR="005A7815" w:rsidRPr="00913317" w:rsidRDefault="005A7815" w:rsidP="00D72925">
            <w:pPr>
              <w:pStyle w:val="Header"/>
              <w:tabs>
                <w:tab w:val="clear" w:pos="4536"/>
                <w:tab w:val="clear" w:pos="9072"/>
                <w:tab w:val="left" w:pos="284"/>
              </w:tabs>
              <w:rPr>
                <w:szCs w:val="22"/>
                <w:lang w:val="hr-HR"/>
              </w:rPr>
            </w:pPr>
            <w:r w:rsidRPr="00913317">
              <w:rPr>
                <w:szCs w:val="22"/>
                <w:lang w:val="hr-HR"/>
              </w:rPr>
              <w:lastRenderedPageBreak/>
              <w:t>Nije ispitivano</w:t>
            </w:r>
            <w:r w:rsidRPr="00913317">
              <w:rPr>
                <w:i/>
                <w:szCs w:val="22"/>
                <w:lang w:val="hr-HR"/>
              </w:rPr>
              <w:t xml:space="preserve"> </w:t>
            </w:r>
            <w:r w:rsidRPr="00913317">
              <w:rPr>
                <w:szCs w:val="22"/>
                <w:lang w:val="hr-HR"/>
              </w:rPr>
              <w:t>klinički.</w:t>
            </w:r>
            <w:r w:rsidRPr="00913317">
              <w:rPr>
                <w:i/>
                <w:szCs w:val="22"/>
                <w:lang w:val="hr-HR"/>
              </w:rPr>
              <w:t xml:space="preserve"> In vitro </w:t>
            </w:r>
            <w:r w:rsidRPr="00913317">
              <w:rPr>
                <w:szCs w:val="22"/>
                <w:lang w:val="hr-HR"/>
              </w:rPr>
              <w:t xml:space="preserve">studije pokazuju da NNRTI mogu inhibirati metabolizam vorikonazola kao što i vorikonazol može </w:t>
            </w:r>
            <w:r w:rsidRPr="00913317">
              <w:rPr>
                <w:szCs w:val="22"/>
                <w:lang w:val="hr-HR"/>
              </w:rPr>
              <w:lastRenderedPageBreak/>
              <w:t>inhibirati metabolizam NNRTI.</w:t>
            </w:r>
          </w:p>
          <w:p w14:paraId="1C0949A4" w14:textId="3C5A873A"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Efekat efavirenza na vorikonazol ukazuje da metabolizam vorikonazola može biti indukovan </w:t>
            </w:r>
            <w:r w:rsidR="004D45E7" w:rsidRPr="00913317">
              <w:rPr>
                <w:rFonts w:cs="Times New Roman"/>
                <w:sz w:val="22"/>
                <w:szCs w:val="22"/>
                <w:lang w:val="hr-HR"/>
              </w:rPr>
              <w:t>primjen</w:t>
            </w:r>
            <w:r w:rsidRPr="00913317">
              <w:rPr>
                <w:rFonts w:cs="Times New Roman"/>
                <w:sz w:val="22"/>
                <w:szCs w:val="22"/>
                <w:lang w:val="hr-HR"/>
              </w:rPr>
              <w:t>om NNRTI.</w:t>
            </w:r>
          </w:p>
        </w:tc>
        <w:tc>
          <w:tcPr>
            <w:tcW w:w="1751" w:type="pct"/>
          </w:tcPr>
          <w:p w14:paraId="2B5AC829" w14:textId="78C2BC70" w:rsidR="005A7815" w:rsidRPr="00913317" w:rsidRDefault="00CF5F3C"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lastRenderedPageBreak/>
              <w:t xml:space="preserve">Može biti potrebno pažljivo praćenje u </w:t>
            </w:r>
            <w:r w:rsidR="005A7815" w:rsidRPr="00913317">
              <w:rPr>
                <w:rFonts w:cs="Times New Roman"/>
                <w:sz w:val="22"/>
                <w:szCs w:val="22"/>
                <w:lang w:val="hr-HR"/>
              </w:rPr>
              <w:t xml:space="preserve">pogledu pojave toksičnosti i/ili gubitka efikasnosti </w:t>
            </w:r>
            <w:r w:rsidR="004D45E7" w:rsidRPr="00913317">
              <w:rPr>
                <w:rFonts w:cs="Times New Roman"/>
                <w:sz w:val="22"/>
                <w:szCs w:val="22"/>
                <w:lang w:val="hr-HR"/>
              </w:rPr>
              <w:t>ljekov</w:t>
            </w:r>
            <w:r w:rsidR="005A7815" w:rsidRPr="00913317">
              <w:rPr>
                <w:rFonts w:cs="Times New Roman"/>
                <w:sz w:val="22"/>
                <w:szCs w:val="22"/>
                <w:lang w:val="hr-HR"/>
              </w:rPr>
              <w:t xml:space="preserve">a, a dozu </w:t>
            </w:r>
            <w:r w:rsidR="004D45E7" w:rsidRPr="00913317">
              <w:rPr>
                <w:rFonts w:cs="Times New Roman"/>
                <w:sz w:val="22"/>
                <w:szCs w:val="22"/>
                <w:lang w:val="hr-HR"/>
              </w:rPr>
              <w:t>ljekov</w:t>
            </w:r>
            <w:r w:rsidR="005A7815" w:rsidRPr="00913317">
              <w:rPr>
                <w:rFonts w:cs="Times New Roman"/>
                <w:sz w:val="22"/>
                <w:szCs w:val="22"/>
                <w:lang w:val="hr-HR"/>
              </w:rPr>
              <w:t>a prilagoditi.</w:t>
            </w:r>
          </w:p>
        </w:tc>
      </w:tr>
      <w:tr w:rsidR="00830283" w:rsidRPr="0054718D" w14:paraId="41DBDF35" w14:textId="77777777" w:rsidTr="00581521">
        <w:tc>
          <w:tcPr>
            <w:tcW w:w="1415" w:type="pct"/>
          </w:tcPr>
          <w:p w14:paraId="55BC59DD" w14:textId="77777777" w:rsidR="00830283" w:rsidRPr="00913317" w:rsidRDefault="00830283"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Tretinoin</w:t>
            </w:r>
          </w:p>
          <w:p w14:paraId="40C37DFE" w14:textId="1FF529D9" w:rsidR="00830283" w:rsidRPr="00913317" w:rsidRDefault="00830283" w:rsidP="00D72925">
            <w:pPr>
              <w:pStyle w:val="TableText"/>
              <w:overflowPunct w:val="0"/>
              <w:autoSpaceDE w:val="0"/>
              <w:autoSpaceDN w:val="0"/>
              <w:adjustRightInd w:val="0"/>
              <w:jc w:val="both"/>
              <w:textAlignment w:val="baseline"/>
              <w:rPr>
                <w:rFonts w:cs="Times New Roman"/>
                <w:spacing w:val="-10"/>
                <w:sz w:val="22"/>
                <w:szCs w:val="22"/>
                <w:lang w:val="hr-HR"/>
              </w:rPr>
            </w:pPr>
            <w:r w:rsidRPr="00913317">
              <w:rPr>
                <w:rFonts w:cs="Times New Roman"/>
                <w:i/>
                <w:iCs/>
                <w:sz w:val="22"/>
                <w:szCs w:val="22"/>
                <w:lang w:val="hr-HR"/>
              </w:rPr>
              <w:t>[CYP3A4 supstrat]</w:t>
            </w:r>
          </w:p>
        </w:tc>
        <w:tc>
          <w:tcPr>
            <w:tcW w:w="1813" w:type="pct"/>
          </w:tcPr>
          <w:p w14:paraId="26C5536A" w14:textId="349EBBC7" w:rsidR="00830283" w:rsidRPr="00913317" w:rsidRDefault="00830283"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Iako nije ispitivano, vorikonazol može da poveća koncentraciju tretinoina i da poveća rizik od neželjenih reakcija (pseudotumor cerebri, hiperkalcemija).</w:t>
            </w:r>
          </w:p>
        </w:tc>
        <w:tc>
          <w:tcPr>
            <w:tcW w:w="1772" w:type="pct"/>
            <w:gridSpan w:val="2"/>
          </w:tcPr>
          <w:p w14:paraId="7B1DD0B0" w14:textId="2DE20047" w:rsidR="00830283" w:rsidRPr="00913317" w:rsidRDefault="00830283"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Preporučuje se prilagođavanje doze tretinoina tokom terapije vorikonazolom i nakon </w:t>
            </w:r>
            <w:r w:rsidR="003C18A0" w:rsidRPr="00913317">
              <w:rPr>
                <w:rFonts w:cs="Times New Roman"/>
                <w:sz w:val="22"/>
                <w:szCs w:val="22"/>
                <w:lang w:val="hr-HR"/>
              </w:rPr>
              <w:t>prekida</w:t>
            </w:r>
            <w:r w:rsidR="00FE5E3A" w:rsidRPr="00913317">
              <w:rPr>
                <w:rFonts w:cs="Times New Roman"/>
                <w:sz w:val="22"/>
                <w:szCs w:val="22"/>
                <w:lang w:val="hr-HR"/>
              </w:rPr>
              <w:t xml:space="preserve"> terapije</w:t>
            </w:r>
            <w:r w:rsidRPr="00913317">
              <w:rPr>
                <w:rFonts w:cs="Times New Roman"/>
                <w:sz w:val="22"/>
                <w:szCs w:val="22"/>
                <w:lang w:val="hr-HR"/>
              </w:rPr>
              <w:t>.</w:t>
            </w:r>
          </w:p>
        </w:tc>
      </w:tr>
      <w:tr w:rsidR="00935053" w:rsidRPr="00913317" w14:paraId="39038ED5" w14:textId="77777777" w:rsidTr="00581521">
        <w:trPr>
          <w:gridAfter w:val="1"/>
          <w:wAfter w:w="21" w:type="pct"/>
        </w:trPr>
        <w:tc>
          <w:tcPr>
            <w:tcW w:w="1415" w:type="pct"/>
          </w:tcPr>
          <w:p w14:paraId="06E9978E" w14:textId="77777777" w:rsidR="005A7815" w:rsidRPr="00913317" w:rsidRDefault="005A7815" w:rsidP="00D72925">
            <w:pPr>
              <w:pStyle w:val="TableText"/>
              <w:overflowPunct w:val="0"/>
              <w:autoSpaceDE w:val="0"/>
              <w:autoSpaceDN w:val="0"/>
              <w:adjustRightInd w:val="0"/>
              <w:jc w:val="both"/>
              <w:textAlignment w:val="baseline"/>
              <w:rPr>
                <w:rFonts w:cs="Times New Roman"/>
                <w:i/>
                <w:sz w:val="22"/>
                <w:szCs w:val="22"/>
                <w:u w:val="single"/>
                <w:lang w:val="hr-HR"/>
              </w:rPr>
            </w:pPr>
            <w:r w:rsidRPr="00913317">
              <w:rPr>
                <w:rFonts w:cs="Times New Roman"/>
                <w:spacing w:val="-10"/>
                <w:sz w:val="22"/>
                <w:szCs w:val="22"/>
                <w:lang w:val="hr-HR"/>
              </w:rPr>
              <w:t>Cimetidin (400 mg dva puta dnevno)</w:t>
            </w:r>
            <w:r w:rsidRPr="00913317">
              <w:rPr>
                <w:rFonts w:cs="Times New Roman"/>
                <w:sz w:val="22"/>
                <w:szCs w:val="22"/>
                <w:lang w:val="hr-HR"/>
              </w:rPr>
              <w:br/>
            </w:r>
            <w:r w:rsidRPr="00913317">
              <w:rPr>
                <w:rFonts w:cs="Times New Roman"/>
                <w:i/>
                <w:sz w:val="22"/>
                <w:szCs w:val="22"/>
                <w:lang w:val="hr-HR"/>
              </w:rPr>
              <w:t>[nespecifični CYP450 inhibitor i povećava pH u želucu]</w:t>
            </w:r>
          </w:p>
        </w:tc>
        <w:tc>
          <w:tcPr>
            <w:tcW w:w="1813" w:type="pct"/>
          </w:tcPr>
          <w:p w14:paraId="4A67DD54"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18%</w:t>
            </w:r>
            <w:r w:rsidRPr="00913317">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23%</w:t>
            </w:r>
          </w:p>
        </w:tc>
        <w:tc>
          <w:tcPr>
            <w:tcW w:w="1751" w:type="pct"/>
          </w:tcPr>
          <w:p w14:paraId="0DA2C8F1" w14:textId="77777777" w:rsidR="005A7815" w:rsidRPr="008C59C8"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 xml:space="preserve">Nije potrebno prilagođavanje doze </w:t>
            </w:r>
          </w:p>
        </w:tc>
      </w:tr>
      <w:tr w:rsidR="00935053" w:rsidRPr="00913317" w14:paraId="6710BEDD" w14:textId="77777777" w:rsidTr="00581521">
        <w:trPr>
          <w:gridAfter w:val="1"/>
          <w:wAfter w:w="21" w:type="pct"/>
        </w:trPr>
        <w:tc>
          <w:tcPr>
            <w:tcW w:w="1415" w:type="pct"/>
          </w:tcPr>
          <w:p w14:paraId="588B4D94"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pacing w:val="-8"/>
                <w:sz w:val="22"/>
                <w:szCs w:val="22"/>
                <w:lang w:val="hr-HR"/>
              </w:rPr>
              <w:t>Digoksin (0,25 mg jednom dnevno)</w:t>
            </w:r>
            <w:r w:rsidRPr="00913317">
              <w:rPr>
                <w:rFonts w:cs="Times New Roman"/>
                <w:sz w:val="22"/>
                <w:szCs w:val="22"/>
                <w:lang w:val="hr-HR"/>
              </w:rPr>
              <w:br/>
            </w:r>
            <w:r w:rsidRPr="00913317">
              <w:rPr>
                <w:rFonts w:cs="Times New Roman"/>
                <w:i/>
                <w:sz w:val="22"/>
                <w:szCs w:val="22"/>
                <w:lang w:val="hr-HR"/>
              </w:rPr>
              <w:t>[P-gp supstrat]</w:t>
            </w:r>
          </w:p>
        </w:tc>
        <w:tc>
          <w:tcPr>
            <w:tcW w:w="1813" w:type="pct"/>
          </w:tcPr>
          <w:p w14:paraId="732C1C8D"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Digoksin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br/>
              <w:t>Digoksin PIK</w:t>
            </w:r>
            <w:r w:rsidRPr="00913317">
              <w:rPr>
                <w:rFonts w:cs="Times New Roman"/>
                <w:sz w:val="22"/>
                <w:szCs w:val="22"/>
                <w:lang w:val="hr-HR"/>
              </w:rPr>
              <w:sym w:font="Symbol" w:char="F074"/>
            </w:r>
            <w:r w:rsidRPr="00913317">
              <w:rPr>
                <w:rFonts w:cs="Times New Roman"/>
                <w:sz w:val="22"/>
                <w:szCs w:val="22"/>
                <w:lang w:val="hr-HR"/>
              </w:rPr>
              <w:t xml:space="preserve"> ↔</w:t>
            </w:r>
          </w:p>
        </w:tc>
        <w:tc>
          <w:tcPr>
            <w:tcW w:w="1751" w:type="pct"/>
          </w:tcPr>
          <w:p w14:paraId="7E503BBD" w14:textId="77777777" w:rsidR="005A7815" w:rsidRPr="008C59C8"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Nije potrebno prilagođavanje doze</w:t>
            </w:r>
          </w:p>
        </w:tc>
      </w:tr>
      <w:tr w:rsidR="00935053" w:rsidRPr="00913317" w14:paraId="2E1A1DB7" w14:textId="77777777" w:rsidTr="00581521">
        <w:trPr>
          <w:gridAfter w:val="1"/>
          <w:wAfter w:w="21" w:type="pct"/>
        </w:trPr>
        <w:tc>
          <w:tcPr>
            <w:tcW w:w="1415" w:type="pct"/>
          </w:tcPr>
          <w:p w14:paraId="08771235"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Indinavir (800 mg tri puta dnevno )</w:t>
            </w:r>
            <w:r w:rsidRPr="00913317">
              <w:rPr>
                <w:rFonts w:cs="Times New Roman"/>
                <w:sz w:val="22"/>
                <w:szCs w:val="22"/>
                <w:lang w:val="hr-HR"/>
              </w:rPr>
              <w:br/>
            </w:r>
            <w:r w:rsidRPr="00913317">
              <w:rPr>
                <w:rFonts w:cs="Times New Roman"/>
                <w:i/>
                <w:sz w:val="22"/>
                <w:szCs w:val="22"/>
                <w:lang w:val="hr-HR"/>
              </w:rPr>
              <w:t>[CYP3A4 inhibitor i supstrat]</w:t>
            </w:r>
          </w:p>
        </w:tc>
        <w:tc>
          <w:tcPr>
            <w:tcW w:w="1813" w:type="pct"/>
          </w:tcPr>
          <w:p w14:paraId="5B0240A3"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Indinavir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br/>
              <w:t>Indinavir PIK</w:t>
            </w:r>
            <w:r w:rsidRPr="00913317">
              <w:rPr>
                <w:rFonts w:cs="Times New Roman"/>
                <w:sz w:val="22"/>
                <w:szCs w:val="22"/>
                <w:lang w:val="hr-HR"/>
              </w:rPr>
              <w:sym w:font="Symbol" w:char="F074"/>
            </w:r>
            <w:r w:rsidRPr="00913317">
              <w:rPr>
                <w:rFonts w:cs="Times New Roman"/>
                <w:sz w:val="22"/>
                <w:szCs w:val="22"/>
                <w:lang w:val="hr-HR"/>
              </w:rPr>
              <w:t xml:space="preserve"> ↔</w:t>
            </w:r>
          </w:p>
          <w:p w14:paraId="00768EB3"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Vorikonazol C</w:t>
            </w:r>
            <w:r w:rsidRPr="008C59C8">
              <w:rPr>
                <w:rFonts w:cs="Times New Roman"/>
                <w:sz w:val="22"/>
                <w:szCs w:val="22"/>
                <w:vertAlign w:val="subscript"/>
                <w:lang w:val="hr-HR"/>
              </w:rPr>
              <w:t>max</w:t>
            </w:r>
            <w:r w:rsidRPr="003307B5">
              <w:rPr>
                <w:rFonts w:cs="Times New Roman"/>
                <w:sz w:val="22"/>
                <w:szCs w:val="22"/>
                <w:lang w:val="hr-HR"/>
              </w:rPr>
              <w:t xml:space="preserve"> ↔</w:t>
            </w:r>
            <w:r w:rsidRPr="003307B5">
              <w:rPr>
                <w:rFonts w:cs="Times New Roman"/>
                <w:sz w:val="22"/>
                <w:szCs w:val="22"/>
                <w:lang w:val="hr-HR"/>
              </w:rPr>
              <w:br/>
              <w:t>Vorikonazol PIK</w:t>
            </w:r>
            <w:r w:rsidRPr="00913317">
              <w:rPr>
                <w:rFonts w:cs="Times New Roman"/>
                <w:sz w:val="22"/>
                <w:szCs w:val="22"/>
                <w:lang w:val="hr-HR"/>
              </w:rPr>
              <w:sym w:font="Symbol" w:char="F074"/>
            </w:r>
            <w:r w:rsidRPr="00913317">
              <w:rPr>
                <w:rFonts w:cs="Times New Roman"/>
                <w:sz w:val="22"/>
                <w:szCs w:val="22"/>
                <w:lang w:val="hr-HR"/>
              </w:rPr>
              <w:t xml:space="preserve"> ↔</w:t>
            </w:r>
          </w:p>
        </w:tc>
        <w:tc>
          <w:tcPr>
            <w:tcW w:w="1751" w:type="pct"/>
          </w:tcPr>
          <w:p w14:paraId="5F4D2891" w14:textId="77777777" w:rsidR="005A7815" w:rsidRPr="008C59C8"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8C59C8">
              <w:rPr>
                <w:rFonts w:cs="Times New Roman"/>
                <w:sz w:val="22"/>
                <w:szCs w:val="22"/>
                <w:lang w:val="hr-HR"/>
              </w:rPr>
              <w:t>Nije potrebno prilagođavanje doze</w:t>
            </w:r>
          </w:p>
        </w:tc>
      </w:tr>
      <w:tr w:rsidR="00935053" w:rsidRPr="00913317" w14:paraId="173C7D85" w14:textId="77777777" w:rsidTr="00581521">
        <w:trPr>
          <w:gridAfter w:val="1"/>
          <w:wAfter w:w="21" w:type="pct"/>
        </w:trPr>
        <w:tc>
          <w:tcPr>
            <w:tcW w:w="1415" w:type="pct"/>
          </w:tcPr>
          <w:p w14:paraId="3AF2CF05" w14:textId="77777777" w:rsidR="005A7815" w:rsidRPr="00913317" w:rsidRDefault="005A7815" w:rsidP="00D72925">
            <w:pPr>
              <w:pStyle w:val="TableText"/>
              <w:tabs>
                <w:tab w:val="left" w:pos="360"/>
              </w:tabs>
              <w:overflowPunct w:val="0"/>
              <w:autoSpaceDE w:val="0"/>
              <w:autoSpaceDN w:val="0"/>
              <w:adjustRightInd w:val="0"/>
              <w:ind w:left="72" w:hanging="72"/>
              <w:jc w:val="both"/>
              <w:textAlignment w:val="baseline"/>
              <w:rPr>
                <w:rFonts w:cs="Times New Roman"/>
                <w:sz w:val="22"/>
                <w:szCs w:val="22"/>
                <w:lang w:val="hr-HR"/>
              </w:rPr>
            </w:pPr>
            <w:r w:rsidRPr="00913317">
              <w:rPr>
                <w:rFonts w:cs="Times New Roman"/>
                <w:sz w:val="22"/>
                <w:szCs w:val="22"/>
                <w:lang w:val="hr-HR"/>
              </w:rPr>
              <w:t>Makrolidni antibiotici</w:t>
            </w:r>
          </w:p>
          <w:p w14:paraId="0FFCCEFB" w14:textId="77777777" w:rsidR="005A7815" w:rsidRPr="00913317" w:rsidRDefault="005A7815" w:rsidP="00D72925">
            <w:pPr>
              <w:pStyle w:val="TableText"/>
              <w:tabs>
                <w:tab w:val="left" w:pos="284"/>
                <w:tab w:val="left" w:pos="360"/>
              </w:tabs>
              <w:overflowPunct w:val="0"/>
              <w:autoSpaceDE w:val="0"/>
              <w:autoSpaceDN w:val="0"/>
              <w:adjustRightInd w:val="0"/>
              <w:ind w:left="144" w:hanging="72"/>
              <w:jc w:val="both"/>
              <w:textAlignment w:val="baseline"/>
              <w:rPr>
                <w:rFonts w:cs="Times New Roman"/>
                <w:sz w:val="22"/>
                <w:szCs w:val="22"/>
                <w:lang w:val="hr-HR"/>
              </w:rPr>
            </w:pPr>
          </w:p>
          <w:p w14:paraId="709D36B1"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Eritromicin (1 g dva puta dnevno)</w:t>
            </w:r>
            <w:r w:rsidRPr="00913317">
              <w:rPr>
                <w:rFonts w:cs="Times New Roman"/>
                <w:sz w:val="22"/>
                <w:szCs w:val="22"/>
                <w:lang w:val="hr-HR"/>
              </w:rPr>
              <w:br/>
            </w:r>
            <w:r w:rsidRPr="00913317">
              <w:rPr>
                <w:rFonts w:cs="Times New Roman"/>
                <w:i/>
                <w:sz w:val="22"/>
                <w:szCs w:val="22"/>
                <w:lang w:val="hr-HR"/>
              </w:rPr>
              <w:t>[CYP3A4 inhibitor]</w:t>
            </w:r>
          </w:p>
          <w:p w14:paraId="5A481764" w14:textId="77777777" w:rsidR="005A7815" w:rsidRPr="00913317" w:rsidRDefault="005A7815" w:rsidP="00D72925">
            <w:pPr>
              <w:pStyle w:val="TableText"/>
              <w:tabs>
                <w:tab w:val="left" w:pos="360"/>
              </w:tabs>
              <w:overflowPunct w:val="0"/>
              <w:autoSpaceDE w:val="0"/>
              <w:autoSpaceDN w:val="0"/>
              <w:adjustRightInd w:val="0"/>
              <w:ind w:left="144" w:hanging="216"/>
              <w:jc w:val="both"/>
              <w:textAlignment w:val="baseline"/>
              <w:rPr>
                <w:rFonts w:cs="Times New Roman"/>
                <w:sz w:val="22"/>
                <w:szCs w:val="22"/>
                <w:lang w:val="hr-HR"/>
              </w:rPr>
            </w:pPr>
          </w:p>
          <w:p w14:paraId="1AB6312B" w14:textId="77777777" w:rsidR="005A7815" w:rsidRPr="00913317" w:rsidRDefault="005A7815" w:rsidP="00D72925">
            <w:pPr>
              <w:pStyle w:val="TableText"/>
              <w:tabs>
                <w:tab w:val="left" w:pos="360"/>
              </w:tabs>
              <w:overflowPunct w:val="0"/>
              <w:autoSpaceDE w:val="0"/>
              <w:autoSpaceDN w:val="0"/>
              <w:adjustRightInd w:val="0"/>
              <w:jc w:val="both"/>
              <w:textAlignment w:val="baseline"/>
              <w:rPr>
                <w:rFonts w:cs="Times New Roman"/>
                <w:spacing w:val="-10"/>
                <w:sz w:val="22"/>
                <w:szCs w:val="22"/>
                <w:lang w:val="hr-HR"/>
              </w:rPr>
            </w:pPr>
            <w:r w:rsidRPr="00913317">
              <w:rPr>
                <w:rFonts w:cs="Times New Roman"/>
                <w:spacing w:val="-10"/>
                <w:sz w:val="22"/>
                <w:szCs w:val="22"/>
                <w:lang w:val="hr-HR"/>
              </w:rPr>
              <w:t>Azitromicin (500 mg jednom dnevno)</w:t>
            </w:r>
          </w:p>
          <w:p w14:paraId="5A89104B"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tc>
        <w:tc>
          <w:tcPr>
            <w:tcW w:w="1813" w:type="pct"/>
          </w:tcPr>
          <w:p w14:paraId="5742E6A2"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3C96C971" w14:textId="77777777" w:rsidR="005A7815" w:rsidRPr="00913317" w:rsidRDefault="005A7815" w:rsidP="00D72925">
            <w:pPr>
              <w:pStyle w:val="TableText"/>
              <w:tabs>
                <w:tab w:val="left" w:pos="284"/>
              </w:tabs>
              <w:overflowPunct w:val="0"/>
              <w:autoSpaceDE w:val="0"/>
              <w:autoSpaceDN w:val="0"/>
              <w:adjustRightInd w:val="0"/>
              <w:jc w:val="both"/>
              <w:textAlignment w:val="baseline"/>
              <w:rPr>
                <w:rFonts w:cs="Times New Roman"/>
                <w:sz w:val="22"/>
                <w:szCs w:val="22"/>
                <w:lang w:val="hr-HR"/>
              </w:rPr>
            </w:pPr>
          </w:p>
          <w:p w14:paraId="7FBABFCD"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 C</w:t>
            </w:r>
            <w:r w:rsidRPr="00913317">
              <w:rPr>
                <w:rFonts w:cs="Times New Roman"/>
                <w:sz w:val="22"/>
                <w:szCs w:val="22"/>
                <w:vertAlign w:val="subscript"/>
                <w:lang w:val="hr-HR"/>
              </w:rPr>
              <w:t>max</w:t>
            </w:r>
            <w:r w:rsidRPr="00913317">
              <w:rPr>
                <w:rFonts w:cs="Times New Roman"/>
                <w:sz w:val="22"/>
                <w:szCs w:val="22"/>
                <w:lang w:val="hr-HR"/>
              </w:rPr>
              <w:t xml:space="preserve"> i PIK</w:t>
            </w:r>
            <w:r w:rsidRPr="00913317">
              <w:rPr>
                <w:rFonts w:cs="Times New Roman"/>
                <w:sz w:val="22"/>
                <w:szCs w:val="22"/>
                <w:lang w:val="hr-HR"/>
              </w:rPr>
              <w:sym w:font="Symbol" w:char="F074"/>
            </w:r>
            <w:r w:rsidRPr="00913317">
              <w:rPr>
                <w:rFonts w:cs="Times New Roman"/>
                <w:sz w:val="22"/>
                <w:szCs w:val="22"/>
                <w:lang w:val="hr-HR"/>
              </w:rPr>
              <w:t xml:space="preserve"> ↔</w:t>
            </w:r>
          </w:p>
          <w:p w14:paraId="3A5D0DD0" w14:textId="77777777" w:rsidR="005A7815" w:rsidRPr="008C59C8" w:rsidRDefault="005A7815" w:rsidP="00D72925">
            <w:pPr>
              <w:pStyle w:val="TableText"/>
              <w:tabs>
                <w:tab w:val="left" w:pos="284"/>
              </w:tabs>
              <w:overflowPunct w:val="0"/>
              <w:autoSpaceDE w:val="0"/>
              <w:autoSpaceDN w:val="0"/>
              <w:adjustRightInd w:val="0"/>
              <w:jc w:val="both"/>
              <w:textAlignment w:val="baseline"/>
              <w:rPr>
                <w:rFonts w:cs="Times New Roman"/>
                <w:sz w:val="22"/>
                <w:szCs w:val="22"/>
                <w:lang w:val="hr-HR"/>
              </w:rPr>
            </w:pPr>
          </w:p>
          <w:p w14:paraId="1EE7C572" w14:textId="77777777" w:rsidR="005A7815" w:rsidRPr="003307B5" w:rsidRDefault="005A7815" w:rsidP="00D72925">
            <w:pPr>
              <w:pStyle w:val="TableText"/>
              <w:overflowPunct w:val="0"/>
              <w:autoSpaceDE w:val="0"/>
              <w:autoSpaceDN w:val="0"/>
              <w:adjustRightInd w:val="0"/>
              <w:jc w:val="both"/>
              <w:textAlignment w:val="baseline"/>
              <w:rPr>
                <w:rFonts w:cs="Times New Roman"/>
                <w:sz w:val="22"/>
                <w:szCs w:val="22"/>
                <w:lang w:val="hr-HR"/>
              </w:rPr>
            </w:pPr>
          </w:p>
          <w:p w14:paraId="3C8E7AEF"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Vorikonazol C</w:t>
            </w:r>
            <w:r w:rsidRPr="009C1794">
              <w:rPr>
                <w:rFonts w:cs="Times New Roman"/>
                <w:sz w:val="22"/>
                <w:szCs w:val="22"/>
                <w:vertAlign w:val="subscript"/>
                <w:lang w:val="hr-HR"/>
              </w:rPr>
              <w:t>max</w:t>
            </w:r>
            <w:r w:rsidRPr="009C1794">
              <w:rPr>
                <w:rFonts w:cs="Times New Roman"/>
                <w:sz w:val="22"/>
                <w:szCs w:val="22"/>
                <w:lang w:val="hr-HR"/>
              </w:rPr>
              <w:t xml:space="preserve"> i PIK</w:t>
            </w:r>
            <w:r w:rsidRPr="00913317">
              <w:rPr>
                <w:rFonts w:cs="Times New Roman"/>
                <w:sz w:val="22"/>
                <w:szCs w:val="22"/>
                <w:lang w:val="hr-HR"/>
              </w:rPr>
              <w:sym w:font="Symbol" w:char="F074"/>
            </w:r>
            <w:r w:rsidRPr="00913317">
              <w:rPr>
                <w:rFonts w:cs="Times New Roman"/>
                <w:sz w:val="22"/>
                <w:szCs w:val="22"/>
                <w:lang w:val="hr-HR"/>
              </w:rPr>
              <w:t xml:space="preserve"> ↔</w:t>
            </w:r>
          </w:p>
          <w:p w14:paraId="410EF878" w14:textId="77777777" w:rsidR="005A7815" w:rsidRPr="008C59C8" w:rsidRDefault="005A7815" w:rsidP="00D72925">
            <w:pPr>
              <w:pStyle w:val="TableText"/>
              <w:tabs>
                <w:tab w:val="left" w:pos="284"/>
              </w:tabs>
              <w:overflowPunct w:val="0"/>
              <w:autoSpaceDE w:val="0"/>
              <w:autoSpaceDN w:val="0"/>
              <w:adjustRightInd w:val="0"/>
              <w:jc w:val="both"/>
              <w:textAlignment w:val="baseline"/>
              <w:rPr>
                <w:rFonts w:cs="Times New Roman"/>
                <w:sz w:val="22"/>
                <w:szCs w:val="22"/>
                <w:lang w:val="hr-HR"/>
              </w:rPr>
            </w:pPr>
          </w:p>
          <w:p w14:paraId="765EDEAB" w14:textId="77777777" w:rsidR="005A7815" w:rsidRPr="003307B5"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3307B5">
              <w:rPr>
                <w:rFonts w:cs="Times New Roman"/>
                <w:sz w:val="22"/>
                <w:szCs w:val="22"/>
                <w:lang w:val="hr-HR"/>
              </w:rPr>
              <w:t>Efekat vorikonazola na eritromicin kao i azitromicin nije poznat.</w:t>
            </w:r>
          </w:p>
        </w:tc>
        <w:tc>
          <w:tcPr>
            <w:tcW w:w="1751" w:type="pct"/>
          </w:tcPr>
          <w:p w14:paraId="30914679" w14:textId="77777777" w:rsidR="005A7815" w:rsidRPr="0029457E"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29457E">
              <w:rPr>
                <w:rFonts w:cs="Times New Roman"/>
                <w:sz w:val="22"/>
                <w:szCs w:val="22"/>
                <w:lang w:val="hr-HR"/>
              </w:rPr>
              <w:t xml:space="preserve">Nije potrebno prilagođavanje doze </w:t>
            </w:r>
          </w:p>
          <w:p w14:paraId="50496FA4" w14:textId="77777777" w:rsidR="005A7815" w:rsidRPr="00913317" w:rsidRDefault="005A7815" w:rsidP="00D72925">
            <w:pPr>
              <w:pStyle w:val="TableText"/>
              <w:tabs>
                <w:tab w:val="left" w:pos="284"/>
              </w:tabs>
              <w:overflowPunct w:val="0"/>
              <w:autoSpaceDE w:val="0"/>
              <w:autoSpaceDN w:val="0"/>
              <w:adjustRightInd w:val="0"/>
              <w:jc w:val="both"/>
              <w:textAlignment w:val="baseline"/>
              <w:rPr>
                <w:rFonts w:cs="Times New Roman"/>
                <w:sz w:val="22"/>
                <w:szCs w:val="22"/>
                <w:lang w:val="hr-HR"/>
              </w:rPr>
            </w:pPr>
          </w:p>
          <w:p w14:paraId="2C4CBEB2"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p>
        </w:tc>
      </w:tr>
      <w:tr w:rsidR="00935053" w:rsidRPr="00913317" w14:paraId="45B471F4" w14:textId="77777777" w:rsidTr="00581521">
        <w:trPr>
          <w:gridAfter w:val="1"/>
          <w:wAfter w:w="21" w:type="pct"/>
        </w:trPr>
        <w:tc>
          <w:tcPr>
            <w:tcW w:w="1415" w:type="pct"/>
          </w:tcPr>
          <w:p w14:paraId="06A81C67" w14:textId="77777777" w:rsidR="00842FB8"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Mikofenolna kiselina </w:t>
            </w:r>
          </w:p>
          <w:p w14:paraId="7A566106"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(1 g pojedinačna doza)  </w:t>
            </w:r>
          </w:p>
          <w:p w14:paraId="5ED51991"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i/>
                <w:sz w:val="22"/>
                <w:szCs w:val="22"/>
                <w:lang w:val="hr-HR"/>
              </w:rPr>
              <w:t>[supstrat UDP-glukuronil transfera</w:t>
            </w:r>
            <w:r w:rsidR="002511C0" w:rsidRPr="00913317">
              <w:rPr>
                <w:rFonts w:cs="Times New Roman"/>
                <w:i/>
                <w:sz w:val="22"/>
                <w:szCs w:val="22"/>
                <w:lang w:val="hr-HR"/>
              </w:rPr>
              <w:t>z</w:t>
            </w:r>
            <w:r w:rsidRPr="00913317">
              <w:rPr>
                <w:rFonts w:cs="Times New Roman"/>
                <w:i/>
                <w:sz w:val="22"/>
                <w:szCs w:val="22"/>
                <w:lang w:val="hr-HR"/>
              </w:rPr>
              <w:t>e]</w:t>
            </w:r>
          </w:p>
        </w:tc>
        <w:tc>
          <w:tcPr>
            <w:tcW w:w="1813" w:type="pct"/>
          </w:tcPr>
          <w:p w14:paraId="3042A937" w14:textId="7777777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Mikofenolna kiselina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br/>
              <w:t>Mikofenolna kiselina PIK</w:t>
            </w:r>
            <w:r w:rsidRPr="00913317">
              <w:rPr>
                <w:rFonts w:cs="Times New Roman"/>
                <w:sz w:val="22"/>
                <w:szCs w:val="22"/>
                <w:vertAlign w:val="subscript"/>
                <w:lang w:val="hr-HR"/>
              </w:rPr>
              <w:t>t</w:t>
            </w:r>
            <w:r w:rsidRPr="00913317">
              <w:rPr>
                <w:rFonts w:cs="Times New Roman"/>
                <w:sz w:val="22"/>
                <w:szCs w:val="22"/>
                <w:lang w:val="hr-HR"/>
              </w:rPr>
              <w:t xml:space="preserve"> ↔</w:t>
            </w:r>
          </w:p>
        </w:tc>
        <w:tc>
          <w:tcPr>
            <w:tcW w:w="1751" w:type="pct"/>
          </w:tcPr>
          <w:p w14:paraId="08627F25" w14:textId="77777777" w:rsidR="005A7815" w:rsidRPr="00913317" w:rsidRDefault="005A7815" w:rsidP="00D72925">
            <w:pPr>
              <w:rPr>
                <w:szCs w:val="22"/>
                <w:lang w:val="hr-HR"/>
              </w:rPr>
            </w:pPr>
            <w:r w:rsidRPr="00913317">
              <w:rPr>
                <w:szCs w:val="22"/>
                <w:lang w:val="hr-HR"/>
              </w:rPr>
              <w:t xml:space="preserve">Nije potrebno prilagođavanje doze </w:t>
            </w:r>
          </w:p>
        </w:tc>
      </w:tr>
      <w:tr w:rsidR="00935053" w:rsidRPr="0054718D" w14:paraId="6151D584" w14:textId="77777777" w:rsidTr="00581521">
        <w:trPr>
          <w:gridAfter w:val="1"/>
          <w:wAfter w:w="21" w:type="pct"/>
        </w:trPr>
        <w:tc>
          <w:tcPr>
            <w:tcW w:w="1415" w:type="pct"/>
          </w:tcPr>
          <w:p w14:paraId="21ABDB44" w14:textId="0F7D2315" w:rsidR="008338EA" w:rsidRPr="00913317" w:rsidRDefault="008338EA"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Kortikosteroidi</w:t>
            </w:r>
          </w:p>
          <w:p w14:paraId="4EB7A575" w14:textId="77777777" w:rsidR="008338EA" w:rsidRPr="00913317" w:rsidRDefault="008338EA" w:rsidP="00D72925">
            <w:pPr>
              <w:pStyle w:val="TableText"/>
              <w:overflowPunct w:val="0"/>
              <w:autoSpaceDE w:val="0"/>
              <w:autoSpaceDN w:val="0"/>
              <w:adjustRightInd w:val="0"/>
              <w:jc w:val="both"/>
              <w:textAlignment w:val="baseline"/>
              <w:rPr>
                <w:rFonts w:cs="Times New Roman"/>
                <w:sz w:val="22"/>
                <w:szCs w:val="22"/>
                <w:lang w:val="hr-HR"/>
              </w:rPr>
            </w:pPr>
          </w:p>
          <w:p w14:paraId="36846A5E" w14:textId="3AF9F153"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 xml:space="preserve">Prednizolon (60 mg pojedinačna doza) </w:t>
            </w:r>
            <w:r w:rsidRPr="00913317">
              <w:rPr>
                <w:rFonts w:cs="Times New Roman"/>
                <w:sz w:val="22"/>
                <w:szCs w:val="22"/>
                <w:lang w:val="hr-HR"/>
              </w:rPr>
              <w:br/>
            </w:r>
            <w:r w:rsidRPr="00913317">
              <w:rPr>
                <w:rFonts w:cs="Times New Roman"/>
                <w:i/>
                <w:sz w:val="22"/>
                <w:szCs w:val="22"/>
                <w:lang w:val="hr-HR"/>
              </w:rPr>
              <w:t>[CYP3A4 supstrat]</w:t>
            </w:r>
          </w:p>
        </w:tc>
        <w:tc>
          <w:tcPr>
            <w:tcW w:w="1813" w:type="pct"/>
          </w:tcPr>
          <w:p w14:paraId="687C771B" w14:textId="77777777" w:rsidR="008338EA" w:rsidRPr="00913317" w:rsidRDefault="008338EA"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2EC90DB2" w14:textId="77777777" w:rsidR="008338EA" w:rsidRPr="00913317" w:rsidRDefault="008338EA"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p>
          <w:p w14:paraId="10F171FE" w14:textId="09F24837" w:rsidR="005A7815" w:rsidRPr="00913317" w:rsidRDefault="005A7815" w:rsidP="00D72925">
            <w:pPr>
              <w:pStyle w:val="TableText"/>
              <w:tabs>
                <w:tab w:val="left" w:pos="216"/>
              </w:tabs>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Prednizolon C</w:t>
            </w:r>
            <w:r w:rsidRPr="00913317">
              <w:rPr>
                <w:rFonts w:cs="Times New Roman"/>
                <w:sz w:val="22"/>
                <w:szCs w:val="22"/>
                <w:vertAlign w:val="subscript"/>
                <w:lang w:val="hr-HR"/>
              </w:rPr>
              <w:t>max</w:t>
            </w:r>
            <w:r w:rsidRPr="00913317">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11%</w:t>
            </w:r>
            <w:r w:rsidRPr="00913317">
              <w:rPr>
                <w:rFonts w:cs="Times New Roman"/>
                <w:sz w:val="22"/>
                <w:szCs w:val="22"/>
                <w:lang w:val="hr-HR"/>
              </w:rPr>
              <w:br/>
              <w:t>Prednizolon PIK</w:t>
            </w:r>
            <w:r w:rsidRPr="00913317">
              <w:rPr>
                <w:rFonts w:cs="Times New Roman"/>
                <w:sz w:val="22"/>
                <w:szCs w:val="22"/>
                <w:vertAlign w:val="subscript"/>
                <w:lang w:val="hr-HR"/>
              </w:rPr>
              <w:t>0→∞</w:t>
            </w:r>
            <w:r w:rsidRPr="008C59C8">
              <w:rPr>
                <w:rFonts w:cs="Times New Roman"/>
                <w:sz w:val="22"/>
                <w:szCs w:val="22"/>
                <w:lang w:val="hr-HR"/>
              </w:rPr>
              <w:t xml:space="preserve"> </w:t>
            </w:r>
            <w:r w:rsidRPr="00913317">
              <w:rPr>
                <w:rFonts w:cs="Times New Roman"/>
                <w:sz w:val="22"/>
                <w:szCs w:val="22"/>
                <w:lang w:val="hr-HR"/>
              </w:rPr>
              <w:sym w:font="Symbol" w:char="F0AD"/>
            </w:r>
            <w:r w:rsidRPr="00913317">
              <w:rPr>
                <w:rFonts w:cs="Times New Roman"/>
                <w:sz w:val="22"/>
                <w:szCs w:val="22"/>
                <w:lang w:val="hr-HR"/>
              </w:rPr>
              <w:t xml:space="preserve"> 34%</w:t>
            </w:r>
          </w:p>
        </w:tc>
        <w:tc>
          <w:tcPr>
            <w:tcW w:w="1751" w:type="pct"/>
          </w:tcPr>
          <w:p w14:paraId="72CDD164" w14:textId="77777777" w:rsidR="008338EA" w:rsidRPr="008C59C8" w:rsidRDefault="008338EA" w:rsidP="00D72925">
            <w:pPr>
              <w:rPr>
                <w:szCs w:val="22"/>
                <w:lang w:val="hr-HR"/>
              </w:rPr>
            </w:pPr>
          </w:p>
          <w:p w14:paraId="1ECB387D" w14:textId="77777777" w:rsidR="008338EA" w:rsidRPr="003307B5" w:rsidRDefault="008338EA" w:rsidP="00D72925">
            <w:pPr>
              <w:rPr>
                <w:szCs w:val="22"/>
                <w:lang w:val="hr-HR"/>
              </w:rPr>
            </w:pPr>
          </w:p>
          <w:p w14:paraId="1E585A15" w14:textId="77777777" w:rsidR="005A7815" w:rsidRPr="0029457E" w:rsidRDefault="005A7815" w:rsidP="00D72925">
            <w:pPr>
              <w:rPr>
                <w:szCs w:val="22"/>
                <w:lang w:val="hr-HR"/>
              </w:rPr>
            </w:pPr>
            <w:r w:rsidRPr="0029457E">
              <w:rPr>
                <w:szCs w:val="22"/>
                <w:lang w:val="hr-HR"/>
              </w:rPr>
              <w:t xml:space="preserve">Nije potrebno prilagođavanje doze </w:t>
            </w:r>
          </w:p>
          <w:p w14:paraId="5CEF0F69" w14:textId="77777777" w:rsidR="008338EA" w:rsidRPr="00913317" w:rsidRDefault="008338EA" w:rsidP="00D72925">
            <w:pPr>
              <w:rPr>
                <w:szCs w:val="22"/>
                <w:lang w:val="hr-HR"/>
              </w:rPr>
            </w:pPr>
          </w:p>
          <w:p w14:paraId="19AEC896" w14:textId="75C47AB3" w:rsidR="008338EA" w:rsidRPr="00913317" w:rsidRDefault="008338EA" w:rsidP="00D72925">
            <w:pPr>
              <w:rPr>
                <w:szCs w:val="22"/>
                <w:lang w:val="hr-HR"/>
              </w:rPr>
            </w:pPr>
            <w:r w:rsidRPr="00913317">
              <w:rPr>
                <w:szCs w:val="22"/>
                <w:lang w:val="hr-HR"/>
              </w:rPr>
              <w:t xml:space="preserve">Treba pažljivo </w:t>
            </w:r>
            <w:r w:rsidR="00990A01" w:rsidRPr="00913317">
              <w:rPr>
                <w:szCs w:val="22"/>
                <w:lang w:val="hr-HR"/>
              </w:rPr>
              <w:t>pratiti</w:t>
            </w:r>
            <w:r w:rsidRPr="00913317">
              <w:rPr>
                <w:szCs w:val="22"/>
                <w:lang w:val="hr-HR"/>
              </w:rPr>
              <w:t xml:space="preserve"> pacijente koji se dugotrajno liječe vorikonazolom i kortikosteroidima (uključujući kortikosteroide za inhalacionu primjenu, npr. budesonid i kortikosteroide za intranazalnu primjenu) zbog mogućeg poremećaja funkcije kore nadbubrežne žlijezde tokom liječenja i kada se </w:t>
            </w:r>
            <w:r w:rsidR="003C18A0" w:rsidRPr="00913317">
              <w:rPr>
                <w:szCs w:val="22"/>
                <w:lang w:val="hr-HR"/>
              </w:rPr>
              <w:t>prekine</w:t>
            </w:r>
            <w:r w:rsidRPr="00913317">
              <w:rPr>
                <w:szCs w:val="22"/>
                <w:lang w:val="hr-HR"/>
              </w:rPr>
              <w:t xml:space="preserve"> primjena vorikonazola (vidjeti </w:t>
            </w:r>
            <w:r w:rsidR="00954637" w:rsidRPr="00913317">
              <w:rPr>
                <w:szCs w:val="22"/>
                <w:lang w:val="hr-HR"/>
              </w:rPr>
              <w:t xml:space="preserve">dio </w:t>
            </w:r>
            <w:r w:rsidRPr="00913317">
              <w:rPr>
                <w:szCs w:val="22"/>
                <w:lang w:val="hr-HR"/>
              </w:rPr>
              <w:t xml:space="preserve"> 4.4)</w:t>
            </w:r>
          </w:p>
        </w:tc>
      </w:tr>
      <w:tr w:rsidR="005A7815" w:rsidRPr="00913317" w14:paraId="5475B9F4" w14:textId="77777777" w:rsidTr="00581521">
        <w:trPr>
          <w:gridAfter w:val="1"/>
          <w:wAfter w:w="21" w:type="pct"/>
        </w:trPr>
        <w:tc>
          <w:tcPr>
            <w:tcW w:w="1415" w:type="pct"/>
          </w:tcPr>
          <w:p w14:paraId="1B791D8B" w14:textId="77777777" w:rsidR="005A7815" w:rsidRPr="00913317" w:rsidRDefault="005A7815" w:rsidP="00D72925">
            <w:pPr>
              <w:pStyle w:val="TableText"/>
              <w:overflowPunct w:val="0"/>
              <w:autoSpaceDE w:val="0"/>
              <w:autoSpaceDN w:val="0"/>
              <w:adjustRightInd w:val="0"/>
              <w:jc w:val="both"/>
              <w:textAlignment w:val="baseline"/>
              <w:rPr>
                <w:rFonts w:cs="Times New Roman"/>
                <w:i/>
                <w:sz w:val="22"/>
                <w:szCs w:val="22"/>
                <w:lang w:val="hr-HR"/>
              </w:rPr>
            </w:pPr>
            <w:r w:rsidRPr="00913317">
              <w:rPr>
                <w:rFonts w:cs="Times New Roman"/>
                <w:sz w:val="22"/>
                <w:szCs w:val="22"/>
                <w:lang w:val="hr-HR"/>
              </w:rPr>
              <w:t>Ranitidin (150 mg dva puta dnevno)</w:t>
            </w:r>
            <w:r w:rsidRPr="00913317">
              <w:rPr>
                <w:rFonts w:cs="Times New Roman"/>
                <w:sz w:val="22"/>
                <w:szCs w:val="22"/>
                <w:lang w:val="hr-HR"/>
              </w:rPr>
              <w:br/>
            </w:r>
            <w:r w:rsidRPr="00913317">
              <w:rPr>
                <w:rFonts w:cs="Times New Roman"/>
                <w:i/>
                <w:sz w:val="22"/>
                <w:szCs w:val="22"/>
                <w:lang w:val="hr-HR"/>
              </w:rPr>
              <w:t>[povećava pH u želucu]</w:t>
            </w:r>
          </w:p>
        </w:tc>
        <w:tc>
          <w:tcPr>
            <w:tcW w:w="1813" w:type="pct"/>
          </w:tcPr>
          <w:p w14:paraId="106F2940" w14:textId="77777777" w:rsidR="005A7815" w:rsidRPr="00913317" w:rsidRDefault="005A7815" w:rsidP="00D72925">
            <w:pPr>
              <w:pStyle w:val="TableText"/>
              <w:overflowPunct w:val="0"/>
              <w:autoSpaceDE w:val="0"/>
              <w:autoSpaceDN w:val="0"/>
              <w:adjustRightInd w:val="0"/>
              <w:jc w:val="both"/>
              <w:textAlignment w:val="baseline"/>
              <w:rPr>
                <w:rFonts w:cs="Times New Roman"/>
                <w:sz w:val="22"/>
                <w:szCs w:val="22"/>
                <w:lang w:val="hr-HR"/>
              </w:rPr>
            </w:pPr>
            <w:r w:rsidRPr="00913317">
              <w:rPr>
                <w:rFonts w:cs="Times New Roman"/>
                <w:sz w:val="22"/>
                <w:szCs w:val="22"/>
                <w:lang w:val="hr-HR"/>
              </w:rPr>
              <w:t>Vorikonazol C</w:t>
            </w:r>
            <w:r w:rsidRPr="00913317">
              <w:rPr>
                <w:rFonts w:cs="Times New Roman"/>
                <w:sz w:val="22"/>
                <w:szCs w:val="22"/>
                <w:vertAlign w:val="subscript"/>
                <w:lang w:val="hr-HR"/>
              </w:rPr>
              <w:t>max</w:t>
            </w:r>
            <w:r w:rsidRPr="00913317">
              <w:rPr>
                <w:rFonts w:cs="Times New Roman"/>
                <w:sz w:val="22"/>
                <w:szCs w:val="22"/>
                <w:lang w:val="hr-HR"/>
              </w:rPr>
              <w:t xml:space="preserve"> i PIK</w:t>
            </w:r>
            <w:r w:rsidRPr="00913317">
              <w:rPr>
                <w:rFonts w:cs="Times New Roman"/>
                <w:sz w:val="22"/>
                <w:szCs w:val="22"/>
                <w:lang w:val="hr-HR"/>
              </w:rPr>
              <w:sym w:font="Symbol" w:char="F074"/>
            </w:r>
            <w:r w:rsidRPr="00913317">
              <w:rPr>
                <w:rFonts w:cs="Times New Roman"/>
                <w:sz w:val="22"/>
                <w:szCs w:val="22"/>
                <w:lang w:val="hr-HR"/>
              </w:rPr>
              <w:t xml:space="preserve"> ↔</w:t>
            </w:r>
          </w:p>
        </w:tc>
        <w:tc>
          <w:tcPr>
            <w:tcW w:w="1751" w:type="pct"/>
          </w:tcPr>
          <w:p w14:paraId="138E483B" w14:textId="77777777" w:rsidR="005A7815" w:rsidRPr="008C59C8" w:rsidRDefault="005A7815" w:rsidP="00D72925">
            <w:pPr>
              <w:rPr>
                <w:szCs w:val="22"/>
                <w:lang w:val="hr-HR"/>
              </w:rPr>
            </w:pPr>
            <w:r w:rsidRPr="008C59C8">
              <w:rPr>
                <w:szCs w:val="22"/>
                <w:lang w:val="hr-HR"/>
              </w:rPr>
              <w:t xml:space="preserve">Nije potrebno prilagođavanje doze </w:t>
            </w:r>
          </w:p>
        </w:tc>
      </w:tr>
    </w:tbl>
    <w:p w14:paraId="1205EC8A" w14:textId="696A332A" w:rsidR="006131C3" w:rsidRPr="00913317" w:rsidRDefault="006131C3" w:rsidP="00D72925">
      <w:pPr>
        <w:rPr>
          <w:color w:val="FF0000"/>
          <w:szCs w:val="22"/>
          <w:lang w:val="hr-HR"/>
        </w:rPr>
      </w:pPr>
    </w:p>
    <w:p w14:paraId="08503537" w14:textId="0DA40D1B" w:rsidR="006131C3" w:rsidRPr="00913317" w:rsidRDefault="00CE09F3" w:rsidP="00D72925">
      <w:pPr>
        <w:rPr>
          <w:b/>
          <w:bCs/>
          <w:szCs w:val="22"/>
          <w:lang w:val="hr-HR"/>
        </w:rPr>
      </w:pPr>
      <w:r w:rsidRPr="00913317">
        <w:rPr>
          <w:b/>
          <w:bCs/>
          <w:szCs w:val="22"/>
          <w:lang w:val="hr-HR"/>
        </w:rPr>
        <w:lastRenderedPageBreak/>
        <w:t>4.6</w:t>
      </w:r>
      <w:r w:rsidR="00EF3D1D" w:rsidRPr="00913317">
        <w:rPr>
          <w:b/>
          <w:bCs/>
          <w:szCs w:val="22"/>
          <w:lang w:val="hr-HR"/>
        </w:rPr>
        <w:t>.</w:t>
      </w:r>
      <w:r w:rsidR="00EF3D1D" w:rsidRPr="00913317">
        <w:rPr>
          <w:b/>
          <w:bCs/>
          <w:szCs w:val="22"/>
          <w:lang w:val="hr-HR"/>
        </w:rPr>
        <w:tab/>
      </w:r>
      <w:r w:rsidRPr="00913317">
        <w:rPr>
          <w:b/>
          <w:bCs/>
          <w:szCs w:val="22"/>
          <w:lang w:val="hr-HR"/>
        </w:rPr>
        <w:t>Plodnost, trudnoća i dojenje</w:t>
      </w:r>
    </w:p>
    <w:p w14:paraId="0816329C" w14:textId="77777777" w:rsidR="006131C3" w:rsidRPr="00913317" w:rsidRDefault="006131C3" w:rsidP="00D72925">
      <w:pPr>
        <w:rPr>
          <w:color w:val="FF0000"/>
          <w:szCs w:val="22"/>
          <w:lang w:val="hr-HR"/>
        </w:rPr>
      </w:pPr>
    </w:p>
    <w:p w14:paraId="56A043EB" w14:textId="77777777" w:rsidR="00305384" w:rsidRPr="00913317" w:rsidRDefault="00305384" w:rsidP="00D72925">
      <w:pPr>
        <w:pStyle w:val="Default"/>
        <w:jc w:val="both"/>
        <w:rPr>
          <w:color w:val="auto"/>
          <w:sz w:val="22"/>
          <w:szCs w:val="22"/>
          <w:u w:val="single"/>
          <w:lang w:val="hr-HR"/>
        </w:rPr>
      </w:pPr>
      <w:r w:rsidRPr="00913317">
        <w:rPr>
          <w:color w:val="auto"/>
          <w:sz w:val="22"/>
          <w:szCs w:val="22"/>
          <w:u w:val="single"/>
          <w:lang w:val="hr-HR"/>
        </w:rPr>
        <w:t>Trudnoća</w:t>
      </w:r>
    </w:p>
    <w:p w14:paraId="5D5A5F84" w14:textId="12D9C460" w:rsidR="006131C3" w:rsidRPr="00913317" w:rsidRDefault="005A7815" w:rsidP="00D72925">
      <w:pPr>
        <w:rPr>
          <w:szCs w:val="22"/>
          <w:lang w:val="hr-HR"/>
        </w:rPr>
      </w:pPr>
      <w:r w:rsidRPr="00913317">
        <w:rPr>
          <w:szCs w:val="22"/>
          <w:lang w:val="hr-HR"/>
        </w:rPr>
        <w:t xml:space="preserve">Nema dostupnih odgovarajućih podataka o </w:t>
      </w:r>
      <w:r w:rsidR="004D45E7" w:rsidRPr="00913317">
        <w:rPr>
          <w:szCs w:val="22"/>
          <w:lang w:val="hr-HR"/>
        </w:rPr>
        <w:t>primjen</w:t>
      </w:r>
      <w:r w:rsidRPr="00913317">
        <w:rPr>
          <w:szCs w:val="22"/>
          <w:lang w:val="hr-HR"/>
        </w:rPr>
        <w:t xml:space="preserve">i </w:t>
      </w:r>
      <w:r w:rsidR="004D45E7" w:rsidRPr="00913317">
        <w:rPr>
          <w:szCs w:val="22"/>
          <w:lang w:val="hr-HR"/>
        </w:rPr>
        <w:t>lijek</w:t>
      </w:r>
      <w:r w:rsidRPr="00913317">
        <w:rPr>
          <w:szCs w:val="22"/>
          <w:lang w:val="hr-HR"/>
        </w:rPr>
        <w:t>a Vfend kod trudnica.</w:t>
      </w:r>
    </w:p>
    <w:p w14:paraId="6F0F404A" w14:textId="735CFC30" w:rsidR="006131C3" w:rsidRPr="00913317" w:rsidRDefault="005A7815" w:rsidP="00D72925">
      <w:pPr>
        <w:rPr>
          <w:szCs w:val="22"/>
          <w:lang w:val="hr-HR"/>
        </w:rPr>
      </w:pPr>
      <w:r w:rsidRPr="00913317">
        <w:rPr>
          <w:szCs w:val="22"/>
          <w:lang w:val="hr-HR"/>
        </w:rPr>
        <w:t>Studije na životinjama su potvrdile postojanje reproduktivne toksičnosti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5.3). Potencijalni rizik </w:t>
      </w:r>
      <w:r w:rsidR="007304BE" w:rsidRPr="00913317">
        <w:rPr>
          <w:szCs w:val="22"/>
          <w:lang w:val="hr-HR"/>
        </w:rPr>
        <w:t>kod ljudi</w:t>
      </w:r>
      <w:r w:rsidRPr="00913317">
        <w:rPr>
          <w:szCs w:val="22"/>
          <w:lang w:val="hr-HR"/>
        </w:rPr>
        <w:t xml:space="preserve"> je nepoznat. </w:t>
      </w:r>
    </w:p>
    <w:p w14:paraId="372241F5" w14:textId="4527D709" w:rsidR="006131C3" w:rsidRPr="00913317" w:rsidRDefault="004D45E7" w:rsidP="00D72925">
      <w:pPr>
        <w:rPr>
          <w:szCs w:val="22"/>
          <w:lang w:val="hr-HR"/>
        </w:rPr>
      </w:pPr>
      <w:r w:rsidRPr="00913317">
        <w:rPr>
          <w:szCs w:val="22"/>
          <w:lang w:val="hr-HR"/>
        </w:rPr>
        <w:t>Lijek</w:t>
      </w:r>
      <w:r w:rsidR="009E7668" w:rsidRPr="00913317">
        <w:rPr>
          <w:szCs w:val="22"/>
          <w:lang w:val="hr-HR"/>
        </w:rPr>
        <w:t xml:space="preserve"> </w:t>
      </w:r>
      <w:r w:rsidR="005A7815" w:rsidRPr="00913317">
        <w:rPr>
          <w:szCs w:val="22"/>
          <w:lang w:val="hr-HR"/>
        </w:rPr>
        <w:t>Vfend se ne sm</w:t>
      </w:r>
      <w:r w:rsidR="008B4C41" w:rsidRPr="00913317">
        <w:rPr>
          <w:szCs w:val="22"/>
          <w:lang w:val="hr-HR"/>
        </w:rPr>
        <w:t>ij</w:t>
      </w:r>
      <w:r w:rsidR="005A7815" w:rsidRPr="00913317">
        <w:rPr>
          <w:szCs w:val="22"/>
          <w:lang w:val="hr-HR"/>
        </w:rPr>
        <w:t>e uzimati za vr</w:t>
      </w:r>
      <w:r w:rsidR="008B4C41" w:rsidRPr="00913317">
        <w:rPr>
          <w:szCs w:val="22"/>
          <w:lang w:val="hr-HR"/>
        </w:rPr>
        <w:t>ij</w:t>
      </w:r>
      <w:r w:rsidR="005A7815" w:rsidRPr="00913317">
        <w:rPr>
          <w:szCs w:val="22"/>
          <w:lang w:val="hr-HR"/>
        </w:rPr>
        <w:t>eme trudnoće, osim ako korist za majku ne prevazilazi potencijalni rizik za fetus.</w:t>
      </w:r>
    </w:p>
    <w:p w14:paraId="38491D36" w14:textId="77777777" w:rsidR="006131C3" w:rsidRPr="00913317" w:rsidRDefault="006131C3" w:rsidP="00D72925">
      <w:pPr>
        <w:rPr>
          <w:szCs w:val="22"/>
          <w:u w:val="single"/>
          <w:lang w:val="hr-HR"/>
        </w:rPr>
      </w:pPr>
    </w:p>
    <w:p w14:paraId="67F265D9" w14:textId="77777777" w:rsidR="006131C3" w:rsidRPr="00913317" w:rsidRDefault="005A7815" w:rsidP="00D72925">
      <w:pPr>
        <w:rPr>
          <w:szCs w:val="22"/>
          <w:u w:val="single"/>
          <w:lang w:val="hr-HR"/>
        </w:rPr>
      </w:pPr>
      <w:r w:rsidRPr="00913317">
        <w:rPr>
          <w:szCs w:val="22"/>
          <w:u w:val="single"/>
          <w:lang w:val="hr-HR"/>
        </w:rPr>
        <w:t xml:space="preserve">Žene u reproduktivnom </w:t>
      </w:r>
      <w:r w:rsidR="00D85189" w:rsidRPr="00913317">
        <w:rPr>
          <w:szCs w:val="22"/>
          <w:u w:val="single"/>
          <w:lang w:val="hr-HR"/>
        </w:rPr>
        <w:t>periodu</w:t>
      </w:r>
      <w:r w:rsidRPr="00913317">
        <w:rPr>
          <w:szCs w:val="22"/>
          <w:u w:val="single"/>
          <w:lang w:val="hr-HR"/>
        </w:rPr>
        <w:t xml:space="preserve"> </w:t>
      </w:r>
    </w:p>
    <w:p w14:paraId="593A2FBD" w14:textId="39163F77" w:rsidR="006131C3" w:rsidRPr="00913317" w:rsidRDefault="005A7815" w:rsidP="00D72925">
      <w:pPr>
        <w:rPr>
          <w:color w:val="FF0000"/>
          <w:szCs w:val="22"/>
          <w:lang w:val="hr-HR"/>
        </w:rPr>
      </w:pPr>
      <w:r w:rsidRPr="00913317">
        <w:rPr>
          <w:szCs w:val="22"/>
          <w:lang w:val="hr-HR"/>
        </w:rPr>
        <w:t xml:space="preserve">Žene u reproduktivnom </w:t>
      </w:r>
      <w:r w:rsidR="00D85189" w:rsidRPr="00913317">
        <w:rPr>
          <w:szCs w:val="22"/>
          <w:lang w:val="hr-HR"/>
        </w:rPr>
        <w:t xml:space="preserve">periodu </w:t>
      </w:r>
      <w:r w:rsidRPr="00913317">
        <w:rPr>
          <w:szCs w:val="22"/>
          <w:lang w:val="hr-HR"/>
        </w:rPr>
        <w:t xml:space="preserve">moraju da </w:t>
      </w:r>
      <w:r w:rsidR="00D85189" w:rsidRPr="00913317">
        <w:rPr>
          <w:szCs w:val="22"/>
          <w:lang w:val="hr-HR"/>
        </w:rPr>
        <w:t xml:space="preserve">koriste </w:t>
      </w:r>
      <w:r w:rsidRPr="00913317">
        <w:rPr>
          <w:szCs w:val="22"/>
          <w:lang w:val="hr-HR"/>
        </w:rPr>
        <w:t>ef</w:t>
      </w:r>
      <w:r w:rsidR="005F173C" w:rsidRPr="00913317">
        <w:rPr>
          <w:szCs w:val="22"/>
          <w:lang w:val="hr-HR"/>
        </w:rPr>
        <w:t>ektivnu</w:t>
      </w:r>
      <w:r w:rsidRPr="00913317">
        <w:rPr>
          <w:szCs w:val="22"/>
          <w:lang w:val="hr-HR"/>
        </w:rPr>
        <w:t xml:space="preserve"> kontracepciju </w:t>
      </w:r>
      <w:r w:rsidR="005F173C" w:rsidRPr="00913317">
        <w:rPr>
          <w:szCs w:val="22"/>
          <w:lang w:val="hr-HR"/>
        </w:rPr>
        <w:t>tokom</w:t>
      </w:r>
      <w:r w:rsidRPr="00913317">
        <w:rPr>
          <w:szCs w:val="22"/>
          <w:lang w:val="hr-HR"/>
        </w:rPr>
        <w:t xml:space="preserve"> terapije </w:t>
      </w:r>
      <w:r w:rsidR="004D45E7" w:rsidRPr="00913317">
        <w:rPr>
          <w:szCs w:val="22"/>
          <w:lang w:val="hr-HR"/>
        </w:rPr>
        <w:t>lijek</w:t>
      </w:r>
      <w:r w:rsidRPr="00913317">
        <w:rPr>
          <w:szCs w:val="22"/>
          <w:lang w:val="hr-HR"/>
        </w:rPr>
        <w:t>om Vfend.</w:t>
      </w:r>
    </w:p>
    <w:p w14:paraId="284653CE" w14:textId="77777777" w:rsidR="006A18A0" w:rsidRPr="00913317" w:rsidRDefault="006A18A0" w:rsidP="00D72925">
      <w:pPr>
        <w:pStyle w:val="Default"/>
        <w:jc w:val="both"/>
        <w:rPr>
          <w:color w:val="FF0000"/>
          <w:sz w:val="22"/>
          <w:szCs w:val="22"/>
          <w:lang w:val="hr-HR"/>
        </w:rPr>
      </w:pPr>
    </w:p>
    <w:p w14:paraId="2D09E020" w14:textId="77777777" w:rsidR="00305384" w:rsidRPr="00913317" w:rsidRDefault="00305384" w:rsidP="00D72925">
      <w:pPr>
        <w:pStyle w:val="Default"/>
        <w:jc w:val="both"/>
        <w:rPr>
          <w:color w:val="auto"/>
          <w:sz w:val="22"/>
          <w:szCs w:val="22"/>
          <w:u w:val="single"/>
          <w:lang w:val="hr-HR"/>
        </w:rPr>
      </w:pPr>
      <w:r w:rsidRPr="00913317">
        <w:rPr>
          <w:color w:val="auto"/>
          <w:sz w:val="22"/>
          <w:szCs w:val="22"/>
          <w:u w:val="single"/>
          <w:lang w:val="hr-HR"/>
        </w:rPr>
        <w:t>Dojenje</w:t>
      </w:r>
    </w:p>
    <w:p w14:paraId="6EE800BE" w14:textId="6AC0DB9F" w:rsidR="006131C3" w:rsidRPr="00913317" w:rsidRDefault="005A7815" w:rsidP="00D72925">
      <w:pPr>
        <w:pStyle w:val="Header"/>
        <w:tabs>
          <w:tab w:val="clear" w:pos="4536"/>
          <w:tab w:val="clear" w:pos="9072"/>
          <w:tab w:val="left" w:pos="284"/>
        </w:tabs>
        <w:rPr>
          <w:szCs w:val="22"/>
          <w:lang w:val="hr-HR"/>
        </w:rPr>
      </w:pPr>
      <w:r w:rsidRPr="00913317">
        <w:rPr>
          <w:szCs w:val="22"/>
          <w:lang w:val="hr-HR"/>
        </w:rPr>
        <w:t xml:space="preserve">Prisustvo vorikonazola u majčinom </w:t>
      </w:r>
      <w:r w:rsidR="006C3F92" w:rsidRPr="00913317">
        <w:rPr>
          <w:szCs w:val="22"/>
          <w:lang w:val="hr-HR"/>
        </w:rPr>
        <w:t>ml</w:t>
      </w:r>
      <w:r w:rsidR="004D45E7" w:rsidRPr="00913317">
        <w:rPr>
          <w:szCs w:val="22"/>
          <w:lang w:val="hr-HR"/>
        </w:rPr>
        <w:t>ijek</w:t>
      </w:r>
      <w:r w:rsidRPr="00913317">
        <w:rPr>
          <w:szCs w:val="22"/>
          <w:lang w:val="hr-HR"/>
        </w:rPr>
        <w:t>u nije ispitivano. Dojenje se mora prekinuti za vr</w:t>
      </w:r>
      <w:r w:rsidR="008B4C41" w:rsidRPr="00913317">
        <w:rPr>
          <w:szCs w:val="22"/>
          <w:lang w:val="hr-HR"/>
        </w:rPr>
        <w:t>ij</w:t>
      </w:r>
      <w:r w:rsidRPr="00913317">
        <w:rPr>
          <w:szCs w:val="22"/>
          <w:lang w:val="hr-HR"/>
        </w:rPr>
        <w:t xml:space="preserve">eme terapije </w:t>
      </w:r>
      <w:r w:rsidR="004D45E7" w:rsidRPr="00913317">
        <w:rPr>
          <w:szCs w:val="22"/>
          <w:lang w:val="hr-HR"/>
        </w:rPr>
        <w:t>lijek</w:t>
      </w:r>
      <w:r w:rsidRPr="00913317">
        <w:rPr>
          <w:szCs w:val="22"/>
          <w:lang w:val="hr-HR"/>
        </w:rPr>
        <w:t>om Vfend.</w:t>
      </w:r>
    </w:p>
    <w:p w14:paraId="5571600D" w14:textId="77777777" w:rsidR="006A18A0" w:rsidRPr="00913317" w:rsidRDefault="006A18A0" w:rsidP="00D72925">
      <w:pPr>
        <w:pStyle w:val="Default"/>
        <w:jc w:val="both"/>
        <w:rPr>
          <w:color w:val="auto"/>
          <w:sz w:val="22"/>
          <w:szCs w:val="22"/>
          <w:lang w:val="hr-HR"/>
        </w:rPr>
      </w:pPr>
    </w:p>
    <w:p w14:paraId="797EA344" w14:textId="77777777" w:rsidR="006131C3" w:rsidRPr="00913317" w:rsidRDefault="00305384" w:rsidP="00D72925">
      <w:pPr>
        <w:rPr>
          <w:szCs w:val="22"/>
          <w:u w:val="single"/>
          <w:lang w:val="hr-HR"/>
        </w:rPr>
      </w:pPr>
      <w:r w:rsidRPr="00913317">
        <w:rPr>
          <w:szCs w:val="22"/>
          <w:u w:val="single"/>
          <w:lang w:val="hr-HR"/>
        </w:rPr>
        <w:t>Plodnost</w:t>
      </w:r>
    </w:p>
    <w:p w14:paraId="0A4A7206" w14:textId="3EF525C6" w:rsidR="006131C3" w:rsidRPr="00913317" w:rsidRDefault="005A7815" w:rsidP="00D72925">
      <w:pPr>
        <w:pStyle w:val="Header"/>
        <w:tabs>
          <w:tab w:val="clear" w:pos="4536"/>
          <w:tab w:val="clear" w:pos="9072"/>
          <w:tab w:val="left" w:pos="284"/>
        </w:tabs>
        <w:rPr>
          <w:szCs w:val="22"/>
          <w:lang w:val="hr-HR"/>
        </w:rPr>
      </w:pPr>
      <w:r w:rsidRPr="00913317">
        <w:rPr>
          <w:szCs w:val="22"/>
          <w:lang w:val="hr-HR"/>
        </w:rPr>
        <w:t>U studijama na životinjama nije pokazano oštećenje plodnosti mužjaka i ženki pacova (</w:t>
      </w:r>
      <w:r w:rsidR="004D45E7" w:rsidRPr="00913317">
        <w:rPr>
          <w:szCs w:val="22"/>
          <w:lang w:val="hr-HR"/>
        </w:rPr>
        <w:t xml:space="preserve">vidjeti </w:t>
      </w:r>
      <w:r w:rsidR="00954637" w:rsidRPr="00913317">
        <w:rPr>
          <w:szCs w:val="22"/>
          <w:lang w:val="hr-HR"/>
        </w:rPr>
        <w:t>dio</w:t>
      </w:r>
      <w:r w:rsidR="004067EB" w:rsidRPr="00913317">
        <w:rPr>
          <w:szCs w:val="22"/>
          <w:lang w:val="hr-HR"/>
        </w:rPr>
        <w:t> </w:t>
      </w:r>
      <w:r w:rsidRPr="00913317">
        <w:rPr>
          <w:szCs w:val="22"/>
          <w:lang w:val="hr-HR"/>
        </w:rPr>
        <w:t>5.3).</w:t>
      </w:r>
    </w:p>
    <w:p w14:paraId="65050F7E" w14:textId="77777777" w:rsidR="006131C3" w:rsidRPr="00913317" w:rsidRDefault="006131C3" w:rsidP="00D72925">
      <w:pPr>
        <w:rPr>
          <w:color w:val="FF0000"/>
          <w:szCs w:val="22"/>
          <w:lang w:val="hr-HR"/>
        </w:rPr>
      </w:pPr>
    </w:p>
    <w:p w14:paraId="0E304146" w14:textId="48C74FFE" w:rsidR="006131C3" w:rsidRPr="00913317" w:rsidRDefault="00CE09F3" w:rsidP="00D72925">
      <w:pPr>
        <w:rPr>
          <w:b/>
          <w:szCs w:val="22"/>
          <w:lang w:val="hr-HR"/>
        </w:rPr>
      </w:pPr>
      <w:r w:rsidRPr="00913317">
        <w:rPr>
          <w:b/>
          <w:bCs/>
          <w:spacing w:val="-8"/>
          <w:szCs w:val="22"/>
          <w:lang w:val="hr-HR"/>
        </w:rPr>
        <w:t>4.7</w:t>
      </w:r>
      <w:r w:rsidR="00EF3D1D" w:rsidRPr="00913317">
        <w:rPr>
          <w:b/>
          <w:bCs/>
          <w:spacing w:val="-8"/>
          <w:szCs w:val="22"/>
          <w:lang w:val="hr-HR"/>
        </w:rPr>
        <w:t>.</w:t>
      </w:r>
      <w:r w:rsidR="00EF3D1D" w:rsidRPr="00913317">
        <w:rPr>
          <w:b/>
          <w:bCs/>
          <w:spacing w:val="-8"/>
          <w:szCs w:val="22"/>
          <w:lang w:val="hr-HR"/>
        </w:rPr>
        <w:tab/>
      </w:r>
      <w:r w:rsidR="00096DB7" w:rsidRPr="00913317">
        <w:rPr>
          <w:b/>
          <w:szCs w:val="22"/>
          <w:lang w:val="hr-HR"/>
        </w:rPr>
        <w:t>Uticaj</w:t>
      </w:r>
      <w:r w:rsidR="003256B9" w:rsidRPr="00913317">
        <w:rPr>
          <w:b/>
          <w:szCs w:val="22"/>
          <w:lang w:val="hr-HR"/>
        </w:rPr>
        <w:t xml:space="preserve"> na sposobnost </w:t>
      </w:r>
      <w:r w:rsidR="00096DB7" w:rsidRPr="00913317">
        <w:rPr>
          <w:b/>
          <w:szCs w:val="22"/>
          <w:lang w:val="hr-HR"/>
        </w:rPr>
        <w:t>upravljanja vozilima i rukovanje</w:t>
      </w:r>
      <w:r w:rsidR="003256B9" w:rsidRPr="00913317">
        <w:rPr>
          <w:b/>
          <w:szCs w:val="22"/>
          <w:lang w:val="hr-HR"/>
        </w:rPr>
        <w:t xml:space="preserve"> mašinama</w:t>
      </w:r>
    </w:p>
    <w:p w14:paraId="6C44CE81" w14:textId="77777777" w:rsidR="006131C3" w:rsidRPr="00913317" w:rsidRDefault="006131C3" w:rsidP="00D72925">
      <w:pPr>
        <w:rPr>
          <w:color w:val="FF0000"/>
          <w:szCs w:val="22"/>
          <w:lang w:val="hr-HR"/>
        </w:rPr>
      </w:pPr>
    </w:p>
    <w:p w14:paraId="26B30DEC" w14:textId="26EC8418" w:rsidR="006131C3" w:rsidRPr="00913317" w:rsidRDefault="004D45E7" w:rsidP="00D72925">
      <w:pPr>
        <w:rPr>
          <w:szCs w:val="22"/>
          <w:lang w:val="hr-HR"/>
        </w:rPr>
      </w:pPr>
      <w:r w:rsidRPr="00913317">
        <w:rPr>
          <w:szCs w:val="22"/>
          <w:lang w:val="hr-HR"/>
        </w:rPr>
        <w:t>Lijek</w:t>
      </w:r>
      <w:r w:rsidR="00BE6E1E" w:rsidRPr="00913317">
        <w:rPr>
          <w:szCs w:val="22"/>
          <w:lang w:val="hr-HR"/>
        </w:rPr>
        <w:t xml:space="preserve"> Vfend </w:t>
      </w:r>
      <w:r w:rsidR="00060651" w:rsidRPr="00913317">
        <w:rPr>
          <w:szCs w:val="22"/>
          <w:lang w:val="hr-HR"/>
        </w:rPr>
        <w:t>ima</w:t>
      </w:r>
      <w:r w:rsidR="00BE6E1E" w:rsidRPr="00913317">
        <w:rPr>
          <w:szCs w:val="22"/>
          <w:lang w:val="hr-HR"/>
        </w:rPr>
        <w:t xml:space="preserve"> </w:t>
      </w:r>
      <w:r w:rsidR="00D85AC5" w:rsidRPr="00913317">
        <w:rPr>
          <w:szCs w:val="22"/>
          <w:lang w:val="hr-HR"/>
        </w:rPr>
        <w:t>umjere</w:t>
      </w:r>
      <w:r w:rsidR="00BE6E1E" w:rsidRPr="00913317">
        <w:rPr>
          <w:szCs w:val="22"/>
          <w:lang w:val="hr-HR"/>
        </w:rPr>
        <w:t>n uti</w:t>
      </w:r>
      <w:r w:rsidR="00060651" w:rsidRPr="00913317">
        <w:rPr>
          <w:szCs w:val="22"/>
          <w:lang w:val="hr-HR"/>
        </w:rPr>
        <w:t>caj</w:t>
      </w:r>
      <w:r w:rsidR="00BE6E1E" w:rsidRPr="00913317">
        <w:rPr>
          <w:szCs w:val="22"/>
          <w:lang w:val="hr-HR"/>
        </w:rPr>
        <w:t xml:space="preserve"> na sposobnost upravlja</w:t>
      </w:r>
      <w:r w:rsidR="00060651" w:rsidRPr="00913317">
        <w:rPr>
          <w:szCs w:val="22"/>
          <w:lang w:val="hr-HR"/>
        </w:rPr>
        <w:t>n</w:t>
      </w:r>
      <w:r w:rsidR="00BE6E1E" w:rsidRPr="00913317">
        <w:rPr>
          <w:szCs w:val="22"/>
          <w:lang w:val="hr-HR"/>
        </w:rPr>
        <w:t>j</w:t>
      </w:r>
      <w:r w:rsidR="00060651" w:rsidRPr="00913317">
        <w:rPr>
          <w:szCs w:val="22"/>
          <w:lang w:val="hr-HR"/>
        </w:rPr>
        <w:t>a</w:t>
      </w:r>
      <w:r w:rsidR="00BE6E1E" w:rsidRPr="00913317">
        <w:rPr>
          <w:szCs w:val="22"/>
          <w:lang w:val="hr-HR"/>
        </w:rPr>
        <w:t xml:space="preserve"> vozilima i </w:t>
      </w:r>
      <w:r w:rsidR="00060651" w:rsidRPr="00913317">
        <w:rPr>
          <w:szCs w:val="22"/>
          <w:lang w:val="hr-HR"/>
        </w:rPr>
        <w:t xml:space="preserve">rukovanja </w:t>
      </w:r>
      <w:r w:rsidR="00BE6E1E" w:rsidRPr="00913317">
        <w:rPr>
          <w:szCs w:val="22"/>
          <w:lang w:val="hr-HR"/>
        </w:rPr>
        <w:t>mašinama. On može da prouzrokuje prolazne poremećaje vida, uključujući zamućenje vida, izm</w:t>
      </w:r>
      <w:r w:rsidR="00DD7841" w:rsidRPr="00913317">
        <w:rPr>
          <w:szCs w:val="22"/>
          <w:lang w:val="hr-HR"/>
        </w:rPr>
        <w:t>j</w:t>
      </w:r>
      <w:r w:rsidR="00BE6E1E" w:rsidRPr="00913317">
        <w:rPr>
          <w:szCs w:val="22"/>
          <w:lang w:val="hr-HR"/>
        </w:rPr>
        <w:t>enjenu/pojačanu vizuelnu percepciju i/ili fotofobiju. Pacijenti moraju da izb</w:t>
      </w:r>
      <w:r w:rsidR="008B4C41" w:rsidRPr="00913317">
        <w:rPr>
          <w:szCs w:val="22"/>
          <w:lang w:val="hr-HR"/>
        </w:rPr>
        <w:t>j</w:t>
      </w:r>
      <w:r w:rsidR="00BE6E1E" w:rsidRPr="00913317">
        <w:rPr>
          <w:szCs w:val="22"/>
          <w:lang w:val="hr-HR"/>
        </w:rPr>
        <w:t>egavaju rizične situacije, kao što su vožnja i</w:t>
      </w:r>
      <w:r w:rsidR="00EC3CD9" w:rsidRPr="00913317">
        <w:rPr>
          <w:szCs w:val="22"/>
          <w:lang w:val="hr-HR"/>
        </w:rPr>
        <w:t>li</w:t>
      </w:r>
      <w:r w:rsidR="00BE6E1E" w:rsidRPr="00913317">
        <w:rPr>
          <w:szCs w:val="22"/>
          <w:lang w:val="hr-HR"/>
        </w:rPr>
        <w:t xml:space="preserve"> upravljanje mašinama kada imaju ove simptome.</w:t>
      </w:r>
    </w:p>
    <w:p w14:paraId="3E29CF28" w14:textId="77777777" w:rsidR="006131C3" w:rsidRPr="00913317" w:rsidRDefault="006131C3" w:rsidP="00D72925">
      <w:pPr>
        <w:rPr>
          <w:color w:val="FF0000"/>
          <w:szCs w:val="22"/>
          <w:lang w:val="hr-HR"/>
        </w:rPr>
      </w:pPr>
    </w:p>
    <w:p w14:paraId="64FD02C0" w14:textId="21549612" w:rsidR="006131C3" w:rsidRPr="00913317" w:rsidRDefault="00CE09F3" w:rsidP="00D72925">
      <w:pPr>
        <w:keepNext/>
        <w:rPr>
          <w:b/>
          <w:bCs/>
          <w:szCs w:val="22"/>
          <w:lang w:val="hr-HR"/>
        </w:rPr>
      </w:pPr>
      <w:r w:rsidRPr="00913317">
        <w:rPr>
          <w:b/>
          <w:bCs/>
          <w:szCs w:val="22"/>
          <w:lang w:val="hr-HR"/>
        </w:rPr>
        <w:t>4.8</w:t>
      </w:r>
      <w:r w:rsidR="00EF3D1D" w:rsidRPr="00913317">
        <w:rPr>
          <w:b/>
          <w:bCs/>
          <w:szCs w:val="22"/>
          <w:lang w:val="hr-HR"/>
        </w:rPr>
        <w:t>.</w:t>
      </w:r>
      <w:r w:rsidR="00EF3D1D" w:rsidRPr="00913317">
        <w:rPr>
          <w:b/>
          <w:bCs/>
          <w:szCs w:val="22"/>
          <w:lang w:val="hr-HR"/>
        </w:rPr>
        <w:tab/>
      </w:r>
      <w:r w:rsidRPr="00913317">
        <w:rPr>
          <w:b/>
          <w:bCs/>
          <w:szCs w:val="22"/>
          <w:lang w:val="hr-HR"/>
        </w:rPr>
        <w:t>Neželjena dejstva</w:t>
      </w:r>
    </w:p>
    <w:p w14:paraId="595F7C0E" w14:textId="77777777" w:rsidR="006131C3" w:rsidRPr="00913317" w:rsidRDefault="006131C3" w:rsidP="00D72925">
      <w:pPr>
        <w:keepNext/>
        <w:rPr>
          <w:color w:val="FF0000"/>
          <w:szCs w:val="22"/>
          <w:u w:val="single"/>
          <w:lang w:val="hr-HR"/>
        </w:rPr>
      </w:pPr>
    </w:p>
    <w:p w14:paraId="3F270C0A" w14:textId="232BCFC2" w:rsidR="002C252A" w:rsidRPr="00913317" w:rsidRDefault="002C252A" w:rsidP="00D72925">
      <w:pPr>
        <w:pStyle w:val="Default"/>
        <w:keepNext/>
        <w:jc w:val="both"/>
        <w:rPr>
          <w:color w:val="auto"/>
          <w:sz w:val="22"/>
          <w:szCs w:val="22"/>
          <w:u w:val="single"/>
          <w:lang w:val="hr-HR"/>
        </w:rPr>
      </w:pPr>
      <w:r w:rsidRPr="00913317">
        <w:rPr>
          <w:color w:val="auto"/>
          <w:sz w:val="22"/>
          <w:szCs w:val="22"/>
          <w:u w:val="single"/>
          <w:lang w:val="hr-HR"/>
        </w:rPr>
        <w:t xml:space="preserve">Sažetak </w:t>
      </w:r>
      <w:r w:rsidR="003204CC" w:rsidRPr="00913317">
        <w:rPr>
          <w:color w:val="auto"/>
          <w:sz w:val="22"/>
          <w:szCs w:val="22"/>
          <w:u w:val="single"/>
          <w:lang w:val="hr-HR"/>
        </w:rPr>
        <w:t>bezbjedn</w:t>
      </w:r>
      <w:r w:rsidRPr="00913317">
        <w:rPr>
          <w:color w:val="auto"/>
          <w:sz w:val="22"/>
          <w:szCs w:val="22"/>
          <w:u w:val="single"/>
          <w:lang w:val="hr-HR"/>
        </w:rPr>
        <w:t>osnog profila</w:t>
      </w:r>
    </w:p>
    <w:p w14:paraId="5805A523" w14:textId="5DB6E7C8" w:rsidR="006131C3" w:rsidRPr="00913317" w:rsidRDefault="003204CC" w:rsidP="00D72925">
      <w:pPr>
        <w:keepNext/>
        <w:rPr>
          <w:szCs w:val="22"/>
          <w:lang w:val="hr-HR"/>
        </w:rPr>
      </w:pPr>
      <w:r w:rsidRPr="00913317">
        <w:rPr>
          <w:szCs w:val="22"/>
          <w:lang w:val="hr-HR"/>
        </w:rPr>
        <w:t>Bezbjedn</w:t>
      </w:r>
      <w:r w:rsidR="00BE6E1E" w:rsidRPr="00913317">
        <w:rPr>
          <w:szCs w:val="22"/>
          <w:lang w:val="hr-HR"/>
        </w:rPr>
        <w:t>osni profil vorikonazola kod odraslih se bazira na objedinjenoj</w:t>
      </w:r>
      <w:r w:rsidR="00BE6E1E" w:rsidRPr="00913317" w:rsidDel="002E2419">
        <w:rPr>
          <w:szCs w:val="22"/>
          <w:lang w:val="hr-HR"/>
        </w:rPr>
        <w:t xml:space="preserve"> </w:t>
      </w:r>
      <w:r w:rsidR="00BE6E1E" w:rsidRPr="00913317">
        <w:rPr>
          <w:szCs w:val="22"/>
          <w:lang w:val="hr-HR"/>
        </w:rPr>
        <w:t>bazi podataka sa više od 2000</w:t>
      </w:r>
      <w:r w:rsidR="004067EB" w:rsidRPr="00913317">
        <w:rPr>
          <w:szCs w:val="22"/>
          <w:lang w:val="hr-HR"/>
        </w:rPr>
        <w:t> </w:t>
      </w:r>
      <w:r w:rsidR="00BE6E1E" w:rsidRPr="00913317">
        <w:rPr>
          <w:szCs w:val="22"/>
          <w:lang w:val="hr-HR"/>
        </w:rPr>
        <w:t xml:space="preserve">ispitanika (uključujući 1603 odrasla pacijenta u terapijskim studijama) i dodatnih 270 odraslih </w:t>
      </w:r>
      <w:r w:rsidR="001878B6" w:rsidRPr="00913317">
        <w:rPr>
          <w:szCs w:val="22"/>
          <w:lang w:val="hr-HR"/>
        </w:rPr>
        <w:t>ispitanika</w:t>
      </w:r>
      <w:r w:rsidR="00BE6E1E" w:rsidRPr="00913317">
        <w:rPr>
          <w:szCs w:val="22"/>
          <w:lang w:val="hr-HR"/>
        </w:rPr>
        <w:t xml:space="preserve"> u studijama profilakse. Ova baza predstavlja heterogenu populaciju, koja sadrži pacijente sa hematološkim malignitetima, pacijente sa HIV infekcijom i ezofagealnom kandidijazom i refrakt</w:t>
      </w:r>
      <w:r w:rsidR="00C32143" w:rsidRPr="00913317">
        <w:rPr>
          <w:szCs w:val="22"/>
          <w:lang w:val="hr-HR"/>
        </w:rPr>
        <w:t>o</w:t>
      </w:r>
      <w:r w:rsidR="00BE6E1E" w:rsidRPr="00913317">
        <w:rPr>
          <w:szCs w:val="22"/>
          <w:lang w:val="hr-HR"/>
        </w:rPr>
        <w:t xml:space="preserve">rnim gljivičnim infekcijama, pacijente bez neutropenije sa kandidemijom ili aspergilozom i zdrave dobrovoljce. </w:t>
      </w:r>
    </w:p>
    <w:p w14:paraId="6B9D10D2" w14:textId="734EE246" w:rsidR="006131C3" w:rsidRPr="00913317" w:rsidRDefault="00BE6E1E" w:rsidP="00D72925">
      <w:pPr>
        <w:rPr>
          <w:szCs w:val="22"/>
          <w:lang w:val="hr-HR"/>
        </w:rPr>
      </w:pPr>
      <w:r w:rsidRPr="00913317">
        <w:rPr>
          <w:szCs w:val="22"/>
          <w:lang w:val="hr-HR"/>
        </w:rPr>
        <w:t>Najčešća neželjena dejstva su bila oštećenje vida, povišena t</w:t>
      </w:r>
      <w:r w:rsidR="008B4C41" w:rsidRPr="00913317">
        <w:rPr>
          <w:szCs w:val="22"/>
          <w:lang w:val="hr-HR"/>
        </w:rPr>
        <w:t>j</w:t>
      </w:r>
      <w:r w:rsidRPr="00913317">
        <w:rPr>
          <w:szCs w:val="22"/>
          <w:lang w:val="hr-HR"/>
        </w:rPr>
        <w:t xml:space="preserve">elesna temeperatura, osip, povraćanje, mučnina, dijareja, glavobolja, periferni edemi, izmenjene </w:t>
      </w:r>
      <w:r w:rsidR="004D45E7" w:rsidRPr="00913317">
        <w:rPr>
          <w:szCs w:val="22"/>
          <w:lang w:val="hr-HR"/>
        </w:rPr>
        <w:t>vrijedno</w:t>
      </w:r>
      <w:r w:rsidRPr="00913317">
        <w:rPr>
          <w:szCs w:val="22"/>
          <w:lang w:val="hr-HR"/>
        </w:rPr>
        <w:t xml:space="preserve">sti testova funkcije jetre, respiratorni distres i bol u </w:t>
      </w:r>
      <w:r w:rsidR="001878B6" w:rsidRPr="00913317">
        <w:rPr>
          <w:szCs w:val="22"/>
          <w:lang w:val="hr-HR"/>
        </w:rPr>
        <w:t>abdomenu</w:t>
      </w:r>
      <w:r w:rsidRPr="00913317">
        <w:rPr>
          <w:szCs w:val="22"/>
          <w:lang w:val="hr-HR"/>
        </w:rPr>
        <w:t xml:space="preserve">. </w:t>
      </w:r>
    </w:p>
    <w:p w14:paraId="039B31B8" w14:textId="658EC1CE" w:rsidR="006131C3" w:rsidRPr="00913317" w:rsidRDefault="00BE6E1E" w:rsidP="00D72925">
      <w:pPr>
        <w:rPr>
          <w:szCs w:val="22"/>
          <w:lang w:val="hr-HR"/>
        </w:rPr>
      </w:pPr>
      <w:r w:rsidRPr="00913317">
        <w:rPr>
          <w:szCs w:val="22"/>
          <w:lang w:val="hr-HR"/>
        </w:rPr>
        <w:t xml:space="preserve">Težina ovih neželjenih dejstava je uglavnom blaga ili </w:t>
      </w:r>
      <w:r w:rsidR="00D85AC5" w:rsidRPr="00913317">
        <w:rPr>
          <w:szCs w:val="22"/>
          <w:lang w:val="hr-HR"/>
        </w:rPr>
        <w:t>umjere</w:t>
      </w:r>
      <w:r w:rsidRPr="00913317">
        <w:rPr>
          <w:szCs w:val="22"/>
          <w:lang w:val="hr-HR"/>
        </w:rPr>
        <w:t>na. Ni</w:t>
      </w:r>
      <w:r w:rsidR="00CD2626" w:rsidRPr="00913317">
        <w:rPr>
          <w:szCs w:val="22"/>
          <w:lang w:val="hr-HR"/>
        </w:rPr>
        <w:t>je</w:t>
      </w:r>
      <w:r w:rsidRPr="00913317">
        <w:rPr>
          <w:szCs w:val="22"/>
          <w:lang w:val="hr-HR"/>
        </w:rPr>
        <w:t>su otkrivene klinički značajne razlike kada su neželjena dejstva analizirana prema godinama, rasi i polu.</w:t>
      </w:r>
    </w:p>
    <w:p w14:paraId="73CF02D5" w14:textId="77777777" w:rsidR="002C252A" w:rsidRPr="00913317" w:rsidRDefault="002C252A" w:rsidP="00D72925">
      <w:pPr>
        <w:pStyle w:val="Default"/>
        <w:jc w:val="both"/>
        <w:rPr>
          <w:color w:val="auto"/>
          <w:sz w:val="22"/>
          <w:szCs w:val="22"/>
          <w:lang w:val="hr-HR"/>
        </w:rPr>
      </w:pPr>
    </w:p>
    <w:p w14:paraId="67AC9EE9" w14:textId="77777777" w:rsidR="002C252A" w:rsidRPr="00913317" w:rsidRDefault="002C252A" w:rsidP="00D72925">
      <w:pPr>
        <w:pStyle w:val="Default"/>
        <w:jc w:val="both"/>
        <w:rPr>
          <w:color w:val="auto"/>
          <w:sz w:val="22"/>
          <w:szCs w:val="22"/>
          <w:u w:val="single"/>
          <w:lang w:val="hr-HR"/>
        </w:rPr>
      </w:pPr>
      <w:r w:rsidRPr="00913317">
        <w:rPr>
          <w:color w:val="auto"/>
          <w:sz w:val="22"/>
          <w:szCs w:val="22"/>
          <w:u w:val="single"/>
          <w:lang w:val="hr-HR"/>
        </w:rPr>
        <w:t>Tabelarni prikaz neželjenih reakcija</w:t>
      </w:r>
    </w:p>
    <w:p w14:paraId="6459424F" w14:textId="2AC18019" w:rsidR="006131C3" w:rsidRPr="00913317" w:rsidRDefault="00BE6E1E" w:rsidP="00D72925">
      <w:pPr>
        <w:pStyle w:val="Header"/>
        <w:tabs>
          <w:tab w:val="clear" w:pos="4536"/>
          <w:tab w:val="clear" w:pos="9072"/>
          <w:tab w:val="left" w:pos="284"/>
        </w:tabs>
        <w:rPr>
          <w:szCs w:val="22"/>
          <w:lang w:val="hr-HR"/>
        </w:rPr>
      </w:pPr>
      <w:r w:rsidRPr="00913317">
        <w:rPr>
          <w:szCs w:val="22"/>
          <w:lang w:val="hr-HR"/>
        </w:rPr>
        <w:t xml:space="preserve">Kako je većina studija </w:t>
      </w:r>
      <w:r w:rsidR="001878B6" w:rsidRPr="00913317">
        <w:rPr>
          <w:szCs w:val="22"/>
          <w:lang w:val="hr-HR"/>
        </w:rPr>
        <w:t xml:space="preserve">bila </w:t>
      </w:r>
      <w:r w:rsidRPr="00913317">
        <w:rPr>
          <w:szCs w:val="22"/>
          <w:lang w:val="hr-HR"/>
        </w:rPr>
        <w:t>otvoren</w:t>
      </w:r>
      <w:r w:rsidR="001878B6" w:rsidRPr="00913317">
        <w:rPr>
          <w:szCs w:val="22"/>
          <w:lang w:val="hr-HR"/>
        </w:rPr>
        <w:t>og</w:t>
      </w:r>
      <w:r w:rsidRPr="00913317">
        <w:rPr>
          <w:szCs w:val="22"/>
          <w:lang w:val="hr-HR"/>
        </w:rPr>
        <w:t xml:space="preserve"> </w:t>
      </w:r>
      <w:r w:rsidR="001878B6" w:rsidRPr="00913317">
        <w:rPr>
          <w:szCs w:val="22"/>
          <w:lang w:val="hr-HR"/>
        </w:rPr>
        <w:t>tipa</w:t>
      </w:r>
      <w:r w:rsidRPr="00913317">
        <w:rPr>
          <w:szCs w:val="22"/>
          <w:lang w:val="hr-HR"/>
        </w:rPr>
        <w:t xml:space="preserve"> u </w:t>
      </w:r>
      <w:r w:rsidR="001878B6" w:rsidRPr="00913317">
        <w:rPr>
          <w:szCs w:val="22"/>
          <w:lang w:val="hr-HR"/>
        </w:rPr>
        <w:t>sl</w:t>
      </w:r>
      <w:r w:rsidR="008B4C41" w:rsidRPr="00913317">
        <w:rPr>
          <w:szCs w:val="22"/>
          <w:lang w:val="hr-HR"/>
        </w:rPr>
        <w:t>j</w:t>
      </w:r>
      <w:r w:rsidR="001878B6" w:rsidRPr="00913317">
        <w:rPr>
          <w:szCs w:val="22"/>
          <w:lang w:val="hr-HR"/>
        </w:rPr>
        <w:t xml:space="preserve">edećoj </w:t>
      </w:r>
      <w:r w:rsidRPr="00913317">
        <w:rPr>
          <w:szCs w:val="22"/>
          <w:lang w:val="hr-HR"/>
        </w:rPr>
        <w:t>tabeli su navedena neželjena dejstva i njihova učestalost, kod 1873 odrasl</w:t>
      </w:r>
      <w:r w:rsidR="00166BEF" w:rsidRPr="00913317">
        <w:rPr>
          <w:szCs w:val="22"/>
          <w:lang w:val="hr-HR"/>
        </w:rPr>
        <w:t>a</w:t>
      </w:r>
      <w:r w:rsidRPr="00913317">
        <w:rPr>
          <w:szCs w:val="22"/>
          <w:lang w:val="hr-HR"/>
        </w:rPr>
        <w:t xml:space="preserve"> </w:t>
      </w:r>
      <w:r w:rsidR="00166BEF" w:rsidRPr="00913317">
        <w:rPr>
          <w:szCs w:val="22"/>
          <w:lang w:val="hr-HR"/>
        </w:rPr>
        <w:t>ispitanika</w:t>
      </w:r>
      <w:r w:rsidRPr="00913317">
        <w:rPr>
          <w:szCs w:val="22"/>
          <w:lang w:val="hr-HR"/>
        </w:rPr>
        <w:t xml:space="preserve"> iz terapijskih studija (1603) i studija profilakse (270), koja su </w:t>
      </w:r>
      <w:r w:rsidR="000E5BDB" w:rsidRPr="00913317">
        <w:rPr>
          <w:szCs w:val="22"/>
          <w:lang w:val="hr-HR"/>
        </w:rPr>
        <w:t xml:space="preserve">navedena </w:t>
      </w:r>
      <w:r w:rsidRPr="00913317">
        <w:rPr>
          <w:szCs w:val="22"/>
          <w:lang w:val="hr-HR"/>
        </w:rPr>
        <w:t>p</w:t>
      </w:r>
      <w:r w:rsidR="001878B6" w:rsidRPr="00913317">
        <w:rPr>
          <w:szCs w:val="22"/>
          <w:lang w:val="hr-HR"/>
        </w:rPr>
        <w:t>rema klasi</w:t>
      </w:r>
      <w:r w:rsidRPr="00913317">
        <w:rPr>
          <w:szCs w:val="22"/>
          <w:lang w:val="hr-HR"/>
        </w:rPr>
        <w:t xml:space="preserve"> siste</w:t>
      </w:r>
      <w:r w:rsidR="00166BEF" w:rsidRPr="00913317">
        <w:rPr>
          <w:szCs w:val="22"/>
          <w:lang w:val="hr-HR"/>
        </w:rPr>
        <w:t xml:space="preserve">ma </w:t>
      </w:r>
      <w:r w:rsidRPr="00913317">
        <w:rPr>
          <w:szCs w:val="22"/>
          <w:lang w:val="hr-HR"/>
        </w:rPr>
        <w:t>organa.</w:t>
      </w:r>
    </w:p>
    <w:p w14:paraId="4F51BF98" w14:textId="2B0E49A3" w:rsidR="006131C3" w:rsidRPr="00913317" w:rsidRDefault="00BE6E1E" w:rsidP="00D72925">
      <w:pPr>
        <w:pStyle w:val="Header"/>
        <w:tabs>
          <w:tab w:val="clear" w:pos="4536"/>
          <w:tab w:val="clear" w:pos="9072"/>
          <w:tab w:val="left" w:pos="284"/>
        </w:tabs>
        <w:rPr>
          <w:szCs w:val="22"/>
          <w:lang w:val="hr-HR"/>
        </w:rPr>
      </w:pPr>
      <w:r w:rsidRPr="00913317">
        <w:rPr>
          <w:szCs w:val="22"/>
          <w:lang w:val="hr-HR"/>
        </w:rPr>
        <w:t>Učestalost je definisana kao: v</w:t>
      </w:r>
      <w:r w:rsidR="00060651" w:rsidRPr="00913317">
        <w:rPr>
          <w:szCs w:val="22"/>
          <w:lang w:val="hr-HR"/>
        </w:rPr>
        <w:t>eoma</w:t>
      </w:r>
      <w:r w:rsidRPr="00913317">
        <w:rPr>
          <w:szCs w:val="22"/>
          <w:lang w:val="hr-HR"/>
        </w:rPr>
        <w:t xml:space="preserve"> čest</w:t>
      </w:r>
      <w:r w:rsidR="001878B6" w:rsidRPr="00913317">
        <w:rPr>
          <w:szCs w:val="22"/>
          <w:lang w:val="hr-HR"/>
        </w:rPr>
        <w:t>o</w:t>
      </w:r>
      <w:r w:rsidRPr="00913317">
        <w:rPr>
          <w:szCs w:val="22"/>
          <w:lang w:val="hr-HR"/>
        </w:rPr>
        <w:t xml:space="preserve"> (≥ 1/10), čest</w:t>
      </w:r>
      <w:r w:rsidR="001878B6" w:rsidRPr="00913317">
        <w:rPr>
          <w:szCs w:val="22"/>
          <w:lang w:val="hr-HR"/>
        </w:rPr>
        <w:t>o</w:t>
      </w:r>
      <w:r w:rsidRPr="00913317">
        <w:rPr>
          <w:szCs w:val="22"/>
          <w:lang w:val="hr-HR"/>
        </w:rPr>
        <w:t xml:space="preserve"> (≥ 1/100 do &lt; 1/10), povremen</w:t>
      </w:r>
      <w:r w:rsidR="001878B6" w:rsidRPr="00913317">
        <w:rPr>
          <w:szCs w:val="22"/>
          <w:lang w:val="hr-HR"/>
        </w:rPr>
        <w:t>o</w:t>
      </w:r>
      <w:r w:rsidRPr="00913317">
        <w:rPr>
          <w:szCs w:val="22"/>
          <w:lang w:val="hr-HR"/>
        </w:rPr>
        <w:t xml:space="preserve"> (≥ 1/1000 do &lt;</w:t>
      </w:r>
      <w:r w:rsidR="00060651" w:rsidRPr="00913317">
        <w:rPr>
          <w:szCs w:val="22"/>
          <w:lang w:val="hr-HR"/>
        </w:rPr>
        <w:t> </w:t>
      </w:r>
      <w:r w:rsidRPr="00913317">
        <w:rPr>
          <w:szCs w:val="22"/>
          <w:lang w:val="hr-HR"/>
        </w:rPr>
        <w:t>1/100), r</w:t>
      </w:r>
      <w:r w:rsidR="00060C2C" w:rsidRPr="00913317">
        <w:rPr>
          <w:szCs w:val="22"/>
          <w:lang w:val="hr-HR"/>
        </w:rPr>
        <w:t>ij</w:t>
      </w:r>
      <w:r w:rsidRPr="00913317">
        <w:rPr>
          <w:szCs w:val="22"/>
          <w:lang w:val="hr-HR"/>
        </w:rPr>
        <w:t>etk</w:t>
      </w:r>
      <w:r w:rsidR="001878B6" w:rsidRPr="00913317">
        <w:rPr>
          <w:szCs w:val="22"/>
          <w:lang w:val="hr-HR"/>
        </w:rPr>
        <w:t>o</w:t>
      </w:r>
      <w:r w:rsidRPr="00913317">
        <w:rPr>
          <w:szCs w:val="22"/>
          <w:lang w:val="hr-HR"/>
        </w:rPr>
        <w:t xml:space="preserve"> (≥ 1/10000 do &lt; 1/1000), v</w:t>
      </w:r>
      <w:r w:rsidR="00060651" w:rsidRPr="00913317">
        <w:rPr>
          <w:szCs w:val="22"/>
          <w:lang w:val="hr-HR"/>
        </w:rPr>
        <w:t>eoma</w:t>
      </w:r>
      <w:r w:rsidRPr="00913317">
        <w:rPr>
          <w:szCs w:val="22"/>
          <w:lang w:val="hr-HR"/>
        </w:rPr>
        <w:t xml:space="preserve"> r</w:t>
      </w:r>
      <w:r w:rsidR="00060C2C" w:rsidRPr="00913317">
        <w:rPr>
          <w:szCs w:val="22"/>
          <w:lang w:val="hr-HR"/>
        </w:rPr>
        <w:t>ij</w:t>
      </w:r>
      <w:r w:rsidRPr="00913317">
        <w:rPr>
          <w:szCs w:val="22"/>
          <w:lang w:val="hr-HR"/>
        </w:rPr>
        <w:t>etk</w:t>
      </w:r>
      <w:r w:rsidR="001878B6" w:rsidRPr="00913317">
        <w:rPr>
          <w:szCs w:val="22"/>
          <w:lang w:val="hr-HR"/>
        </w:rPr>
        <w:t>o</w:t>
      </w:r>
      <w:r w:rsidRPr="00913317">
        <w:rPr>
          <w:szCs w:val="22"/>
          <w:lang w:val="hr-HR"/>
        </w:rPr>
        <w:t xml:space="preserve"> (&lt;1/10000), nepoznat</w:t>
      </w:r>
      <w:r w:rsidR="001878B6" w:rsidRPr="00913317">
        <w:rPr>
          <w:szCs w:val="22"/>
          <w:lang w:val="hr-HR"/>
        </w:rPr>
        <w:t>o</w:t>
      </w:r>
      <w:r w:rsidRPr="00913317">
        <w:rPr>
          <w:szCs w:val="22"/>
          <w:lang w:val="hr-HR"/>
        </w:rPr>
        <w:t xml:space="preserve"> (ne može se </w:t>
      </w:r>
      <w:r w:rsidR="004D45E7" w:rsidRPr="00913317">
        <w:rPr>
          <w:szCs w:val="22"/>
          <w:lang w:val="hr-HR"/>
        </w:rPr>
        <w:t>proc</w:t>
      </w:r>
      <w:r w:rsidR="00060C2C" w:rsidRPr="00913317">
        <w:rPr>
          <w:szCs w:val="22"/>
          <w:lang w:val="hr-HR"/>
        </w:rPr>
        <w:t>i</w:t>
      </w:r>
      <w:r w:rsidR="004D45E7" w:rsidRPr="00913317">
        <w:rPr>
          <w:szCs w:val="22"/>
          <w:lang w:val="hr-HR"/>
        </w:rPr>
        <w:t>jen</w:t>
      </w:r>
      <w:r w:rsidRPr="00913317">
        <w:rPr>
          <w:szCs w:val="22"/>
          <w:lang w:val="hr-HR"/>
        </w:rPr>
        <w:t xml:space="preserve">iti na osnovu dostupnih podataka). </w:t>
      </w:r>
    </w:p>
    <w:p w14:paraId="0E2FFD78" w14:textId="712F7779" w:rsidR="006131C3" w:rsidRPr="00913317" w:rsidRDefault="00BE6E1E" w:rsidP="00D72925">
      <w:pPr>
        <w:rPr>
          <w:szCs w:val="22"/>
          <w:lang w:val="hr-HR"/>
        </w:rPr>
      </w:pPr>
      <w:r w:rsidRPr="00913317">
        <w:rPr>
          <w:szCs w:val="22"/>
          <w:lang w:val="hr-HR"/>
        </w:rPr>
        <w:t>U okviru svake grupe učestalosti, redosl</w:t>
      </w:r>
      <w:r w:rsidR="002D14F2" w:rsidRPr="00913317">
        <w:rPr>
          <w:szCs w:val="22"/>
          <w:lang w:val="hr-HR"/>
        </w:rPr>
        <w:t>j</w:t>
      </w:r>
      <w:r w:rsidRPr="00913317">
        <w:rPr>
          <w:szCs w:val="22"/>
          <w:lang w:val="hr-HR"/>
        </w:rPr>
        <w:t>ed neželjenih dejstava je prikazan po opadajuć</w:t>
      </w:r>
      <w:r w:rsidR="00D10575" w:rsidRPr="00913317">
        <w:rPr>
          <w:szCs w:val="22"/>
          <w:lang w:val="hr-HR"/>
        </w:rPr>
        <w:t>em stepenu</w:t>
      </w:r>
      <w:r w:rsidRPr="00913317">
        <w:rPr>
          <w:szCs w:val="22"/>
          <w:lang w:val="hr-HR"/>
        </w:rPr>
        <w:t xml:space="preserve"> ozbiljnosti. </w:t>
      </w:r>
    </w:p>
    <w:p w14:paraId="621B9080" w14:textId="7862D711" w:rsidR="006131C3" w:rsidRPr="00913317" w:rsidRDefault="00BE6E1E" w:rsidP="00D72925">
      <w:pPr>
        <w:rPr>
          <w:szCs w:val="22"/>
          <w:lang w:val="hr-HR"/>
        </w:rPr>
      </w:pPr>
      <w:r w:rsidRPr="00913317">
        <w:rPr>
          <w:szCs w:val="22"/>
          <w:lang w:val="hr-HR"/>
        </w:rPr>
        <w:t>Neželjena dejstva kod ispitanika koji su l</w:t>
      </w:r>
      <w:r w:rsidR="00A0439F" w:rsidRPr="00913317">
        <w:rPr>
          <w:szCs w:val="22"/>
          <w:lang w:val="hr-HR"/>
        </w:rPr>
        <w:t>ij</w:t>
      </w:r>
      <w:r w:rsidRPr="00913317">
        <w:rPr>
          <w:szCs w:val="22"/>
          <w:lang w:val="hr-HR"/>
        </w:rPr>
        <w:t xml:space="preserve">ečeni vorikonazolom: </w:t>
      </w:r>
    </w:p>
    <w:p w14:paraId="02E195D9" w14:textId="77777777" w:rsidR="00EF3D1D" w:rsidRPr="00913317" w:rsidRDefault="00EF3D1D" w:rsidP="00D72925">
      <w:pPr>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2"/>
        <w:gridCol w:w="1437"/>
        <w:gridCol w:w="1566"/>
        <w:gridCol w:w="1968"/>
        <w:gridCol w:w="1422"/>
        <w:gridCol w:w="1172"/>
      </w:tblGrid>
      <w:tr w:rsidR="00935053" w:rsidRPr="0054718D" w14:paraId="6DBCE9A6" w14:textId="77777777" w:rsidTr="00723F41">
        <w:trPr>
          <w:trHeight w:val="527"/>
        </w:trPr>
        <w:tc>
          <w:tcPr>
            <w:tcW w:w="856" w:type="pct"/>
            <w:tcBorders>
              <w:top w:val="single" w:sz="4" w:space="0" w:color="auto"/>
              <w:left w:val="single" w:sz="4" w:space="0" w:color="auto"/>
              <w:bottom w:val="single" w:sz="4" w:space="0" w:color="auto"/>
              <w:right w:val="single" w:sz="4" w:space="0" w:color="auto"/>
            </w:tcBorders>
            <w:shd w:val="clear" w:color="auto" w:fill="auto"/>
          </w:tcPr>
          <w:p w14:paraId="56836946" w14:textId="77777777" w:rsidR="00BE6E1E" w:rsidRPr="00913317" w:rsidRDefault="00BE6E1E" w:rsidP="00D72925">
            <w:pPr>
              <w:tabs>
                <w:tab w:val="clear" w:pos="284"/>
                <w:tab w:val="left" w:pos="360"/>
              </w:tabs>
              <w:rPr>
                <w:b/>
                <w:bCs/>
                <w:szCs w:val="22"/>
                <w:lang w:val="hr-HR"/>
              </w:rPr>
            </w:pPr>
            <w:r w:rsidRPr="00913317">
              <w:rPr>
                <w:b/>
                <w:bCs/>
                <w:szCs w:val="22"/>
                <w:lang w:val="hr-HR"/>
              </w:rPr>
              <w:t>Klasa sistema organa</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0A6A760E" w14:textId="10428B37" w:rsidR="00BE6E1E" w:rsidRPr="00913317" w:rsidRDefault="00BE6E1E" w:rsidP="00D72925">
            <w:pPr>
              <w:tabs>
                <w:tab w:val="clear" w:pos="284"/>
                <w:tab w:val="left" w:pos="360"/>
              </w:tabs>
              <w:jc w:val="center"/>
              <w:rPr>
                <w:b/>
                <w:bCs/>
                <w:szCs w:val="22"/>
                <w:lang w:val="hr-HR"/>
              </w:rPr>
            </w:pPr>
            <w:r w:rsidRPr="00913317">
              <w:rPr>
                <w:b/>
                <w:bCs/>
                <w:szCs w:val="22"/>
                <w:lang w:val="hr-HR"/>
              </w:rPr>
              <w:t>Veoma čest</w:t>
            </w:r>
            <w:r w:rsidR="00D10575" w:rsidRPr="00913317">
              <w:rPr>
                <w:b/>
                <w:bCs/>
                <w:szCs w:val="22"/>
                <w:lang w:val="hr-HR"/>
              </w:rPr>
              <w:t>o</w:t>
            </w:r>
            <w:r w:rsidRPr="00913317">
              <w:rPr>
                <w:b/>
                <w:bCs/>
                <w:szCs w:val="22"/>
                <w:lang w:val="hr-HR"/>
              </w:rPr>
              <w:t xml:space="preserve"> </w:t>
            </w:r>
            <w:r w:rsidRPr="00913317">
              <w:rPr>
                <w:b/>
                <w:bCs/>
                <w:szCs w:val="22"/>
                <w:lang w:val="hr-HR"/>
              </w:rPr>
              <w:br/>
            </w:r>
            <w:r w:rsidRPr="00913317">
              <w:rPr>
                <w:rFonts w:eastAsia="TimesNewRoman"/>
                <w:b/>
                <w:szCs w:val="22"/>
                <w:lang w:val="hr-HR" w:eastAsia="ja-JP"/>
              </w:rPr>
              <w:t>(≥ 1/10)</w:t>
            </w:r>
          </w:p>
          <w:p w14:paraId="313F9F79" w14:textId="77777777" w:rsidR="006131C3" w:rsidRPr="00913317" w:rsidRDefault="006131C3"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14:paraId="70D5BB1F" w14:textId="63E36BCF" w:rsidR="00BE6E1E" w:rsidRPr="00913317" w:rsidRDefault="00BE6E1E" w:rsidP="00D72925">
            <w:pPr>
              <w:tabs>
                <w:tab w:val="clear" w:pos="284"/>
                <w:tab w:val="left" w:pos="360"/>
              </w:tabs>
              <w:jc w:val="center"/>
              <w:rPr>
                <w:szCs w:val="22"/>
                <w:lang w:val="hr-HR"/>
              </w:rPr>
            </w:pPr>
            <w:r w:rsidRPr="00913317">
              <w:rPr>
                <w:b/>
                <w:bCs/>
                <w:szCs w:val="22"/>
                <w:lang w:val="hr-HR"/>
              </w:rPr>
              <w:t>Čest</w:t>
            </w:r>
            <w:r w:rsidR="00D10575" w:rsidRPr="00913317">
              <w:rPr>
                <w:b/>
                <w:bCs/>
                <w:szCs w:val="22"/>
                <w:lang w:val="hr-HR"/>
              </w:rPr>
              <w:t>o</w:t>
            </w:r>
            <w:r w:rsidRPr="00913317">
              <w:rPr>
                <w:b/>
                <w:bCs/>
                <w:szCs w:val="22"/>
                <w:lang w:val="hr-HR"/>
              </w:rPr>
              <w:br/>
            </w:r>
            <w:r w:rsidRPr="00913317">
              <w:rPr>
                <w:rFonts w:eastAsia="TimesNewRoman"/>
                <w:b/>
                <w:szCs w:val="22"/>
                <w:lang w:val="hr-HR" w:eastAsia="ja-JP"/>
              </w:rPr>
              <w:t>(≥ 1/100 do &lt; 1/10)</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5278901E" w14:textId="26ABD232" w:rsidR="00BE6E1E" w:rsidRPr="00913317" w:rsidRDefault="00BE6E1E" w:rsidP="00D72925">
            <w:pPr>
              <w:tabs>
                <w:tab w:val="clear" w:pos="284"/>
                <w:tab w:val="left" w:pos="360"/>
              </w:tabs>
              <w:jc w:val="center"/>
              <w:rPr>
                <w:b/>
                <w:szCs w:val="22"/>
                <w:lang w:val="hr-HR"/>
              </w:rPr>
            </w:pPr>
            <w:r w:rsidRPr="00913317">
              <w:rPr>
                <w:b/>
                <w:bCs/>
                <w:szCs w:val="22"/>
                <w:lang w:val="hr-HR"/>
              </w:rPr>
              <w:t>Povremen</w:t>
            </w:r>
            <w:r w:rsidR="00D10575" w:rsidRPr="00913317">
              <w:rPr>
                <w:b/>
                <w:bCs/>
                <w:szCs w:val="22"/>
                <w:lang w:val="hr-HR"/>
              </w:rPr>
              <w:t>o</w:t>
            </w:r>
            <w:r w:rsidRPr="00913317">
              <w:rPr>
                <w:b/>
                <w:bCs/>
                <w:szCs w:val="22"/>
                <w:lang w:val="hr-HR"/>
              </w:rPr>
              <w:br/>
            </w:r>
            <w:r w:rsidRPr="00913317">
              <w:rPr>
                <w:rFonts w:eastAsia="TimesNewRoman"/>
                <w:b/>
                <w:szCs w:val="22"/>
                <w:lang w:val="hr-HR" w:eastAsia="ja-JP"/>
              </w:rPr>
              <w:t xml:space="preserve">(≥ 1/1000 do </w:t>
            </w:r>
            <w:r w:rsidRPr="00913317">
              <w:rPr>
                <w:rFonts w:eastAsia="TimesNewRoman"/>
                <w:b/>
                <w:szCs w:val="22"/>
                <w:lang w:val="hr-HR" w:eastAsia="ja-JP"/>
              </w:rPr>
              <w:br/>
              <w:t>&lt; 1/100)</w:t>
            </w:r>
          </w:p>
          <w:p w14:paraId="763DB27A" w14:textId="77777777" w:rsidR="00BE6E1E" w:rsidRPr="00913317" w:rsidRDefault="00BE6E1E" w:rsidP="00D72925">
            <w:pPr>
              <w:tabs>
                <w:tab w:val="clear" w:pos="284"/>
                <w:tab w:val="left" w:pos="360"/>
              </w:tabs>
              <w:jc w:val="center"/>
              <w:rPr>
                <w:szCs w:val="22"/>
                <w:lang w:val="hr-HR"/>
              </w:rPr>
            </w:pP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7F4DB85" w14:textId="5112D650" w:rsidR="00BE6E1E" w:rsidRPr="00913317" w:rsidRDefault="00BE6E1E" w:rsidP="00D72925">
            <w:pPr>
              <w:tabs>
                <w:tab w:val="clear" w:pos="284"/>
                <w:tab w:val="left" w:pos="360"/>
              </w:tabs>
              <w:jc w:val="center"/>
              <w:rPr>
                <w:b/>
                <w:bCs/>
                <w:szCs w:val="22"/>
                <w:lang w:val="hr-HR"/>
              </w:rPr>
            </w:pPr>
            <w:r w:rsidRPr="00913317">
              <w:rPr>
                <w:b/>
                <w:bCs/>
                <w:szCs w:val="22"/>
                <w:lang w:val="hr-HR"/>
              </w:rPr>
              <w:t>R</w:t>
            </w:r>
            <w:r w:rsidR="00A0439F" w:rsidRPr="00913317">
              <w:rPr>
                <w:b/>
                <w:bCs/>
                <w:szCs w:val="22"/>
                <w:lang w:val="hr-HR"/>
              </w:rPr>
              <w:t>ij</w:t>
            </w:r>
            <w:r w:rsidRPr="00913317">
              <w:rPr>
                <w:b/>
                <w:bCs/>
                <w:szCs w:val="22"/>
                <w:lang w:val="hr-HR"/>
              </w:rPr>
              <w:t>etk</w:t>
            </w:r>
            <w:r w:rsidR="00D10575" w:rsidRPr="00913317">
              <w:rPr>
                <w:b/>
                <w:bCs/>
                <w:szCs w:val="22"/>
                <w:lang w:val="hr-HR"/>
              </w:rPr>
              <w:t>o</w:t>
            </w:r>
            <w:r w:rsidRPr="00913317">
              <w:rPr>
                <w:b/>
                <w:bCs/>
                <w:szCs w:val="22"/>
                <w:lang w:val="hr-HR"/>
              </w:rPr>
              <w:br/>
            </w:r>
            <w:r w:rsidRPr="00913317">
              <w:rPr>
                <w:rFonts w:eastAsia="TimesNewRoman"/>
                <w:b/>
                <w:szCs w:val="22"/>
                <w:lang w:val="hr-HR" w:eastAsia="ja-JP"/>
              </w:rPr>
              <w:t xml:space="preserve">(≥ 1/10000 do </w:t>
            </w:r>
            <w:r w:rsidRPr="00913317">
              <w:rPr>
                <w:rFonts w:eastAsia="TimesNewRoman"/>
                <w:b/>
                <w:szCs w:val="22"/>
                <w:lang w:val="hr-HR" w:eastAsia="ja-JP"/>
              </w:rPr>
              <w:br/>
              <w:t>&lt; 1/1000)</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796580E" w14:textId="4E73DDD3" w:rsidR="0024139F" w:rsidRPr="00913317" w:rsidRDefault="00BE6E1E" w:rsidP="00D72925">
            <w:pPr>
              <w:tabs>
                <w:tab w:val="clear" w:pos="284"/>
                <w:tab w:val="left" w:pos="360"/>
              </w:tabs>
              <w:jc w:val="center"/>
              <w:rPr>
                <w:b/>
                <w:szCs w:val="22"/>
                <w:lang w:val="hr-HR"/>
              </w:rPr>
            </w:pPr>
            <w:r w:rsidRPr="00913317">
              <w:rPr>
                <w:b/>
                <w:szCs w:val="22"/>
                <w:lang w:val="hr-HR"/>
              </w:rPr>
              <w:t>Nepoznat</w:t>
            </w:r>
            <w:r w:rsidR="00D10575" w:rsidRPr="00913317">
              <w:rPr>
                <w:b/>
                <w:szCs w:val="22"/>
                <w:lang w:val="hr-HR"/>
              </w:rPr>
              <w:t>o</w:t>
            </w:r>
            <w:r w:rsidRPr="00913317">
              <w:rPr>
                <w:b/>
                <w:szCs w:val="22"/>
                <w:lang w:val="hr-HR"/>
              </w:rPr>
              <w:t xml:space="preserve"> </w:t>
            </w:r>
            <w:r w:rsidRPr="00913317">
              <w:rPr>
                <w:b/>
                <w:szCs w:val="22"/>
                <w:lang w:val="hr-HR"/>
              </w:rPr>
              <w:br/>
              <w:t xml:space="preserve">(ne može se </w:t>
            </w:r>
            <w:r w:rsidR="004D45E7" w:rsidRPr="00913317">
              <w:rPr>
                <w:b/>
                <w:szCs w:val="22"/>
                <w:lang w:val="hr-HR"/>
              </w:rPr>
              <w:t>proc</w:t>
            </w:r>
            <w:r w:rsidR="00A0439F" w:rsidRPr="00913317">
              <w:rPr>
                <w:b/>
                <w:szCs w:val="22"/>
                <w:lang w:val="hr-HR"/>
              </w:rPr>
              <w:t>i</w:t>
            </w:r>
            <w:r w:rsidR="004D45E7" w:rsidRPr="00913317">
              <w:rPr>
                <w:b/>
                <w:szCs w:val="22"/>
                <w:lang w:val="hr-HR"/>
              </w:rPr>
              <w:t>jen</w:t>
            </w:r>
            <w:r w:rsidRPr="00913317">
              <w:rPr>
                <w:b/>
                <w:szCs w:val="22"/>
                <w:lang w:val="hr-HR"/>
              </w:rPr>
              <w:t xml:space="preserve">iti na osnovu </w:t>
            </w:r>
            <w:r w:rsidRPr="00913317">
              <w:rPr>
                <w:b/>
                <w:szCs w:val="22"/>
                <w:lang w:val="hr-HR"/>
              </w:rPr>
              <w:lastRenderedPageBreak/>
              <w:t>dostupnih podataka)</w:t>
            </w:r>
          </w:p>
        </w:tc>
      </w:tr>
      <w:tr w:rsidR="00935053" w:rsidRPr="00913317" w14:paraId="5ECA5D0F" w14:textId="77777777" w:rsidTr="00723F41">
        <w:trPr>
          <w:trHeight w:val="634"/>
        </w:trPr>
        <w:tc>
          <w:tcPr>
            <w:tcW w:w="856" w:type="pct"/>
            <w:tcBorders>
              <w:top w:val="single" w:sz="4" w:space="0" w:color="auto"/>
              <w:left w:val="single" w:sz="4" w:space="0" w:color="auto"/>
              <w:bottom w:val="single" w:sz="4" w:space="0" w:color="auto"/>
              <w:right w:val="single" w:sz="4" w:space="0" w:color="auto"/>
            </w:tcBorders>
          </w:tcPr>
          <w:p w14:paraId="035C79F9" w14:textId="77777777" w:rsidR="00BE6E1E" w:rsidRPr="00913317" w:rsidRDefault="00BE6E1E" w:rsidP="00D72925">
            <w:pPr>
              <w:tabs>
                <w:tab w:val="clear" w:pos="284"/>
                <w:tab w:val="left" w:pos="360"/>
              </w:tabs>
              <w:ind w:right="62"/>
              <w:rPr>
                <w:szCs w:val="22"/>
                <w:lang w:val="hr-HR"/>
              </w:rPr>
            </w:pPr>
            <w:r w:rsidRPr="00913317">
              <w:rPr>
                <w:szCs w:val="22"/>
                <w:lang w:val="hr-HR"/>
              </w:rPr>
              <w:lastRenderedPageBreak/>
              <w:t>Infekcije i infestacije</w:t>
            </w:r>
          </w:p>
        </w:tc>
        <w:tc>
          <w:tcPr>
            <w:tcW w:w="787" w:type="pct"/>
            <w:tcBorders>
              <w:top w:val="single" w:sz="4" w:space="0" w:color="auto"/>
              <w:left w:val="single" w:sz="4" w:space="0" w:color="auto"/>
              <w:bottom w:val="single" w:sz="4" w:space="0" w:color="auto"/>
              <w:right w:val="single" w:sz="4" w:space="0" w:color="auto"/>
            </w:tcBorders>
          </w:tcPr>
          <w:p w14:paraId="0DBFF1E5"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17AF86A8" w14:textId="77777777" w:rsidR="00BE6E1E" w:rsidRPr="00913317" w:rsidRDefault="00BE6E1E" w:rsidP="00D72925">
            <w:pPr>
              <w:tabs>
                <w:tab w:val="clear" w:pos="284"/>
                <w:tab w:val="left" w:pos="360"/>
              </w:tabs>
              <w:jc w:val="center"/>
              <w:rPr>
                <w:szCs w:val="22"/>
                <w:lang w:val="hr-HR"/>
              </w:rPr>
            </w:pPr>
            <w:r w:rsidRPr="00913317">
              <w:rPr>
                <w:szCs w:val="22"/>
                <w:lang w:val="hr-HR"/>
              </w:rPr>
              <w:t>sinuzitis</w:t>
            </w:r>
          </w:p>
        </w:tc>
        <w:tc>
          <w:tcPr>
            <w:tcW w:w="1078" w:type="pct"/>
            <w:tcBorders>
              <w:top w:val="single" w:sz="4" w:space="0" w:color="auto"/>
              <w:left w:val="single" w:sz="4" w:space="0" w:color="auto"/>
              <w:bottom w:val="single" w:sz="4" w:space="0" w:color="auto"/>
              <w:right w:val="single" w:sz="4" w:space="0" w:color="auto"/>
            </w:tcBorders>
          </w:tcPr>
          <w:p w14:paraId="43CD91CE" w14:textId="77777777" w:rsidR="00BE6E1E" w:rsidRPr="00913317" w:rsidRDefault="00BE6E1E" w:rsidP="00D72925">
            <w:pPr>
              <w:tabs>
                <w:tab w:val="clear" w:pos="284"/>
                <w:tab w:val="left" w:pos="360"/>
              </w:tabs>
              <w:jc w:val="center"/>
              <w:rPr>
                <w:szCs w:val="22"/>
                <w:lang w:val="hr-HR"/>
              </w:rPr>
            </w:pPr>
            <w:r w:rsidRPr="00913317">
              <w:rPr>
                <w:szCs w:val="22"/>
                <w:lang w:val="hr-HR"/>
              </w:rPr>
              <w:t>pseudomembranozni kolitis</w:t>
            </w:r>
          </w:p>
        </w:tc>
        <w:tc>
          <w:tcPr>
            <w:tcW w:w="779" w:type="pct"/>
            <w:tcBorders>
              <w:top w:val="single" w:sz="4" w:space="0" w:color="auto"/>
              <w:left w:val="single" w:sz="4" w:space="0" w:color="auto"/>
              <w:bottom w:val="single" w:sz="4" w:space="0" w:color="auto"/>
              <w:right w:val="single" w:sz="4" w:space="0" w:color="auto"/>
            </w:tcBorders>
          </w:tcPr>
          <w:p w14:paraId="405F5D35"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25879E23" w14:textId="77777777" w:rsidR="006131C3" w:rsidRPr="00913317" w:rsidRDefault="006131C3" w:rsidP="00D72925">
            <w:pPr>
              <w:tabs>
                <w:tab w:val="clear" w:pos="284"/>
                <w:tab w:val="left" w:pos="360"/>
              </w:tabs>
              <w:jc w:val="center"/>
              <w:rPr>
                <w:szCs w:val="22"/>
                <w:lang w:val="hr-HR"/>
              </w:rPr>
            </w:pPr>
          </w:p>
        </w:tc>
      </w:tr>
      <w:tr w:rsidR="00935053" w:rsidRPr="0054718D" w14:paraId="0D54EC2E" w14:textId="77777777" w:rsidTr="00723F41">
        <w:trPr>
          <w:trHeight w:val="1681"/>
        </w:trPr>
        <w:tc>
          <w:tcPr>
            <w:tcW w:w="856" w:type="pct"/>
            <w:tcBorders>
              <w:top w:val="single" w:sz="4" w:space="0" w:color="auto"/>
              <w:left w:val="single" w:sz="4" w:space="0" w:color="auto"/>
              <w:bottom w:val="single" w:sz="4" w:space="0" w:color="auto"/>
              <w:right w:val="single" w:sz="4" w:space="0" w:color="auto"/>
            </w:tcBorders>
          </w:tcPr>
          <w:p w14:paraId="673FDB3D" w14:textId="450A6FEC" w:rsidR="00BE6E1E" w:rsidRPr="00913317" w:rsidRDefault="00060651" w:rsidP="00D72925">
            <w:pPr>
              <w:tabs>
                <w:tab w:val="clear" w:pos="284"/>
                <w:tab w:val="left" w:pos="360"/>
              </w:tabs>
              <w:ind w:right="62"/>
              <w:rPr>
                <w:szCs w:val="22"/>
                <w:lang w:val="hr-HR"/>
              </w:rPr>
            </w:pPr>
            <w:r w:rsidRPr="00913317">
              <w:rPr>
                <w:szCs w:val="22"/>
                <w:lang w:val="hr-HR"/>
              </w:rPr>
              <w:t>Neoplazme - b</w:t>
            </w:r>
            <w:r w:rsidR="00BE6E1E" w:rsidRPr="00913317">
              <w:rPr>
                <w:szCs w:val="22"/>
                <w:lang w:val="hr-HR"/>
              </w:rPr>
              <w:t>enigne, maligne i ne</w:t>
            </w:r>
            <w:r w:rsidRPr="00913317">
              <w:rPr>
                <w:szCs w:val="22"/>
                <w:lang w:val="hr-HR"/>
              </w:rPr>
              <w:t>određene</w:t>
            </w:r>
            <w:r w:rsidR="00990A01" w:rsidRPr="00913317">
              <w:rPr>
                <w:szCs w:val="22"/>
                <w:lang w:val="hr-HR"/>
              </w:rPr>
              <w:t xml:space="preserve"> </w:t>
            </w:r>
            <w:r w:rsidR="00BE6E1E" w:rsidRPr="00913317">
              <w:rPr>
                <w:szCs w:val="22"/>
                <w:lang w:val="hr-HR"/>
              </w:rPr>
              <w:t>(uključuj</w:t>
            </w:r>
            <w:r w:rsidR="00E91AF1" w:rsidRPr="00913317">
              <w:rPr>
                <w:szCs w:val="22"/>
                <w:lang w:val="hr-HR"/>
              </w:rPr>
              <w:t>u</w:t>
            </w:r>
            <w:r w:rsidR="00BE6E1E" w:rsidRPr="00913317">
              <w:rPr>
                <w:szCs w:val="22"/>
                <w:lang w:val="hr-HR"/>
              </w:rPr>
              <w:t>ći ciste i polipe)</w:t>
            </w:r>
          </w:p>
        </w:tc>
        <w:tc>
          <w:tcPr>
            <w:tcW w:w="787" w:type="pct"/>
            <w:tcBorders>
              <w:top w:val="single" w:sz="4" w:space="0" w:color="auto"/>
              <w:left w:val="single" w:sz="4" w:space="0" w:color="auto"/>
              <w:bottom w:val="single" w:sz="4" w:space="0" w:color="auto"/>
              <w:right w:val="single" w:sz="4" w:space="0" w:color="auto"/>
            </w:tcBorders>
          </w:tcPr>
          <w:p w14:paraId="17CA99BD"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6F65E1B8" w14:textId="45D60469" w:rsidR="003601CF" w:rsidRPr="00723F41" w:rsidRDefault="003601CF" w:rsidP="00D72925">
            <w:pPr>
              <w:jc w:val="center"/>
              <w:rPr>
                <w:szCs w:val="22"/>
                <w:lang w:val="sr-Latn-CS"/>
              </w:rPr>
            </w:pPr>
            <w:r w:rsidRPr="00723F41">
              <w:rPr>
                <w:szCs w:val="22"/>
                <w:lang w:val="sr-Latn-CS"/>
              </w:rPr>
              <w:t xml:space="preserve">karcinom skvamoznih ćelija (uključujući kožni SCC </w:t>
            </w:r>
            <w:r w:rsidRPr="00723F41">
              <w:rPr>
                <w:i/>
                <w:iCs/>
                <w:szCs w:val="22"/>
                <w:lang w:val="sr-Latn-CS"/>
              </w:rPr>
              <w:t>in situ</w:t>
            </w:r>
            <w:r w:rsidRPr="00723F41">
              <w:rPr>
                <w:szCs w:val="22"/>
                <w:lang w:val="sr-Latn-CS"/>
              </w:rPr>
              <w:t xml:space="preserve"> ili Bovenovu bolest)*,**</w:t>
            </w:r>
          </w:p>
          <w:p w14:paraId="5278B4B0" w14:textId="77777777" w:rsidR="00BE6E1E" w:rsidRPr="00913317" w:rsidRDefault="00BE6E1E" w:rsidP="00D72925">
            <w:pPr>
              <w:tabs>
                <w:tab w:val="clear" w:pos="284"/>
                <w:tab w:val="left" w:pos="360"/>
              </w:tabs>
              <w:jc w:val="center"/>
              <w:rPr>
                <w:szCs w:val="22"/>
                <w:lang w:val="sr-Latn-CS"/>
              </w:rPr>
            </w:pPr>
          </w:p>
        </w:tc>
        <w:tc>
          <w:tcPr>
            <w:tcW w:w="1078" w:type="pct"/>
            <w:tcBorders>
              <w:top w:val="single" w:sz="4" w:space="0" w:color="auto"/>
              <w:left w:val="single" w:sz="4" w:space="0" w:color="auto"/>
              <w:bottom w:val="single" w:sz="4" w:space="0" w:color="auto"/>
              <w:right w:val="single" w:sz="4" w:space="0" w:color="auto"/>
            </w:tcBorders>
          </w:tcPr>
          <w:p w14:paraId="7BB89349" w14:textId="77777777" w:rsidR="00BE6E1E" w:rsidRPr="00913317" w:rsidRDefault="00BE6E1E" w:rsidP="00D72925">
            <w:pPr>
              <w:tabs>
                <w:tab w:val="clear" w:pos="284"/>
                <w:tab w:val="left" w:pos="360"/>
              </w:tabs>
              <w:jc w:val="center"/>
              <w:rPr>
                <w:szCs w:val="22"/>
                <w:lang w:val="hr-HR"/>
              </w:rPr>
            </w:pPr>
          </w:p>
        </w:tc>
        <w:tc>
          <w:tcPr>
            <w:tcW w:w="779" w:type="pct"/>
            <w:tcBorders>
              <w:top w:val="single" w:sz="4" w:space="0" w:color="auto"/>
              <w:left w:val="single" w:sz="4" w:space="0" w:color="auto"/>
              <w:bottom w:val="single" w:sz="4" w:space="0" w:color="auto"/>
              <w:right w:val="single" w:sz="4" w:space="0" w:color="auto"/>
            </w:tcBorders>
          </w:tcPr>
          <w:p w14:paraId="72F73F11"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123B706E" w14:textId="5B3BA6C1" w:rsidR="00BE6E1E" w:rsidRPr="00913317" w:rsidRDefault="00BE6E1E" w:rsidP="00D72925">
            <w:pPr>
              <w:jc w:val="center"/>
              <w:rPr>
                <w:szCs w:val="22"/>
                <w:lang w:val="hr-HR"/>
              </w:rPr>
            </w:pPr>
          </w:p>
        </w:tc>
      </w:tr>
      <w:tr w:rsidR="00935053" w:rsidRPr="00913317" w14:paraId="77C971D9" w14:textId="77777777" w:rsidTr="00723F41">
        <w:tc>
          <w:tcPr>
            <w:tcW w:w="856" w:type="pct"/>
            <w:tcBorders>
              <w:top w:val="single" w:sz="4" w:space="0" w:color="auto"/>
              <w:left w:val="single" w:sz="4" w:space="0" w:color="auto"/>
              <w:bottom w:val="single" w:sz="4" w:space="0" w:color="auto"/>
              <w:right w:val="single" w:sz="4" w:space="0" w:color="auto"/>
            </w:tcBorders>
          </w:tcPr>
          <w:p w14:paraId="0DF54761" w14:textId="77777777" w:rsidR="00BE6E1E" w:rsidRPr="00913317" w:rsidRDefault="00BE6E1E" w:rsidP="00D72925">
            <w:pPr>
              <w:tabs>
                <w:tab w:val="clear" w:pos="284"/>
                <w:tab w:val="left" w:pos="360"/>
              </w:tabs>
              <w:ind w:right="62"/>
              <w:rPr>
                <w:szCs w:val="22"/>
                <w:lang w:val="hr-HR"/>
              </w:rPr>
            </w:pPr>
            <w:r w:rsidRPr="00913317">
              <w:rPr>
                <w:szCs w:val="22"/>
                <w:lang w:val="hr-HR"/>
              </w:rPr>
              <w:t xml:space="preserve">Poremećaji krvi i limfnog sistema </w:t>
            </w:r>
          </w:p>
        </w:tc>
        <w:tc>
          <w:tcPr>
            <w:tcW w:w="787" w:type="pct"/>
            <w:tcBorders>
              <w:top w:val="single" w:sz="4" w:space="0" w:color="auto"/>
              <w:left w:val="single" w:sz="4" w:space="0" w:color="auto"/>
              <w:bottom w:val="single" w:sz="4" w:space="0" w:color="auto"/>
              <w:right w:val="single" w:sz="4" w:space="0" w:color="auto"/>
            </w:tcBorders>
          </w:tcPr>
          <w:p w14:paraId="15BFFD3A"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3553CDDE" w14:textId="3C74821B" w:rsidR="00BE6E1E" w:rsidRPr="00913317" w:rsidRDefault="00BE6E1E" w:rsidP="00D72925">
            <w:pPr>
              <w:jc w:val="center"/>
              <w:rPr>
                <w:szCs w:val="22"/>
                <w:lang w:val="hr-HR"/>
              </w:rPr>
            </w:pPr>
            <w:r w:rsidRPr="00913317">
              <w:rPr>
                <w:szCs w:val="22"/>
                <w:lang w:val="hr-HR"/>
              </w:rPr>
              <w:t>agranulocitoza</w:t>
            </w:r>
            <w:r w:rsidRPr="00913317">
              <w:rPr>
                <w:szCs w:val="22"/>
                <w:vertAlign w:val="superscript"/>
                <w:lang w:val="hr-HR"/>
              </w:rPr>
              <w:t>1</w:t>
            </w:r>
            <w:r w:rsidRPr="00913317">
              <w:rPr>
                <w:szCs w:val="22"/>
                <w:lang w:val="hr-HR"/>
              </w:rPr>
              <w:t>, pancitopenija, trombocitopenija</w:t>
            </w:r>
            <w:r w:rsidRPr="00913317">
              <w:rPr>
                <w:szCs w:val="22"/>
                <w:vertAlign w:val="superscript"/>
                <w:lang w:val="hr-HR"/>
              </w:rPr>
              <w:t>2</w:t>
            </w:r>
            <w:r w:rsidRPr="00913317">
              <w:rPr>
                <w:szCs w:val="22"/>
                <w:lang w:val="hr-HR"/>
              </w:rPr>
              <w:t>,</w:t>
            </w:r>
            <w:r w:rsidR="00DD7641" w:rsidRPr="00913317">
              <w:rPr>
                <w:szCs w:val="22"/>
                <w:lang w:val="hr-HR"/>
              </w:rPr>
              <w:t xml:space="preserve"> </w:t>
            </w:r>
            <w:r w:rsidRPr="00913317">
              <w:rPr>
                <w:szCs w:val="22"/>
                <w:lang w:val="hr-HR"/>
              </w:rPr>
              <w:t>leukopenija, anemija</w:t>
            </w:r>
          </w:p>
        </w:tc>
        <w:tc>
          <w:tcPr>
            <w:tcW w:w="1078" w:type="pct"/>
            <w:tcBorders>
              <w:top w:val="single" w:sz="4" w:space="0" w:color="auto"/>
              <w:left w:val="single" w:sz="4" w:space="0" w:color="auto"/>
              <w:bottom w:val="single" w:sz="4" w:space="0" w:color="auto"/>
              <w:right w:val="single" w:sz="4" w:space="0" w:color="auto"/>
            </w:tcBorders>
          </w:tcPr>
          <w:p w14:paraId="6B0D7DC9" w14:textId="77777777" w:rsidR="00BE6E1E" w:rsidRPr="00913317" w:rsidRDefault="00BE6E1E" w:rsidP="00D72925">
            <w:pPr>
              <w:tabs>
                <w:tab w:val="clear" w:pos="284"/>
                <w:tab w:val="left" w:pos="360"/>
              </w:tabs>
              <w:jc w:val="center"/>
              <w:rPr>
                <w:szCs w:val="22"/>
                <w:lang w:val="hr-HR"/>
              </w:rPr>
            </w:pPr>
            <w:r w:rsidRPr="00913317">
              <w:rPr>
                <w:szCs w:val="22"/>
                <w:lang w:val="hr-HR"/>
              </w:rPr>
              <w:t>insuficijencija koštane srži, limfadenopatija, eozinofilija</w:t>
            </w:r>
          </w:p>
        </w:tc>
        <w:tc>
          <w:tcPr>
            <w:tcW w:w="779" w:type="pct"/>
            <w:tcBorders>
              <w:top w:val="single" w:sz="4" w:space="0" w:color="auto"/>
              <w:left w:val="single" w:sz="4" w:space="0" w:color="auto"/>
              <w:bottom w:val="single" w:sz="4" w:space="0" w:color="auto"/>
              <w:right w:val="single" w:sz="4" w:space="0" w:color="auto"/>
            </w:tcBorders>
          </w:tcPr>
          <w:p w14:paraId="7F9F7FF0" w14:textId="77777777" w:rsidR="006131C3" w:rsidRPr="00913317" w:rsidRDefault="00BE6E1E" w:rsidP="00D72925">
            <w:pPr>
              <w:tabs>
                <w:tab w:val="clear" w:pos="284"/>
                <w:tab w:val="left" w:pos="360"/>
              </w:tabs>
              <w:jc w:val="center"/>
              <w:rPr>
                <w:szCs w:val="22"/>
                <w:lang w:val="hr-HR"/>
              </w:rPr>
            </w:pPr>
            <w:r w:rsidRPr="00913317">
              <w:rPr>
                <w:szCs w:val="22"/>
                <w:lang w:val="hr-HR"/>
              </w:rPr>
              <w:t>diseminovana intravaskularna koagulacija</w:t>
            </w:r>
          </w:p>
        </w:tc>
        <w:tc>
          <w:tcPr>
            <w:tcW w:w="643" w:type="pct"/>
            <w:tcBorders>
              <w:top w:val="single" w:sz="4" w:space="0" w:color="auto"/>
              <w:left w:val="single" w:sz="4" w:space="0" w:color="auto"/>
              <w:bottom w:val="single" w:sz="4" w:space="0" w:color="auto"/>
              <w:right w:val="single" w:sz="4" w:space="0" w:color="auto"/>
            </w:tcBorders>
          </w:tcPr>
          <w:p w14:paraId="24FC22A2" w14:textId="77777777" w:rsidR="006131C3" w:rsidRPr="00913317" w:rsidRDefault="006131C3" w:rsidP="00D72925">
            <w:pPr>
              <w:tabs>
                <w:tab w:val="clear" w:pos="284"/>
                <w:tab w:val="left" w:pos="360"/>
              </w:tabs>
              <w:jc w:val="center"/>
              <w:rPr>
                <w:szCs w:val="22"/>
                <w:lang w:val="hr-HR"/>
              </w:rPr>
            </w:pPr>
          </w:p>
        </w:tc>
      </w:tr>
      <w:tr w:rsidR="00935053" w:rsidRPr="00913317" w14:paraId="60E091E3" w14:textId="77777777" w:rsidTr="00723F41">
        <w:trPr>
          <w:trHeight w:val="700"/>
        </w:trPr>
        <w:tc>
          <w:tcPr>
            <w:tcW w:w="856" w:type="pct"/>
            <w:tcBorders>
              <w:top w:val="single" w:sz="4" w:space="0" w:color="auto"/>
              <w:left w:val="single" w:sz="4" w:space="0" w:color="auto"/>
              <w:bottom w:val="single" w:sz="4" w:space="0" w:color="auto"/>
              <w:right w:val="single" w:sz="4" w:space="0" w:color="auto"/>
            </w:tcBorders>
          </w:tcPr>
          <w:p w14:paraId="0621793D" w14:textId="77777777" w:rsidR="00BE6E1E" w:rsidRPr="00913317" w:rsidRDefault="00060651" w:rsidP="00D72925">
            <w:pPr>
              <w:tabs>
                <w:tab w:val="clear" w:pos="284"/>
                <w:tab w:val="left" w:pos="360"/>
              </w:tabs>
              <w:ind w:right="62"/>
              <w:rPr>
                <w:szCs w:val="22"/>
                <w:lang w:val="hr-HR"/>
              </w:rPr>
            </w:pPr>
            <w:r w:rsidRPr="00913317">
              <w:rPr>
                <w:szCs w:val="22"/>
                <w:lang w:val="hr-HR"/>
              </w:rPr>
              <w:t>Poremećaji i</w:t>
            </w:r>
            <w:r w:rsidR="00BE6E1E" w:rsidRPr="00913317">
              <w:rPr>
                <w:szCs w:val="22"/>
                <w:lang w:val="hr-HR"/>
              </w:rPr>
              <w:t>mun</w:t>
            </w:r>
            <w:r w:rsidRPr="00913317">
              <w:rPr>
                <w:szCs w:val="22"/>
                <w:lang w:val="hr-HR"/>
              </w:rPr>
              <w:t>skog sistema</w:t>
            </w:r>
            <w:r w:rsidR="00BE6E1E" w:rsidRPr="00913317">
              <w:rPr>
                <w:szCs w:val="22"/>
                <w:lang w:val="hr-HR"/>
              </w:rPr>
              <w:t xml:space="preserve"> </w:t>
            </w:r>
          </w:p>
        </w:tc>
        <w:tc>
          <w:tcPr>
            <w:tcW w:w="787" w:type="pct"/>
            <w:tcBorders>
              <w:top w:val="single" w:sz="4" w:space="0" w:color="auto"/>
              <w:left w:val="single" w:sz="4" w:space="0" w:color="auto"/>
              <w:bottom w:val="single" w:sz="4" w:space="0" w:color="auto"/>
              <w:right w:val="single" w:sz="4" w:space="0" w:color="auto"/>
            </w:tcBorders>
          </w:tcPr>
          <w:p w14:paraId="4D34BFBF"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7BACF121" w14:textId="77777777" w:rsidR="00BE6E1E" w:rsidRPr="00913317" w:rsidRDefault="00BE6E1E" w:rsidP="00D72925">
            <w:pPr>
              <w:tabs>
                <w:tab w:val="clear" w:pos="284"/>
                <w:tab w:val="left" w:pos="360"/>
              </w:tabs>
              <w:jc w:val="center"/>
              <w:rPr>
                <w:szCs w:val="22"/>
                <w:lang w:val="hr-HR"/>
              </w:rPr>
            </w:pPr>
          </w:p>
        </w:tc>
        <w:tc>
          <w:tcPr>
            <w:tcW w:w="1078" w:type="pct"/>
            <w:tcBorders>
              <w:top w:val="single" w:sz="4" w:space="0" w:color="auto"/>
              <w:left w:val="single" w:sz="4" w:space="0" w:color="auto"/>
              <w:bottom w:val="single" w:sz="4" w:space="0" w:color="auto"/>
              <w:right w:val="single" w:sz="4" w:space="0" w:color="auto"/>
            </w:tcBorders>
          </w:tcPr>
          <w:p w14:paraId="34AB6AA9" w14:textId="77777777" w:rsidR="00BE6E1E" w:rsidRPr="00913317" w:rsidRDefault="00BE6E1E" w:rsidP="00D72925">
            <w:pPr>
              <w:tabs>
                <w:tab w:val="clear" w:pos="284"/>
                <w:tab w:val="left" w:pos="360"/>
              </w:tabs>
              <w:jc w:val="center"/>
              <w:rPr>
                <w:szCs w:val="22"/>
                <w:lang w:val="hr-HR"/>
              </w:rPr>
            </w:pPr>
            <w:r w:rsidRPr="00913317">
              <w:rPr>
                <w:szCs w:val="22"/>
                <w:lang w:val="hr-HR"/>
              </w:rPr>
              <w:t>hipersenzitivnost</w:t>
            </w:r>
          </w:p>
        </w:tc>
        <w:tc>
          <w:tcPr>
            <w:tcW w:w="779" w:type="pct"/>
            <w:tcBorders>
              <w:top w:val="single" w:sz="4" w:space="0" w:color="auto"/>
              <w:left w:val="single" w:sz="4" w:space="0" w:color="auto"/>
              <w:bottom w:val="single" w:sz="4" w:space="0" w:color="auto"/>
              <w:right w:val="single" w:sz="4" w:space="0" w:color="auto"/>
            </w:tcBorders>
          </w:tcPr>
          <w:p w14:paraId="2F27AFFC" w14:textId="77777777" w:rsidR="00BE6E1E" w:rsidRPr="00913317" w:rsidRDefault="00BE6E1E" w:rsidP="00D72925">
            <w:pPr>
              <w:tabs>
                <w:tab w:val="clear" w:pos="284"/>
                <w:tab w:val="left" w:pos="360"/>
              </w:tabs>
              <w:jc w:val="center"/>
              <w:rPr>
                <w:szCs w:val="22"/>
                <w:lang w:val="hr-HR"/>
              </w:rPr>
            </w:pPr>
            <w:r w:rsidRPr="00913317">
              <w:rPr>
                <w:szCs w:val="22"/>
                <w:lang w:val="hr-HR"/>
              </w:rPr>
              <w:t>anafilaktoidna reakcija</w:t>
            </w:r>
          </w:p>
        </w:tc>
        <w:tc>
          <w:tcPr>
            <w:tcW w:w="643" w:type="pct"/>
            <w:tcBorders>
              <w:top w:val="single" w:sz="4" w:space="0" w:color="auto"/>
              <w:left w:val="single" w:sz="4" w:space="0" w:color="auto"/>
              <w:bottom w:val="single" w:sz="4" w:space="0" w:color="auto"/>
              <w:right w:val="single" w:sz="4" w:space="0" w:color="auto"/>
            </w:tcBorders>
          </w:tcPr>
          <w:p w14:paraId="2097212D" w14:textId="77777777" w:rsidR="006131C3" w:rsidRPr="00913317" w:rsidRDefault="006131C3" w:rsidP="00D72925">
            <w:pPr>
              <w:tabs>
                <w:tab w:val="clear" w:pos="284"/>
                <w:tab w:val="left" w:pos="360"/>
              </w:tabs>
              <w:jc w:val="center"/>
              <w:rPr>
                <w:color w:val="FF0000"/>
                <w:szCs w:val="22"/>
                <w:lang w:val="hr-HR"/>
              </w:rPr>
            </w:pPr>
          </w:p>
        </w:tc>
      </w:tr>
      <w:tr w:rsidR="00935053" w:rsidRPr="00913317" w14:paraId="7BB481B9" w14:textId="77777777" w:rsidTr="00723F41">
        <w:trPr>
          <w:trHeight w:val="857"/>
        </w:trPr>
        <w:tc>
          <w:tcPr>
            <w:tcW w:w="856" w:type="pct"/>
            <w:tcBorders>
              <w:top w:val="single" w:sz="4" w:space="0" w:color="auto"/>
              <w:left w:val="single" w:sz="4" w:space="0" w:color="auto"/>
              <w:bottom w:val="single" w:sz="4" w:space="0" w:color="auto"/>
              <w:right w:val="single" w:sz="4" w:space="0" w:color="auto"/>
            </w:tcBorders>
          </w:tcPr>
          <w:p w14:paraId="2249A9CD" w14:textId="77777777" w:rsidR="00BE6E1E" w:rsidRPr="00913317" w:rsidRDefault="00BE6E1E" w:rsidP="00D72925">
            <w:pPr>
              <w:tabs>
                <w:tab w:val="clear" w:pos="284"/>
                <w:tab w:val="left" w:pos="360"/>
              </w:tabs>
              <w:ind w:right="62"/>
              <w:rPr>
                <w:szCs w:val="22"/>
                <w:lang w:val="hr-HR"/>
              </w:rPr>
            </w:pPr>
            <w:r w:rsidRPr="00913317">
              <w:rPr>
                <w:szCs w:val="22"/>
                <w:lang w:val="hr-HR"/>
              </w:rPr>
              <w:t>Endokrini poremećaji</w:t>
            </w:r>
          </w:p>
        </w:tc>
        <w:tc>
          <w:tcPr>
            <w:tcW w:w="787" w:type="pct"/>
            <w:tcBorders>
              <w:top w:val="single" w:sz="4" w:space="0" w:color="auto"/>
              <w:left w:val="single" w:sz="4" w:space="0" w:color="auto"/>
              <w:bottom w:val="single" w:sz="4" w:space="0" w:color="auto"/>
              <w:right w:val="single" w:sz="4" w:space="0" w:color="auto"/>
            </w:tcBorders>
          </w:tcPr>
          <w:p w14:paraId="7F03EC5E"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548FDC9D" w14:textId="77777777" w:rsidR="00BE6E1E" w:rsidRPr="00913317" w:rsidRDefault="00BE6E1E" w:rsidP="00D72925">
            <w:pPr>
              <w:tabs>
                <w:tab w:val="clear" w:pos="284"/>
                <w:tab w:val="left" w:pos="360"/>
              </w:tabs>
              <w:jc w:val="center"/>
              <w:rPr>
                <w:szCs w:val="22"/>
                <w:lang w:val="hr-HR"/>
              </w:rPr>
            </w:pPr>
          </w:p>
        </w:tc>
        <w:tc>
          <w:tcPr>
            <w:tcW w:w="1078" w:type="pct"/>
            <w:tcBorders>
              <w:top w:val="single" w:sz="4" w:space="0" w:color="auto"/>
              <w:left w:val="single" w:sz="4" w:space="0" w:color="auto"/>
              <w:bottom w:val="single" w:sz="4" w:space="0" w:color="auto"/>
              <w:right w:val="single" w:sz="4" w:space="0" w:color="auto"/>
            </w:tcBorders>
          </w:tcPr>
          <w:p w14:paraId="2E0F66A7" w14:textId="77777777" w:rsidR="00BE6E1E" w:rsidRPr="00913317" w:rsidRDefault="00BE6E1E" w:rsidP="00D72925">
            <w:pPr>
              <w:tabs>
                <w:tab w:val="clear" w:pos="284"/>
                <w:tab w:val="left" w:pos="360"/>
              </w:tabs>
              <w:jc w:val="center"/>
              <w:rPr>
                <w:szCs w:val="22"/>
                <w:lang w:val="hr-HR"/>
              </w:rPr>
            </w:pPr>
            <w:r w:rsidRPr="00913317">
              <w:rPr>
                <w:szCs w:val="22"/>
                <w:lang w:val="hr-HR"/>
              </w:rPr>
              <w:t>insuficijencija nadbubrega, hipotireoidizam</w:t>
            </w:r>
          </w:p>
        </w:tc>
        <w:tc>
          <w:tcPr>
            <w:tcW w:w="779" w:type="pct"/>
            <w:tcBorders>
              <w:top w:val="single" w:sz="4" w:space="0" w:color="auto"/>
              <w:left w:val="single" w:sz="4" w:space="0" w:color="auto"/>
              <w:bottom w:val="single" w:sz="4" w:space="0" w:color="auto"/>
              <w:right w:val="single" w:sz="4" w:space="0" w:color="auto"/>
            </w:tcBorders>
          </w:tcPr>
          <w:p w14:paraId="1FE1D290" w14:textId="77777777" w:rsidR="006131C3" w:rsidRPr="00913317" w:rsidRDefault="00BE6E1E" w:rsidP="00D72925">
            <w:pPr>
              <w:tabs>
                <w:tab w:val="clear" w:pos="284"/>
                <w:tab w:val="left" w:pos="360"/>
              </w:tabs>
              <w:jc w:val="center"/>
              <w:rPr>
                <w:szCs w:val="22"/>
                <w:lang w:val="hr-HR"/>
              </w:rPr>
            </w:pPr>
            <w:r w:rsidRPr="00913317">
              <w:rPr>
                <w:szCs w:val="22"/>
                <w:lang w:val="hr-HR"/>
              </w:rPr>
              <w:t>hipertireoidizam</w:t>
            </w:r>
          </w:p>
        </w:tc>
        <w:tc>
          <w:tcPr>
            <w:tcW w:w="643" w:type="pct"/>
            <w:tcBorders>
              <w:top w:val="single" w:sz="4" w:space="0" w:color="auto"/>
              <w:left w:val="single" w:sz="4" w:space="0" w:color="auto"/>
              <w:bottom w:val="single" w:sz="4" w:space="0" w:color="auto"/>
              <w:right w:val="single" w:sz="4" w:space="0" w:color="auto"/>
            </w:tcBorders>
          </w:tcPr>
          <w:p w14:paraId="35579323" w14:textId="77777777" w:rsidR="006131C3" w:rsidRPr="00913317" w:rsidRDefault="006131C3" w:rsidP="00D72925">
            <w:pPr>
              <w:tabs>
                <w:tab w:val="clear" w:pos="284"/>
                <w:tab w:val="left" w:pos="360"/>
              </w:tabs>
              <w:jc w:val="center"/>
              <w:rPr>
                <w:szCs w:val="22"/>
                <w:lang w:val="hr-HR"/>
              </w:rPr>
            </w:pPr>
          </w:p>
        </w:tc>
      </w:tr>
      <w:tr w:rsidR="00935053" w:rsidRPr="00913317" w14:paraId="6F91997D" w14:textId="77777777" w:rsidTr="00723F41">
        <w:trPr>
          <w:trHeight w:val="1124"/>
        </w:trPr>
        <w:tc>
          <w:tcPr>
            <w:tcW w:w="856" w:type="pct"/>
            <w:tcBorders>
              <w:top w:val="single" w:sz="4" w:space="0" w:color="auto"/>
              <w:left w:val="single" w:sz="4" w:space="0" w:color="auto"/>
              <w:bottom w:val="single" w:sz="4" w:space="0" w:color="auto"/>
              <w:right w:val="single" w:sz="4" w:space="0" w:color="auto"/>
            </w:tcBorders>
          </w:tcPr>
          <w:p w14:paraId="56E19882" w14:textId="77777777" w:rsidR="00BE6E1E" w:rsidRPr="00913317" w:rsidRDefault="00BE6E1E" w:rsidP="00D72925">
            <w:pPr>
              <w:tabs>
                <w:tab w:val="clear" w:pos="284"/>
                <w:tab w:val="left" w:pos="360"/>
              </w:tabs>
              <w:ind w:right="62"/>
              <w:rPr>
                <w:szCs w:val="22"/>
                <w:lang w:val="hr-HR"/>
              </w:rPr>
            </w:pPr>
            <w:r w:rsidRPr="00913317">
              <w:rPr>
                <w:szCs w:val="22"/>
                <w:lang w:val="hr-HR"/>
              </w:rPr>
              <w:t>Poremećaji metabolizma i ishrane</w:t>
            </w:r>
          </w:p>
        </w:tc>
        <w:tc>
          <w:tcPr>
            <w:tcW w:w="787" w:type="pct"/>
            <w:tcBorders>
              <w:top w:val="single" w:sz="4" w:space="0" w:color="auto"/>
              <w:left w:val="single" w:sz="4" w:space="0" w:color="auto"/>
              <w:bottom w:val="single" w:sz="4" w:space="0" w:color="auto"/>
              <w:right w:val="single" w:sz="4" w:space="0" w:color="auto"/>
            </w:tcBorders>
          </w:tcPr>
          <w:p w14:paraId="27A48846" w14:textId="77777777" w:rsidR="00BE6E1E" w:rsidRPr="00913317" w:rsidRDefault="00BE6E1E" w:rsidP="00D72925">
            <w:pPr>
              <w:tabs>
                <w:tab w:val="clear" w:pos="284"/>
                <w:tab w:val="left" w:pos="360"/>
              </w:tabs>
              <w:jc w:val="center"/>
              <w:rPr>
                <w:szCs w:val="22"/>
                <w:lang w:val="hr-HR"/>
              </w:rPr>
            </w:pPr>
            <w:r w:rsidRPr="00913317">
              <w:rPr>
                <w:szCs w:val="22"/>
                <w:lang w:val="hr-HR"/>
              </w:rPr>
              <w:t>periferni edem</w:t>
            </w:r>
          </w:p>
        </w:tc>
        <w:tc>
          <w:tcPr>
            <w:tcW w:w="858" w:type="pct"/>
            <w:tcBorders>
              <w:top w:val="single" w:sz="4" w:space="0" w:color="auto"/>
              <w:left w:val="single" w:sz="4" w:space="0" w:color="auto"/>
              <w:bottom w:val="single" w:sz="4" w:space="0" w:color="auto"/>
              <w:right w:val="single" w:sz="4" w:space="0" w:color="auto"/>
            </w:tcBorders>
          </w:tcPr>
          <w:p w14:paraId="6E0C9F1F" w14:textId="77777777" w:rsidR="00BE6E1E" w:rsidRPr="00913317" w:rsidRDefault="00BE6E1E" w:rsidP="00D72925">
            <w:pPr>
              <w:jc w:val="center"/>
              <w:rPr>
                <w:szCs w:val="22"/>
                <w:lang w:val="hr-HR"/>
              </w:rPr>
            </w:pPr>
            <w:r w:rsidRPr="00913317">
              <w:rPr>
                <w:szCs w:val="22"/>
                <w:lang w:val="hr-HR"/>
              </w:rPr>
              <w:t>hipoglikemija, hipokalemija, hiponatremija</w:t>
            </w:r>
          </w:p>
        </w:tc>
        <w:tc>
          <w:tcPr>
            <w:tcW w:w="1078" w:type="pct"/>
            <w:tcBorders>
              <w:top w:val="single" w:sz="4" w:space="0" w:color="auto"/>
              <w:left w:val="single" w:sz="4" w:space="0" w:color="auto"/>
              <w:bottom w:val="single" w:sz="4" w:space="0" w:color="auto"/>
              <w:right w:val="single" w:sz="4" w:space="0" w:color="auto"/>
            </w:tcBorders>
          </w:tcPr>
          <w:p w14:paraId="75416337" w14:textId="77777777" w:rsidR="00BE6E1E" w:rsidRPr="00913317" w:rsidRDefault="00BE6E1E" w:rsidP="00D72925">
            <w:pPr>
              <w:tabs>
                <w:tab w:val="clear" w:pos="284"/>
                <w:tab w:val="left" w:pos="360"/>
              </w:tabs>
              <w:jc w:val="center"/>
              <w:rPr>
                <w:szCs w:val="22"/>
                <w:lang w:val="hr-HR"/>
              </w:rPr>
            </w:pPr>
          </w:p>
        </w:tc>
        <w:tc>
          <w:tcPr>
            <w:tcW w:w="779" w:type="pct"/>
            <w:tcBorders>
              <w:top w:val="single" w:sz="4" w:space="0" w:color="auto"/>
              <w:left w:val="single" w:sz="4" w:space="0" w:color="auto"/>
              <w:bottom w:val="single" w:sz="4" w:space="0" w:color="auto"/>
              <w:right w:val="single" w:sz="4" w:space="0" w:color="auto"/>
            </w:tcBorders>
          </w:tcPr>
          <w:p w14:paraId="68883807"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4CDA58E8" w14:textId="77777777" w:rsidR="006131C3" w:rsidRPr="00913317" w:rsidRDefault="006131C3" w:rsidP="00D72925">
            <w:pPr>
              <w:tabs>
                <w:tab w:val="clear" w:pos="284"/>
                <w:tab w:val="left" w:pos="360"/>
              </w:tabs>
              <w:jc w:val="center"/>
              <w:rPr>
                <w:szCs w:val="22"/>
                <w:lang w:val="hr-HR"/>
              </w:rPr>
            </w:pPr>
          </w:p>
        </w:tc>
      </w:tr>
      <w:tr w:rsidR="00935053" w:rsidRPr="0054718D" w14:paraId="24747AFB" w14:textId="77777777" w:rsidTr="00723F41">
        <w:trPr>
          <w:trHeight w:val="1692"/>
        </w:trPr>
        <w:tc>
          <w:tcPr>
            <w:tcW w:w="856" w:type="pct"/>
            <w:tcBorders>
              <w:top w:val="single" w:sz="4" w:space="0" w:color="auto"/>
              <w:left w:val="single" w:sz="4" w:space="0" w:color="auto"/>
              <w:bottom w:val="single" w:sz="4" w:space="0" w:color="auto"/>
              <w:right w:val="single" w:sz="4" w:space="0" w:color="auto"/>
            </w:tcBorders>
          </w:tcPr>
          <w:p w14:paraId="3FBA4F1D" w14:textId="77777777" w:rsidR="00BE6E1E" w:rsidRPr="00913317" w:rsidRDefault="00BE6E1E" w:rsidP="00D72925">
            <w:pPr>
              <w:tabs>
                <w:tab w:val="clear" w:pos="284"/>
                <w:tab w:val="left" w:pos="360"/>
              </w:tabs>
              <w:ind w:right="62"/>
              <w:rPr>
                <w:szCs w:val="22"/>
                <w:lang w:val="hr-HR"/>
              </w:rPr>
            </w:pPr>
            <w:r w:rsidRPr="00913317">
              <w:rPr>
                <w:szCs w:val="22"/>
                <w:lang w:val="hr-HR"/>
              </w:rPr>
              <w:t>Psihijatrijski poremećaji</w:t>
            </w:r>
          </w:p>
        </w:tc>
        <w:tc>
          <w:tcPr>
            <w:tcW w:w="787" w:type="pct"/>
            <w:tcBorders>
              <w:top w:val="single" w:sz="4" w:space="0" w:color="auto"/>
              <w:left w:val="single" w:sz="4" w:space="0" w:color="auto"/>
              <w:bottom w:val="single" w:sz="4" w:space="0" w:color="auto"/>
              <w:right w:val="single" w:sz="4" w:space="0" w:color="auto"/>
            </w:tcBorders>
          </w:tcPr>
          <w:p w14:paraId="6979EB5E"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1D829C81" w14:textId="6D3C23A5" w:rsidR="00BE6E1E" w:rsidRPr="00913317" w:rsidRDefault="00BE6E1E" w:rsidP="00D72925">
            <w:pPr>
              <w:tabs>
                <w:tab w:val="clear" w:pos="284"/>
                <w:tab w:val="left" w:pos="360"/>
              </w:tabs>
              <w:jc w:val="center"/>
              <w:rPr>
                <w:szCs w:val="22"/>
                <w:lang w:val="hr-HR"/>
              </w:rPr>
            </w:pPr>
            <w:r w:rsidRPr="00913317">
              <w:rPr>
                <w:szCs w:val="22"/>
                <w:lang w:val="hr-HR"/>
              </w:rPr>
              <w:t>depresija, halucinacije, anksioznost,</w:t>
            </w:r>
            <w:r w:rsidR="00DD7641" w:rsidRPr="00913317">
              <w:rPr>
                <w:szCs w:val="22"/>
                <w:lang w:val="hr-HR"/>
              </w:rPr>
              <w:t xml:space="preserve"> </w:t>
            </w:r>
            <w:r w:rsidRPr="00913317">
              <w:rPr>
                <w:szCs w:val="22"/>
                <w:lang w:val="hr-HR"/>
              </w:rPr>
              <w:t>nesanica, agitacija,</w:t>
            </w:r>
            <w:r w:rsidR="00DD7641" w:rsidRPr="00913317">
              <w:rPr>
                <w:szCs w:val="22"/>
                <w:lang w:val="hr-HR"/>
              </w:rPr>
              <w:t xml:space="preserve"> </w:t>
            </w:r>
            <w:r w:rsidRPr="00913317">
              <w:rPr>
                <w:szCs w:val="22"/>
                <w:lang w:val="hr-HR"/>
              </w:rPr>
              <w:t>stanje konfuzije</w:t>
            </w:r>
          </w:p>
        </w:tc>
        <w:tc>
          <w:tcPr>
            <w:tcW w:w="1078" w:type="pct"/>
            <w:tcBorders>
              <w:top w:val="single" w:sz="4" w:space="0" w:color="auto"/>
              <w:left w:val="single" w:sz="4" w:space="0" w:color="auto"/>
              <w:bottom w:val="single" w:sz="4" w:space="0" w:color="auto"/>
              <w:right w:val="single" w:sz="4" w:space="0" w:color="auto"/>
            </w:tcBorders>
          </w:tcPr>
          <w:p w14:paraId="36BAC6B3" w14:textId="77777777" w:rsidR="00BE6E1E" w:rsidRPr="00913317" w:rsidRDefault="00BE6E1E" w:rsidP="00D72925">
            <w:pPr>
              <w:tabs>
                <w:tab w:val="clear" w:pos="284"/>
                <w:tab w:val="left" w:pos="360"/>
              </w:tabs>
              <w:jc w:val="center"/>
              <w:rPr>
                <w:szCs w:val="22"/>
                <w:lang w:val="hr-HR"/>
              </w:rPr>
            </w:pPr>
          </w:p>
        </w:tc>
        <w:tc>
          <w:tcPr>
            <w:tcW w:w="779" w:type="pct"/>
            <w:tcBorders>
              <w:top w:val="single" w:sz="4" w:space="0" w:color="auto"/>
              <w:left w:val="single" w:sz="4" w:space="0" w:color="auto"/>
              <w:bottom w:val="single" w:sz="4" w:space="0" w:color="auto"/>
              <w:right w:val="single" w:sz="4" w:space="0" w:color="auto"/>
            </w:tcBorders>
          </w:tcPr>
          <w:p w14:paraId="36657F98"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6EDCB764" w14:textId="77777777" w:rsidR="006131C3" w:rsidRPr="00913317" w:rsidRDefault="006131C3" w:rsidP="00D72925">
            <w:pPr>
              <w:tabs>
                <w:tab w:val="clear" w:pos="284"/>
                <w:tab w:val="left" w:pos="360"/>
              </w:tabs>
              <w:jc w:val="center"/>
              <w:rPr>
                <w:szCs w:val="22"/>
                <w:lang w:val="hr-HR"/>
              </w:rPr>
            </w:pPr>
          </w:p>
        </w:tc>
      </w:tr>
      <w:tr w:rsidR="00935053" w:rsidRPr="00913317" w14:paraId="454A279C" w14:textId="77777777" w:rsidTr="00723F41">
        <w:trPr>
          <w:trHeight w:val="2113"/>
        </w:trPr>
        <w:tc>
          <w:tcPr>
            <w:tcW w:w="856" w:type="pct"/>
            <w:tcBorders>
              <w:top w:val="single" w:sz="4" w:space="0" w:color="auto"/>
              <w:left w:val="single" w:sz="4" w:space="0" w:color="auto"/>
              <w:bottom w:val="single" w:sz="4" w:space="0" w:color="auto"/>
              <w:right w:val="single" w:sz="4" w:space="0" w:color="auto"/>
            </w:tcBorders>
          </w:tcPr>
          <w:p w14:paraId="239EA835" w14:textId="77777777" w:rsidR="00BE6E1E" w:rsidRPr="00913317" w:rsidRDefault="00BE6E1E" w:rsidP="00D72925">
            <w:pPr>
              <w:tabs>
                <w:tab w:val="clear" w:pos="284"/>
                <w:tab w:val="left" w:pos="360"/>
              </w:tabs>
              <w:ind w:right="62"/>
              <w:rPr>
                <w:szCs w:val="22"/>
                <w:lang w:val="hr-HR"/>
              </w:rPr>
            </w:pPr>
            <w:r w:rsidRPr="00913317">
              <w:rPr>
                <w:szCs w:val="22"/>
                <w:lang w:val="hr-HR"/>
              </w:rPr>
              <w:t>Poremećaji nervnog sistema</w:t>
            </w:r>
          </w:p>
        </w:tc>
        <w:tc>
          <w:tcPr>
            <w:tcW w:w="787" w:type="pct"/>
            <w:tcBorders>
              <w:top w:val="single" w:sz="4" w:space="0" w:color="auto"/>
              <w:left w:val="single" w:sz="4" w:space="0" w:color="auto"/>
              <w:bottom w:val="single" w:sz="4" w:space="0" w:color="auto"/>
              <w:right w:val="single" w:sz="4" w:space="0" w:color="auto"/>
            </w:tcBorders>
          </w:tcPr>
          <w:p w14:paraId="18A7B580" w14:textId="77777777" w:rsidR="00BE6E1E" w:rsidRPr="00913317" w:rsidRDefault="00BE6E1E" w:rsidP="00D72925">
            <w:pPr>
              <w:tabs>
                <w:tab w:val="clear" w:pos="284"/>
                <w:tab w:val="left" w:pos="360"/>
              </w:tabs>
              <w:jc w:val="center"/>
              <w:rPr>
                <w:szCs w:val="22"/>
                <w:lang w:val="hr-HR"/>
              </w:rPr>
            </w:pPr>
            <w:r w:rsidRPr="00913317">
              <w:rPr>
                <w:szCs w:val="22"/>
                <w:lang w:val="hr-HR"/>
              </w:rPr>
              <w:t>glavobolja</w:t>
            </w:r>
          </w:p>
        </w:tc>
        <w:tc>
          <w:tcPr>
            <w:tcW w:w="858" w:type="pct"/>
            <w:tcBorders>
              <w:top w:val="single" w:sz="4" w:space="0" w:color="auto"/>
              <w:left w:val="single" w:sz="4" w:space="0" w:color="auto"/>
              <w:bottom w:val="single" w:sz="4" w:space="0" w:color="auto"/>
              <w:right w:val="single" w:sz="4" w:space="0" w:color="auto"/>
            </w:tcBorders>
          </w:tcPr>
          <w:p w14:paraId="74675AF9" w14:textId="78CD8A89" w:rsidR="00BE6E1E" w:rsidRPr="00913317" w:rsidRDefault="00BE6E1E" w:rsidP="00D72925">
            <w:pPr>
              <w:tabs>
                <w:tab w:val="clear" w:pos="284"/>
                <w:tab w:val="left" w:pos="360"/>
              </w:tabs>
              <w:jc w:val="center"/>
              <w:rPr>
                <w:szCs w:val="22"/>
                <w:lang w:val="hr-HR"/>
              </w:rPr>
            </w:pPr>
            <w:r w:rsidRPr="00913317">
              <w:rPr>
                <w:szCs w:val="22"/>
                <w:lang w:val="hr-HR"/>
              </w:rPr>
              <w:t>konvulzije, sinkopa, tremor, hipertonija</w:t>
            </w:r>
            <w:r w:rsidRPr="00913317">
              <w:rPr>
                <w:szCs w:val="22"/>
                <w:vertAlign w:val="superscript"/>
                <w:lang w:val="hr-HR"/>
              </w:rPr>
              <w:t>3</w:t>
            </w:r>
            <w:r w:rsidRPr="00913317">
              <w:rPr>
                <w:szCs w:val="22"/>
                <w:lang w:val="hr-HR"/>
              </w:rPr>
              <w:t>, parestezija, somnolencija, vrtoglavica</w:t>
            </w:r>
          </w:p>
        </w:tc>
        <w:tc>
          <w:tcPr>
            <w:tcW w:w="1078" w:type="pct"/>
            <w:tcBorders>
              <w:top w:val="single" w:sz="4" w:space="0" w:color="auto"/>
              <w:left w:val="single" w:sz="4" w:space="0" w:color="auto"/>
              <w:bottom w:val="single" w:sz="4" w:space="0" w:color="auto"/>
              <w:right w:val="single" w:sz="4" w:space="0" w:color="auto"/>
            </w:tcBorders>
          </w:tcPr>
          <w:p w14:paraId="522DA894" w14:textId="7C23E46E" w:rsidR="00BE6E1E" w:rsidRPr="00913317" w:rsidRDefault="00BE6E1E" w:rsidP="00D72925">
            <w:pPr>
              <w:tabs>
                <w:tab w:val="clear" w:pos="284"/>
                <w:tab w:val="left" w:pos="360"/>
              </w:tabs>
              <w:jc w:val="center"/>
              <w:rPr>
                <w:szCs w:val="22"/>
                <w:lang w:val="hr-HR"/>
              </w:rPr>
            </w:pPr>
            <w:r w:rsidRPr="00913317">
              <w:rPr>
                <w:szCs w:val="22"/>
                <w:lang w:val="hr-HR"/>
              </w:rPr>
              <w:t>edem mozga, encefalopatija</w:t>
            </w:r>
            <w:r w:rsidRPr="00913317">
              <w:rPr>
                <w:szCs w:val="22"/>
                <w:vertAlign w:val="superscript"/>
                <w:lang w:val="hr-HR"/>
              </w:rPr>
              <w:t>4</w:t>
            </w:r>
            <w:r w:rsidRPr="00913317">
              <w:rPr>
                <w:szCs w:val="22"/>
                <w:lang w:val="hr-HR"/>
              </w:rPr>
              <w:t>, ekstrapiramidalni poremećaj</w:t>
            </w:r>
            <w:r w:rsidRPr="00913317">
              <w:rPr>
                <w:szCs w:val="22"/>
                <w:vertAlign w:val="superscript"/>
                <w:lang w:val="hr-HR"/>
              </w:rPr>
              <w:t>5</w:t>
            </w:r>
            <w:r w:rsidRPr="00913317">
              <w:rPr>
                <w:szCs w:val="22"/>
                <w:lang w:val="hr-HR"/>
              </w:rPr>
              <w:t>, periferna neuropatija, ataksija, hipoestezija, disgeuzija</w:t>
            </w:r>
          </w:p>
        </w:tc>
        <w:tc>
          <w:tcPr>
            <w:tcW w:w="779" w:type="pct"/>
            <w:tcBorders>
              <w:top w:val="single" w:sz="4" w:space="0" w:color="auto"/>
              <w:left w:val="single" w:sz="4" w:space="0" w:color="auto"/>
              <w:bottom w:val="single" w:sz="4" w:space="0" w:color="auto"/>
              <w:right w:val="single" w:sz="4" w:space="0" w:color="auto"/>
            </w:tcBorders>
          </w:tcPr>
          <w:p w14:paraId="3CA915C0" w14:textId="77777777" w:rsidR="006131C3" w:rsidRPr="00913317" w:rsidRDefault="00BE6E1E" w:rsidP="00D72925">
            <w:pPr>
              <w:tabs>
                <w:tab w:val="clear" w:pos="284"/>
                <w:tab w:val="left" w:pos="360"/>
              </w:tabs>
              <w:jc w:val="center"/>
              <w:rPr>
                <w:szCs w:val="22"/>
                <w:lang w:val="hr-HR"/>
              </w:rPr>
            </w:pPr>
            <w:r w:rsidRPr="00913317">
              <w:rPr>
                <w:szCs w:val="22"/>
                <w:lang w:val="hr-HR"/>
              </w:rPr>
              <w:t xml:space="preserve">hepatična encefalopatija, </w:t>
            </w:r>
            <w:r w:rsidRPr="00913317">
              <w:rPr>
                <w:i/>
                <w:szCs w:val="22"/>
                <w:lang w:val="hr-HR"/>
              </w:rPr>
              <w:t>Guill</w:t>
            </w:r>
            <w:r w:rsidR="00E50084" w:rsidRPr="00913317">
              <w:rPr>
                <w:i/>
                <w:szCs w:val="22"/>
                <w:lang w:val="hr-HR"/>
              </w:rPr>
              <w:t>a</w:t>
            </w:r>
            <w:r w:rsidRPr="00913317">
              <w:rPr>
                <w:i/>
                <w:szCs w:val="22"/>
                <w:lang w:val="hr-HR"/>
              </w:rPr>
              <w:t>in-Barre</w:t>
            </w:r>
            <w:r w:rsidRPr="00913317">
              <w:rPr>
                <w:szCs w:val="22"/>
                <w:lang w:val="hr-HR"/>
              </w:rPr>
              <w:t xml:space="preserve"> sindrom, nistagmus</w:t>
            </w:r>
          </w:p>
        </w:tc>
        <w:tc>
          <w:tcPr>
            <w:tcW w:w="643" w:type="pct"/>
            <w:tcBorders>
              <w:top w:val="single" w:sz="4" w:space="0" w:color="auto"/>
              <w:left w:val="single" w:sz="4" w:space="0" w:color="auto"/>
              <w:bottom w:val="single" w:sz="4" w:space="0" w:color="auto"/>
              <w:right w:val="single" w:sz="4" w:space="0" w:color="auto"/>
            </w:tcBorders>
          </w:tcPr>
          <w:p w14:paraId="3DB43460" w14:textId="77777777" w:rsidR="006131C3" w:rsidRPr="00913317" w:rsidRDefault="006131C3" w:rsidP="00D72925">
            <w:pPr>
              <w:tabs>
                <w:tab w:val="clear" w:pos="284"/>
                <w:tab w:val="left" w:pos="360"/>
              </w:tabs>
              <w:jc w:val="center"/>
              <w:rPr>
                <w:szCs w:val="22"/>
                <w:lang w:val="hr-HR"/>
              </w:rPr>
            </w:pPr>
          </w:p>
        </w:tc>
      </w:tr>
      <w:tr w:rsidR="00935053" w:rsidRPr="0054718D" w14:paraId="58FE9119" w14:textId="77777777" w:rsidTr="004C3A8B">
        <w:trPr>
          <w:trHeight w:val="1411"/>
        </w:trPr>
        <w:tc>
          <w:tcPr>
            <w:tcW w:w="856" w:type="pct"/>
            <w:tcBorders>
              <w:top w:val="single" w:sz="4" w:space="0" w:color="auto"/>
              <w:left w:val="single" w:sz="4" w:space="0" w:color="auto"/>
              <w:bottom w:val="single" w:sz="4" w:space="0" w:color="auto"/>
              <w:right w:val="single" w:sz="4" w:space="0" w:color="auto"/>
            </w:tcBorders>
          </w:tcPr>
          <w:p w14:paraId="48DE5241" w14:textId="77777777" w:rsidR="00BE6E1E" w:rsidRPr="00913317" w:rsidRDefault="00BE6E1E" w:rsidP="00D72925">
            <w:pPr>
              <w:tabs>
                <w:tab w:val="clear" w:pos="284"/>
                <w:tab w:val="left" w:pos="360"/>
              </w:tabs>
              <w:ind w:right="62"/>
              <w:rPr>
                <w:szCs w:val="22"/>
                <w:lang w:val="hr-HR"/>
              </w:rPr>
            </w:pPr>
            <w:r w:rsidRPr="00913317">
              <w:rPr>
                <w:szCs w:val="22"/>
                <w:lang w:val="hr-HR"/>
              </w:rPr>
              <w:t>Poremećaji oka</w:t>
            </w:r>
          </w:p>
        </w:tc>
        <w:tc>
          <w:tcPr>
            <w:tcW w:w="787" w:type="pct"/>
            <w:tcBorders>
              <w:top w:val="single" w:sz="4" w:space="0" w:color="auto"/>
              <w:left w:val="single" w:sz="4" w:space="0" w:color="auto"/>
              <w:bottom w:val="single" w:sz="4" w:space="0" w:color="auto"/>
              <w:right w:val="single" w:sz="4" w:space="0" w:color="auto"/>
            </w:tcBorders>
          </w:tcPr>
          <w:p w14:paraId="14066580" w14:textId="77777777" w:rsidR="00BE6E1E" w:rsidRPr="00913317" w:rsidRDefault="00BE6E1E" w:rsidP="00D72925">
            <w:pPr>
              <w:tabs>
                <w:tab w:val="clear" w:pos="284"/>
                <w:tab w:val="left" w:pos="360"/>
              </w:tabs>
              <w:ind w:right="114"/>
              <w:jc w:val="center"/>
              <w:rPr>
                <w:szCs w:val="22"/>
                <w:lang w:val="hr-HR"/>
              </w:rPr>
            </w:pPr>
            <w:r w:rsidRPr="00913317">
              <w:rPr>
                <w:szCs w:val="22"/>
                <w:lang w:val="hr-HR"/>
              </w:rPr>
              <w:t>oštećenje vida</w:t>
            </w:r>
            <w:r w:rsidRPr="00913317">
              <w:rPr>
                <w:szCs w:val="22"/>
                <w:vertAlign w:val="superscript"/>
                <w:lang w:val="hr-HR"/>
              </w:rPr>
              <w:t>6</w:t>
            </w:r>
          </w:p>
        </w:tc>
        <w:tc>
          <w:tcPr>
            <w:tcW w:w="858" w:type="pct"/>
            <w:tcBorders>
              <w:top w:val="single" w:sz="4" w:space="0" w:color="auto"/>
              <w:left w:val="single" w:sz="4" w:space="0" w:color="auto"/>
              <w:bottom w:val="single" w:sz="4" w:space="0" w:color="auto"/>
              <w:right w:val="single" w:sz="4" w:space="0" w:color="auto"/>
            </w:tcBorders>
          </w:tcPr>
          <w:p w14:paraId="5470A9D4" w14:textId="77777777" w:rsidR="00BE6E1E" w:rsidRPr="00913317" w:rsidRDefault="00BE6E1E" w:rsidP="00D72925">
            <w:pPr>
              <w:tabs>
                <w:tab w:val="clear" w:pos="284"/>
                <w:tab w:val="left" w:pos="360"/>
              </w:tabs>
              <w:jc w:val="center"/>
              <w:rPr>
                <w:szCs w:val="22"/>
                <w:lang w:val="hr-HR"/>
              </w:rPr>
            </w:pPr>
            <w:r w:rsidRPr="00913317">
              <w:rPr>
                <w:szCs w:val="22"/>
                <w:lang w:val="hr-HR"/>
              </w:rPr>
              <w:t>krvarenja u retini</w:t>
            </w:r>
          </w:p>
        </w:tc>
        <w:tc>
          <w:tcPr>
            <w:tcW w:w="1078" w:type="pct"/>
            <w:tcBorders>
              <w:top w:val="single" w:sz="4" w:space="0" w:color="auto"/>
              <w:left w:val="single" w:sz="4" w:space="0" w:color="auto"/>
              <w:bottom w:val="single" w:sz="4" w:space="0" w:color="auto"/>
              <w:right w:val="single" w:sz="4" w:space="0" w:color="auto"/>
            </w:tcBorders>
          </w:tcPr>
          <w:p w14:paraId="2B24ADD1" w14:textId="07FF3AF7" w:rsidR="00BE6E1E" w:rsidRPr="00913317" w:rsidRDefault="00BE6E1E" w:rsidP="00D72925">
            <w:pPr>
              <w:tabs>
                <w:tab w:val="clear" w:pos="284"/>
                <w:tab w:val="left" w:pos="360"/>
              </w:tabs>
              <w:jc w:val="center"/>
              <w:rPr>
                <w:szCs w:val="22"/>
                <w:lang w:val="hr-HR"/>
              </w:rPr>
            </w:pPr>
            <w:r w:rsidRPr="00913317">
              <w:rPr>
                <w:szCs w:val="22"/>
                <w:lang w:val="hr-HR"/>
              </w:rPr>
              <w:t>poremećaji optičkog nerva</w:t>
            </w:r>
            <w:r w:rsidRPr="00913317">
              <w:rPr>
                <w:szCs w:val="22"/>
                <w:vertAlign w:val="superscript"/>
                <w:lang w:val="hr-HR"/>
              </w:rPr>
              <w:t>7</w:t>
            </w:r>
            <w:r w:rsidRPr="00913317">
              <w:rPr>
                <w:szCs w:val="22"/>
                <w:lang w:val="hr-HR"/>
              </w:rPr>
              <w:t>, edem papile</w:t>
            </w:r>
            <w:r w:rsidRPr="00913317">
              <w:rPr>
                <w:szCs w:val="22"/>
                <w:vertAlign w:val="superscript"/>
                <w:lang w:val="hr-HR"/>
              </w:rPr>
              <w:t>8</w:t>
            </w:r>
            <w:r w:rsidRPr="00913317">
              <w:rPr>
                <w:szCs w:val="22"/>
                <w:lang w:val="hr-HR"/>
              </w:rPr>
              <w:t>, okulogirna kriza, diplopija, skleritis, blefaritis</w:t>
            </w:r>
          </w:p>
        </w:tc>
        <w:tc>
          <w:tcPr>
            <w:tcW w:w="779" w:type="pct"/>
            <w:tcBorders>
              <w:top w:val="single" w:sz="4" w:space="0" w:color="auto"/>
              <w:left w:val="single" w:sz="4" w:space="0" w:color="auto"/>
              <w:bottom w:val="single" w:sz="4" w:space="0" w:color="auto"/>
              <w:right w:val="single" w:sz="4" w:space="0" w:color="auto"/>
            </w:tcBorders>
          </w:tcPr>
          <w:p w14:paraId="392CF854" w14:textId="77777777" w:rsidR="006131C3" w:rsidRPr="00913317" w:rsidRDefault="00BE6E1E" w:rsidP="00D72925">
            <w:pPr>
              <w:tabs>
                <w:tab w:val="clear" w:pos="284"/>
                <w:tab w:val="left" w:pos="360"/>
              </w:tabs>
              <w:jc w:val="center"/>
              <w:rPr>
                <w:szCs w:val="22"/>
                <w:lang w:val="hr-HR"/>
              </w:rPr>
            </w:pPr>
            <w:r w:rsidRPr="00913317">
              <w:rPr>
                <w:szCs w:val="22"/>
                <w:lang w:val="hr-HR"/>
              </w:rPr>
              <w:t>atrofija optičkog nerva, zamućenje kornee</w:t>
            </w:r>
          </w:p>
        </w:tc>
        <w:tc>
          <w:tcPr>
            <w:tcW w:w="643" w:type="pct"/>
            <w:tcBorders>
              <w:top w:val="single" w:sz="4" w:space="0" w:color="auto"/>
              <w:left w:val="single" w:sz="4" w:space="0" w:color="auto"/>
              <w:bottom w:val="single" w:sz="4" w:space="0" w:color="auto"/>
              <w:right w:val="single" w:sz="4" w:space="0" w:color="auto"/>
            </w:tcBorders>
          </w:tcPr>
          <w:p w14:paraId="0D3F85D9" w14:textId="77777777" w:rsidR="006131C3" w:rsidRPr="00913317" w:rsidRDefault="006131C3" w:rsidP="00D72925">
            <w:pPr>
              <w:tabs>
                <w:tab w:val="clear" w:pos="284"/>
                <w:tab w:val="left" w:pos="360"/>
              </w:tabs>
              <w:jc w:val="center"/>
              <w:rPr>
                <w:szCs w:val="22"/>
                <w:lang w:val="hr-HR"/>
              </w:rPr>
            </w:pPr>
          </w:p>
        </w:tc>
      </w:tr>
      <w:tr w:rsidR="00935053" w:rsidRPr="00913317" w14:paraId="3C27A375" w14:textId="77777777" w:rsidTr="00723F41">
        <w:trPr>
          <w:trHeight w:val="1125"/>
        </w:trPr>
        <w:tc>
          <w:tcPr>
            <w:tcW w:w="856" w:type="pct"/>
            <w:tcBorders>
              <w:top w:val="single" w:sz="4" w:space="0" w:color="auto"/>
              <w:left w:val="single" w:sz="4" w:space="0" w:color="auto"/>
              <w:bottom w:val="single" w:sz="4" w:space="0" w:color="auto"/>
              <w:right w:val="single" w:sz="4" w:space="0" w:color="auto"/>
            </w:tcBorders>
          </w:tcPr>
          <w:p w14:paraId="39115FEC" w14:textId="77777777" w:rsidR="00BE6E1E" w:rsidRPr="00913317" w:rsidRDefault="00BE6E1E" w:rsidP="00D72925">
            <w:pPr>
              <w:tabs>
                <w:tab w:val="clear" w:pos="284"/>
                <w:tab w:val="left" w:pos="360"/>
              </w:tabs>
              <w:ind w:right="62"/>
              <w:rPr>
                <w:szCs w:val="22"/>
                <w:lang w:val="hr-HR"/>
              </w:rPr>
            </w:pPr>
            <w:r w:rsidRPr="00913317">
              <w:rPr>
                <w:szCs w:val="22"/>
                <w:lang w:val="hr-HR"/>
              </w:rPr>
              <w:t xml:space="preserve">Poremećaji uha i </w:t>
            </w:r>
            <w:r w:rsidR="00060651" w:rsidRPr="00913317">
              <w:rPr>
                <w:szCs w:val="22"/>
                <w:lang w:val="hr-HR"/>
              </w:rPr>
              <w:t>labirinta</w:t>
            </w:r>
          </w:p>
        </w:tc>
        <w:tc>
          <w:tcPr>
            <w:tcW w:w="787" w:type="pct"/>
            <w:tcBorders>
              <w:top w:val="single" w:sz="4" w:space="0" w:color="auto"/>
              <w:left w:val="single" w:sz="4" w:space="0" w:color="auto"/>
              <w:bottom w:val="single" w:sz="4" w:space="0" w:color="auto"/>
              <w:right w:val="single" w:sz="4" w:space="0" w:color="auto"/>
            </w:tcBorders>
          </w:tcPr>
          <w:p w14:paraId="6A99B387" w14:textId="77777777" w:rsidR="00BE6E1E" w:rsidRPr="00913317" w:rsidRDefault="00BE6E1E" w:rsidP="004C3A8B">
            <w:pPr>
              <w:tabs>
                <w:tab w:val="clear" w:pos="284"/>
                <w:tab w:val="left" w:pos="360"/>
              </w:tabs>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2589373C" w14:textId="77777777" w:rsidR="00BE6E1E" w:rsidRPr="00913317" w:rsidRDefault="00BE6E1E" w:rsidP="004C3A8B">
            <w:pPr>
              <w:tabs>
                <w:tab w:val="clear" w:pos="284"/>
                <w:tab w:val="left" w:pos="360"/>
              </w:tabs>
              <w:rPr>
                <w:szCs w:val="22"/>
                <w:lang w:val="hr-HR"/>
              </w:rPr>
            </w:pPr>
          </w:p>
        </w:tc>
        <w:tc>
          <w:tcPr>
            <w:tcW w:w="1078" w:type="pct"/>
            <w:tcBorders>
              <w:top w:val="single" w:sz="4" w:space="0" w:color="auto"/>
              <w:left w:val="single" w:sz="4" w:space="0" w:color="auto"/>
              <w:bottom w:val="single" w:sz="4" w:space="0" w:color="auto"/>
              <w:right w:val="single" w:sz="4" w:space="0" w:color="auto"/>
            </w:tcBorders>
          </w:tcPr>
          <w:p w14:paraId="76B7B105" w14:textId="572057F6" w:rsidR="00BE6E1E" w:rsidRPr="00913317" w:rsidRDefault="00BE6E1E" w:rsidP="00D72925">
            <w:pPr>
              <w:tabs>
                <w:tab w:val="clear" w:pos="284"/>
                <w:tab w:val="left" w:pos="360"/>
              </w:tabs>
              <w:jc w:val="center"/>
              <w:rPr>
                <w:szCs w:val="22"/>
                <w:lang w:val="hr-HR"/>
              </w:rPr>
            </w:pPr>
            <w:r w:rsidRPr="00913317">
              <w:rPr>
                <w:szCs w:val="22"/>
                <w:lang w:val="hr-HR"/>
              </w:rPr>
              <w:t>hipoakuzija, vertigo, tinitus</w:t>
            </w:r>
          </w:p>
        </w:tc>
        <w:tc>
          <w:tcPr>
            <w:tcW w:w="779" w:type="pct"/>
            <w:tcBorders>
              <w:top w:val="single" w:sz="4" w:space="0" w:color="auto"/>
              <w:left w:val="single" w:sz="4" w:space="0" w:color="auto"/>
              <w:bottom w:val="single" w:sz="4" w:space="0" w:color="auto"/>
              <w:right w:val="single" w:sz="4" w:space="0" w:color="auto"/>
            </w:tcBorders>
          </w:tcPr>
          <w:p w14:paraId="000F11F8" w14:textId="77777777" w:rsidR="006131C3" w:rsidRPr="00913317" w:rsidRDefault="006131C3" w:rsidP="004C3A8B">
            <w:pPr>
              <w:tabs>
                <w:tab w:val="clear" w:pos="284"/>
                <w:tab w:val="left" w:pos="360"/>
              </w:tabs>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5D310207" w14:textId="77777777" w:rsidR="006131C3" w:rsidRPr="00913317" w:rsidRDefault="006131C3" w:rsidP="004C3A8B">
            <w:pPr>
              <w:tabs>
                <w:tab w:val="clear" w:pos="284"/>
                <w:tab w:val="left" w:pos="360"/>
              </w:tabs>
              <w:rPr>
                <w:szCs w:val="22"/>
                <w:lang w:val="hr-HR"/>
              </w:rPr>
            </w:pPr>
          </w:p>
        </w:tc>
      </w:tr>
      <w:tr w:rsidR="00935053" w:rsidRPr="00913317" w14:paraId="6CF1E167" w14:textId="77777777" w:rsidTr="00723F41">
        <w:trPr>
          <w:trHeight w:val="2687"/>
        </w:trPr>
        <w:tc>
          <w:tcPr>
            <w:tcW w:w="856" w:type="pct"/>
            <w:tcBorders>
              <w:top w:val="single" w:sz="4" w:space="0" w:color="auto"/>
              <w:left w:val="single" w:sz="4" w:space="0" w:color="auto"/>
              <w:bottom w:val="single" w:sz="4" w:space="0" w:color="auto"/>
              <w:right w:val="single" w:sz="4" w:space="0" w:color="auto"/>
            </w:tcBorders>
          </w:tcPr>
          <w:p w14:paraId="57B6899B" w14:textId="77777777" w:rsidR="00BE6E1E" w:rsidRPr="00913317" w:rsidRDefault="00BE6E1E" w:rsidP="00D72925">
            <w:pPr>
              <w:tabs>
                <w:tab w:val="clear" w:pos="284"/>
                <w:tab w:val="left" w:pos="360"/>
              </w:tabs>
              <w:ind w:right="62"/>
              <w:rPr>
                <w:szCs w:val="22"/>
                <w:lang w:val="hr-HR"/>
              </w:rPr>
            </w:pPr>
            <w:r w:rsidRPr="00913317">
              <w:rPr>
                <w:szCs w:val="22"/>
                <w:lang w:val="hr-HR"/>
              </w:rPr>
              <w:lastRenderedPageBreak/>
              <w:t>Kardiološki poremećaji</w:t>
            </w:r>
          </w:p>
        </w:tc>
        <w:tc>
          <w:tcPr>
            <w:tcW w:w="787" w:type="pct"/>
            <w:tcBorders>
              <w:top w:val="single" w:sz="4" w:space="0" w:color="auto"/>
              <w:left w:val="single" w:sz="4" w:space="0" w:color="auto"/>
              <w:bottom w:val="single" w:sz="4" w:space="0" w:color="auto"/>
              <w:right w:val="single" w:sz="4" w:space="0" w:color="auto"/>
            </w:tcBorders>
          </w:tcPr>
          <w:p w14:paraId="10C9F1CD"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2E4E0DEE" w14:textId="77777777" w:rsidR="00BE6E1E" w:rsidRPr="00913317" w:rsidRDefault="00BE6E1E" w:rsidP="00D72925">
            <w:pPr>
              <w:tabs>
                <w:tab w:val="clear" w:pos="284"/>
                <w:tab w:val="left" w:pos="360"/>
              </w:tabs>
              <w:jc w:val="center"/>
              <w:rPr>
                <w:szCs w:val="22"/>
                <w:lang w:val="hr-HR"/>
              </w:rPr>
            </w:pPr>
            <w:r w:rsidRPr="00913317">
              <w:rPr>
                <w:szCs w:val="22"/>
                <w:lang w:val="hr-HR"/>
              </w:rPr>
              <w:t>supraventrikularna aritmija, tahikardija, bradikardija</w:t>
            </w:r>
          </w:p>
        </w:tc>
        <w:tc>
          <w:tcPr>
            <w:tcW w:w="1078" w:type="pct"/>
            <w:tcBorders>
              <w:top w:val="single" w:sz="4" w:space="0" w:color="auto"/>
              <w:left w:val="single" w:sz="4" w:space="0" w:color="auto"/>
              <w:bottom w:val="single" w:sz="4" w:space="0" w:color="auto"/>
              <w:right w:val="single" w:sz="4" w:space="0" w:color="auto"/>
            </w:tcBorders>
          </w:tcPr>
          <w:p w14:paraId="03792FBE" w14:textId="77777777" w:rsidR="00BE6E1E" w:rsidRPr="00913317" w:rsidRDefault="00BE6E1E" w:rsidP="00D72925">
            <w:pPr>
              <w:tabs>
                <w:tab w:val="clear" w:pos="284"/>
                <w:tab w:val="left" w:pos="360"/>
              </w:tabs>
              <w:jc w:val="center"/>
              <w:rPr>
                <w:szCs w:val="22"/>
                <w:lang w:val="hr-HR"/>
              </w:rPr>
            </w:pPr>
            <w:r w:rsidRPr="00913317">
              <w:rPr>
                <w:szCs w:val="22"/>
                <w:lang w:val="hr-HR"/>
              </w:rPr>
              <w:t>ventrikularna fibrilacija, ventrikularne ekstrasistole, ventrikularna tahikardija, produžen QTc interval na EKG-u, supraventrikularna tahikardija</w:t>
            </w:r>
          </w:p>
        </w:tc>
        <w:tc>
          <w:tcPr>
            <w:tcW w:w="779" w:type="pct"/>
            <w:tcBorders>
              <w:top w:val="single" w:sz="4" w:space="0" w:color="auto"/>
              <w:left w:val="single" w:sz="4" w:space="0" w:color="auto"/>
              <w:bottom w:val="single" w:sz="4" w:space="0" w:color="auto"/>
              <w:right w:val="single" w:sz="4" w:space="0" w:color="auto"/>
            </w:tcBorders>
          </w:tcPr>
          <w:p w14:paraId="5B293C0D" w14:textId="725DAE1A" w:rsidR="00BE6E1E" w:rsidRPr="00913317" w:rsidRDefault="00BE6E1E" w:rsidP="00D72925">
            <w:pPr>
              <w:tabs>
                <w:tab w:val="clear" w:pos="284"/>
                <w:tab w:val="left" w:pos="360"/>
              </w:tabs>
              <w:jc w:val="center"/>
              <w:rPr>
                <w:szCs w:val="22"/>
                <w:lang w:val="hr-HR"/>
              </w:rPr>
            </w:pPr>
            <w:r w:rsidRPr="00913317">
              <w:rPr>
                <w:i/>
                <w:szCs w:val="22"/>
                <w:lang w:val="hr-HR"/>
              </w:rPr>
              <w:t>torsades de pointes</w:t>
            </w:r>
            <w:r w:rsidRPr="00913317">
              <w:rPr>
                <w:szCs w:val="22"/>
                <w:lang w:val="hr-HR"/>
              </w:rPr>
              <w:t>, kompletni AV blok, blok grane Hisovog snopa, nodalni ritam</w:t>
            </w:r>
          </w:p>
        </w:tc>
        <w:tc>
          <w:tcPr>
            <w:tcW w:w="643" w:type="pct"/>
            <w:tcBorders>
              <w:top w:val="single" w:sz="4" w:space="0" w:color="auto"/>
              <w:left w:val="single" w:sz="4" w:space="0" w:color="auto"/>
              <w:bottom w:val="single" w:sz="4" w:space="0" w:color="auto"/>
              <w:right w:val="single" w:sz="4" w:space="0" w:color="auto"/>
            </w:tcBorders>
          </w:tcPr>
          <w:p w14:paraId="57F1A91F" w14:textId="77777777" w:rsidR="00BE6E1E" w:rsidRPr="00913317" w:rsidRDefault="00BE6E1E" w:rsidP="00D72925">
            <w:pPr>
              <w:tabs>
                <w:tab w:val="clear" w:pos="284"/>
                <w:tab w:val="left" w:pos="360"/>
              </w:tabs>
              <w:jc w:val="center"/>
              <w:rPr>
                <w:szCs w:val="22"/>
                <w:lang w:val="hr-HR"/>
              </w:rPr>
            </w:pPr>
          </w:p>
        </w:tc>
      </w:tr>
      <w:tr w:rsidR="00935053" w:rsidRPr="00913317" w14:paraId="17F7984F" w14:textId="77777777" w:rsidTr="00723F41">
        <w:trPr>
          <w:trHeight w:val="698"/>
        </w:trPr>
        <w:tc>
          <w:tcPr>
            <w:tcW w:w="856" w:type="pct"/>
            <w:tcBorders>
              <w:top w:val="single" w:sz="4" w:space="0" w:color="auto"/>
              <w:left w:val="single" w:sz="4" w:space="0" w:color="auto"/>
              <w:bottom w:val="single" w:sz="4" w:space="0" w:color="auto"/>
              <w:right w:val="single" w:sz="4" w:space="0" w:color="auto"/>
            </w:tcBorders>
          </w:tcPr>
          <w:p w14:paraId="16610FC7" w14:textId="77777777" w:rsidR="00BE6E1E" w:rsidRPr="00913317" w:rsidRDefault="00BE6E1E" w:rsidP="00D72925">
            <w:pPr>
              <w:tabs>
                <w:tab w:val="clear" w:pos="284"/>
                <w:tab w:val="left" w:pos="360"/>
              </w:tabs>
              <w:ind w:right="62"/>
              <w:rPr>
                <w:szCs w:val="22"/>
                <w:lang w:val="hr-HR"/>
              </w:rPr>
            </w:pPr>
            <w:r w:rsidRPr="00913317">
              <w:rPr>
                <w:szCs w:val="22"/>
                <w:lang w:val="hr-HR"/>
              </w:rPr>
              <w:t>Vaskularni poremećaji</w:t>
            </w:r>
          </w:p>
        </w:tc>
        <w:tc>
          <w:tcPr>
            <w:tcW w:w="787" w:type="pct"/>
            <w:tcBorders>
              <w:top w:val="single" w:sz="4" w:space="0" w:color="auto"/>
              <w:left w:val="single" w:sz="4" w:space="0" w:color="auto"/>
              <w:bottom w:val="single" w:sz="4" w:space="0" w:color="auto"/>
              <w:right w:val="single" w:sz="4" w:space="0" w:color="auto"/>
            </w:tcBorders>
          </w:tcPr>
          <w:p w14:paraId="24A6F33A"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33CDB8CF" w14:textId="77777777" w:rsidR="00BE6E1E" w:rsidRPr="00913317" w:rsidRDefault="00BE6E1E" w:rsidP="00D72925">
            <w:pPr>
              <w:tabs>
                <w:tab w:val="clear" w:pos="284"/>
                <w:tab w:val="left" w:pos="360"/>
              </w:tabs>
              <w:jc w:val="center"/>
              <w:rPr>
                <w:szCs w:val="22"/>
                <w:lang w:val="hr-HR"/>
              </w:rPr>
            </w:pPr>
            <w:r w:rsidRPr="00913317">
              <w:rPr>
                <w:szCs w:val="22"/>
                <w:lang w:val="hr-HR"/>
              </w:rPr>
              <w:t>hipotenzija, flebitis</w:t>
            </w:r>
          </w:p>
        </w:tc>
        <w:tc>
          <w:tcPr>
            <w:tcW w:w="1078" w:type="pct"/>
            <w:tcBorders>
              <w:top w:val="single" w:sz="4" w:space="0" w:color="auto"/>
              <w:left w:val="single" w:sz="4" w:space="0" w:color="auto"/>
              <w:bottom w:val="single" w:sz="4" w:space="0" w:color="auto"/>
              <w:right w:val="single" w:sz="4" w:space="0" w:color="auto"/>
            </w:tcBorders>
          </w:tcPr>
          <w:p w14:paraId="7637B4A3" w14:textId="77777777" w:rsidR="00BE6E1E" w:rsidRPr="00913317" w:rsidRDefault="00BE6E1E" w:rsidP="00D72925">
            <w:pPr>
              <w:tabs>
                <w:tab w:val="clear" w:pos="284"/>
                <w:tab w:val="left" w:pos="360"/>
              </w:tabs>
              <w:jc w:val="center"/>
              <w:rPr>
                <w:szCs w:val="22"/>
                <w:lang w:val="hr-HR"/>
              </w:rPr>
            </w:pPr>
            <w:r w:rsidRPr="00913317">
              <w:rPr>
                <w:szCs w:val="22"/>
                <w:lang w:val="hr-HR"/>
              </w:rPr>
              <w:t>tromboflebitis, limfangitis</w:t>
            </w:r>
          </w:p>
        </w:tc>
        <w:tc>
          <w:tcPr>
            <w:tcW w:w="779" w:type="pct"/>
            <w:tcBorders>
              <w:top w:val="single" w:sz="4" w:space="0" w:color="auto"/>
              <w:left w:val="single" w:sz="4" w:space="0" w:color="auto"/>
              <w:bottom w:val="single" w:sz="4" w:space="0" w:color="auto"/>
              <w:right w:val="single" w:sz="4" w:space="0" w:color="auto"/>
            </w:tcBorders>
          </w:tcPr>
          <w:p w14:paraId="5219D071" w14:textId="77777777" w:rsidR="00BE6E1E" w:rsidRPr="00913317" w:rsidRDefault="00BE6E1E"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435E6939" w14:textId="77777777" w:rsidR="00BE6E1E" w:rsidRPr="00913317" w:rsidRDefault="00BE6E1E" w:rsidP="00D72925">
            <w:pPr>
              <w:tabs>
                <w:tab w:val="clear" w:pos="284"/>
                <w:tab w:val="left" w:pos="360"/>
              </w:tabs>
              <w:jc w:val="center"/>
              <w:rPr>
                <w:szCs w:val="22"/>
                <w:lang w:val="hr-HR"/>
              </w:rPr>
            </w:pPr>
          </w:p>
        </w:tc>
      </w:tr>
      <w:tr w:rsidR="00935053" w:rsidRPr="0054718D" w14:paraId="29C39B9D" w14:textId="77777777" w:rsidTr="00723F41">
        <w:trPr>
          <w:trHeight w:val="1133"/>
        </w:trPr>
        <w:tc>
          <w:tcPr>
            <w:tcW w:w="856" w:type="pct"/>
            <w:tcBorders>
              <w:top w:val="single" w:sz="4" w:space="0" w:color="auto"/>
              <w:left w:val="single" w:sz="4" w:space="0" w:color="auto"/>
              <w:bottom w:val="single" w:sz="4" w:space="0" w:color="auto"/>
              <w:right w:val="single" w:sz="4" w:space="0" w:color="auto"/>
            </w:tcBorders>
          </w:tcPr>
          <w:p w14:paraId="109AD80F" w14:textId="77777777" w:rsidR="00BE6E1E" w:rsidRPr="00913317" w:rsidRDefault="00BE6E1E" w:rsidP="00D72925">
            <w:pPr>
              <w:tabs>
                <w:tab w:val="clear" w:pos="284"/>
                <w:tab w:val="left" w:pos="360"/>
              </w:tabs>
              <w:ind w:right="62"/>
              <w:rPr>
                <w:szCs w:val="22"/>
                <w:lang w:val="hr-HR"/>
              </w:rPr>
            </w:pPr>
            <w:r w:rsidRPr="00913317">
              <w:rPr>
                <w:szCs w:val="22"/>
                <w:lang w:val="hr-HR"/>
              </w:rPr>
              <w:t>Respiratorni, torakalni i medijastinalni poremećaji</w:t>
            </w:r>
          </w:p>
        </w:tc>
        <w:tc>
          <w:tcPr>
            <w:tcW w:w="787" w:type="pct"/>
            <w:tcBorders>
              <w:top w:val="single" w:sz="4" w:space="0" w:color="auto"/>
              <w:left w:val="single" w:sz="4" w:space="0" w:color="auto"/>
              <w:bottom w:val="single" w:sz="4" w:space="0" w:color="auto"/>
              <w:right w:val="single" w:sz="4" w:space="0" w:color="auto"/>
            </w:tcBorders>
          </w:tcPr>
          <w:p w14:paraId="1F5F6442" w14:textId="77777777" w:rsidR="00BE6E1E" w:rsidRPr="00913317" w:rsidRDefault="00BE6E1E" w:rsidP="00D72925">
            <w:pPr>
              <w:tabs>
                <w:tab w:val="clear" w:pos="284"/>
                <w:tab w:val="left" w:pos="360"/>
              </w:tabs>
              <w:jc w:val="center"/>
              <w:rPr>
                <w:szCs w:val="22"/>
                <w:lang w:val="hr-HR"/>
              </w:rPr>
            </w:pPr>
            <w:r w:rsidRPr="00913317">
              <w:rPr>
                <w:szCs w:val="22"/>
                <w:lang w:val="hr-HR"/>
              </w:rPr>
              <w:t>respiratorni distres</w:t>
            </w:r>
            <w:r w:rsidRPr="00913317">
              <w:rPr>
                <w:szCs w:val="22"/>
                <w:vertAlign w:val="superscript"/>
                <w:lang w:val="hr-HR"/>
              </w:rPr>
              <w:t>9</w:t>
            </w:r>
          </w:p>
        </w:tc>
        <w:tc>
          <w:tcPr>
            <w:tcW w:w="858" w:type="pct"/>
            <w:tcBorders>
              <w:top w:val="single" w:sz="4" w:space="0" w:color="auto"/>
              <w:left w:val="single" w:sz="4" w:space="0" w:color="auto"/>
              <w:bottom w:val="single" w:sz="4" w:space="0" w:color="auto"/>
              <w:right w:val="single" w:sz="4" w:space="0" w:color="auto"/>
            </w:tcBorders>
          </w:tcPr>
          <w:p w14:paraId="29960348" w14:textId="77777777" w:rsidR="00BE6E1E" w:rsidRPr="00913317" w:rsidRDefault="00BE6E1E" w:rsidP="00D72925">
            <w:pPr>
              <w:tabs>
                <w:tab w:val="clear" w:pos="284"/>
                <w:tab w:val="left" w:pos="360"/>
              </w:tabs>
              <w:jc w:val="center"/>
              <w:rPr>
                <w:szCs w:val="22"/>
                <w:lang w:val="hr-HR"/>
              </w:rPr>
            </w:pPr>
            <w:r w:rsidRPr="00913317">
              <w:rPr>
                <w:szCs w:val="22"/>
                <w:lang w:val="hr-HR"/>
              </w:rPr>
              <w:t>akutni respiratorni distres sindrom, edem pluća</w:t>
            </w:r>
          </w:p>
        </w:tc>
        <w:tc>
          <w:tcPr>
            <w:tcW w:w="1078" w:type="pct"/>
            <w:tcBorders>
              <w:top w:val="single" w:sz="4" w:space="0" w:color="auto"/>
              <w:left w:val="single" w:sz="4" w:space="0" w:color="auto"/>
              <w:bottom w:val="single" w:sz="4" w:space="0" w:color="auto"/>
              <w:right w:val="single" w:sz="4" w:space="0" w:color="auto"/>
            </w:tcBorders>
          </w:tcPr>
          <w:p w14:paraId="7B08A9AF" w14:textId="77777777" w:rsidR="00BE6E1E" w:rsidRPr="00913317" w:rsidRDefault="00BE6E1E" w:rsidP="00D72925">
            <w:pPr>
              <w:tabs>
                <w:tab w:val="clear" w:pos="284"/>
                <w:tab w:val="left" w:pos="360"/>
              </w:tabs>
              <w:jc w:val="center"/>
              <w:rPr>
                <w:szCs w:val="22"/>
                <w:lang w:val="hr-HR"/>
              </w:rPr>
            </w:pPr>
          </w:p>
        </w:tc>
        <w:tc>
          <w:tcPr>
            <w:tcW w:w="779" w:type="pct"/>
            <w:tcBorders>
              <w:top w:val="single" w:sz="4" w:space="0" w:color="auto"/>
              <w:left w:val="single" w:sz="4" w:space="0" w:color="auto"/>
              <w:bottom w:val="single" w:sz="4" w:space="0" w:color="auto"/>
              <w:right w:val="single" w:sz="4" w:space="0" w:color="auto"/>
            </w:tcBorders>
          </w:tcPr>
          <w:p w14:paraId="16629830"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5F75156B" w14:textId="77777777" w:rsidR="006131C3" w:rsidRPr="00913317" w:rsidRDefault="006131C3" w:rsidP="00D72925">
            <w:pPr>
              <w:tabs>
                <w:tab w:val="clear" w:pos="284"/>
                <w:tab w:val="left" w:pos="360"/>
              </w:tabs>
              <w:jc w:val="center"/>
              <w:rPr>
                <w:szCs w:val="22"/>
                <w:lang w:val="hr-HR"/>
              </w:rPr>
            </w:pPr>
          </w:p>
        </w:tc>
      </w:tr>
      <w:tr w:rsidR="00935053" w:rsidRPr="00913317" w14:paraId="292C6556" w14:textId="77777777" w:rsidTr="004C3A8B">
        <w:trPr>
          <w:trHeight w:val="1400"/>
        </w:trPr>
        <w:tc>
          <w:tcPr>
            <w:tcW w:w="856" w:type="pct"/>
            <w:tcBorders>
              <w:top w:val="single" w:sz="4" w:space="0" w:color="auto"/>
              <w:left w:val="single" w:sz="4" w:space="0" w:color="auto"/>
              <w:bottom w:val="single" w:sz="4" w:space="0" w:color="auto"/>
              <w:right w:val="single" w:sz="4" w:space="0" w:color="auto"/>
            </w:tcBorders>
          </w:tcPr>
          <w:p w14:paraId="5035A589" w14:textId="77777777" w:rsidR="00BE6E1E" w:rsidRPr="00913317" w:rsidRDefault="003256B9" w:rsidP="00D72925">
            <w:pPr>
              <w:tabs>
                <w:tab w:val="clear" w:pos="284"/>
                <w:tab w:val="left" w:pos="360"/>
              </w:tabs>
              <w:ind w:right="62"/>
              <w:rPr>
                <w:szCs w:val="22"/>
                <w:lang w:val="hr-HR"/>
              </w:rPr>
            </w:pPr>
            <w:r w:rsidRPr="00913317">
              <w:rPr>
                <w:spacing w:val="-8"/>
                <w:szCs w:val="22"/>
                <w:lang w:val="hr-HR"/>
              </w:rPr>
              <w:t>Gastrointestinalni</w:t>
            </w:r>
            <w:r w:rsidR="00BE6E1E" w:rsidRPr="00913317">
              <w:rPr>
                <w:szCs w:val="22"/>
                <w:lang w:val="hr-HR"/>
              </w:rPr>
              <w:t xml:space="preserve"> poremećaji</w:t>
            </w:r>
          </w:p>
        </w:tc>
        <w:tc>
          <w:tcPr>
            <w:tcW w:w="787" w:type="pct"/>
            <w:tcBorders>
              <w:top w:val="single" w:sz="4" w:space="0" w:color="auto"/>
              <w:left w:val="single" w:sz="4" w:space="0" w:color="auto"/>
              <w:bottom w:val="single" w:sz="4" w:space="0" w:color="auto"/>
              <w:right w:val="single" w:sz="4" w:space="0" w:color="auto"/>
            </w:tcBorders>
          </w:tcPr>
          <w:p w14:paraId="18FEEED7" w14:textId="0EDB5E0C" w:rsidR="0024139F" w:rsidRPr="00913317" w:rsidRDefault="00BE6E1E" w:rsidP="00D72925">
            <w:pPr>
              <w:tabs>
                <w:tab w:val="clear" w:pos="284"/>
                <w:tab w:val="left" w:pos="360"/>
              </w:tabs>
              <w:jc w:val="center"/>
              <w:rPr>
                <w:szCs w:val="22"/>
                <w:lang w:val="hr-HR"/>
              </w:rPr>
            </w:pPr>
            <w:r w:rsidRPr="00913317">
              <w:rPr>
                <w:szCs w:val="22"/>
                <w:lang w:val="hr-HR"/>
              </w:rPr>
              <w:t xml:space="preserve">dijareja, povraćanje, </w:t>
            </w:r>
            <w:r w:rsidR="002265FC" w:rsidRPr="00913317">
              <w:rPr>
                <w:szCs w:val="22"/>
                <w:lang w:val="hr-HR"/>
              </w:rPr>
              <w:t>abdominalni</w:t>
            </w:r>
            <w:r w:rsidR="00DD7641" w:rsidRPr="00913317">
              <w:rPr>
                <w:szCs w:val="22"/>
                <w:lang w:val="hr-HR"/>
              </w:rPr>
              <w:t xml:space="preserve"> </w:t>
            </w:r>
            <w:r w:rsidRPr="00913317">
              <w:rPr>
                <w:szCs w:val="22"/>
                <w:lang w:val="hr-HR"/>
              </w:rPr>
              <w:t>bol, mučnina</w:t>
            </w:r>
          </w:p>
        </w:tc>
        <w:tc>
          <w:tcPr>
            <w:tcW w:w="858" w:type="pct"/>
            <w:tcBorders>
              <w:top w:val="single" w:sz="4" w:space="0" w:color="auto"/>
              <w:left w:val="single" w:sz="4" w:space="0" w:color="auto"/>
              <w:bottom w:val="single" w:sz="4" w:space="0" w:color="auto"/>
              <w:right w:val="single" w:sz="4" w:space="0" w:color="auto"/>
            </w:tcBorders>
          </w:tcPr>
          <w:p w14:paraId="0F37EBA8" w14:textId="10B3B87F" w:rsidR="00BE6E1E" w:rsidRPr="00913317" w:rsidRDefault="00BE6E1E" w:rsidP="00D72925">
            <w:pPr>
              <w:tabs>
                <w:tab w:val="clear" w:pos="284"/>
                <w:tab w:val="left" w:pos="360"/>
              </w:tabs>
              <w:jc w:val="center"/>
              <w:rPr>
                <w:szCs w:val="22"/>
                <w:lang w:val="hr-HR"/>
              </w:rPr>
            </w:pPr>
            <w:r w:rsidRPr="00913317">
              <w:rPr>
                <w:szCs w:val="22"/>
                <w:lang w:val="hr-HR"/>
              </w:rPr>
              <w:t>heilitis, dispepsija, konstipacija, gingivitis</w:t>
            </w:r>
          </w:p>
        </w:tc>
        <w:tc>
          <w:tcPr>
            <w:tcW w:w="1078" w:type="pct"/>
            <w:tcBorders>
              <w:top w:val="single" w:sz="4" w:space="0" w:color="auto"/>
              <w:left w:val="single" w:sz="4" w:space="0" w:color="auto"/>
              <w:bottom w:val="single" w:sz="4" w:space="0" w:color="auto"/>
              <w:right w:val="single" w:sz="4" w:space="0" w:color="auto"/>
            </w:tcBorders>
          </w:tcPr>
          <w:p w14:paraId="26279FCF" w14:textId="59B99436" w:rsidR="00BE6E1E" w:rsidRPr="00913317" w:rsidRDefault="00BE6E1E" w:rsidP="00D72925">
            <w:pPr>
              <w:tabs>
                <w:tab w:val="clear" w:pos="284"/>
                <w:tab w:val="left" w:pos="360"/>
              </w:tabs>
              <w:jc w:val="center"/>
              <w:rPr>
                <w:szCs w:val="22"/>
                <w:lang w:val="hr-HR"/>
              </w:rPr>
            </w:pPr>
            <w:r w:rsidRPr="00913317">
              <w:rPr>
                <w:szCs w:val="22"/>
                <w:lang w:val="hr-HR"/>
              </w:rPr>
              <w:t>peritonitis, pankreatitis, otok jezika, duodenitis, gastroenteritis, glositis</w:t>
            </w:r>
          </w:p>
        </w:tc>
        <w:tc>
          <w:tcPr>
            <w:tcW w:w="779" w:type="pct"/>
            <w:tcBorders>
              <w:top w:val="single" w:sz="4" w:space="0" w:color="auto"/>
              <w:left w:val="single" w:sz="4" w:space="0" w:color="auto"/>
              <w:bottom w:val="single" w:sz="4" w:space="0" w:color="auto"/>
              <w:right w:val="single" w:sz="4" w:space="0" w:color="auto"/>
            </w:tcBorders>
          </w:tcPr>
          <w:p w14:paraId="592A8377"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4F026012" w14:textId="77777777" w:rsidR="006131C3" w:rsidRPr="00913317" w:rsidRDefault="006131C3" w:rsidP="00D72925">
            <w:pPr>
              <w:tabs>
                <w:tab w:val="clear" w:pos="284"/>
                <w:tab w:val="left" w:pos="360"/>
              </w:tabs>
              <w:jc w:val="center"/>
              <w:rPr>
                <w:szCs w:val="22"/>
                <w:lang w:val="hr-HR"/>
              </w:rPr>
            </w:pPr>
          </w:p>
        </w:tc>
      </w:tr>
      <w:tr w:rsidR="00935053" w:rsidRPr="00913317" w14:paraId="00957047" w14:textId="77777777" w:rsidTr="00723F41">
        <w:trPr>
          <w:trHeight w:val="1107"/>
        </w:trPr>
        <w:tc>
          <w:tcPr>
            <w:tcW w:w="856" w:type="pct"/>
            <w:tcBorders>
              <w:top w:val="single" w:sz="4" w:space="0" w:color="auto"/>
              <w:left w:val="single" w:sz="4" w:space="0" w:color="auto"/>
              <w:bottom w:val="single" w:sz="4" w:space="0" w:color="auto"/>
              <w:right w:val="single" w:sz="4" w:space="0" w:color="auto"/>
            </w:tcBorders>
          </w:tcPr>
          <w:p w14:paraId="27386312" w14:textId="77777777" w:rsidR="00BE6E1E" w:rsidRPr="00913317" w:rsidRDefault="00BE6E1E" w:rsidP="00D72925">
            <w:pPr>
              <w:tabs>
                <w:tab w:val="clear" w:pos="284"/>
                <w:tab w:val="left" w:pos="360"/>
              </w:tabs>
              <w:ind w:right="62"/>
              <w:rPr>
                <w:szCs w:val="22"/>
                <w:lang w:val="hr-HR"/>
              </w:rPr>
            </w:pPr>
            <w:r w:rsidRPr="00913317">
              <w:rPr>
                <w:szCs w:val="22"/>
                <w:lang w:val="hr-HR"/>
              </w:rPr>
              <w:t>Hepatobilijarni poremećaji</w:t>
            </w:r>
          </w:p>
        </w:tc>
        <w:tc>
          <w:tcPr>
            <w:tcW w:w="787" w:type="pct"/>
            <w:tcBorders>
              <w:top w:val="single" w:sz="4" w:space="0" w:color="auto"/>
              <w:left w:val="single" w:sz="4" w:space="0" w:color="auto"/>
              <w:bottom w:val="single" w:sz="4" w:space="0" w:color="auto"/>
              <w:right w:val="single" w:sz="4" w:space="0" w:color="auto"/>
            </w:tcBorders>
          </w:tcPr>
          <w:p w14:paraId="393D6050" w14:textId="1DD57554" w:rsidR="00BE6E1E" w:rsidRPr="00913317" w:rsidRDefault="00BE6E1E" w:rsidP="00D72925">
            <w:pPr>
              <w:tabs>
                <w:tab w:val="clear" w:pos="284"/>
                <w:tab w:val="left" w:pos="360"/>
              </w:tabs>
              <w:jc w:val="center"/>
              <w:rPr>
                <w:szCs w:val="22"/>
                <w:lang w:val="hr-HR"/>
              </w:rPr>
            </w:pPr>
            <w:r w:rsidRPr="00913317">
              <w:rPr>
                <w:szCs w:val="22"/>
                <w:lang w:val="hr-HR"/>
              </w:rPr>
              <w:t>izm</w:t>
            </w:r>
            <w:r w:rsidR="00F76C17" w:rsidRPr="00913317">
              <w:rPr>
                <w:szCs w:val="22"/>
                <w:lang w:val="hr-HR"/>
              </w:rPr>
              <w:t>ij</w:t>
            </w:r>
            <w:r w:rsidRPr="00913317">
              <w:rPr>
                <w:szCs w:val="22"/>
                <w:lang w:val="hr-HR"/>
              </w:rPr>
              <w:t xml:space="preserve">enjene </w:t>
            </w:r>
            <w:r w:rsidR="004D45E7" w:rsidRPr="00913317">
              <w:rPr>
                <w:szCs w:val="22"/>
                <w:lang w:val="hr-HR"/>
              </w:rPr>
              <w:t>vrijedno</w:t>
            </w:r>
            <w:r w:rsidRPr="00913317">
              <w:rPr>
                <w:szCs w:val="22"/>
                <w:lang w:val="hr-HR"/>
              </w:rPr>
              <w:t>sti testova funkcije jetre</w:t>
            </w:r>
          </w:p>
        </w:tc>
        <w:tc>
          <w:tcPr>
            <w:tcW w:w="858" w:type="pct"/>
            <w:tcBorders>
              <w:top w:val="single" w:sz="4" w:space="0" w:color="auto"/>
              <w:left w:val="single" w:sz="4" w:space="0" w:color="auto"/>
              <w:bottom w:val="single" w:sz="4" w:space="0" w:color="auto"/>
              <w:right w:val="single" w:sz="4" w:space="0" w:color="auto"/>
            </w:tcBorders>
          </w:tcPr>
          <w:p w14:paraId="02C4BC35" w14:textId="3F77BEAC" w:rsidR="00BE6E1E" w:rsidRPr="00913317" w:rsidRDefault="00BE6E1E" w:rsidP="00D72925">
            <w:pPr>
              <w:tabs>
                <w:tab w:val="clear" w:pos="284"/>
                <w:tab w:val="left" w:pos="360"/>
              </w:tabs>
              <w:jc w:val="center"/>
              <w:rPr>
                <w:szCs w:val="22"/>
                <w:lang w:val="hr-HR"/>
              </w:rPr>
            </w:pPr>
            <w:r w:rsidRPr="00913317">
              <w:rPr>
                <w:szCs w:val="22"/>
                <w:lang w:val="hr-HR"/>
              </w:rPr>
              <w:t xml:space="preserve">žutica, </w:t>
            </w:r>
            <w:r w:rsidR="00F12304" w:rsidRPr="00913317">
              <w:rPr>
                <w:szCs w:val="22"/>
                <w:lang w:val="hr-HR"/>
              </w:rPr>
              <w:t>holestatska</w:t>
            </w:r>
            <w:r w:rsidRPr="00913317">
              <w:rPr>
                <w:szCs w:val="22"/>
                <w:lang w:val="hr-HR"/>
              </w:rPr>
              <w:t xml:space="preserve"> žutica, hepatitis</w:t>
            </w:r>
            <w:r w:rsidRPr="00913317">
              <w:rPr>
                <w:szCs w:val="22"/>
                <w:vertAlign w:val="superscript"/>
                <w:lang w:val="hr-HR"/>
              </w:rPr>
              <w:t>10</w:t>
            </w:r>
          </w:p>
        </w:tc>
        <w:tc>
          <w:tcPr>
            <w:tcW w:w="1078" w:type="pct"/>
            <w:tcBorders>
              <w:top w:val="single" w:sz="4" w:space="0" w:color="auto"/>
              <w:left w:val="single" w:sz="4" w:space="0" w:color="auto"/>
              <w:bottom w:val="single" w:sz="4" w:space="0" w:color="auto"/>
              <w:right w:val="single" w:sz="4" w:space="0" w:color="auto"/>
            </w:tcBorders>
          </w:tcPr>
          <w:p w14:paraId="5074F59A" w14:textId="77777777" w:rsidR="00BE6E1E" w:rsidRPr="00913317" w:rsidRDefault="00BE6E1E" w:rsidP="00D72925">
            <w:pPr>
              <w:tabs>
                <w:tab w:val="clear" w:pos="284"/>
                <w:tab w:val="left" w:pos="360"/>
              </w:tabs>
              <w:jc w:val="center"/>
              <w:rPr>
                <w:szCs w:val="22"/>
                <w:lang w:val="hr-HR"/>
              </w:rPr>
            </w:pPr>
            <w:r w:rsidRPr="00913317">
              <w:rPr>
                <w:szCs w:val="22"/>
                <w:lang w:val="hr-HR"/>
              </w:rPr>
              <w:t>insuficijencija jetre, hepatomegalija, holecistitis, holelitijaza</w:t>
            </w:r>
          </w:p>
        </w:tc>
        <w:tc>
          <w:tcPr>
            <w:tcW w:w="779" w:type="pct"/>
            <w:tcBorders>
              <w:top w:val="single" w:sz="4" w:space="0" w:color="auto"/>
              <w:left w:val="single" w:sz="4" w:space="0" w:color="auto"/>
              <w:bottom w:val="single" w:sz="4" w:space="0" w:color="auto"/>
              <w:right w:val="single" w:sz="4" w:space="0" w:color="auto"/>
            </w:tcBorders>
          </w:tcPr>
          <w:p w14:paraId="31FEF633"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1D37CBE2" w14:textId="77777777" w:rsidR="006131C3" w:rsidRPr="00913317" w:rsidRDefault="006131C3" w:rsidP="00D72925">
            <w:pPr>
              <w:tabs>
                <w:tab w:val="clear" w:pos="284"/>
                <w:tab w:val="left" w:pos="360"/>
              </w:tabs>
              <w:jc w:val="center"/>
              <w:rPr>
                <w:szCs w:val="22"/>
                <w:lang w:val="hr-HR"/>
              </w:rPr>
            </w:pPr>
          </w:p>
        </w:tc>
      </w:tr>
      <w:tr w:rsidR="00935053" w:rsidRPr="00913317" w14:paraId="5A598399" w14:textId="77777777" w:rsidTr="00723F41">
        <w:trPr>
          <w:trHeight w:val="3122"/>
        </w:trPr>
        <w:tc>
          <w:tcPr>
            <w:tcW w:w="856" w:type="pct"/>
            <w:tcBorders>
              <w:top w:val="single" w:sz="4" w:space="0" w:color="auto"/>
              <w:left w:val="single" w:sz="4" w:space="0" w:color="auto"/>
              <w:bottom w:val="single" w:sz="4" w:space="0" w:color="auto"/>
              <w:right w:val="single" w:sz="4" w:space="0" w:color="auto"/>
            </w:tcBorders>
          </w:tcPr>
          <w:p w14:paraId="0000F8BD" w14:textId="77777777" w:rsidR="00BE6E1E" w:rsidRPr="00913317" w:rsidRDefault="00BE6E1E" w:rsidP="00D72925">
            <w:pPr>
              <w:tabs>
                <w:tab w:val="clear" w:pos="284"/>
                <w:tab w:val="left" w:pos="360"/>
              </w:tabs>
              <w:ind w:right="62"/>
              <w:rPr>
                <w:szCs w:val="22"/>
                <w:lang w:val="hr-HR"/>
              </w:rPr>
            </w:pPr>
            <w:r w:rsidRPr="00913317">
              <w:rPr>
                <w:szCs w:val="22"/>
                <w:lang w:val="hr-HR"/>
              </w:rPr>
              <w:t>Poremećaji kože i potkožnog tkiva</w:t>
            </w:r>
          </w:p>
        </w:tc>
        <w:tc>
          <w:tcPr>
            <w:tcW w:w="787" w:type="pct"/>
            <w:tcBorders>
              <w:top w:val="single" w:sz="4" w:space="0" w:color="auto"/>
              <w:left w:val="single" w:sz="4" w:space="0" w:color="auto"/>
              <w:bottom w:val="single" w:sz="4" w:space="0" w:color="auto"/>
              <w:right w:val="single" w:sz="4" w:space="0" w:color="auto"/>
            </w:tcBorders>
          </w:tcPr>
          <w:p w14:paraId="40530CD4" w14:textId="77777777" w:rsidR="00BE6E1E" w:rsidRPr="00913317" w:rsidRDefault="00BE6E1E" w:rsidP="00D72925">
            <w:pPr>
              <w:jc w:val="center"/>
              <w:rPr>
                <w:szCs w:val="22"/>
                <w:lang w:val="hr-HR"/>
              </w:rPr>
            </w:pPr>
            <w:r w:rsidRPr="00913317">
              <w:rPr>
                <w:szCs w:val="22"/>
                <w:lang w:val="hr-HR"/>
              </w:rPr>
              <w:t>osip</w:t>
            </w:r>
          </w:p>
        </w:tc>
        <w:tc>
          <w:tcPr>
            <w:tcW w:w="858" w:type="pct"/>
            <w:tcBorders>
              <w:top w:val="single" w:sz="4" w:space="0" w:color="auto"/>
              <w:left w:val="single" w:sz="4" w:space="0" w:color="auto"/>
              <w:bottom w:val="single" w:sz="4" w:space="0" w:color="auto"/>
              <w:right w:val="single" w:sz="4" w:space="0" w:color="auto"/>
            </w:tcBorders>
          </w:tcPr>
          <w:p w14:paraId="4D1FFFC3" w14:textId="0955687A" w:rsidR="00BE6E1E" w:rsidRPr="00913317" w:rsidRDefault="00BE6E1E" w:rsidP="00D72925">
            <w:pPr>
              <w:jc w:val="center"/>
              <w:rPr>
                <w:szCs w:val="22"/>
                <w:lang w:val="hr-HR"/>
              </w:rPr>
            </w:pPr>
            <w:r w:rsidRPr="00913317">
              <w:rPr>
                <w:szCs w:val="22"/>
                <w:lang w:val="hr-HR"/>
              </w:rPr>
              <w:t>eksfolijativni dermatitis, alopecija, makulo-papulozni osip, pruritus, eritem</w:t>
            </w:r>
            <w:r w:rsidR="003601CF" w:rsidRPr="00913317">
              <w:rPr>
                <w:szCs w:val="22"/>
                <w:lang w:val="hr-HR"/>
              </w:rPr>
              <w:t>, fototoksičnost**</w:t>
            </w:r>
          </w:p>
        </w:tc>
        <w:tc>
          <w:tcPr>
            <w:tcW w:w="1078" w:type="pct"/>
            <w:tcBorders>
              <w:top w:val="single" w:sz="4" w:space="0" w:color="auto"/>
              <w:left w:val="single" w:sz="4" w:space="0" w:color="auto"/>
              <w:bottom w:val="single" w:sz="4" w:space="0" w:color="auto"/>
              <w:right w:val="single" w:sz="4" w:space="0" w:color="auto"/>
            </w:tcBorders>
          </w:tcPr>
          <w:p w14:paraId="401C5DF7" w14:textId="1A7922CA" w:rsidR="00BE6E1E" w:rsidRPr="00913317" w:rsidRDefault="00BE6E1E" w:rsidP="00D72925">
            <w:pPr>
              <w:tabs>
                <w:tab w:val="clear" w:pos="284"/>
                <w:tab w:val="left" w:pos="360"/>
              </w:tabs>
              <w:jc w:val="center"/>
              <w:rPr>
                <w:szCs w:val="22"/>
                <w:lang w:val="hr-HR"/>
              </w:rPr>
            </w:pPr>
            <w:r w:rsidRPr="00913317">
              <w:rPr>
                <w:i/>
                <w:iCs/>
                <w:szCs w:val="22"/>
                <w:lang w:val="hr-HR"/>
              </w:rPr>
              <w:t>Stevens-Johnson</w:t>
            </w:r>
            <w:r w:rsidRPr="00913317">
              <w:rPr>
                <w:szCs w:val="22"/>
                <w:lang w:val="hr-HR"/>
              </w:rPr>
              <w:t>-ov sindrom</w:t>
            </w:r>
            <w:r w:rsidR="006B4951" w:rsidRPr="00913317">
              <w:rPr>
                <w:szCs w:val="22"/>
                <w:vertAlign w:val="superscript"/>
                <w:lang w:val="hr-HR"/>
              </w:rPr>
              <w:t>8</w:t>
            </w:r>
            <w:r w:rsidRPr="00913317">
              <w:rPr>
                <w:szCs w:val="22"/>
                <w:lang w:val="hr-HR"/>
              </w:rPr>
              <w:t>, purpura, urtikarija, alergijski dermatitis, papulozni osip, makulozni osip, ekcem</w:t>
            </w:r>
          </w:p>
        </w:tc>
        <w:tc>
          <w:tcPr>
            <w:tcW w:w="779" w:type="pct"/>
            <w:tcBorders>
              <w:top w:val="single" w:sz="4" w:space="0" w:color="auto"/>
              <w:left w:val="single" w:sz="4" w:space="0" w:color="auto"/>
              <w:bottom w:val="single" w:sz="4" w:space="0" w:color="auto"/>
              <w:right w:val="single" w:sz="4" w:space="0" w:color="auto"/>
            </w:tcBorders>
          </w:tcPr>
          <w:p w14:paraId="1B4DA107" w14:textId="5C1903D0" w:rsidR="00BE6E1E" w:rsidRPr="00913317" w:rsidRDefault="00BE6E1E" w:rsidP="00D72925">
            <w:pPr>
              <w:tabs>
                <w:tab w:val="clear" w:pos="284"/>
                <w:tab w:val="left" w:pos="360"/>
              </w:tabs>
              <w:jc w:val="center"/>
              <w:rPr>
                <w:szCs w:val="22"/>
                <w:lang w:val="hr-HR"/>
              </w:rPr>
            </w:pPr>
            <w:r w:rsidRPr="00913317">
              <w:rPr>
                <w:szCs w:val="22"/>
                <w:lang w:val="hr-HR"/>
              </w:rPr>
              <w:t>toksična epidermalna nekroliza</w:t>
            </w:r>
            <w:r w:rsidR="00DD7641" w:rsidRPr="00913317">
              <w:rPr>
                <w:szCs w:val="22"/>
                <w:vertAlign w:val="superscript"/>
                <w:lang w:val="hr-HR"/>
              </w:rPr>
              <w:t>8</w:t>
            </w:r>
            <w:r w:rsidRPr="00913317">
              <w:rPr>
                <w:szCs w:val="22"/>
                <w:lang w:val="hr-HR"/>
              </w:rPr>
              <w:t xml:space="preserve">, </w:t>
            </w:r>
            <w:r w:rsidR="00C472C3" w:rsidRPr="00913317">
              <w:rPr>
                <w:szCs w:val="22"/>
                <w:lang w:val="hr-HR"/>
              </w:rPr>
              <w:t>reakcija na lijek sa eozinofilijom i sistemskim simptomima (DRESS)</w:t>
            </w:r>
            <w:r w:rsidR="00C472C3" w:rsidRPr="00913317">
              <w:rPr>
                <w:szCs w:val="22"/>
                <w:vertAlign w:val="superscript"/>
                <w:lang w:val="hr-HR"/>
              </w:rPr>
              <w:t>8</w:t>
            </w:r>
            <w:r w:rsidR="00C472C3" w:rsidRPr="00913317">
              <w:rPr>
                <w:szCs w:val="22"/>
                <w:lang w:val="hr-HR"/>
              </w:rPr>
              <w:t xml:space="preserve">, </w:t>
            </w:r>
            <w:r w:rsidRPr="00913317">
              <w:rPr>
                <w:szCs w:val="22"/>
                <w:lang w:val="hr-HR"/>
              </w:rPr>
              <w:t xml:space="preserve">angioedem, aktinička keratoza*, pseudoporfirija, </w:t>
            </w:r>
            <w:r w:rsidRPr="00913317">
              <w:rPr>
                <w:iCs/>
                <w:szCs w:val="22"/>
                <w:lang w:val="hr-HR"/>
              </w:rPr>
              <w:t>erythema multiforme,</w:t>
            </w:r>
            <w:r w:rsidRPr="00913317">
              <w:rPr>
                <w:szCs w:val="22"/>
                <w:lang w:val="hr-HR"/>
              </w:rPr>
              <w:t xml:space="preserve"> psorijaza, </w:t>
            </w:r>
            <w:r w:rsidRPr="00913317">
              <w:rPr>
                <w:szCs w:val="22"/>
                <w:lang w:val="hr-HR"/>
              </w:rPr>
              <w:br/>
              <w:t xml:space="preserve">erupcija na koži izazvana </w:t>
            </w:r>
            <w:r w:rsidR="004D45E7" w:rsidRPr="00913317">
              <w:rPr>
                <w:szCs w:val="22"/>
                <w:lang w:val="hr-HR"/>
              </w:rPr>
              <w:t>lijek</w:t>
            </w:r>
            <w:r w:rsidRPr="00913317">
              <w:rPr>
                <w:szCs w:val="22"/>
                <w:lang w:val="hr-HR"/>
              </w:rPr>
              <w:t>om</w:t>
            </w:r>
          </w:p>
        </w:tc>
        <w:tc>
          <w:tcPr>
            <w:tcW w:w="643" w:type="pct"/>
            <w:tcBorders>
              <w:top w:val="single" w:sz="4" w:space="0" w:color="auto"/>
              <w:left w:val="single" w:sz="4" w:space="0" w:color="auto"/>
              <w:bottom w:val="single" w:sz="4" w:space="0" w:color="auto"/>
              <w:right w:val="single" w:sz="4" w:space="0" w:color="auto"/>
            </w:tcBorders>
          </w:tcPr>
          <w:p w14:paraId="0C274A49" w14:textId="2AB3FAE7" w:rsidR="00BE6E1E" w:rsidRPr="00913317" w:rsidRDefault="00BE6E1E" w:rsidP="00D72925">
            <w:pPr>
              <w:tabs>
                <w:tab w:val="clear" w:pos="284"/>
                <w:tab w:val="left" w:pos="360"/>
              </w:tabs>
              <w:jc w:val="center"/>
              <w:rPr>
                <w:szCs w:val="22"/>
                <w:lang w:val="hr-HR"/>
              </w:rPr>
            </w:pPr>
            <w:r w:rsidRPr="00913317">
              <w:rPr>
                <w:spacing w:val="-6"/>
                <w:szCs w:val="22"/>
                <w:lang w:val="hr-HR"/>
              </w:rPr>
              <w:t>kožni lupus eritematozus*,</w:t>
            </w:r>
            <w:r w:rsidRPr="00913317">
              <w:rPr>
                <w:szCs w:val="22"/>
                <w:lang w:val="hr-HR"/>
              </w:rPr>
              <w:t xml:space="preserve"> p</w:t>
            </w:r>
            <w:r w:rsidR="004D4534" w:rsidRPr="00913317">
              <w:rPr>
                <w:szCs w:val="22"/>
                <w:lang w:val="hr-HR"/>
              </w:rPr>
              <w:t>j</w:t>
            </w:r>
            <w:r w:rsidRPr="00913317">
              <w:rPr>
                <w:szCs w:val="22"/>
                <w:lang w:val="hr-HR"/>
              </w:rPr>
              <w:t>ege*, lentigo*</w:t>
            </w:r>
          </w:p>
        </w:tc>
      </w:tr>
      <w:tr w:rsidR="00935053" w:rsidRPr="00913317" w14:paraId="582C3EC9" w14:textId="77777777" w:rsidTr="00723F41">
        <w:tc>
          <w:tcPr>
            <w:tcW w:w="856" w:type="pct"/>
            <w:tcBorders>
              <w:top w:val="single" w:sz="4" w:space="0" w:color="auto"/>
              <w:left w:val="single" w:sz="4" w:space="0" w:color="auto"/>
              <w:bottom w:val="single" w:sz="4" w:space="0" w:color="auto"/>
              <w:right w:val="single" w:sz="4" w:space="0" w:color="auto"/>
            </w:tcBorders>
          </w:tcPr>
          <w:p w14:paraId="371A5D73" w14:textId="77777777" w:rsidR="00BE6E1E" w:rsidRPr="00913317" w:rsidRDefault="00BE6E1E" w:rsidP="00D72925">
            <w:pPr>
              <w:tabs>
                <w:tab w:val="clear" w:pos="284"/>
                <w:tab w:val="left" w:pos="360"/>
              </w:tabs>
              <w:ind w:right="62"/>
              <w:rPr>
                <w:szCs w:val="22"/>
                <w:lang w:val="hr-HR"/>
              </w:rPr>
            </w:pPr>
            <w:r w:rsidRPr="00913317">
              <w:rPr>
                <w:szCs w:val="22"/>
                <w:lang w:val="hr-HR"/>
              </w:rPr>
              <w:t>Poremećaji mišićno-</w:t>
            </w:r>
            <w:r w:rsidR="00060651" w:rsidRPr="00913317">
              <w:rPr>
                <w:szCs w:val="22"/>
                <w:lang w:val="hr-HR"/>
              </w:rPr>
              <w:t xml:space="preserve"> koštanog </w:t>
            </w:r>
            <w:r w:rsidR="00E3429B" w:rsidRPr="00913317">
              <w:rPr>
                <w:szCs w:val="22"/>
                <w:lang w:val="hr-HR"/>
              </w:rPr>
              <w:t>s</w:t>
            </w:r>
            <w:r w:rsidR="00060651" w:rsidRPr="00913317">
              <w:rPr>
                <w:szCs w:val="22"/>
                <w:lang w:val="hr-HR"/>
              </w:rPr>
              <w:t xml:space="preserve">istema i </w:t>
            </w:r>
            <w:r w:rsidRPr="00913317">
              <w:rPr>
                <w:szCs w:val="22"/>
                <w:lang w:val="hr-HR"/>
              </w:rPr>
              <w:t>vezivnog</w:t>
            </w:r>
            <w:r w:rsidR="00060651" w:rsidRPr="00913317">
              <w:rPr>
                <w:szCs w:val="22"/>
                <w:lang w:val="hr-HR"/>
              </w:rPr>
              <w:t xml:space="preserve"> </w:t>
            </w:r>
            <w:r w:rsidRPr="00913317">
              <w:rPr>
                <w:szCs w:val="22"/>
                <w:lang w:val="hr-HR"/>
              </w:rPr>
              <w:t>tkiva</w:t>
            </w:r>
          </w:p>
        </w:tc>
        <w:tc>
          <w:tcPr>
            <w:tcW w:w="787" w:type="pct"/>
            <w:tcBorders>
              <w:top w:val="single" w:sz="4" w:space="0" w:color="auto"/>
              <w:left w:val="single" w:sz="4" w:space="0" w:color="auto"/>
              <w:bottom w:val="single" w:sz="4" w:space="0" w:color="auto"/>
              <w:right w:val="single" w:sz="4" w:space="0" w:color="auto"/>
            </w:tcBorders>
          </w:tcPr>
          <w:p w14:paraId="097FC897"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063F0B19" w14:textId="77777777" w:rsidR="00BE6E1E" w:rsidRPr="00913317" w:rsidRDefault="00BE6E1E" w:rsidP="00D72925">
            <w:pPr>
              <w:tabs>
                <w:tab w:val="clear" w:pos="284"/>
                <w:tab w:val="left" w:pos="360"/>
              </w:tabs>
              <w:jc w:val="center"/>
              <w:rPr>
                <w:szCs w:val="22"/>
                <w:lang w:val="hr-HR"/>
              </w:rPr>
            </w:pPr>
            <w:r w:rsidRPr="00913317">
              <w:rPr>
                <w:szCs w:val="22"/>
                <w:lang w:val="hr-HR"/>
              </w:rPr>
              <w:t>bol u leđima</w:t>
            </w:r>
          </w:p>
        </w:tc>
        <w:tc>
          <w:tcPr>
            <w:tcW w:w="1078" w:type="pct"/>
            <w:tcBorders>
              <w:top w:val="single" w:sz="4" w:space="0" w:color="auto"/>
              <w:left w:val="single" w:sz="4" w:space="0" w:color="auto"/>
              <w:bottom w:val="single" w:sz="4" w:space="0" w:color="auto"/>
              <w:right w:val="single" w:sz="4" w:space="0" w:color="auto"/>
            </w:tcBorders>
          </w:tcPr>
          <w:p w14:paraId="3B996113" w14:textId="724D706F" w:rsidR="00BE6E1E" w:rsidRPr="00913317" w:rsidRDefault="003601CF" w:rsidP="00D72925">
            <w:pPr>
              <w:tabs>
                <w:tab w:val="clear" w:pos="284"/>
                <w:tab w:val="left" w:pos="360"/>
              </w:tabs>
              <w:jc w:val="center"/>
              <w:rPr>
                <w:szCs w:val="22"/>
                <w:lang w:val="hr-HR"/>
              </w:rPr>
            </w:pPr>
            <w:r w:rsidRPr="00913317">
              <w:rPr>
                <w:szCs w:val="22"/>
                <w:lang w:val="hr-HR"/>
              </w:rPr>
              <w:t>A</w:t>
            </w:r>
            <w:r w:rsidR="00BE6E1E" w:rsidRPr="00913317">
              <w:rPr>
                <w:szCs w:val="22"/>
                <w:lang w:val="hr-HR"/>
              </w:rPr>
              <w:t>rtritis</w:t>
            </w:r>
            <w:r w:rsidRPr="00913317">
              <w:rPr>
                <w:szCs w:val="22"/>
                <w:lang w:val="hr-HR"/>
              </w:rPr>
              <w:t>, periostitis</w:t>
            </w:r>
            <w:r w:rsidR="00AF4C10" w:rsidRPr="00913317">
              <w:rPr>
                <w:szCs w:val="22"/>
                <w:lang w:val="hr-HR"/>
              </w:rPr>
              <w:t>*,</w:t>
            </w:r>
            <w:r w:rsidRPr="00913317">
              <w:rPr>
                <w:szCs w:val="22"/>
                <w:lang w:val="hr-HR"/>
              </w:rPr>
              <w:t>**</w:t>
            </w:r>
          </w:p>
        </w:tc>
        <w:tc>
          <w:tcPr>
            <w:tcW w:w="779" w:type="pct"/>
            <w:tcBorders>
              <w:top w:val="single" w:sz="4" w:space="0" w:color="auto"/>
              <w:left w:val="single" w:sz="4" w:space="0" w:color="auto"/>
              <w:bottom w:val="single" w:sz="4" w:space="0" w:color="auto"/>
              <w:right w:val="single" w:sz="4" w:space="0" w:color="auto"/>
            </w:tcBorders>
          </w:tcPr>
          <w:p w14:paraId="062DE914"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2A534935" w14:textId="34386FB5" w:rsidR="006131C3" w:rsidRPr="00913317" w:rsidRDefault="006131C3" w:rsidP="00D72925">
            <w:pPr>
              <w:tabs>
                <w:tab w:val="clear" w:pos="284"/>
                <w:tab w:val="left" w:pos="360"/>
              </w:tabs>
              <w:jc w:val="center"/>
              <w:rPr>
                <w:szCs w:val="22"/>
                <w:lang w:val="hr-HR"/>
              </w:rPr>
            </w:pPr>
          </w:p>
        </w:tc>
      </w:tr>
      <w:tr w:rsidR="00935053" w:rsidRPr="00913317" w14:paraId="03A6954C" w14:textId="77777777" w:rsidTr="00723F41">
        <w:tc>
          <w:tcPr>
            <w:tcW w:w="856" w:type="pct"/>
            <w:tcBorders>
              <w:top w:val="single" w:sz="4" w:space="0" w:color="auto"/>
              <w:left w:val="single" w:sz="4" w:space="0" w:color="auto"/>
              <w:bottom w:val="single" w:sz="4" w:space="0" w:color="auto"/>
              <w:right w:val="single" w:sz="4" w:space="0" w:color="auto"/>
            </w:tcBorders>
          </w:tcPr>
          <w:p w14:paraId="34717844" w14:textId="77777777" w:rsidR="00BE6E1E" w:rsidRPr="00913317" w:rsidRDefault="00BE6E1E" w:rsidP="00D72925">
            <w:pPr>
              <w:tabs>
                <w:tab w:val="clear" w:pos="284"/>
                <w:tab w:val="center" w:pos="4536"/>
                <w:tab w:val="right" w:pos="9072"/>
              </w:tabs>
              <w:ind w:right="62"/>
              <w:rPr>
                <w:szCs w:val="22"/>
                <w:lang w:val="hr-HR"/>
              </w:rPr>
            </w:pPr>
            <w:r w:rsidRPr="00913317">
              <w:rPr>
                <w:szCs w:val="22"/>
                <w:lang w:val="hr-HR"/>
              </w:rPr>
              <w:t>Poremećaji bubrega i urinarnog sistema</w:t>
            </w:r>
          </w:p>
        </w:tc>
        <w:tc>
          <w:tcPr>
            <w:tcW w:w="787" w:type="pct"/>
            <w:tcBorders>
              <w:top w:val="single" w:sz="4" w:space="0" w:color="auto"/>
              <w:left w:val="single" w:sz="4" w:space="0" w:color="auto"/>
              <w:bottom w:val="single" w:sz="4" w:space="0" w:color="auto"/>
              <w:right w:val="single" w:sz="4" w:space="0" w:color="auto"/>
            </w:tcBorders>
          </w:tcPr>
          <w:p w14:paraId="001F9AFB"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57892D3B" w14:textId="77777777" w:rsidR="00BE6E1E" w:rsidRPr="00913317" w:rsidRDefault="00BE6E1E" w:rsidP="00D72925">
            <w:pPr>
              <w:tabs>
                <w:tab w:val="clear" w:pos="284"/>
                <w:tab w:val="left" w:pos="360"/>
              </w:tabs>
              <w:jc w:val="center"/>
              <w:rPr>
                <w:szCs w:val="22"/>
                <w:lang w:val="hr-HR"/>
              </w:rPr>
            </w:pPr>
            <w:r w:rsidRPr="00913317">
              <w:rPr>
                <w:szCs w:val="22"/>
                <w:lang w:val="hr-HR"/>
              </w:rPr>
              <w:t>akutna renalna insuficijencija, hematurija</w:t>
            </w:r>
          </w:p>
        </w:tc>
        <w:tc>
          <w:tcPr>
            <w:tcW w:w="1078" w:type="pct"/>
            <w:tcBorders>
              <w:top w:val="single" w:sz="4" w:space="0" w:color="auto"/>
              <w:left w:val="single" w:sz="4" w:space="0" w:color="auto"/>
              <w:bottom w:val="single" w:sz="4" w:space="0" w:color="auto"/>
              <w:right w:val="single" w:sz="4" w:space="0" w:color="auto"/>
            </w:tcBorders>
          </w:tcPr>
          <w:p w14:paraId="7820DE13" w14:textId="07C9408D" w:rsidR="00BE6E1E" w:rsidRPr="00913317" w:rsidRDefault="00BE6E1E" w:rsidP="00D72925">
            <w:pPr>
              <w:tabs>
                <w:tab w:val="clear" w:pos="284"/>
                <w:tab w:val="left" w:pos="360"/>
              </w:tabs>
              <w:jc w:val="center"/>
              <w:rPr>
                <w:szCs w:val="22"/>
                <w:lang w:val="hr-HR"/>
              </w:rPr>
            </w:pPr>
            <w:r w:rsidRPr="00913317">
              <w:rPr>
                <w:szCs w:val="22"/>
                <w:lang w:val="hr-HR"/>
              </w:rPr>
              <w:t>renalna tubularna nekroza, proteinurija, nefritis</w:t>
            </w:r>
          </w:p>
        </w:tc>
        <w:tc>
          <w:tcPr>
            <w:tcW w:w="779" w:type="pct"/>
            <w:tcBorders>
              <w:top w:val="single" w:sz="4" w:space="0" w:color="auto"/>
              <w:left w:val="single" w:sz="4" w:space="0" w:color="auto"/>
              <w:bottom w:val="single" w:sz="4" w:space="0" w:color="auto"/>
              <w:right w:val="single" w:sz="4" w:space="0" w:color="auto"/>
            </w:tcBorders>
          </w:tcPr>
          <w:p w14:paraId="1FF48926"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033E2F3B" w14:textId="77777777" w:rsidR="006131C3" w:rsidRPr="00913317" w:rsidRDefault="006131C3" w:rsidP="00D72925">
            <w:pPr>
              <w:tabs>
                <w:tab w:val="clear" w:pos="284"/>
                <w:tab w:val="left" w:pos="360"/>
              </w:tabs>
              <w:jc w:val="center"/>
              <w:rPr>
                <w:szCs w:val="22"/>
                <w:lang w:val="hr-HR"/>
              </w:rPr>
            </w:pPr>
          </w:p>
        </w:tc>
      </w:tr>
      <w:tr w:rsidR="00935053" w:rsidRPr="0054718D" w14:paraId="78BEFD03" w14:textId="77777777" w:rsidTr="00723F41">
        <w:trPr>
          <w:trHeight w:val="1118"/>
        </w:trPr>
        <w:tc>
          <w:tcPr>
            <w:tcW w:w="856" w:type="pct"/>
            <w:tcBorders>
              <w:top w:val="single" w:sz="4" w:space="0" w:color="auto"/>
              <w:left w:val="single" w:sz="4" w:space="0" w:color="auto"/>
              <w:bottom w:val="single" w:sz="4" w:space="0" w:color="auto"/>
              <w:right w:val="single" w:sz="4" w:space="0" w:color="auto"/>
            </w:tcBorders>
          </w:tcPr>
          <w:p w14:paraId="28BA3431" w14:textId="3234DCC7" w:rsidR="00BE6E1E" w:rsidRPr="00913317" w:rsidRDefault="00BE6E1E" w:rsidP="00D72925">
            <w:pPr>
              <w:tabs>
                <w:tab w:val="clear" w:pos="284"/>
                <w:tab w:val="left" w:pos="360"/>
              </w:tabs>
              <w:ind w:right="62"/>
              <w:rPr>
                <w:szCs w:val="22"/>
                <w:lang w:val="hr-HR"/>
              </w:rPr>
            </w:pPr>
            <w:r w:rsidRPr="00913317">
              <w:rPr>
                <w:szCs w:val="22"/>
                <w:lang w:val="hr-HR"/>
              </w:rPr>
              <w:lastRenderedPageBreak/>
              <w:t>Opšti poremećaji i reakcije na m</w:t>
            </w:r>
            <w:r w:rsidR="00F76C17" w:rsidRPr="00913317">
              <w:rPr>
                <w:szCs w:val="22"/>
                <w:lang w:val="hr-HR"/>
              </w:rPr>
              <w:t>j</w:t>
            </w:r>
            <w:r w:rsidRPr="00913317">
              <w:rPr>
                <w:szCs w:val="22"/>
                <w:lang w:val="hr-HR"/>
              </w:rPr>
              <w:t xml:space="preserve">estu </w:t>
            </w:r>
            <w:r w:rsidR="004D45E7" w:rsidRPr="00913317">
              <w:rPr>
                <w:szCs w:val="22"/>
                <w:lang w:val="hr-HR"/>
              </w:rPr>
              <w:t>primjen</w:t>
            </w:r>
            <w:r w:rsidRPr="00913317">
              <w:rPr>
                <w:szCs w:val="22"/>
                <w:lang w:val="hr-HR"/>
              </w:rPr>
              <w:t>e</w:t>
            </w:r>
          </w:p>
        </w:tc>
        <w:tc>
          <w:tcPr>
            <w:tcW w:w="787" w:type="pct"/>
            <w:tcBorders>
              <w:top w:val="single" w:sz="4" w:space="0" w:color="auto"/>
              <w:left w:val="single" w:sz="4" w:space="0" w:color="auto"/>
              <w:bottom w:val="single" w:sz="4" w:space="0" w:color="auto"/>
              <w:right w:val="single" w:sz="4" w:space="0" w:color="auto"/>
            </w:tcBorders>
          </w:tcPr>
          <w:p w14:paraId="2F019C20" w14:textId="4EBE0424" w:rsidR="00BE6E1E" w:rsidRPr="00913317" w:rsidRDefault="00BE6E1E" w:rsidP="00D72925">
            <w:pPr>
              <w:jc w:val="center"/>
              <w:rPr>
                <w:szCs w:val="22"/>
                <w:lang w:val="hr-HR"/>
              </w:rPr>
            </w:pPr>
            <w:r w:rsidRPr="00913317">
              <w:rPr>
                <w:szCs w:val="22"/>
                <w:lang w:val="hr-HR"/>
              </w:rPr>
              <w:t>pireksija</w:t>
            </w:r>
          </w:p>
        </w:tc>
        <w:tc>
          <w:tcPr>
            <w:tcW w:w="858" w:type="pct"/>
            <w:tcBorders>
              <w:top w:val="single" w:sz="4" w:space="0" w:color="auto"/>
              <w:left w:val="single" w:sz="4" w:space="0" w:color="auto"/>
              <w:bottom w:val="single" w:sz="4" w:space="0" w:color="auto"/>
              <w:right w:val="single" w:sz="4" w:space="0" w:color="auto"/>
            </w:tcBorders>
          </w:tcPr>
          <w:p w14:paraId="0BA90A14" w14:textId="7AB73E48" w:rsidR="00BE6E1E" w:rsidRPr="00913317" w:rsidRDefault="00BE6E1E" w:rsidP="00D72925">
            <w:pPr>
              <w:tabs>
                <w:tab w:val="clear" w:pos="284"/>
                <w:tab w:val="left" w:pos="360"/>
              </w:tabs>
              <w:jc w:val="center"/>
              <w:rPr>
                <w:szCs w:val="22"/>
                <w:lang w:val="hr-HR"/>
              </w:rPr>
            </w:pPr>
            <w:r w:rsidRPr="00913317">
              <w:rPr>
                <w:szCs w:val="22"/>
                <w:lang w:val="hr-HR"/>
              </w:rPr>
              <w:t>bol u grudima, otok lica</w:t>
            </w:r>
            <w:r w:rsidRPr="00913317">
              <w:rPr>
                <w:szCs w:val="22"/>
                <w:vertAlign w:val="superscript"/>
                <w:lang w:val="hr-HR"/>
              </w:rPr>
              <w:t>11</w:t>
            </w:r>
            <w:r w:rsidRPr="00913317">
              <w:rPr>
                <w:szCs w:val="22"/>
                <w:lang w:val="hr-HR"/>
              </w:rPr>
              <w:t>, astenija, drhtavica</w:t>
            </w:r>
          </w:p>
        </w:tc>
        <w:tc>
          <w:tcPr>
            <w:tcW w:w="1078" w:type="pct"/>
            <w:tcBorders>
              <w:top w:val="single" w:sz="4" w:space="0" w:color="auto"/>
              <w:left w:val="single" w:sz="4" w:space="0" w:color="auto"/>
              <w:bottom w:val="single" w:sz="4" w:space="0" w:color="auto"/>
              <w:right w:val="single" w:sz="4" w:space="0" w:color="auto"/>
            </w:tcBorders>
          </w:tcPr>
          <w:p w14:paraId="31496D55" w14:textId="5289ABB8" w:rsidR="00BE6E1E" w:rsidRPr="00913317" w:rsidRDefault="00BE6E1E" w:rsidP="00D72925">
            <w:pPr>
              <w:tabs>
                <w:tab w:val="clear" w:pos="284"/>
                <w:tab w:val="left" w:pos="360"/>
              </w:tabs>
              <w:jc w:val="center"/>
              <w:rPr>
                <w:szCs w:val="22"/>
                <w:lang w:val="hr-HR"/>
              </w:rPr>
            </w:pPr>
            <w:r w:rsidRPr="00913317">
              <w:rPr>
                <w:szCs w:val="22"/>
                <w:lang w:val="hr-HR"/>
              </w:rPr>
              <w:t>reakcije na m</w:t>
            </w:r>
            <w:r w:rsidR="00735CBF" w:rsidRPr="00913317">
              <w:rPr>
                <w:szCs w:val="22"/>
                <w:lang w:val="hr-HR"/>
              </w:rPr>
              <w:t>j</w:t>
            </w:r>
            <w:r w:rsidRPr="00913317">
              <w:rPr>
                <w:szCs w:val="22"/>
                <w:lang w:val="hr-HR"/>
              </w:rPr>
              <w:t xml:space="preserve">estu </w:t>
            </w:r>
            <w:r w:rsidR="004D45E7" w:rsidRPr="00913317">
              <w:rPr>
                <w:szCs w:val="22"/>
                <w:lang w:val="hr-HR"/>
              </w:rPr>
              <w:t>primjen</w:t>
            </w:r>
            <w:r w:rsidRPr="00913317">
              <w:rPr>
                <w:szCs w:val="22"/>
                <w:lang w:val="hr-HR"/>
              </w:rPr>
              <w:t>e infuzije, stanje slično gripu</w:t>
            </w:r>
          </w:p>
        </w:tc>
        <w:tc>
          <w:tcPr>
            <w:tcW w:w="779" w:type="pct"/>
            <w:tcBorders>
              <w:top w:val="single" w:sz="4" w:space="0" w:color="auto"/>
              <w:left w:val="single" w:sz="4" w:space="0" w:color="auto"/>
              <w:bottom w:val="single" w:sz="4" w:space="0" w:color="auto"/>
              <w:right w:val="single" w:sz="4" w:space="0" w:color="auto"/>
            </w:tcBorders>
          </w:tcPr>
          <w:p w14:paraId="68F413D8"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76AA279F" w14:textId="77777777" w:rsidR="006131C3" w:rsidRPr="00913317" w:rsidRDefault="006131C3" w:rsidP="00D72925">
            <w:pPr>
              <w:tabs>
                <w:tab w:val="clear" w:pos="284"/>
                <w:tab w:val="left" w:pos="360"/>
              </w:tabs>
              <w:jc w:val="center"/>
              <w:rPr>
                <w:szCs w:val="22"/>
                <w:lang w:val="hr-HR"/>
              </w:rPr>
            </w:pPr>
          </w:p>
        </w:tc>
      </w:tr>
      <w:tr w:rsidR="00935053" w:rsidRPr="0054718D" w14:paraId="157C2EBD" w14:textId="77777777" w:rsidTr="00723F41">
        <w:trPr>
          <w:trHeight w:val="836"/>
        </w:trPr>
        <w:tc>
          <w:tcPr>
            <w:tcW w:w="856" w:type="pct"/>
            <w:tcBorders>
              <w:top w:val="single" w:sz="4" w:space="0" w:color="auto"/>
              <w:left w:val="single" w:sz="4" w:space="0" w:color="auto"/>
              <w:bottom w:val="single" w:sz="4" w:space="0" w:color="auto"/>
              <w:right w:val="single" w:sz="4" w:space="0" w:color="auto"/>
            </w:tcBorders>
          </w:tcPr>
          <w:p w14:paraId="51FD5ED7" w14:textId="77777777" w:rsidR="00BE6E1E" w:rsidRPr="00913317" w:rsidRDefault="00060651" w:rsidP="00D72925">
            <w:pPr>
              <w:tabs>
                <w:tab w:val="clear" w:pos="284"/>
                <w:tab w:val="left" w:pos="360"/>
              </w:tabs>
              <w:ind w:right="62"/>
              <w:rPr>
                <w:szCs w:val="22"/>
                <w:lang w:val="hr-HR"/>
              </w:rPr>
            </w:pPr>
            <w:r w:rsidRPr="00913317">
              <w:rPr>
                <w:szCs w:val="22"/>
                <w:lang w:val="hr-HR"/>
              </w:rPr>
              <w:t>I</w:t>
            </w:r>
            <w:r w:rsidR="00BE6E1E" w:rsidRPr="00913317">
              <w:rPr>
                <w:szCs w:val="22"/>
                <w:lang w:val="hr-HR"/>
              </w:rPr>
              <w:t>spitivanja</w:t>
            </w:r>
          </w:p>
        </w:tc>
        <w:tc>
          <w:tcPr>
            <w:tcW w:w="787" w:type="pct"/>
            <w:tcBorders>
              <w:top w:val="single" w:sz="4" w:space="0" w:color="auto"/>
              <w:left w:val="single" w:sz="4" w:space="0" w:color="auto"/>
              <w:bottom w:val="single" w:sz="4" w:space="0" w:color="auto"/>
              <w:right w:val="single" w:sz="4" w:space="0" w:color="auto"/>
            </w:tcBorders>
          </w:tcPr>
          <w:p w14:paraId="002C369A" w14:textId="77777777" w:rsidR="00BE6E1E" w:rsidRPr="00913317" w:rsidRDefault="00BE6E1E" w:rsidP="00D72925">
            <w:pPr>
              <w:tabs>
                <w:tab w:val="clear" w:pos="284"/>
                <w:tab w:val="left" w:pos="360"/>
              </w:tabs>
              <w:jc w:val="center"/>
              <w:rPr>
                <w:szCs w:val="22"/>
                <w:lang w:val="hr-HR"/>
              </w:rPr>
            </w:pPr>
          </w:p>
        </w:tc>
        <w:tc>
          <w:tcPr>
            <w:tcW w:w="858" w:type="pct"/>
            <w:tcBorders>
              <w:top w:val="single" w:sz="4" w:space="0" w:color="auto"/>
              <w:left w:val="single" w:sz="4" w:space="0" w:color="auto"/>
              <w:bottom w:val="single" w:sz="4" w:space="0" w:color="auto"/>
              <w:right w:val="single" w:sz="4" w:space="0" w:color="auto"/>
            </w:tcBorders>
          </w:tcPr>
          <w:p w14:paraId="3B3752EA" w14:textId="0C9E04BD" w:rsidR="00BE6E1E" w:rsidRPr="00913317" w:rsidRDefault="002265FC" w:rsidP="00D72925">
            <w:pPr>
              <w:jc w:val="center"/>
              <w:rPr>
                <w:szCs w:val="22"/>
                <w:lang w:val="hr-HR"/>
              </w:rPr>
            </w:pPr>
            <w:r w:rsidRPr="00913317">
              <w:rPr>
                <w:szCs w:val="22"/>
                <w:lang w:val="hr-HR"/>
              </w:rPr>
              <w:t>p</w:t>
            </w:r>
            <w:r w:rsidR="00BE6E1E" w:rsidRPr="00913317">
              <w:rPr>
                <w:szCs w:val="22"/>
                <w:lang w:val="hr-HR"/>
              </w:rPr>
              <w:t>ovećan</w:t>
            </w:r>
            <w:r w:rsidRPr="00913317">
              <w:rPr>
                <w:szCs w:val="22"/>
                <w:lang w:val="hr-HR"/>
              </w:rPr>
              <w:t xml:space="preserve">e </w:t>
            </w:r>
            <w:r w:rsidR="004D45E7" w:rsidRPr="00913317">
              <w:rPr>
                <w:szCs w:val="22"/>
                <w:lang w:val="hr-HR"/>
              </w:rPr>
              <w:t>vrijedno</w:t>
            </w:r>
            <w:r w:rsidRPr="00913317">
              <w:rPr>
                <w:szCs w:val="22"/>
                <w:lang w:val="hr-HR"/>
              </w:rPr>
              <w:t>sti</w:t>
            </w:r>
            <w:r w:rsidR="00BE6E1E" w:rsidRPr="00913317">
              <w:rPr>
                <w:szCs w:val="22"/>
                <w:lang w:val="hr-HR"/>
              </w:rPr>
              <w:t xml:space="preserve"> kreatinin</w:t>
            </w:r>
            <w:r w:rsidRPr="00913317">
              <w:rPr>
                <w:szCs w:val="22"/>
                <w:lang w:val="hr-HR"/>
              </w:rPr>
              <w:t>a</w:t>
            </w:r>
            <w:r w:rsidR="00BE6E1E" w:rsidRPr="00913317">
              <w:rPr>
                <w:szCs w:val="22"/>
                <w:lang w:val="hr-HR"/>
              </w:rPr>
              <w:t xml:space="preserve"> u krvi</w:t>
            </w:r>
          </w:p>
        </w:tc>
        <w:tc>
          <w:tcPr>
            <w:tcW w:w="1078" w:type="pct"/>
            <w:tcBorders>
              <w:top w:val="single" w:sz="4" w:space="0" w:color="auto"/>
              <w:left w:val="single" w:sz="4" w:space="0" w:color="auto"/>
              <w:bottom w:val="single" w:sz="4" w:space="0" w:color="auto"/>
              <w:right w:val="single" w:sz="4" w:space="0" w:color="auto"/>
            </w:tcBorders>
          </w:tcPr>
          <w:p w14:paraId="5474B1DA" w14:textId="1F371850" w:rsidR="0024139F" w:rsidRPr="00913317" w:rsidRDefault="00243D75" w:rsidP="00D72925">
            <w:pPr>
              <w:tabs>
                <w:tab w:val="clear" w:pos="284"/>
                <w:tab w:val="left" w:pos="360"/>
              </w:tabs>
              <w:jc w:val="center"/>
              <w:rPr>
                <w:szCs w:val="22"/>
                <w:lang w:val="hr-HR"/>
              </w:rPr>
            </w:pPr>
            <w:r w:rsidRPr="00913317">
              <w:rPr>
                <w:szCs w:val="22"/>
                <w:lang w:val="hr-HR"/>
              </w:rPr>
              <w:t>p</w:t>
            </w:r>
            <w:r w:rsidR="00BE6E1E" w:rsidRPr="00913317">
              <w:rPr>
                <w:szCs w:val="22"/>
                <w:lang w:val="hr-HR"/>
              </w:rPr>
              <w:t>ovećan</w:t>
            </w:r>
            <w:r w:rsidR="002265FC" w:rsidRPr="00913317">
              <w:rPr>
                <w:szCs w:val="22"/>
                <w:lang w:val="hr-HR"/>
              </w:rPr>
              <w:t xml:space="preserve">e </w:t>
            </w:r>
            <w:r w:rsidR="004D45E7" w:rsidRPr="00913317">
              <w:rPr>
                <w:szCs w:val="22"/>
                <w:lang w:val="hr-HR"/>
              </w:rPr>
              <w:t>vrijedno</w:t>
            </w:r>
            <w:r w:rsidR="002265FC" w:rsidRPr="00913317">
              <w:rPr>
                <w:szCs w:val="22"/>
                <w:lang w:val="hr-HR"/>
              </w:rPr>
              <w:t xml:space="preserve">sti </w:t>
            </w:r>
            <w:r w:rsidR="00BE6E1E" w:rsidRPr="00913317">
              <w:rPr>
                <w:szCs w:val="22"/>
                <w:lang w:val="hr-HR"/>
              </w:rPr>
              <w:t xml:space="preserve"> ur</w:t>
            </w:r>
            <w:r w:rsidR="002265FC" w:rsidRPr="00913317">
              <w:rPr>
                <w:szCs w:val="22"/>
                <w:lang w:val="hr-HR"/>
              </w:rPr>
              <w:t>ee</w:t>
            </w:r>
            <w:r w:rsidR="00BE6E1E" w:rsidRPr="00913317">
              <w:rPr>
                <w:szCs w:val="22"/>
                <w:lang w:val="hr-HR"/>
              </w:rPr>
              <w:t xml:space="preserve"> u krvi, povećan</w:t>
            </w:r>
            <w:r w:rsidR="002265FC" w:rsidRPr="00913317">
              <w:rPr>
                <w:szCs w:val="22"/>
                <w:lang w:val="hr-HR"/>
              </w:rPr>
              <w:t xml:space="preserve">e </w:t>
            </w:r>
            <w:r w:rsidR="004D45E7" w:rsidRPr="00913317">
              <w:rPr>
                <w:szCs w:val="22"/>
                <w:lang w:val="hr-HR"/>
              </w:rPr>
              <w:t>vrijedno</w:t>
            </w:r>
            <w:r w:rsidR="002265FC" w:rsidRPr="00913317">
              <w:rPr>
                <w:szCs w:val="22"/>
                <w:lang w:val="hr-HR"/>
              </w:rPr>
              <w:t>sti</w:t>
            </w:r>
            <w:r w:rsidR="00BE6E1E" w:rsidRPr="00913317">
              <w:rPr>
                <w:szCs w:val="22"/>
                <w:lang w:val="hr-HR"/>
              </w:rPr>
              <w:t xml:space="preserve"> holesterol</w:t>
            </w:r>
            <w:r w:rsidR="002265FC" w:rsidRPr="00913317">
              <w:rPr>
                <w:szCs w:val="22"/>
                <w:lang w:val="hr-HR"/>
              </w:rPr>
              <w:t>a</w:t>
            </w:r>
            <w:r w:rsidR="00BE6E1E" w:rsidRPr="00913317">
              <w:rPr>
                <w:szCs w:val="22"/>
                <w:lang w:val="hr-HR"/>
              </w:rPr>
              <w:t xml:space="preserve"> u krvi</w:t>
            </w:r>
          </w:p>
        </w:tc>
        <w:tc>
          <w:tcPr>
            <w:tcW w:w="779" w:type="pct"/>
            <w:tcBorders>
              <w:top w:val="single" w:sz="4" w:space="0" w:color="auto"/>
              <w:left w:val="single" w:sz="4" w:space="0" w:color="auto"/>
              <w:bottom w:val="single" w:sz="4" w:space="0" w:color="auto"/>
              <w:right w:val="single" w:sz="4" w:space="0" w:color="auto"/>
            </w:tcBorders>
          </w:tcPr>
          <w:p w14:paraId="1BD7CE11" w14:textId="77777777" w:rsidR="006131C3" w:rsidRPr="00913317" w:rsidRDefault="006131C3" w:rsidP="00D72925">
            <w:pPr>
              <w:tabs>
                <w:tab w:val="clear" w:pos="284"/>
                <w:tab w:val="left" w:pos="360"/>
              </w:tabs>
              <w:jc w:val="center"/>
              <w:rPr>
                <w:szCs w:val="22"/>
                <w:lang w:val="hr-HR"/>
              </w:rPr>
            </w:pPr>
          </w:p>
        </w:tc>
        <w:tc>
          <w:tcPr>
            <w:tcW w:w="643" w:type="pct"/>
            <w:tcBorders>
              <w:top w:val="single" w:sz="4" w:space="0" w:color="auto"/>
              <w:left w:val="single" w:sz="4" w:space="0" w:color="auto"/>
              <w:bottom w:val="single" w:sz="4" w:space="0" w:color="auto"/>
              <w:right w:val="single" w:sz="4" w:space="0" w:color="auto"/>
            </w:tcBorders>
          </w:tcPr>
          <w:p w14:paraId="41091BCC" w14:textId="77777777" w:rsidR="006131C3" w:rsidRPr="00913317" w:rsidRDefault="006131C3" w:rsidP="00D72925">
            <w:pPr>
              <w:tabs>
                <w:tab w:val="clear" w:pos="284"/>
                <w:tab w:val="left" w:pos="360"/>
              </w:tabs>
              <w:jc w:val="center"/>
              <w:rPr>
                <w:szCs w:val="22"/>
                <w:lang w:val="hr-HR"/>
              </w:rPr>
            </w:pPr>
          </w:p>
        </w:tc>
      </w:tr>
    </w:tbl>
    <w:p w14:paraId="5819C307" w14:textId="62DD4D49" w:rsidR="006131C3" w:rsidRPr="0054718D" w:rsidRDefault="00BE6E1E" w:rsidP="00D72925">
      <w:pPr>
        <w:rPr>
          <w:sz w:val="20"/>
          <w:szCs w:val="22"/>
          <w:lang w:val="hr-HR"/>
        </w:rPr>
      </w:pPr>
      <w:r w:rsidRPr="0054718D">
        <w:rPr>
          <w:sz w:val="20"/>
          <w:szCs w:val="22"/>
          <w:lang w:val="hr-HR"/>
        </w:rPr>
        <w:t>*</w:t>
      </w:r>
      <w:r w:rsidR="00C472C3" w:rsidRPr="0054718D">
        <w:rPr>
          <w:sz w:val="20"/>
          <w:szCs w:val="22"/>
          <w:lang w:val="hr-HR"/>
        </w:rPr>
        <w:t xml:space="preserve"> </w:t>
      </w:r>
      <w:r w:rsidRPr="0054718D">
        <w:rPr>
          <w:sz w:val="20"/>
          <w:szCs w:val="22"/>
          <w:lang w:val="hr-HR"/>
        </w:rPr>
        <w:t xml:space="preserve">Neželjene reakcije identifikovane nakon stavljanja </w:t>
      </w:r>
      <w:r w:rsidR="004D45E7" w:rsidRPr="0054718D">
        <w:rPr>
          <w:sz w:val="20"/>
          <w:szCs w:val="22"/>
          <w:lang w:val="hr-HR"/>
        </w:rPr>
        <w:t>lijek</w:t>
      </w:r>
      <w:r w:rsidRPr="0054718D">
        <w:rPr>
          <w:sz w:val="20"/>
          <w:szCs w:val="22"/>
          <w:lang w:val="hr-HR"/>
        </w:rPr>
        <w:t>a u promet</w:t>
      </w:r>
    </w:p>
    <w:p w14:paraId="247591EB" w14:textId="2B4590EA" w:rsidR="00AF4C10" w:rsidRPr="0054718D" w:rsidRDefault="00AF4C10" w:rsidP="00D72925">
      <w:pPr>
        <w:rPr>
          <w:sz w:val="20"/>
          <w:szCs w:val="22"/>
          <w:lang w:val="hr-HR"/>
        </w:rPr>
      </w:pPr>
      <w:r w:rsidRPr="0054718D">
        <w:rPr>
          <w:sz w:val="20"/>
          <w:szCs w:val="22"/>
          <w:lang w:val="hr-HR"/>
        </w:rPr>
        <w:t xml:space="preserve">** </w:t>
      </w:r>
      <w:r w:rsidR="0055313B" w:rsidRPr="0054718D">
        <w:rPr>
          <w:sz w:val="20"/>
          <w:szCs w:val="22"/>
          <w:lang w:val="sr-Latn-CS"/>
        </w:rPr>
        <w:t>Kategorija učestalosti je zasnovana na opservacionoj studiji koja koristi podatke iz stvarnog svijeta iz sekundarnih izvora podataka u Švedskoj</w:t>
      </w:r>
    </w:p>
    <w:p w14:paraId="6F5BD07C" w14:textId="5EEAD08B" w:rsidR="006131C3" w:rsidRPr="0054718D" w:rsidRDefault="00BE6E1E" w:rsidP="00D72925">
      <w:pPr>
        <w:rPr>
          <w:sz w:val="20"/>
          <w:szCs w:val="22"/>
          <w:lang w:val="hr-HR"/>
        </w:rPr>
      </w:pPr>
      <w:r w:rsidRPr="0054718D">
        <w:rPr>
          <w:sz w:val="20"/>
          <w:szCs w:val="22"/>
          <w:vertAlign w:val="superscript"/>
          <w:lang w:val="hr-HR"/>
        </w:rPr>
        <w:t>1</w:t>
      </w:r>
      <w:r w:rsidR="00C472C3" w:rsidRPr="0054718D">
        <w:rPr>
          <w:sz w:val="20"/>
          <w:szCs w:val="22"/>
          <w:lang w:val="hr-HR"/>
        </w:rPr>
        <w:t xml:space="preserve"> </w:t>
      </w:r>
      <w:r w:rsidRPr="0054718D">
        <w:rPr>
          <w:sz w:val="20"/>
          <w:szCs w:val="22"/>
          <w:lang w:val="hr-HR"/>
        </w:rPr>
        <w:t>Uključujući febrilnu neutropeniju i neutropeniju</w:t>
      </w:r>
      <w:r w:rsidR="00C472C3" w:rsidRPr="0054718D">
        <w:rPr>
          <w:sz w:val="20"/>
          <w:szCs w:val="22"/>
          <w:lang w:val="hr-HR"/>
        </w:rPr>
        <w:t>.</w:t>
      </w:r>
    </w:p>
    <w:p w14:paraId="305A294C" w14:textId="714F5B54" w:rsidR="006131C3" w:rsidRPr="0054718D" w:rsidRDefault="00BE6E1E" w:rsidP="00D72925">
      <w:pPr>
        <w:rPr>
          <w:sz w:val="20"/>
          <w:szCs w:val="22"/>
          <w:lang w:val="hr-HR"/>
        </w:rPr>
      </w:pPr>
      <w:r w:rsidRPr="0054718D">
        <w:rPr>
          <w:sz w:val="20"/>
          <w:szCs w:val="22"/>
          <w:vertAlign w:val="superscript"/>
          <w:lang w:val="hr-HR"/>
        </w:rPr>
        <w:t>2</w:t>
      </w:r>
      <w:r w:rsidR="00C472C3" w:rsidRPr="0054718D">
        <w:rPr>
          <w:sz w:val="20"/>
          <w:szCs w:val="22"/>
          <w:lang w:val="hr-HR"/>
        </w:rPr>
        <w:t xml:space="preserve"> </w:t>
      </w:r>
      <w:r w:rsidRPr="0054718D">
        <w:rPr>
          <w:sz w:val="20"/>
          <w:szCs w:val="22"/>
          <w:lang w:val="hr-HR"/>
        </w:rPr>
        <w:t>Uključujući imun</w:t>
      </w:r>
      <w:r w:rsidR="007B2604" w:rsidRPr="0054718D">
        <w:rPr>
          <w:sz w:val="20"/>
          <w:szCs w:val="22"/>
          <w:lang w:val="hr-HR"/>
        </w:rPr>
        <w:t>sku</w:t>
      </w:r>
      <w:r w:rsidRPr="0054718D">
        <w:rPr>
          <w:sz w:val="20"/>
          <w:szCs w:val="22"/>
          <w:lang w:val="hr-HR"/>
        </w:rPr>
        <w:t xml:space="preserve"> trombocitopenijsku purpuru</w:t>
      </w:r>
      <w:r w:rsidR="00C472C3" w:rsidRPr="0054718D">
        <w:rPr>
          <w:sz w:val="20"/>
          <w:szCs w:val="22"/>
          <w:lang w:val="hr-HR"/>
        </w:rPr>
        <w:t>.</w:t>
      </w:r>
    </w:p>
    <w:p w14:paraId="0DEF1304" w14:textId="0C6FA8DE" w:rsidR="006131C3" w:rsidRPr="0054718D" w:rsidRDefault="00BE6E1E" w:rsidP="00D72925">
      <w:pPr>
        <w:rPr>
          <w:sz w:val="20"/>
          <w:szCs w:val="22"/>
          <w:lang w:val="hr-HR"/>
        </w:rPr>
      </w:pPr>
      <w:r w:rsidRPr="0054718D">
        <w:rPr>
          <w:sz w:val="20"/>
          <w:szCs w:val="22"/>
          <w:vertAlign w:val="superscript"/>
          <w:lang w:val="hr-HR"/>
        </w:rPr>
        <w:t>3</w:t>
      </w:r>
      <w:r w:rsidR="00C472C3" w:rsidRPr="0054718D">
        <w:rPr>
          <w:sz w:val="20"/>
          <w:szCs w:val="22"/>
          <w:lang w:val="hr-HR"/>
        </w:rPr>
        <w:t xml:space="preserve"> </w:t>
      </w:r>
      <w:r w:rsidRPr="0054718D">
        <w:rPr>
          <w:sz w:val="20"/>
          <w:szCs w:val="22"/>
          <w:lang w:val="hr-HR"/>
        </w:rPr>
        <w:t>Uključujući potiljačnu ukočenost i tetaniju</w:t>
      </w:r>
      <w:r w:rsidR="00C472C3" w:rsidRPr="0054718D">
        <w:rPr>
          <w:sz w:val="20"/>
          <w:szCs w:val="22"/>
          <w:lang w:val="hr-HR"/>
        </w:rPr>
        <w:t>.</w:t>
      </w:r>
    </w:p>
    <w:p w14:paraId="27B94218" w14:textId="32AE1029" w:rsidR="006131C3" w:rsidRPr="0054718D" w:rsidRDefault="00BE6E1E" w:rsidP="00D72925">
      <w:pPr>
        <w:rPr>
          <w:sz w:val="20"/>
          <w:szCs w:val="22"/>
          <w:lang w:val="hr-HR"/>
        </w:rPr>
      </w:pPr>
      <w:r w:rsidRPr="0054718D">
        <w:rPr>
          <w:sz w:val="20"/>
          <w:szCs w:val="22"/>
          <w:vertAlign w:val="superscript"/>
          <w:lang w:val="hr-HR"/>
        </w:rPr>
        <w:t>4</w:t>
      </w:r>
      <w:r w:rsidR="00C472C3" w:rsidRPr="0054718D">
        <w:rPr>
          <w:sz w:val="20"/>
          <w:szCs w:val="22"/>
          <w:lang w:val="hr-HR"/>
        </w:rPr>
        <w:t xml:space="preserve"> </w:t>
      </w:r>
      <w:r w:rsidRPr="0054718D">
        <w:rPr>
          <w:sz w:val="20"/>
          <w:szCs w:val="22"/>
          <w:lang w:val="hr-HR"/>
        </w:rPr>
        <w:t>Uključujući hipoksijsko-ishemijsku encefalopatiju i metaboličku encefalopatiju</w:t>
      </w:r>
      <w:r w:rsidR="00C472C3" w:rsidRPr="0054718D">
        <w:rPr>
          <w:sz w:val="20"/>
          <w:szCs w:val="22"/>
          <w:lang w:val="hr-HR"/>
        </w:rPr>
        <w:t>-</w:t>
      </w:r>
    </w:p>
    <w:p w14:paraId="09294AB2" w14:textId="5AAEC19F" w:rsidR="006131C3" w:rsidRPr="0054718D" w:rsidRDefault="00BE6E1E" w:rsidP="00D72925">
      <w:pPr>
        <w:rPr>
          <w:sz w:val="20"/>
          <w:szCs w:val="22"/>
          <w:lang w:val="hr-HR"/>
        </w:rPr>
      </w:pPr>
      <w:r w:rsidRPr="0054718D">
        <w:rPr>
          <w:sz w:val="20"/>
          <w:szCs w:val="22"/>
          <w:vertAlign w:val="superscript"/>
          <w:lang w:val="hr-HR"/>
        </w:rPr>
        <w:t>5</w:t>
      </w:r>
      <w:r w:rsidR="00C472C3" w:rsidRPr="0054718D">
        <w:rPr>
          <w:sz w:val="20"/>
          <w:szCs w:val="22"/>
          <w:lang w:val="hr-HR"/>
        </w:rPr>
        <w:t xml:space="preserve"> </w:t>
      </w:r>
      <w:r w:rsidRPr="0054718D">
        <w:rPr>
          <w:sz w:val="20"/>
          <w:szCs w:val="22"/>
          <w:lang w:val="hr-HR"/>
        </w:rPr>
        <w:t>Uključujući akatiziju i parkinsonizam</w:t>
      </w:r>
      <w:r w:rsidR="00C472C3" w:rsidRPr="0054718D">
        <w:rPr>
          <w:sz w:val="20"/>
          <w:szCs w:val="22"/>
          <w:lang w:val="hr-HR"/>
        </w:rPr>
        <w:t>.</w:t>
      </w:r>
    </w:p>
    <w:p w14:paraId="10233614" w14:textId="62864C3C" w:rsidR="006131C3" w:rsidRPr="0054718D" w:rsidRDefault="00BE6E1E" w:rsidP="00D72925">
      <w:pPr>
        <w:rPr>
          <w:sz w:val="20"/>
          <w:szCs w:val="22"/>
          <w:lang w:val="hr-HR"/>
        </w:rPr>
      </w:pPr>
      <w:r w:rsidRPr="0054718D">
        <w:rPr>
          <w:sz w:val="20"/>
          <w:szCs w:val="22"/>
          <w:vertAlign w:val="superscript"/>
          <w:lang w:val="hr-HR"/>
        </w:rPr>
        <w:t>6</w:t>
      </w:r>
      <w:r w:rsidR="00C472C3" w:rsidRPr="0054718D">
        <w:rPr>
          <w:sz w:val="20"/>
          <w:szCs w:val="22"/>
          <w:lang w:val="hr-HR"/>
        </w:rPr>
        <w:t xml:space="preserve"> </w:t>
      </w:r>
      <w:r w:rsidRPr="0054718D">
        <w:rPr>
          <w:sz w:val="20"/>
          <w:szCs w:val="22"/>
          <w:lang w:val="hr-HR"/>
        </w:rPr>
        <w:t>Vid</w:t>
      </w:r>
      <w:r w:rsidR="00F76C17" w:rsidRPr="0054718D">
        <w:rPr>
          <w:sz w:val="20"/>
          <w:szCs w:val="22"/>
          <w:lang w:val="hr-HR"/>
        </w:rPr>
        <w:t>j</w:t>
      </w:r>
      <w:r w:rsidRPr="0054718D">
        <w:rPr>
          <w:sz w:val="20"/>
          <w:szCs w:val="22"/>
          <w:lang w:val="hr-HR"/>
        </w:rPr>
        <w:t xml:space="preserve">eti </w:t>
      </w:r>
      <w:r w:rsidR="007B2604" w:rsidRPr="0054718D">
        <w:rPr>
          <w:sz w:val="20"/>
          <w:szCs w:val="22"/>
          <w:lang w:val="hr-HR"/>
        </w:rPr>
        <w:t>d</w:t>
      </w:r>
      <w:r w:rsidR="00F76C17" w:rsidRPr="0054718D">
        <w:rPr>
          <w:sz w:val="20"/>
          <w:szCs w:val="22"/>
          <w:lang w:val="hr-HR"/>
        </w:rPr>
        <w:t>i</w:t>
      </w:r>
      <w:r w:rsidR="007B2604" w:rsidRPr="0054718D">
        <w:rPr>
          <w:sz w:val="20"/>
          <w:szCs w:val="22"/>
          <w:lang w:val="hr-HR"/>
        </w:rPr>
        <w:t>o</w:t>
      </w:r>
      <w:r w:rsidRPr="0054718D">
        <w:rPr>
          <w:sz w:val="20"/>
          <w:szCs w:val="22"/>
          <w:lang w:val="hr-HR"/>
        </w:rPr>
        <w:t xml:space="preserve"> </w:t>
      </w:r>
      <w:r w:rsidR="003C18A0" w:rsidRPr="0054718D">
        <w:rPr>
          <w:sz w:val="20"/>
          <w:szCs w:val="22"/>
          <w:lang w:val="hr-HR"/>
        </w:rPr>
        <w:t>„</w:t>
      </w:r>
      <w:r w:rsidRPr="0054718D">
        <w:rPr>
          <w:sz w:val="20"/>
          <w:szCs w:val="22"/>
          <w:lang w:val="hr-HR"/>
        </w:rPr>
        <w:t>Oštećenje vida</w:t>
      </w:r>
      <w:r w:rsidR="003C18A0" w:rsidRPr="0054718D">
        <w:rPr>
          <w:sz w:val="20"/>
          <w:szCs w:val="22"/>
          <w:lang w:val="hr-HR"/>
        </w:rPr>
        <w:t xml:space="preserve">“ </w:t>
      </w:r>
      <w:r w:rsidRPr="0054718D">
        <w:rPr>
          <w:sz w:val="20"/>
          <w:szCs w:val="22"/>
          <w:lang w:val="hr-HR"/>
        </w:rPr>
        <w:t xml:space="preserve">u </w:t>
      </w:r>
      <w:r w:rsidR="004D4534" w:rsidRPr="0054718D">
        <w:rPr>
          <w:sz w:val="20"/>
          <w:szCs w:val="22"/>
          <w:lang w:val="hr-HR"/>
        </w:rPr>
        <w:t xml:space="preserve">dijelu </w:t>
      </w:r>
      <w:r w:rsidRPr="0054718D">
        <w:rPr>
          <w:sz w:val="20"/>
          <w:szCs w:val="22"/>
          <w:lang w:val="hr-HR"/>
        </w:rPr>
        <w:t>4.8</w:t>
      </w:r>
      <w:r w:rsidR="00C472C3" w:rsidRPr="0054718D">
        <w:rPr>
          <w:sz w:val="20"/>
          <w:szCs w:val="22"/>
          <w:lang w:val="hr-HR"/>
        </w:rPr>
        <w:t>.</w:t>
      </w:r>
    </w:p>
    <w:p w14:paraId="31DE6593" w14:textId="5527762F" w:rsidR="006131C3" w:rsidRPr="0054718D" w:rsidRDefault="00BE6E1E" w:rsidP="00D72925">
      <w:pPr>
        <w:rPr>
          <w:sz w:val="20"/>
          <w:szCs w:val="22"/>
          <w:lang w:val="hr-HR"/>
        </w:rPr>
      </w:pPr>
      <w:r w:rsidRPr="0054718D">
        <w:rPr>
          <w:sz w:val="20"/>
          <w:szCs w:val="22"/>
          <w:vertAlign w:val="superscript"/>
          <w:lang w:val="hr-HR"/>
        </w:rPr>
        <w:t>7</w:t>
      </w:r>
      <w:r w:rsidR="00C472C3" w:rsidRPr="0054718D">
        <w:rPr>
          <w:sz w:val="20"/>
          <w:szCs w:val="22"/>
          <w:lang w:val="hr-HR"/>
        </w:rPr>
        <w:t xml:space="preserve"> </w:t>
      </w:r>
      <w:r w:rsidRPr="0054718D">
        <w:rPr>
          <w:sz w:val="20"/>
          <w:szCs w:val="22"/>
          <w:lang w:val="hr-HR"/>
        </w:rPr>
        <w:t xml:space="preserve">Produženi optički neuritis je </w:t>
      </w:r>
      <w:r w:rsidR="007B2604" w:rsidRPr="0054718D">
        <w:rPr>
          <w:sz w:val="20"/>
          <w:szCs w:val="22"/>
          <w:lang w:val="hr-HR"/>
        </w:rPr>
        <w:t xml:space="preserve">prijavljen nakon stavljanja </w:t>
      </w:r>
      <w:r w:rsidR="004D45E7" w:rsidRPr="0054718D">
        <w:rPr>
          <w:sz w:val="20"/>
          <w:szCs w:val="22"/>
          <w:lang w:val="hr-HR"/>
        </w:rPr>
        <w:t>lijek</w:t>
      </w:r>
      <w:r w:rsidR="007B2604" w:rsidRPr="0054718D">
        <w:rPr>
          <w:sz w:val="20"/>
          <w:szCs w:val="22"/>
          <w:lang w:val="hr-HR"/>
        </w:rPr>
        <w:t>a u promet</w:t>
      </w:r>
      <w:r w:rsidR="00C472C3" w:rsidRPr="0054718D">
        <w:rPr>
          <w:sz w:val="20"/>
          <w:szCs w:val="22"/>
          <w:lang w:val="hr-HR"/>
        </w:rPr>
        <w:t>.</w:t>
      </w:r>
      <w:r w:rsidRPr="0054718D">
        <w:rPr>
          <w:sz w:val="20"/>
          <w:szCs w:val="22"/>
          <w:lang w:val="hr-HR"/>
        </w:rPr>
        <w:t xml:space="preserve"> </w:t>
      </w:r>
      <w:r w:rsidR="00C472C3" w:rsidRPr="0054718D">
        <w:rPr>
          <w:sz w:val="20"/>
          <w:szCs w:val="22"/>
          <w:lang w:val="hr-HR"/>
        </w:rPr>
        <w:t>V</w:t>
      </w:r>
      <w:r w:rsidR="004D45E7" w:rsidRPr="0054718D">
        <w:rPr>
          <w:sz w:val="20"/>
          <w:szCs w:val="22"/>
          <w:lang w:val="hr-HR"/>
        </w:rPr>
        <w:t xml:space="preserve">idjeti </w:t>
      </w:r>
      <w:r w:rsidR="00954637" w:rsidRPr="0054718D">
        <w:rPr>
          <w:sz w:val="20"/>
          <w:szCs w:val="22"/>
          <w:lang w:val="hr-HR"/>
        </w:rPr>
        <w:t xml:space="preserve">dio </w:t>
      </w:r>
      <w:r w:rsidRPr="0054718D">
        <w:rPr>
          <w:sz w:val="20"/>
          <w:szCs w:val="22"/>
          <w:lang w:val="hr-HR"/>
        </w:rPr>
        <w:t>4.4</w:t>
      </w:r>
      <w:r w:rsidR="00C472C3" w:rsidRPr="0054718D">
        <w:rPr>
          <w:sz w:val="20"/>
          <w:szCs w:val="22"/>
          <w:lang w:val="hr-HR"/>
        </w:rPr>
        <w:t>.</w:t>
      </w:r>
    </w:p>
    <w:p w14:paraId="3BEB76BE" w14:textId="65EDC17D" w:rsidR="006131C3" w:rsidRPr="0054718D" w:rsidRDefault="00BE6E1E" w:rsidP="00D72925">
      <w:pPr>
        <w:rPr>
          <w:sz w:val="20"/>
          <w:szCs w:val="22"/>
          <w:lang w:val="hr-HR"/>
        </w:rPr>
      </w:pPr>
      <w:r w:rsidRPr="0054718D">
        <w:rPr>
          <w:sz w:val="20"/>
          <w:szCs w:val="22"/>
          <w:vertAlign w:val="superscript"/>
          <w:lang w:val="hr-HR"/>
        </w:rPr>
        <w:t>8</w:t>
      </w:r>
      <w:r w:rsidR="00C472C3" w:rsidRPr="0054718D">
        <w:rPr>
          <w:sz w:val="20"/>
          <w:szCs w:val="22"/>
          <w:lang w:val="hr-HR"/>
        </w:rPr>
        <w:t xml:space="preserve"> </w:t>
      </w:r>
      <w:r w:rsidR="004D45E7" w:rsidRPr="0054718D">
        <w:rPr>
          <w:sz w:val="20"/>
          <w:szCs w:val="22"/>
          <w:lang w:val="hr-HR"/>
        </w:rPr>
        <w:t xml:space="preserve">Vidjeti </w:t>
      </w:r>
      <w:r w:rsidR="00954637" w:rsidRPr="0054718D">
        <w:rPr>
          <w:sz w:val="20"/>
          <w:szCs w:val="22"/>
          <w:lang w:val="hr-HR"/>
        </w:rPr>
        <w:t>dio</w:t>
      </w:r>
      <w:r w:rsidRPr="0054718D">
        <w:rPr>
          <w:sz w:val="20"/>
          <w:szCs w:val="22"/>
          <w:lang w:val="hr-HR"/>
        </w:rPr>
        <w:t xml:space="preserve"> 4.4</w:t>
      </w:r>
      <w:r w:rsidR="00C472C3" w:rsidRPr="0054718D">
        <w:rPr>
          <w:sz w:val="20"/>
          <w:szCs w:val="22"/>
          <w:lang w:val="hr-HR"/>
        </w:rPr>
        <w:t>.</w:t>
      </w:r>
    </w:p>
    <w:p w14:paraId="533735A8" w14:textId="56F7EABB" w:rsidR="006131C3" w:rsidRPr="0054718D" w:rsidRDefault="00BE6E1E" w:rsidP="00D72925">
      <w:pPr>
        <w:rPr>
          <w:sz w:val="20"/>
          <w:szCs w:val="22"/>
          <w:lang w:val="hr-HR"/>
        </w:rPr>
      </w:pPr>
      <w:r w:rsidRPr="0054718D">
        <w:rPr>
          <w:sz w:val="20"/>
          <w:szCs w:val="22"/>
          <w:vertAlign w:val="superscript"/>
          <w:lang w:val="hr-HR"/>
        </w:rPr>
        <w:t>9</w:t>
      </w:r>
      <w:r w:rsidR="00C472C3" w:rsidRPr="0054718D">
        <w:rPr>
          <w:sz w:val="20"/>
          <w:szCs w:val="22"/>
          <w:lang w:val="hr-HR"/>
        </w:rPr>
        <w:t xml:space="preserve"> </w:t>
      </w:r>
      <w:r w:rsidRPr="0054718D">
        <w:rPr>
          <w:sz w:val="20"/>
          <w:szCs w:val="22"/>
          <w:lang w:val="hr-HR"/>
        </w:rPr>
        <w:t>Uključujući dispneju i dispneju pri naporu</w:t>
      </w:r>
      <w:r w:rsidR="00C472C3" w:rsidRPr="0054718D">
        <w:rPr>
          <w:sz w:val="20"/>
          <w:szCs w:val="22"/>
          <w:lang w:val="hr-HR"/>
        </w:rPr>
        <w:t>.</w:t>
      </w:r>
    </w:p>
    <w:p w14:paraId="081257AF" w14:textId="6D24BF22" w:rsidR="006131C3" w:rsidRPr="0054718D" w:rsidRDefault="00BE6E1E" w:rsidP="00D72925">
      <w:pPr>
        <w:ind w:left="284" w:hanging="284"/>
        <w:rPr>
          <w:sz w:val="20"/>
          <w:szCs w:val="22"/>
          <w:lang w:val="hr-HR"/>
        </w:rPr>
      </w:pPr>
      <w:r w:rsidRPr="0054718D">
        <w:rPr>
          <w:sz w:val="20"/>
          <w:szCs w:val="22"/>
          <w:vertAlign w:val="superscript"/>
          <w:lang w:val="hr-HR"/>
        </w:rPr>
        <w:t>10</w:t>
      </w:r>
      <w:r w:rsidRPr="0054718D">
        <w:rPr>
          <w:sz w:val="20"/>
          <w:szCs w:val="22"/>
          <w:lang w:val="hr-HR"/>
        </w:rPr>
        <w:t xml:space="preserve">Uključujući oštećenje jetre izazvano </w:t>
      </w:r>
      <w:r w:rsidR="004D45E7" w:rsidRPr="0054718D">
        <w:rPr>
          <w:sz w:val="20"/>
          <w:szCs w:val="22"/>
          <w:lang w:val="hr-HR"/>
        </w:rPr>
        <w:t>lijek</w:t>
      </w:r>
      <w:r w:rsidRPr="0054718D">
        <w:rPr>
          <w:sz w:val="20"/>
          <w:szCs w:val="22"/>
          <w:lang w:val="hr-HR"/>
        </w:rPr>
        <w:t>om, toksični hepatitis, hepatocelularno oštećenje i hepatotoksičnost</w:t>
      </w:r>
      <w:r w:rsidR="00C472C3" w:rsidRPr="0054718D">
        <w:rPr>
          <w:sz w:val="20"/>
          <w:szCs w:val="22"/>
          <w:lang w:val="hr-HR"/>
        </w:rPr>
        <w:t>.</w:t>
      </w:r>
    </w:p>
    <w:p w14:paraId="42BA8C65" w14:textId="72356733" w:rsidR="006131C3" w:rsidRPr="0054718D" w:rsidRDefault="00BE6E1E" w:rsidP="00D72925">
      <w:pPr>
        <w:rPr>
          <w:sz w:val="20"/>
          <w:szCs w:val="22"/>
          <w:lang w:val="hr-HR"/>
        </w:rPr>
      </w:pPr>
      <w:r w:rsidRPr="0054718D">
        <w:rPr>
          <w:sz w:val="20"/>
          <w:szCs w:val="22"/>
          <w:vertAlign w:val="superscript"/>
          <w:lang w:val="hr-HR"/>
        </w:rPr>
        <w:t>11</w:t>
      </w:r>
      <w:r w:rsidR="00C472C3" w:rsidRPr="0054718D">
        <w:rPr>
          <w:sz w:val="20"/>
          <w:szCs w:val="22"/>
          <w:lang w:val="hr-HR"/>
        </w:rPr>
        <w:t xml:space="preserve"> </w:t>
      </w:r>
      <w:r w:rsidRPr="0054718D">
        <w:rPr>
          <w:sz w:val="20"/>
          <w:szCs w:val="22"/>
          <w:lang w:val="hr-HR"/>
        </w:rPr>
        <w:t>Uključujući periorbitalni edem, edem usana i edem usta</w:t>
      </w:r>
      <w:r w:rsidR="00C472C3" w:rsidRPr="0054718D">
        <w:rPr>
          <w:sz w:val="20"/>
          <w:szCs w:val="22"/>
          <w:lang w:val="hr-HR"/>
        </w:rPr>
        <w:t>.</w:t>
      </w:r>
    </w:p>
    <w:p w14:paraId="09A8E4E6" w14:textId="77777777" w:rsidR="002C252A" w:rsidRPr="00913317" w:rsidRDefault="002C252A" w:rsidP="00D72925">
      <w:pPr>
        <w:pStyle w:val="Default"/>
        <w:jc w:val="both"/>
        <w:rPr>
          <w:color w:val="FF0000"/>
          <w:sz w:val="22"/>
          <w:szCs w:val="22"/>
          <w:lang w:val="hr-HR"/>
        </w:rPr>
      </w:pPr>
    </w:p>
    <w:p w14:paraId="2F61F5BE" w14:textId="50B6EA86" w:rsidR="002C252A" w:rsidRDefault="002C252A" w:rsidP="00D72925">
      <w:pPr>
        <w:pStyle w:val="Default"/>
        <w:jc w:val="both"/>
        <w:rPr>
          <w:color w:val="auto"/>
          <w:sz w:val="22"/>
          <w:szCs w:val="22"/>
          <w:u w:val="single"/>
          <w:lang w:val="hr-HR"/>
        </w:rPr>
      </w:pPr>
      <w:r w:rsidRPr="00913317">
        <w:rPr>
          <w:color w:val="auto"/>
          <w:sz w:val="22"/>
          <w:szCs w:val="22"/>
          <w:u w:val="single"/>
          <w:lang w:val="hr-HR"/>
        </w:rPr>
        <w:t>Opis odabranih neželjenih reakcija</w:t>
      </w:r>
    </w:p>
    <w:p w14:paraId="144FF1F2" w14:textId="77777777" w:rsidR="001D27D4" w:rsidRPr="001D27D4" w:rsidRDefault="001D27D4" w:rsidP="00D72925">
      <w:pPr>
        <w:pStyle w:val="Default"/>
        <w:jc w:val="both"/>
        <w:rPr>
          <w:color w:val="auto"/>
          <w:sz w:val="22"/>
          <w:szCs w:val="22"/>
          <w:u w:val="single"/>
          <w:lang w:val="hr-HR"/>
        </w:rPr>
      </w:pPr>
    </w:p>
    <w:p w14:paraId="5C1D379D" w14:textId="77777777" w:rsidR="006131C3" w:rsidRPr="001D27D4" w:rsidRDefault="00BE6E1E" w:rsidP="00D72925">
      <w:pPr>
        <w:rPr>
          <w:i/>
          <w:szCs w:val="22"/>
          <w:lang w:val="hr-HR"/>
        </w:rPr>
      </w:pPr>
      <w:r w:rsidRPr="001D27D4">
        <w:rPr>
          <w:i/>
          <w:szCs w:val="22"/>
          <w:lang w:val="hr-HR"/>
        </w:rPr>
        <w:t>Oštećenje vida</w:t>
      </w:r>
    </w:p>
    <w:p w14:paraId="67EB67B6" w14:textId="57869BB1" w:rsidR="006131C3" w:rsidRPr="00913317" w:rsidRDefault="00BE6E1E" w:rsidP="00D72925">
      <w:pPr>
        <w:rPr>
          <w:szCs w:val="22"/>
          <w:lang w:val="hr-HR"/>
        </w:rPr>
      </w:pPr>
      <w:r w:rsidRPr="001D27D4">
        <w:rPr>
          <w:szCs w:val="22"/>
          <w:lang w:val="hr-HR"/>
        </w:rPr>
        <w:t>U kliničkim studijama, oštećenja vida (uključujući zamućenje vida, fotofobiju, hloropsiju, hromatopsiju, daltonizam, cijanopsiju, poremećaje oka, oreol oko slika koje vidimo, noćno sl</w:t>
      </w:r>
      <w:r w:rsidR="009F7E6C" w:rsidRPr="00913317">
        <w:rPr>
          <w:szCs w:val="22"/>
          <w:lang w:val="hr-HR"/>
        </w:rPr>
        <w:t>j</w:t>
      </w:r>
      <w:r w:rsidRPr="00913317">
        <w:rPr>
          <w:szCs w:val="22"/>
          <w:lang w:val="hr-HR"/>
        </w:rPr>
        <w:t>epilo, oscilopsiju, fotopsiju, sv</w:t>
      </w:r>
      <w:r w:rsidR="009F7E6C" w:rsidRPr="00913317">
        <w:rPr>
          <w:szCs w:val="22"/>
          <w:lang w:val="hr-HR"/>
        </w:rPr>
        <w:t>j</w:t>
      </w:r>
      <w:r w:rsidRPr="00913317">
        <w:rPr>
          <w:szCs w:val="22"/>
          <w:lang w:val="hr-HR"/>
        </w:rPr>
        <w:t>etlucajući skotom, smanjenu oštrinu vida, blještav vid, oštećenje vidnog polja, staklaste mrlje u vidnom polju i ksantopsiju)</w:t>
      </w:r>
      <w:r w:rsidR="007B2604" w:rsidRPr="00913317">
        <w:rPr>
          <w:szCs w:val="22"/>
          <w:lang w:val="hr-HR"/>
        </w:rPr>
        <w:t xml:space="preserve"> povezana sa</w:t>
      </w:r>
      <w:r w:rsidRPr="00913317">
        <w:rPr>
          <w:szCs w:val="22"/>
          <w:lang w:val="hr-HR"/>
        </w:rPr>
        <w:t xml:space="preserve"> </w:t>
      </w:r>
      <w:r w:rsidR="004D45E7" w:rsidRPr="00913317">
        <w:rPr>
          <w:szCs w:val="22"/>
          <w:lang w:val="hr-HR"/>
        </w:rPr>
        <w:t>primjen</w:t>
      </w:r>
      <w:r w:rsidR="007B2604" w:rsidRPr="00913317">
        <w:rPr>
          <w:szCs w:val="22"/>
          <w:lang w:val="hr-HR"/>
        </w:rPr>
        <w:t>om</w:t>
      </w:r>
      <w:r w:rsidRPr="00913317">
        <w:rPr>
          <w:szCs w:val="22"/>
          <w:lang w:val="hr-HR"/>
        </w:rPr>
        <w:t xml:space="preserve"> vorikonazola su bila vrlo česta. </w:t>
      </w:r>
      <w:r w:rsidR="005229D5" w:rsidRPr="00913317">
        <w:rPr>
          <w:szCs w:val="22"/>
          <w:lang w:val="hr-HR"/>
        </w:rPr>
        <w:t xml:space="preserve">Ova oštećenja </w:t>
      </w:r>
      <w:r w:rsidRPr="00913317">
        <w:rPr>
          <w:szCs w:val="22"/>
          <w:lang w:val="hr-HR"/>
        </w:rPr>
        <w:t xml:space="preserve">vida </w:t>
      </w:r>
      <w:r w:rsidR="005229D5" w:rsidRPr="00913317">
        <w:rPr>
          <w:szCs w:val="22"/>
          <w:lang w:val="hr-HR"/>
        </w:rPr>
        <w:t xml:space="preserve">su prolazna </w:t>
      </w:r>
      <w:r w:rsidRPr="00913317">
        <w:rPr>
          <w:szCs w:val="22"/>
          <w:lang w:val="hr-HR"/>
        </w:rPr>
        <w:t xml:space="preserve">i potpuno </w:t>
      </w:r>
      <w:r w:rsidR="005229D5" w:rsidRPr="00913317">
        <w:rPr>
          <w:szCs w:val="22"/>
          <w:lang w:val="hr-HR"/>
        </w:rPr>
        <w:t>reverzibilna</w:t>
      </w:r>
      <w:r w:rsidRPr="00913317">
        <w:rPr>
          <w:szCs w:val="22"/>
          <w:lang w:val="hr-HR"/>
        </w:rPr>
        <w:t>, a većina spontano prolazi u toku 60 minuta. Ni</w:t>
      </w:r>
      <w:r w:rsidR="006B17FC" w:rsidRPr="00913317">
        <w:rPr>
          <w:szCs w:val="22"/>
          <w:lang w:val="hr-HR"/>
        </w:rPr>
        <w:t>je</w:t>
      </w:r>
      <w:r w:rsidRPr="00913317">
        <w:rPr>
          <w:szCs w:val="22"/>
          <w:lang w:val="hr-HR"/>
        </w:rPr>
        <w:t xml:space="preserve">su </w:t>
      </w:r>
      <w:r w:rsidR="003204CC" w:rsidRPr="00913317">
        <w:rPr>
          <w:szCs w:val="22"/>
          <w:lang w:val="hr-HR"/>
        </w:rPr>
        <w:t>zabilje</w:t>
      </w:r>
      <w:r w:rsidR="00C7273D" w:rsidRPr="00913317">
        <w:rPr>
          <w:szCs w:val="22"/>
          <w:lang w:val="hr-HR"/>
        </w:rPr>
        <w:t>žena</w:t>
      </w:r>
      <w:r w:rsidRPr="00913317">
        <w:rPr>
          <w:szCs w:val="22"/>
          <w:lang w:val="hr-HR"/>
        </w:rPr>
        <w:t xml:space="preserve"> klinički značajna dugotrajna oštećenja vida. Postoje dokazi da su pri ponovnoj </w:t>
      </w:r>
      <w:r w:rsidR="004D45E7" w:rsidRPr="00913317">
        <w:rPr>
          <w:szCs w:val="22"/>
          <w:lang w:val="hr-HR"/>
        </w:rPr>
        <w:t>primjen</w:t>
      </w:r>
      <w:r w:rsidRPr="00913317">
        <w:rPr>
          <w:szCs w:val="22"/>
          <w:lang w:val="hr-HR"/>
        </w:rPr>
        <w:t>i vorikonazola ovi poremećaji slabiji. Oštećenja vida su uglavnom blaga, r</w:t>
      </w:r>
      <w:r w:rsidR="009F7E6C" w:rsidRPr="00913317">
        <w:rPr>
          <w:szCs w:val="22"/>
          <w:lang w:val="hr-HR"/>
        </w:rPr>
        <w:t>ij</w:t>
      </w:r>
      <w:r w:rsidRPr="00913317">
        <w:rPr>
          <w:szCs w:val="22"/>
          <w:lang w:val="hr-HR"/>
        </w:rPr>
        <w:t>etko rezultiraju prekidom terapije i ne izazivaju dugotrajne posl</w:t>
      </w:r>
      <w:r w:rsidR="009F7E6C" w:rsidRPr="00913317">
        <w:rPr>
          <w:szCs w:val="22"/>
          <w:lang w:val="hr-HR"/>
        </w:rPr>
        <w:t>j</w:t>
      </w:r>
      <w:r w:rsidRPr="00913317">
        <w:rPr>
          <w:szCs w:val="22"/>
          <w:lang w:val="hr-HR"/>
        </w:rPr>
        <w:t xml:space="preserve">edice. Udružena su sa većom koncentracijom </w:t>
      </w:r>
      <w:r w:rsidR="004D45E7" w:rsidRPr="00913317">
        <w:rPr>
          <w:szCs w:val="22"/>
          <w:lang w:val="hr-HR"/>
        </w:rPr>
        <w:t>lijek</w:t>
      </w:r>
      <w:r w:rsidRPr="00913317">
        <w:rPr>
          <w:szCs w:val="22"/>
          <w:lang w:val="hr-HR"/>
        </w:rPr>
        <w:t xml:space="preserve">a u plazmi i/ili </w:t>
      </w:r>
      <w:r w:rsidR="004D45E7" w:rsidRPr="00913317">
        <w:rPr>
          <w:szCs w:val="22"/>
          <w:lang w:val="hr-HR"/>
        </w:rPr>
        <w:t>primjen</w:t>
      </w:r>
      <w:r w:rsidRPr="00913317">
        <w:rPr>
          <w:szCs w:val="22"/>
          <w:lang w:val="hr-HR"/>
        </w:rPr>
        <w:t xml:space="preserve">om većih doza. </w:t>
      </w:r>
    </w:p>
    <w:p w14:paraId="4CF69D9D" w14:textId="43D69229" w:rsidR="006131C3" w:rsidRPr="00913317" w:rsidRDefault="00BE6E1E" w:rsidP="00D72925">
      <w:pPr>
        <w:rPr>
          <w:szCs w:val="22"/>
          <w:lang w:val="hr-HR"/>
        </w:rPr>
      </w:pPr>
      <w:r w:rsidRPr="00913317">
        <w:rPr>
          <w:szCs w:val="22"/>
          <w:lang w:val="hr-HR"/>
        </w:rPr>
        <w:t>Mehanizam ovog neželjenog dejstva je nepoznat, iako izgleda da je primarno m</w:t>
      </w:r>
      <w:r w:rsidR="009F7E6C" w:rsidRPr="00913317">
        <w:rPr>
          <w:szCs w:val="22"/>
          <w:lang w:val="hr-HR"/>
        </w:rPr>
        <w:t>j</w:t>
      </w:r>
      <w:r w:rsidRPr="00913317">
        <w:rPr>
          <w:szCs w:val="22"/>
          <w:lang w:val="hr-HR"/>
        </w:rPr>
        <w:t>esto gd</w:t>
      </w:r>
      <w:r w:rsidR="00F4722E" w:rsidRPr="00913317">
        <w:rPr>
          <w:szCs w:val="22"/>
          <w:lang w:val="hr-HR"/>
        </w:rPr>
        <w:t>j</w:t>
      </w:r>
      <w:r w:rsidRPr="00913317">
        <w:rPr>
          <w:szCs w:val="22"/>
          <w:lang w:val="hr-HR"/>
        </w:rPr>
        <w:t>e se oni javljaju retina. U studiji na zdravim dobrovoljcima kod kojih je ispitivano dejstvo vorikonazola na funkciju retine, vorikonazol je prouzrokovao smanjenje amplitude talasa na e</w:t>
      </w:r>
      <w:r w:rsidR="009F7E6C" w:rsidRPr="00913317">
        <w:rPr>
          <w:szCs w:val="22"/>
          <w:lang w:val="hr-HR"/>
        </w:rPr>
        <w:t>l</w:t>
      </w:r>
      <w:r w:rsidR="004D45E7" w:rsidRPr="00913317">
        <w:rPr>
          <w:szCs w:val="22"/>
          <w:lang w:val="hr-HR"/>
        </w:rPr>
        <w:t>ek</w:t>
      </w:r>
      <w:r w:rsidRPr="00913317">
        <w:rPr>
          <w:szCs w:val="22"/>
          <w:lang w:val="hr-HR"/>
        </w:rPr>
        <w:t>troretinogramu (ERG). ERG služi za m</w:t>
      </w:r>
      <w:r w:rsidR="004D4534" w:rsidRPr="00913317">
        <w:rPr>
          <w:szCs w:val="22"/>
          <w:lang w:val="hr-HR"/>
        </w:rPr>
        <w:t>j</w:t>
      </w:r>
      <w:r w:rsidRPr="00913317">
        <w:rPr>
          <w:szCs w:val="22"/>
          <w:lang w:val="hr-HR"/>
        </w:rPr>
        <w:t>erenje e</w:t>
      </w:r>
      <w:r w:rsidR="009F7E6C" w:rsidRPr="00913317">
        <w:rPr>
          <w:szCs w:val="22"/>
          <w:lang w:val="hr-HR"/>
        </w:rPr>
        <w:t>l</w:t>
      </w:r>
      <w:r w:rsidR="004D45E7" w:rsidRPr="00913317">
        <w:rPr>
          <w:szCs w:val="22"/>
          <w:lang w:val="hr-HR"/>
        </w:rPr>
        <w:t>ek</w:t>
      </w:r>
      <w:r w:rsidRPr="00913317">
        <w:rPr>
          <w:szCs w:val="22"/>
          <w:lang w:val="hr-HR"/>
        </w:rPr>
        <w:t>trične sprovodljivosti retine. ERG prom</w:t>
      </w:r>
      <w:r w:rsidR="009F7E6C" w:rsidRPr="00913317">
        <w:rPr>
          <w:szCs w:val="22"/>
          <w:lang w:val="hr-HR"/>
        </w:rPr>
        <w:t>j</w:t>
      </w:r>
      <w:r w:rsidRPr="00913317">
        <w:rPr>
          <w:szCs w:val="22"/>
          <w:lang w:val="hr-HR"/>
        </w:rPr>
        <w:t>ene ni</w:t>
      </w:r>
      <w:r w:rsidR="00CD2626" w:rsidRPr="00913317">
        <w:rPr>
          <w:szCs w:val="22"/>
          <w:lang w:val="hr-HR"/>
        </w:rPr>
        <w:t>je</w:t>
      </w:r>
      <w:r w:rsidRPr="00913317">
        <w:rPr>
          <w:szCs w:val="22"/>
          <w:lang w:val="hr-HR"/>
        </w:rPr>
        <w:t>su progredirale tokom 29 dana od početka terapije i bile su u potpunosti reverzibilne po prekidu terapije</w:t>
      </w:r>
      <w:r w:rsidR="008442A8" w:rsidRPr="00913317">
        <w:rPr>
          <w:szCs w:val="22"/>
          <w:lang w:val="hr-HR"/>
        </w:rPr>
        <w:t xml:space="preserve"> vorikonazolom</w:t>
      </w:r>
      <w:r w:rsidRPr="00913317">
        <w:rPr>
          <w:szCs w:val="22"/>
          <w:lang w:val="hr-HR"/>
        </w:rPr>
        <w:t>.</w:t>
      </w:r>
    </w:p>
    <w:p w14:paraId="2C096A7A" w14:textId="0FCA8FAB" w:rsidR="006131C3" w:rsidRDefault="00BE6E1E" w:rsidP="00D72925">
      <w:pPr>
        <w:rPr>
          <w:szCs w:val="22"/>
          <w:lang w:val="hr-HR"/>
        </w:rPr>
      </w:pPr>
      <w:r w:rsidRPr="00913317">
        <w:rPr>
          <w:szCs w:val="22"/>
          <w:lang w:val="hr-HR"/>
        </w:rPr>
        <w:t xml:space="preserve">Postoje postmarketinški </w:t>
      </w:r>
      <w:r w:rsidR="00C7273D" w:rsidRPr="00913317">
        <w:rPr>
          <w:szCs w:val="22"/>
          <w:lang w:val="hr-HR"/>
        </w:rPr>
        <w:t>izveštaji</w:t>
      </w:r>
      <w:r w:rsidRPr="00913317">
        <w:rPr>
          <w:szCs w:val="22"/>
          <w:lang w:val="hr-HR"/>
        </w:rPr>
        <w:t xml:space="preserve"> o produženim neželjenim reakcijama na čulo vida (</w:t>
      </w:r>
      <w:r w:rsidR="004D45E7" w:rsidRPr="00913317">
        <w:rPr>
          <w:szCs w:val="22"/>
          <w:lang w:val="hr-HR"/>
        </w:rPr>
        <w:t xml:space="preserve">vidjeti </w:t>
      </w:r>
      <w:r w:rsidR="00954637" w:rsidRPr="00913317">
        <w:rPr>
          <w:szCs w:val="22"/>
          <w:lang w:val="hr-HR"/>
        </w:rPr>
        <w:t xml:space="preserve">dio </w:t>
      </w:r>
      <w:r w:rsidRPr="00913317">
        <w:rPr>
          <w:szCs w:val="22"/>
          <w:lang w:val="hr-HR"/>
        </w:rPr>
        <w:t>4.4).</w:t>
      </w:r>
    </w:p>
    <w:p w14:paraId="68F64C24" w14:textId="77777777" w:rsidR="001D27D4" w:rsidRPr="001D27D4" w:rsidRDefault="001D27D4" w:rsidP="00D72925">
      <w:pPr>
        <w:rPr>
          <w:b/>
          <w:szCs w:val="22"/>
          <w:lang w:val="hr-HR"/>
        </w:rPr>
      </w:pPr>
    </w:p>
    <w:p w14:paraId="00468704" w14:textId="77777777" w:rsidR="006131C3" w:rsidRPr="001D27D4" w:rsidRDefault="00BE6E1E" w:rsidP="00D72925">
      <w:pPr>
        <w:rPr>
          <w:i/>
          <w:szCs w:val="22"/>
          <w:lang w:val="hr-HR"/>
        </w:rPr>
      </w:pPr>
      <w:r w:rsidRPr="001D27D4">
        <w:rPr>
          <w:i/>
          <w:szCs w:val="22"/>
          <w:lang w:val="hr-HR"/>
        </w:rPr>
        <w:t xml:space="preserve">Kožne reakcije </w:t>
      </w:r>
    </w:p>
    <w:p w14:paraId="2CB65CE0" w14:textId="45325978" w:rsidR="006131C3" w:rsidRPr="00913317" w:rsidRDefault="00BE6E1E" w:rsidP="00D72925">
      <w:pPr>
        <w:pStyle w:val="Header"/>
        <w:tabs>
          <w:tab w:val="clear" w:pos="4536"/>
          <w:tab w:val="clear" w:pos="9072"/>
          <w:tab w:val="left" w:pos="284"/>
        </w:tabs>
        <w:rPr>
          <w:szCs w:val="22"/>
          <w:lang w:val="hr-HR"/>
        </w:rPr>
      </w:pPr>
      <w:r w:rsidRPr="001D27D4">
        <w:rPr>
          <w:szCs w:val="22"/>
          <w:lang w:val="hr-HR"/>
        </w:rPr>
        <w:t>Kožne neželjene reakcije su bile v</w:t>
      </w:r>
      <w:r w:rsidR="004D4534" w:rsidRPr="001D27D4">
        <w:rPr>
          <w:szCs w:val="22"/>
          <w:lang w:val="hr-HR"/>
        </w:rPr>
        <w:t>eoma</w:t>
      </w:r>
      <w:r w:rsidRPr="001D27D4">
        <w:rPr>
          <w:szCs w:val="22"/>
          <w:lang w:val="hr-HR"/>
        </w:rPr>
        <w:t xml:space="preserve"> česte kod pacijenata koji su učestvovali u kliničkim ispitivanjima sa vorikonazolom, ali ovi pacijenti su imali druga teška oboljenja i primali su istovremeno više </w:t>
      </w:r>
      <w:r w:rsidR="004D45E7" w:rsidRPr="00913317">
        <w:rPr>
          <w:szCs w:val="22"/>
          <w:lang w:val="hr-HR"/>
        </w:rPr>
        <w:t>ljekov</w:t>
      </w:r>
      <w:r w:rsidRPr="00913317">
        <w:rPr>
          <w:szCs w:val="22"/>
          <w:lang w:val="hr-HR"/>
        </w:rPr>
        <w:t xml:space="preserve">a. Osip koji se javio je uglavnom bio blage do </w:t>
      </w:r>
      <w:r w:rsidR="00D85AC5" w:rsidRPr="00913317">
        <w:rPr>
          <w:szCs w:val="22"/>
          <w:lang w:val="hr-HR"/>
        </w:rPr>
        <w:t>umjere</w:t>
      </w:r>
      <w:r w:rsidRPr="00913317">
        <w:rPr>
          <w:szCs w:val="22"/>
          <w:lang w:val="hr-HR"/>
        </w:rPr>
        <w:t>ne jačine. Pacijenti su dobijali ozbiljne kožne reakcije</w:t>
      </w:r>
      <w:r w:rsidR="005229D5" w:rsidRPr="00913317">
        <w:rPr>
          <w:szCs w:val="22"/>
          <w:lang w:val="hr-HR"/>
        </w:rPr>
        <w:t xml:space="preserve"> (SCAR)</w:t>
      </w:r>
      <w:r w:rsidRPr="00913317">
        <w:rPr>
          <w:szCs w:val="22"/>
          <w:lang w:val="hr-HR"/>
        </w:rPr>
        <w:t xml:space="preserve">, uključujući </w:t>
      </w:r>
      <w:r w:rsidRPr="00913317">
        <w:rPr>
          <w:i/>
          <w:szCs w:val="22"/>
          <w:lang w:val="hr-HR"/>
        </w:rPr>
        <w:t>Stevens-Johnson</w:t>
      </w:r>
      <w:r w:rsidRPr="00913317">
        <w:rPr>
          <w:szCs w:val="22"/>
          <w:lang w:val="hr-HR"/>
        </w:rPr>
        <w:t xml:space="preserve">–ov sindrom </w:t>
      </w:r>
      <w:r w:rsidR="005229D5" w:rsidRPr="00913317">
        <w:rPr>
          <w:szCs w:val="22"/>
          <w:lang w:val="hr-HR"/>
        </w:rPr>
        <w:t xml:space="preserve">(SJS) </w:t>
      </w:r>
      <w:r w:rsidRPr="00913317">
        <w:rPr>
          <w:szCs w:val="22"/>
          <w:lang w:val="hr-HR"/>
        </w:rPr>
        <w:t xml:space="preserve">(povremeno), toksičnu epidermalnu nekrolizu </w:t>
      </w:r>
      <w:r w:rsidR="005229D5" w:rsidRPr="00913317">
        <w:rPr>
          <w:szCs w:val="22"/>
          <w:lang w:val="hr-HR"/>
        </w:rPr>
        <w:t xml:space="preserve">(TEN) </w:t>
      </w:r>
      <w:r w:rsidRPr="00913317">
        <w:rPr>
          <w:szCs w:val="22"/>
          <w:lang w:val="hr-HR"/>
        </w:rPr>
        <w:t>(r</w:t>
      </w:r>
      <w:r w:rsidR="00BF1805" w:rsidRPr="00913317">
        <w:rPr>
          <w:szCs w:val="22"/>
          <w:lang w:val="hr-HR"/>
        </w:rPr>
        <w:t>ij</w:t>
      </w:r>
      <w:r w:rsidRPr="00913317">
        <w:rPr>
          <w:szCs w:val="22"/>
          <w:lang w:val="hr-HR"/>
        </w:rPr>
        <w:t>etko)</w:t>
      </w:r>
      <w:r w:rsidR="005229D5" w:rsidRPr="00913317">
        <w:rPr>
          <w:szCs w:val="22"/>
          <w:lang w:val="hr-HR"/>
        </w:rPr>
        <w:t>, reakciju na lijek sa eozinofilijom i sistemskim simptomima (DRESS)</w:t>
      </w:r>
      <w:r w:rsidRPr="00913317">
        <w:rPr>
          <w:szCs w:val="22"/>
          <w:lang w:val="hr-HR"/>
        </w:rPr>
        <w:t xml:space="preserve"> </w:t>
      </w:r>
      <w:r w:rsidR="005229D5" w:rsidRPr="00913317">
        <w:rPr>
          <w:szCs w:val="22"/>
          <w:lang w:val="hr-HR"/>
        </w:rPr>
        <w:t xml:space="preserve">(rijetko) </w:t>
      </w:r>
      <w:r w:rsidRPr="00913317">
        <w:rPr>
          <w:szCs w:val="22"/>
          <w:lang w:val="hr-HR"/>
        </w:rPr>
        <w:t xml:space="preserve">i </w:t>
      </w:r>
      <w:r w:rsidRPr="00913317">
        <w:rPr>
          <w:i/>
          <w:szCs w:val="22"/>
          <w:lang w:val="hr-HR"/>
        </w:rPr>
        <w:t>er</w:t>
      </w:r>
      <w:r w:rsidR="00D82C19" w:rsidRPr="00913317">
        <w:rPr>
          <w:i/>
          <w:szCs w:val="22"/>
          <w:lang w:val="hr-HR"/>
        </w:rPr>
        <w:t>y</w:t>
      </w:r>
      <w:r w:rsidRPr="00913317">
        <w:rPr>
          <w:i/>
          <w:szCs w:val="22"/>
          <w:lang w:val="hr-HR"/>
        </w:rPr>
        <w:t>t</w:t>
      </w:r>
      <w:r w:rsidR="00D82C19" w:rsidRPr="00913317">
        <w:rPr>
          <w:i/>
          <w:szCs w:val="22"/>
          <w:lang w:val="hr-HR"/>
        </w:rPr>
        <w:t>h</w:t>
      </w:r>
      <w:r w:rsidRPr="00913317">
        <w:rPr>
          <w:i/>
          <w:szCs w:val="22"/>
          <w:lang w:val="hr-HR"/>
        </w:rPr>
        <w:t>ema multiforme</w:t>
      </w:r>
      <w:r w:rsidRPr="00913317">
        <w:rPr>
          <w:szCs w:val="22"/>
          <w:lang w:val="hr-HR"/>
        </w:rPr>
        <w:t xml:space="preserve"> (r</w:t>
      </w:r>
      <w:r w:rsidR="00262767" w:rsidRPr="00913317">
        <w:rPr>
          <w:szCs w:val="22"/>
          <w:lang w:val="hr-HR"/>
        </w:rPr>
        <w:t>ij</w:t>
      </w:r>
      <w:r w:rsidRPr="00913317">
        <w:rPr>
          <w:szCs w:val="22"/>
          <w:lang w:val="hr-HR"/>
        </w:rPr>
        <w:t>etko), za vr</w:t>
      </w:r>
      <w:r w:rsidR="00262767" w:rsidRPr="00913317">
        <w:rPr>
          <w:szCs w:val="22"/>
          <w:lang w:val="hr-HR"/>
        </w:rPr>
        <w:t>ij</w:t>
      </w:r>
      <w:r w:rsidRPr="00913317">
        <w:rPr>
          <w:szCs w:val="22"/>
          <w:lang w:val="hr-HR"/>
        </w:rPr>
        <w:t xml:space="preserve">eme </w:t>
      </w:r>
      <w:r w:rsidR="004D45E7" w:rsidRPr="00913317">
        <w:rPr>
          <w:szCs w:val="22"/>
          <w:lang w:val="hr-HR"/>
        </w:rPr>
        <w:t>primjen</w:t>
      </w:r>
      <w:r w:rsidRPr="00913317">
        <w:rPr>
          <w:szCs w:val="22"/>
          <w:lang w:val="hr-HR"/>
        </w:rPr>
        <w:t xml:space="preserve">e </w:t>
      </w:r>
      <w:r w:rsidR="004D45E7" w:rsidRPr="00913317">
        <w:rPr>
          <w:szCs w:val="22"/>
          <w:lang w:val="hr-HR"/>
        </w:rPr>
        <w:t>lijek</w:t>
      </w:r>
      <w:r w:rsidRPr="00913317">
        <w:rPr>
          <w:szCs w:val="22"/>
          <w:lang w:val="hr-HR"/>
        </w:rPr>
        <w:t>a Vfend</w:t>
      </w:r>
      <w:r w:rsidR="005229D5" w:rsidRPr="00913317">
        <w:rPr>
          <w:szCs w:val="22"/>
          <w:lang w:val="hr-HR"/>
        </w:rPr>
        <w:t xml:space="preserve"> (vidjeti </w:t>
      </w:r>
      <w:r w:rsidR="00954637" w:rsidRPr="00913317">
        <w:rPr>
          <w:szCs w:val="22"/>
          <w:lang w:val="hr-HR"/>
        </w:rPr>
        <w:t xml:space="preserve">dio </w:t>
      </w:r>
      <w:r w:rsidR="005229D5" w:rsidRPr="00913317">
        <w:rPr>
          <w:szCs w:val="22"/>
          <w:lang w:val="hr-HR"/>
        </w:rPr>
        <w:t>4.4)</w:t>
      </w:r>
      <w:r w:rsidRPr="00913317">
        <w:rPr>
          <w:szCs w:val="22"/>
          <w:lang w:val="hr-HR"/>
        </w:rPr>
        <w:t>.</w:t>
      </w:r>
    </w:p>
    <w:p w14:paraId="6B15CE99" w14:textId="379F1C59" w:rsidR="006131C3" w:rsidRPr="00913317" w:rsidRDefault="00BE6E1E" w:rsidP="00D72925">
      <w:pPr>
        <w:rPr>
          <w:szCs w:val="22"/>
          <w:lang w:val="hr-HR"/>
        </w:rPr>
      </w:pPr>
      <w:r w:rsidRPr="00913317">
        <w:rPr>
          <w:szCs w:val="22"/>
          <w:lang w:val="hr-HR"/>
        </w:rPr>
        <w:t xml:space="preserve">Pacijente kod kojih se javi osip treba pažljivo pratiti, a </w:t>
      </w:r>
      <w:r w:rsidR="004D45E7" w:rsidRPr="00913317">
        <w:rPr>
          <w:szCs w:val="22"/>
          <w:lang w:val="hr-HR"/>
        </w:rPr>
        <w:t>primjen</w:t>
      </w:r>
      <w:r w:rsidRPr="00913317">
        <w:rPr>
          <w:szCs w:val="22"/>
          <w:lang w:val="hr-HR"/>
        </w:rPr>
        <w:t xml:space="preserve">u </w:t>
      </w:r>
      <w:r w:rsidR="004D45E7" w:rsidRPr="00913317">
        <w:rPr>
          <w:szCs w:val="22"/>
          <w:lang w:val="hr-HR"/>
        </w:rPr>
        <w:t>lijek</w:t>
      </w:r>
      <w:r w:rsidRPr="00913317">
        <w:rPr>
          <w:szCs w:val="22"/>
          <w:lang w:val="hr-HR"/>
        </w:rPr>
        <w:t>a Vfend obustaviti ako lezije progrediraju. Opisane su i fotosenzitivne reakcije kao što su p</w:t>
      </w:r>
      <w:r w:rsidR="00923588" w:rsidRPr="00913317">
        <w:rPr>
          <w:szCs w:val="22"/>
          <w:lang w:val="hr-HR"/>
        </w:rPr>
        <w:t>j</w:t>
      </w:r>
      <w:r w:rsidRPr="00913317">
        <w:rPr>
          <w:szCs w:val="22"/>
          <w:lang w:val="hr-HR"/>
        </w:rPr>
        <w:t>ege, lentigo i aktinična keratoza, naročito za vr</w:t>
      </w:r>
      <w:r w:rsidR="00923588" w:rsidRPr="00913317">
        <w:rPr>
          <w:szCs w:val="22"/>
          <w:lang w:val="hr-HR"/>
        </w:rPr>
        <w:t>ij</w:t>
      </w:r>
      <w:r w:rsidRPr="00913317">
        <w:rPr>
          <w:szCs w:val="22"/>
          <w:lang w:val="hr-HR"/>
        </w:rPr>
        <w:t>eme dugotrajne terapije (</w:t>
      </w:r>
      <w:r w:rsidR="004D45E7" w:rsidRPr="00913317">
        <w:rPr>
          <w:szCs w:val="22"/>
          <w:lang w:val="hr-HR"/>
        </w:rPr>
        <w:t xml:space="preserve">vidjeti </w:t>
      </w:r>
      <w:r w:rsidR="00954637" w:rsidRPr="00913317">
        <w:rPr>
          <w:szCs w:val="22"/>
          <w:lang w:val="hr-HR"/>
        </w:rPr>
        <w:t xml:space="preserve">dio </w:t>
      </w:r>
      <w:r w:rsidRPr="00913317">
        <w:rPr>
          <w:szCs w:val="22"/>
          <w:lang w:val="hr-HR"/>
        </w:rPr>
        <w:t>4.4).</w:t>
      </w:r>
    </w:p>
    <w:p w14:paraId="3EA3A7E9" w14:textId="371D3612" w:rsidR="00BE6E1E" w:rsidRDefault="00BE6E1E" w:rsidP="00D72925">
      <w:pPr>
        <w:rPr>
          <w:szCs w:val="22"/>
          <w:lang w:val="hr-HR"/>
        </w:rPr>
      </w:pPr>
      <w:r w:rsidRPr="00913317">
        <w:rPr>
          <w:szCs w:val="22"/>
          <w:lang w:val="hr-HR"/>
        </w:rPr>
        <w:t>Postoje izv</w:t>
      </w:r>
      <w:r w:rsidR="00923588" w:rsidRPr="00913317">
        <w:rPr>
          <w:szCs w:val="22"/>
          <w:lang w:val="hr-HR"/>
        </w:rPr>
        <w:t>j</w:t>
      </w:r>
      <w:r w:rsidRPr="00913317">
        <w:rPr>
          <w:szCs w:val="22"/>
          <w:lang w:val="hr-HR"/>
        </w:rPr>
        <w:t xml:space="preserve">eštaji o pojavi karcinoma skvamoznih ćelija kože </w:t>
      </w:r>
      <w:r w:rsidR="005229D5" w:rsidRPr="00913317">
        <w:rPr>
          <w:szCs w:val="22"/>
          <w:lang w:val="hr-HR"/>
        </w:rPr>
        <w:t xml:space="preserve">(uključujući kutani </w:t>
      </w:r>
      <w:r w:rsidR="00990A01" w:rsidRPr="00913317">
        <w:rPr>
          <w:szCs w:val="22"/>
          <w:lang w:val="hr-HR"/>
        </w:rPr>
        <w:t>SCC</w:t>
      </w:r>
      <w:r w:rsidR="005229D5" w:rsidRPr="00913317">
        <w:rPr>
          <w:szCs w:val="22"/>
          <w:lang w:val="hr-HR"/>
        </w:rPr>
        <w:t xml:space="preserve"> </w:t>
      </w:r>
      <w:r w:rsidR="005229D5" w:rsidRPr="00913317">
        <w:rPr>
          <w:i/>
          <w:iCs/>
          <w:szCs w:val="22"/>
          <w:lang w:val="hr-HR"/>
        </w:rPr>
        <w:t>in situ</w:t>
      </w:r>
      <w:r w:rsidR="005229D5" w:rsidRPr="00913317">
        <w:rPr>
          <w:szCs w:val="22"/>
          <w:lang w:val="hr-HR"/>
        </w:rPr>
        <w:t xml:space="preserve"> ili </w:t>
      </w:r>
      <w:r w:rsidR="005229D5" w:rsidRPr="00913317">
        <w:rPr>
          <w:i/>
          <w:szCs w:val="22"/>
          <w:lang w:val="hr-HR"/>
        </w:rPr>
        <w:t>Bowen</w:t>
      </w:r>
      <w:r w:rsidR="00CD2626" w:rsidRPr="00913317">
        <w:rPr>
          <w:szCs w:val="22"/>
          <w:lang w:val="hr-HR"/>
        </w:rPr>
        <w:t>-</w:t>
      </w:r>
      <w:r w:rsidR="005229D5" w:rsidRPr="00913317">
        <w:rPr>
          <w:szCs w:val="22"/>
          <w:lang w:val="hr-HR"/>
        </w:rPr>
        <w:t xml:space="preserve">ovu bolest) </w:t>
      </w:r>
      <w:r w:rsidRPr="00913317">
        <w:rPr>
          <w:szCs w:val="22"/>
          <w:lang w:val="hr-HR"/>
        </w:rPr>
        <w:t xml:space="preserve">kod pacijenata koji su bili na dugotrajnoj terapiji </w:t>
      </w:r>
      <w:r w:rsidR="004D45E7" w:rsidRPr="00913317">
        <w:rPr>
          <w:szCs w:val="22"/>
          <w:lang w:val="hr-HR"/>
        </w:rPr>
        <w:t>lijek</w:t>
      </w:r>
      <w:r w:rsidRPr="00913317">
        <w:rPr>
          <w:szCs w:val="22"/>
          <w:lang w:val="hr-HR"/>
        </w:rPr>
        <w:t>om Vfend, ali mehanizam nastanka nije utvrđen (</w:t>
      </w:r>
      <w:r w:rsidR="004D45E7" w:rsidRPr="00913317">
        <w:rPr>
          <w:szCs w:val="22"/>
          <w:lang w:val="hr-HR"/>
        </w:rPr>
        <w:t xml:space="preserve">vidjeti </w:t>
      </w:r>
      <w:r w:rsidR="00954637" w:rsidRPr="00913317">
        <w:rPr>
          <w:szCs w:val="22"/>
          <w:lang w:val="hr-HR"/>
        </w:rPr>
        <w:t xml:space="preserve">dio </w:t>
      </w:r>
      <w:r w:rsidRPr="00913317">
        <w:rPr>
          <w:szCs w:val="22"/>
          <w:lang w:val="hr-HR"/>
        </w:rPr>
        <w:t>4.4).</w:t>
      </w:r>
    </w:p>
    <w:p w14:paraId="76B01565" w14:textId="77777777" w:rsidR="001D27D4" w:rsidRPr="001D27D4" w:rsidRDefault="001D27D4" w:rsidP="00D72925">
      <w:pPr>
        <w:rPr>
          <w:szCs w:val="22"/>
          <w:lang w:val="hr-HR"/>
        </w:rPr>
      </w:pPr>
    </w:p>
    <w:p w14:paraId="276D77E1" w14:textId="77777777" w:rsidR="006131C3" w:rsidRPr="001D27D4" w:rsidRDefault="00BE6E1E" w:rsidP="00D72925">
      <w:pPr>
        <w:rPr>
          <w:i/>
          <w:szCs w:val="22"/>
          <w:lang w:val="hr-HR"/>
        </w:rPr>
      </w:pPr>
      <w:r w:rsidRPr="001D27D4">
        <w:rPr>
          <w:i/>
          <w:szCs w:val="22"/>
          <w:lang w:val="hr-HR"/>
        </w:rPr>
        <w:lastRenderedPageBreak/>
        <w:t>Funkcionalni testovi jetre</w:t>
      </w:r>
    </w:p>
    <w:p w14:paraId="2D9CAB3C" w14:textId="5C3C0D95" w:rsidR="006131C3" w:rsidRPr="00913317" w:rsidRDefault="00BE6E1E" w:rsidP="00D72925">
      <w:pPr>
        <w:pStyle w:val="Header"/>
        <w:tabs>
          <w:tab w:val="clear" w:pos="4536"/>
          <w:tab w:val="clear" w:pos="9072"/>
          <w:tab w:val="left" w:pos="284"/>
        </w:tabs>
        <w:rPr>
          <w:szCs w:val="22"/>
          <w:lang w:val="hr-HR"/>
        </w:rPr>
      </w:pPr>
      <w:r w:rsidRPr="001D27D4">
        <w:rPr>
          <w:szCs w:val="22"/>
          <w:lang w:val="hr-HR"/>
        </w:rPr>
        <w:t xml:space="preserve">Ukupna incidencija povećanja </w:t>
      </w:r>
      <w:r w:rsidR="004D45E7" w:rsidRPr="001D27D4">
        <w:rPr>
          <w:szCs w:val="22"/>
          <w:lang w:val="hr-HR"/>
        </w:rPr>
        <w:t>vrijedno</w:t>
      </w:r>
      <w:r w:rsidRPr="001D27D4">
        <w:rPr>
          <w:szCs w:val="22"/>
          <w:lang w:val="hr-HR"/>
        </w:rPr>
        <w:t xml:space="preserve">sti transaminaza u krvi &gt; 3 puta od gornje granice normalnih </w:t>
      </w:r>
      <w:r w:rsidR="004D45E7" w:rsidRPr="00913317">
        <w:rPr>
          <w:szCs w:val="22"/>
          <w:lang w:val="hr-HR"/>
        </w:rPr>
        <w:t>vrijedno</w:t>
      </w:r>
      <w:r w:rsidRPr="00913317">
        <w:rPr>
          <w:szCs w:val="22"/>
          <w:lang w:val="hr-HR"/>
        </w:rPr>
        <w:t xml:space="preserve">sti (ne mora se obavezno smatrati neželjenim događajem) u kliničkim ispitivanjima vorikonazola iznosi 18,0% (319/1768) kod odraslih i 25,8% (73/283) kod pedijatrijskih pacijenata koji su primali vorikonazol </w:t>
      </w:r>
      <w:r w:rsidR="004566A7" w:rsidRPr="00913317">
        <w:rPr>
          <w:szCs w:val="22"/>
          <w:lang w:val="hr-HR"/>
        </w:rPr>
        <w:t xml:space="preserve">kako u terapijske tako i u profilaktičke svrhe. </w:t>
      </w:r>
      <w:r w:rsidR="00D96EF7" w:rsidRPr="00913317">
        <w:rPr>
          <w:szCs w:val="22"/>
          <w:lang w:val="hr-HR"/>
        </w:rPr>
        <w:t>Moguće je da su i</w:t>
      </w:r>
      <w:r w:rsidRPr="00913317">
        <w:rPr>
          <w:szCs w:val="22"/>
          <w:lang w:val="hr-HR"/>
        </w:rPr>
        <w:t>zm</w:t>
      </w:r>
      <w:r w:rsidR="00900F59" w:rsidRPr="00913317">
        <w:rPr>
          <w:szCs w:val="22"/>
          <w:lang w:val="hr-HR"/>
        </w:rPr>
        <w:t>ij</w:t>
      </w:r>
      <w:r w:rsidRPr="00913317">
        <w:rPr>
          <w:szCs w:val="22"/>
          <w:lang w:val="hr-HR"/>
        </w:rPr>
        <w:t xml:space="preserve">enjene </w:t>
      </w:r>
      <w:r w:rsidR="004D45E7" w:rsidRPr="00913317">
        <w:rPr>
          <w:szCs w:val="22"/>
          <w:lang w:val="hr-HR"/>
        </w:rPr>
        <w:t>vrijedno</w:t>
      </w:r>
      <w:r w:rsidRPr="00913317">
        <w:rPr>
          <w:szCs w:val="22"/>
          <w:lang w:val="hr-HR"/>
        </w:rPr>
        <w:t xml:space="preserve">sti testova za </w:t>
      </w:r>
      <w:r w:rsidR="004D45E7" w:rsidRPr="00913317">
        <w:rPr>
          <w:szCs w:val="22"/>
          <w:lang w:val="hr-HR"/>
        </w:rPr>
        <w:t>procjen</w:t>
      </w:r>
      <w:r w:rsidRPr="00913317">
        <w:rPr>
          <w:szCs w:val="22"/>
          <w:lang w:val="hr-HR"/>
        </w:rPr>
        <w:t xml:space="preserve">u funkcije jetre bile povezane sa većom koncentracijom u plazmi i/ili većom dozom vorikonazola. Većina odstupanja od normalnih </w:t>
      </w:r>
      <w:r w:rsidR="004D45E7" w:rsidRPr="00913317">
        <w:rPr>
          <w:szCs w:val="22"/>
          <w:lang w:val="hr-HR"/>
        </w:rPr>
        <w:t>vrijedno</w:t>
      </w:r>
      <w:r w:rsidRPr="00913317">
        <w:rPr>
          <w:szCs w:val="22"/>
          <w:lang w:val="hr-HR"/>
        </w:rPr>
        <w:t>sti funkcionalnih testova jetre su ili prolazila za vr</w:t>
      </w:r>
      <w:r w:rsidR="00496DAD" w:rsidRPr="00913317">
        <w:rPr>
          <w:szCs w:val="22"/>
          <w:lang w:val="hr-HR"/>
        </w:rPr>
        <w:t>ij</w:t>
      </w:r>
      <w:r w:rsidRPr="00913317">
        <w:rPr>
          <w:szCs w:val="22"/>
          <w:lang w:val="hr-HR"/>
        </w:rPr>
        <w:t>eme terapije bez korekcije doze ili posl</w:t>
      </w:r>
      <w:r w:rsidR="001B7399" w:rsidRPr="00913317">
        <w:rPr>
          <w:szCs w:val="22"/>
          <w:lang w:val="hr-HR"/>
        </w:rPr>
        <w:t>ij</w:t>
      </w:r>
      <w:r w:rsidRPr="00913317">
        <w:rPr>
          <w:szCs w:val="22"/>
          <w:lang w:val="hr-HR"/>
        </w:rPr>
        <w:t xml:space="preserve">e korekcije doze, uključujući prekid terapije. </w:t>
      </w:r>
    </w:p>
    <w:p w14:paraId="6E61F4FC" w14:textId="33C5B73C" w:rsidR="006131C3" w:rsidRDefault="004D45E7" w:rsidP="00D72925">
      <w:pPr>
        <w:rPr>
          <w:szCs w:val="22"/>
          <w:lang w:val="hr-HR"/>
        </w:rPr>
      </w:pPr>
      <w:r w:rsidRPr="00913317">
        <w:rPr>
          <w:szCs w:val="22"/>
          <w:lang w:val="hr-HR"/>
        </w:rPr>
        <w:t>Primjen</w:t>
      </w:r>
      <w:r w:rsidR="00D96EF7" w:rsidRPr="00913317">
        <w:rPr>
          <w:szCs w:val="22"/>
          <w:lang w:val="hr-HR"/>
        </w:rPr>
        <w:t>a vorikonazola je bila udružena sa slučajevima ozbiljne hepatotoksičnosti kod pacijenata sa drugim ozbiljnim osnovnim oboljenjima</w:t>
      </w:r>
      <w:r w:rsidR="00BE6E1E" w:rsidRPr="00913317">
        <w:rPr>
          <w:szCs w:val="22"/>
          <w:lang w:val="hr-HR"/>
        </w:rPr>
        <w:t>. Ovo uključuje slučajeve žutice, hepatitisa i hepatične insuficijencije koja može imati smrtni ishod (</w:t>
      </w:r>
      <w:r w:rsidRPr="00913317">
        <w:rPr>
          <w:szCs w:val="22"/>
          <w:lang w:val="hr-HR"/>
        </w:rPr>
        <w:t xml:space="preserve">vidjeti </w:t>
      </w:r>
      <w:r w:rsidR="00954637" w:rsidRPr="00913317">
        <w:rPr>
          <w:szCs w:val="22"/>
          <w:lang w:val="hr-HR"/>
        </w:rPr>
        <w:t xml:space="preserve">dio </w:t>
      </w:r>
      <w:r w:rsidR="00BE6E1E" w:rsidRPr="00913317">
        <w:rPr>
          <w:szCs w:val="22"/>
          <w:lang w:val="hr-HR"/>
        </w:rPr>
        <w:t>4.4).</w:t>
      </w:r>
    </w:p>
    <w:p w14:paraId="4313405B" w14:textId="77777777" w:rsidR="001D27D4" w:rsidRPr="001D27D4" w:rsidRDefault="001D27D4" w:rsidP="00D72925">
      <w:pPr>
        <w:rPr>
          <w:szCs w:val="22"/>
          <w:lang w:val="hr-HR"/>
        </w:rPr>
      </w:pPr>
    </w:p>
    <w:p w14:paraId="3F005FBB" w14:textId="3D9E9024" w:rsidR="006131C3" w:rsidRPr="001D27D4" w:rsidRDefault="00BE6E1E" w:rsidP="00D72925">
      <w:pPr>
        <w:rPr>
          <w:i/>
          <w:szCs w:val="22"/>
          <w:lang w:val="hr-HR"/>
        </w:rPr>
      </w:pPr>
      <w:r w:rsidRPr="001D27D4">
        <w:rPr>
          <w:i/>
          <w:szCs w:val="22"/>
          <w:lang w:val="hr-HR"/>
        </w:rPr>
        <w:t>Reakcije na m</w:t>
      </w:r>
      <w:r w:rsidR="00C53654" w:rsidRPr="001D27D4">
        <w:rPr>
          <w:i/>
          <w:szCs w:val="22"/>
          <w:lang w:val="hr-HR"/>
        </w:rPr>
        <w:t>j</w:t>
      </w:r>
      <w:r w:rsidRPr="001D27D4">
        <w:rPr>
          <w:i/>
          <w:szCs w:val="22"/>
          <w:lang w:val="hr-HR"/>
        </w:rPr>
        <w:t xml:space="preserve">estu </w:t>
      </w:r>
      <w:r w:rsidR="004D45E7" w:rsidRPr="001D27D4">
        <w:rPr>
          <w:i/>
          <w:szCs w:val="22"/>
          <w:lang w:val="hr-HR"/>
        </w:rPr>
        <w:t>primjen</w:t>
      </w:r>
      <w:r w:rsidRPr="001D27D4">
        <w:rPr>
          <w:i/>
          <w:szCs w:val="22"/>
          <w:lang w:val="hr-HR"/>
        </w:rPr>
        <w:t xml:space="preserve">e infuzije </w:t>
      </w:r>
    </w:p>
    <w:p w14:paraId="0C657043" w14:textId="7A2AEE84" w:rsidR="006131C3" w:rsidRDefault="00BE6E1E" w:rsidP="00D72925">
      <w:pPr>
        <w:pStyle w:val="Header"/>
        <w:tabs>
          <w:tab w:val="clear" w:pos="4536"/>
          <w:tab w:val="clear" w:pos="9072"/>
          <w:tab w:val="left" w:pos="284"/>
        </w:tabs>
        <w:rPr>
          <w:szCs w:val="22"/>
          <w:lang w:val="hr-HR"/>
        </w:rPr>
      </w:pPr>
      <w:r w:rsidRPr="001D27D4">
        <w:rPr>
          <w:szCs w:val="22"/>
          <w:lang w:val="hr-HR"/>
        </w:rPr>
        <w:t xml:space="preserve">Kod </w:t>
      </w:r>
      <w:r w:rsidRPr="00913317">
        <w:rPr>
          <w:szCs w:val="22"/>
          <w:lang w:val="hr-HR"/>
        </w:rPr>
        <w:t>zdravih dobrovoljaca je za vr</w:t>
      </w:r>
      <w:r w:rsidR="00C53654" w:rsidRPr="00913317">
        <w:rPr>
          <w:szCs w:val="22"/>
          <w:lang w:val="hr-HR"/>
        </w:rPr>
        <w:t>ij</w:t>
      </w:r>
      <w:r w:rsidRPr="00913317">
        <w:rPr>
          <w:szCs w:val="22"/>
          <w:lang w:val="hr-HR"/>
        </w:rPr>
        <w:t>eme intravenske infuzije vorikonazola opisana pojava anafilaktoidnih reakcija, uključujući</w:t>
      </w:r>
      <w:r w:rsidR="006A3536" w:rsidRPr="00913317">
        <w:rPr>
          <w:szCs w:val="22"/>
          <w:lang w:val="hr-HR"/>
        </w:rPr>
        <w:t xml:space="preserve"> crvenilo</w:t>
      </w:r>
      <w:r w:rsidRPr="00913317">
        <w:rPr>
          <w:szCs w:val="22"/>
          <w:lang w:val="hr-HR"/>
        </w:rPr>
        <w:t xml:space="preserve">, </w:t>
      </w:r>
      <w:r w:rsidR="00F12304" w:rsidRPr="00913317">
        <w:rPr>
          <w:szCs w:val="22"/>
          <w:lang w:val="hr-HR"/>
        </w:rPr>
        <w:t>povišenu t</w:t>
      </w:r>
      <w:r w:rsidR="00C53654" w:rsidRPr="00913317">
        <w:rPr>
          <w:szCs w:val="22"/>
          <w:lang w:val="hr-HR"/>
        </w:rPr>
        <w:t>j</w:t>
      </w:r>
      <w:r w:rsidR="00F12304" w:rsidRPr="00913317">
        <w:rPr>
          <w:szCs w:val="22"/>
          <w:lang w:val="hr-HR"/>
        </w:rPr>
        <w:t>elesnu temperaturu</w:t>
      </w:r>
      <w:r w:rsidRPr="00913317">
        <w:rPr>
          <w:szCs w:val="22"/>
          <w:lang w:val="hr-HR"/>
        </w:rPr>
        <w:t xml:space="preserve">, znojenje, tahikardiju, </w:t>
      </w:r>
      <w:r w:rsidR="00D061E1" w:rsidRPr="00913317">
        <w:rPr>
          <w:szCs w:val="22"/>
          <w:lang w:val="hr-HR"/>
        </w:rPr>
        <w:t xml:space="preserve">stezanje </w:t>
      </w:r>
      <w:r w:rsidRPr="00913317">
        <w:rPr>
          <w:szCs w:val="22"/>
          <w:lang w:val="hr-HR"/>
        </w:rPr>
        <w:t>u grudima, nedostatak daha, nesv</w:t>
      </w:r>
      <w:r w:rsidR="00C53654" w:rsidRPr="00913317">
        <w:rPr>
          <w:szCs w:val="22"/>
          <w:lang w:val="hr-HR"/>
        </w:rPr>
        <w:t>j</w:t>
      </w:r>
      <w:r w:rsidRPr="00913317">
        <w:rPr>
          <w:szCs w:val="22"/>
          <w:lang w:val="hr-HR"/>
        </w:rPr>
        <w:t>esticu, mučninu, svrab i os</w:t>
      </w:r>
      <w:r w:rsidR="00F12304" w:rsidRPr="00913317">
        <w:rPr>
          <w:szCs w:val="22"/>
          <w:lang w:val="hr-HR"/>
        </w:rPr>
        <w:t>ip</w:t>
      </w:r>
      <w:r w:rsidRPr="00913317">
        <w:rPr>
          <w:szCs w:val="22"/>
          <w:lang w:val="hr-HR"/>
        </w:rPr>
        <w:t>. Simptomi se javljaju odmah po započinjanju infuzije (</w:t>
      </w:r>
      <w:r w:rsidR="004D45E7" w:rsidRPr="00913317">
        <w:rPr>
          <w:szCs w:val="22"/>
          <w:lang w:val="hr-HR"/>
        </w:rPr>
        <w:t xml:space="preserve">vidjeti </w:t>
      </w:r>
      <w:r w:rsidR="00954637" w:rsidRPr="00913317">
        <w:rPr>
          <w:szCs w:val="22"/>
          <w:lang w:val="hr-HR"/>
        </w:rPr>
        <w:t>dio</w:t>
      </w:r>
      <w:r w:rsidRPr="00913317">
        <w:rPr>
          <w:szCs w:val="22"/>
          <w:lang w:val="hr-HR"/>
        </w:rPr>
        <w:t xml:space="preserve"> 4.4).</w:t>
      </w:r>
    </w:p>
    <w:p w14:paraId="0DB14ABB" w14:textId="52BE0F34" w:rsidR="001D27D4" w:rsidRPr="001D27D4" w:rsidRDefault="001D27D4" w:rsidP="00D72925">
      <w:pPr>
        <w:pStyle w:val="Header"/>
        <w:tabs>
          <w:tab w:val="clear" w:pos="4536"/>
          <w:tab w:val="clear" w:pos="9072"/>
          <w:tab w:val="left" w:pos="284"/>
        </w:tabs>
        <w:rPr>
          <w:szCs w:val="22"/>
          <w:lang w:val="hr-HR"/>
        </w:rPr>
      </w:pPr>
    </w:p>
    <w:p w14:paraId="2A908053" w14:textId="77777777" w:rsidR="006131C3" w:rsidRPr="001D27D4" w:rsidRDefault="00BE6E1E" w:rsidP="00D72925">
      <w:pPr>
        <w:rPr>
          <w:i/>
          <w:szCs w:val="22"/>
          <w:lang w:val="hr-HR"/>
        </w:rPr>
      </w:pPr>
      <w:r w:rsidRPr="001D27D4">
        <w:rPr>
          <w:i/>
          <w:szCs w:val="22"/>
          <w:lang w:val="hr-HR"/>
        </w:rPr>
        <w:t>Profilaksa</w:t>
      </w:r>
    </w:p>
    <w:p w14:paraId="0497BCA8" w14:textId="1E284531" w:rsidR="006131C3" w:rsidRDefault="00BE6E1E" w:rsidP="00D72925">
      <w:pPr>
        <w:pStyle w:val="Header"/>
        <w:tabs>
          <w:tab w:val="clear" w:pos="4536"/>
          <w:tab w:val="clear" w:pos="9072"/>
          <w:tab w:val="left" w:pos="284"/>
        </w:tabs>
        <w:rPr>
          <w:szCs w:val="22"/>
          <w:lang w:val="hr-HR"/>
        </w:rPr>
      </w:pPr>
      <w:r w:rsidRPr="00913317">
        <w:rPr>
          <w:szCs w:val="22"/>
          <w:lang w:val="hr-HR"/>
        </w:rPr>
        <w:t xml:space="preserve">U otvorenoj, komparativnoj, multicentričnoj studiji koja je poredila vorikonazol i itrakonazol u primarnoj profilaksi kod odraslih i adolescenata, primalaca alogenog transplantata hematopoetskih matičnih ćelija bez prethodno dokazane ili suspektne invazivne gljivične infekcije, </w:t>
      </w:r>
      <w:r w:rsidR="003204CC" w:rsidRPr="00913317">
        <w:rPr>
          <w:szCs w:val="22"/>
          <w:lang w:val="hr-HR"/>
        </w:rPr>
        <w:t>zabilje</w:t>
      </w:r>
      <w:r w:rsidRPr="00913317">
        <w:rPr>
          <w:szCs w:val="22"/>
          <w:lang w:val="hr-HR"/>
        </w:rPr>
        <w:t>žen je trajni prekid terapije vorikozanolom zbog neželjenih događaja kod 39,3% ispitanika u odnosu na 39,6% u grupi koja je primala itrakonazol. Neželjeni događaji na jetri izazvani l</w:t>
      </w:r>
      <w:r w:rsidR="00C53654" w:rsidRPr="00913317">
        <w:rPr>
          <w:szCs w:val="22"/>
          <w:lang w:val="hr-HR"/>
        </w:rPr>
        <w:t>ij</w:t>
      </w:r>
      <w:r w:rsidRPr="00913317">
        <w:rPr>
          <w:szCs w:val="22"/>
          <w:lang w:val="hr-HR"/>
        </w:rPr>
        <w:t>ečenjem doveli su do trajnog prekida l</w:t>
      </w:r>
      <w:r w:rsidR="00C53654" w:rsidRPr="00913317">
        <w:rPr>
          <w:szCs w:val="22"/>
          <w:lang w:val="hr-HR"/>
        </w:rPr>
        <w:t>ij</w:t>
      </w:r>
      <w:r w:rsidRPr="00913317">
        <w:rPr>
          <w:szCs w:val="22"/>
          <w:lang w:val="hr-HR"/>
        </w:rPr>
        <w:t>ečenja vorikonazolom kod 50 ispitanika (21,4%), odnosno do trajnog prekida l</w:t>
      </w:r>
      <w:r w:rsidR="00C53654" w:rsidRPr="00913317">
        <w:rPr>
          <w:szCs w:val="22"/>
          <w:lang w:val="hr-HR"/>
        </w:rPr>
        <w:t>ij</w:t>
      </w:r>
      <w:r w:rsidRPr="00913317">
        <w:rPr>
          <w:szCs w:val="22"/>
          <w:lang w:val="hr-HR"/>
        </w:rPr>
        <w:t xml:space="preserve">ečenja itrakonazolom kod 18 pacijenata (7,1%). </w:t>
      </w:r>
    </w:p>
    <w:p w14:paraId="09F3213A" w14:textId="77777777" w:rsidR="001D27D4" w:rsidRPr="00913317" w:rsidRDefault="001D27D4" w:rsidP="00D72925">
      <w:pPr>
        <w:pStyle w:val="Header"/>
        <w:tabs>
          <w:tab w:val="clear" w:pos="4536"/>
          <w:tab w:val="clear" w:pos="9072"/>
          <w:tab w:val="left" w:pos="284"/>
        </w:tabs>
        <w:rPr>
          <w:szCs w:val="22"/>
          <w:lang w:val="hr-HR"/>
        </w:rPr>
      </w:pPr>
    </w:p>
    <w:p w14:paraId="4C2D3DF7" w14:textId="77777777" w:rsidR="006131C3" w:rsidRPr="00913317" w:rsidRDefault="00BE6E1E" w:rsidP="00D72925">
      <w:pPr>
        <w:rPr>
          <w:i/>
          <w:szCs w:val="22"/>
          <w:lang w:val="hr-HR"/>
        </w:rPr>
      </w:pPr>
      <w:r w:rsidRPr="00913317">
        <w:rPr>
          <w:i/>
          <w:szCs w:val="22"/>
          <w:lang w:val="hr-HR"/>
        </w:rPr>
        <w:t>Pedijatrijska populacija</w:t>
      </w:r>
    </w:p>
    <w:p w14:paraId="7EAF0AC3" w14:textId="61434783" w:rsidR="006131C3" w:rsidRPr="00913317" w:rsidRDefault="003204CC" w:rsidP="00D72925">
      <w:pPr>
        <w:pStyle w:val="Header"/>
        <w:tabs>
          <w:tab w:val="clear" w:pos="4536"/>
          <w:tab w:val="clear" w:pos="9072"/>
          <w:tab w:val="left" w:pos="284"/>
        </w:tabs>
        <w:rPr>
          <w:szCs w:val="22"/>
          <w:lang w:val="hr-HR"/>
        </w:rPr>
      </w:pPr>
      <w:r w:rsidRPr="00913317">
        <w:rPr>
          <w:szCs w:val="22"/>
          <w:lang w:val="hr-HR"/>
        </w:rPr>
        <w:t>Bezbjedn</w:t>
      </w:r>
      <w:r w:rsidR="00BE6E1E" w:rsidRPr="00913317">
        <w:rPr>
          <w:szCs w:val="22"/>
          <w:lang w:val="hr-HR"/>
        </w:rPr>
        <w:t>ost vorikonazola ispitivana je kod 288 pedijatrijskih pacijenata, uzrasta od 2 do &lt; 12 godina (169) i uzrasta 12 do &lt; 18</w:t>
      </w:r>
      <w:r w:rsidR="004067EB" w:rsidRPr="00913317">
        <w:rPr>
          <w:szCs w:val="22"/>
          <w:lang w:val="hr-HR"/>
        </w:rPr>
        <w:t> </w:t>
      </w:r>
      <w:r w:rsidR="00BE6E1E" w:rsidRPr="00913317">
        <w:rPr>
          <w:szCs w:val="22"/>
          <w:lang w:val="hr-HR"/>
        </w:rPr>
        <w:t xml:space="preserve">godina (119), koji su primali vorikonazol za profilaksu (183) i u terapiji (105) tokom kliničkih studija. </w:t>
      </w:r>
      <w:r w:rsidRPr="00913317">
        <w:rPr>
          <w:szCs w:val="22"/>
          <w:lang w:val="hr-HR"/>
        </w:rPr>
        <w:t>Bezbjedn</w:t>
      </w:r>
      <w:r w:rsidR="00BE6E1E" w:rsidRPr="00913317">
        <w:rPr>
          <w:szCs w:val="22"/>
          <w:lang w:val="hr-HR"/>
        </w:rPr>
        <w:t>ost vorikonazola je ispitivana i kod 158 dodatnih pedijatrijskih pacijenata uzrasta od 2 do &lt; 12</w:t>
      </w:r>
      <w:r w:rsidR="004067EB" w:rsidRPr="00913317">
        <w:rPr>
          <w:szCs w:val="22"/>
          <w:lang w:val="hr-HR"/>
        </w:rPr>
        <w:t> </w:t>
      </w:r>
      <w:r w:rsidR="00BE6E1E" w:rsidRPr="00913317">
        <w:rPr>
          <w:szCs w:val="22"/>
          <w:lang w:val="hr-HR"/>
        </w:rPr>
        <w:t xml:space="preserve">godina u okviru programa </w:t>
      </w:r>
      <w:r w:rsidR="004D45E7" w:rsidRPr="00913317">
        <w:rPr>
          <w:szCs w:val="22"/>
          <w:lang w:val="hr-HR"/>
        </w:rPr>
        <w:t>primjen</w:t>
      </w:r>
      <w:r w:rsidR="00BE6E1E" w:rsidRPr="00913317">
        <w:rPr>
          <w:szCs w:val="22"/>
          <w:lang w:val="hr-HR"/>
        </w:rPr>
        <w:t xml:space="preserve">e </w:t>
      </w:r>
      <w:r w:rsidR="004D45E7" w:rsidRPr="00913317">
        <w:rPr>
          <w:szCs w:val="22"/>
          <w:lang w:val="hr-HR"/>
        </w:rPr>
        <w:t>lijek</w:t>
      </w:r>
      <w:r w:rsidR="00BE6E1E" w:rsidRPr="00913317">
        <w:rPr>
          <w:szCs w:val="22"/>
          <w:lang w:val="hr-HR"/>
        </w:rPr>
        <w:t>a iz milosrđa. Uopšteno</w:t>
      </w:r>
      <w:r w:rsidR="000459D0" w:rsidRPr="00913317">
        <w:rPr>
          <w:szCs w:val="22"/>
          <w:lang w:val="hr-HR"/>
        </w:rPr>
        <w:t>,</w:t>
      </w:r>
      <w:r w:rsidR="00BE6E1E" w:rsidRPr="00913317">
        <w:rPr>
          <w:szCs w:val="22"/>
          <w:lang w:val="hr-HR"/>
        </w:rPr>
        <w:t xml:space="preserve"> </w:t>
      </w:r>
      <w:r w:rsidRPr="00913317">
        <w:rPr>
          <w:szCs w:val="22"/>
          <w:lang w:val="hr-HR"/>
        </w:rPr>
        <w:t>bezbjedn</w:t>
      </w:r>
      <w:r w:rsidR="00BE6E1E" w:rsidRPr="00913317">
        <w:rPr>
          <w:szCs w:val="22"/>
          <w:lang w:val="hr-HR"/>
        </w:rPr>
        <w:t>osni profil vorikonazola kod pedijatrijskih pacijenata bio je sličan kao kod odraslih. Međutim, u odnosu na odrasle pacijente, kod pedijatrijskih pacijenata prim</w:t>
      </w:r>
      <w:r w:rsidR="000459D0" w:rsidRPr="00913317">
        <w:rPr>
          <w:szCs w:val="22"/>
          <w:lang w:val="hr-HR"/>
        </w:rPr>
        <w:t>ij</w:t>
      </w:r>
      <w:r w:rsidR="00BE6E1E" w:rsidRPr="00913317">
        <w:rPr>
          <w:szCs w:val="22"/>
          <w:lang w:val="hr-HR"/>
        </w:rPr>
        <w:t xml:space="preserve">ećen je trend povećanja </w:t>
      </w:r>
      <w:r w:rsidR="004D45E7" w:rsidRPr="00913317">
        <w:rPr>
          <w:szCs w:val="22"/>
          <w:lang w:val="hr-HR"/>
        </w:rPr>
        <w:t>vrijedno</w:t>
      </w:r>
      <w:r w:rsidR="00BE6E1E" w:rsidRPr="00913317">
        <w:rPr>
          <w:szCs w:val="22"/>
          <w:lang w:val="hr-HR"/>
        </w:rPr>
        <w:t xml:space="preserve">sti enzima jetre, što je prijavljeno kao neželjeni događaj u kliničkim studijama (14,2% povišena </w:t>
      </w:r>
      <w:r w:rsidR="004D45E7" w:rsidRPr="00913317">
        <w:rPr>
          <w:szCs w:val="22"/>
          <w:lang w:val="hr-HR"/>
        </w:rPr>
        <w:t>vrijedno</w:t>
      </w:r>
      <w:r w:rsidR="00BE6E1E" w:rsidRPr="00913317">
        <w:rPr>
          <w:szCs w:val="22"/>
          <w:lang w:val="hr-HR"/>
        </w:rPr>
        <w:t xml:space="preserve">st transaminaza kod pedijatrijske populacije u odnosu na 5,3% kod odraslih). Postmarketinški podaci pokazuju da se reakcije na koži (naročito eritem) mogu javiti češće u pedijatrijskoj populaciji nego kod odraslih. Kod 22 pacijenta </w:t>
      </w:r>
      <w:r w:rsidR="006C3F92" w:rsidRPr="00913317">
        <w:rPr>
          <w:szCs w:val="22"/>
          <w:lang w:val="hr-HR"/>
        </w:rPr>
        <w:t>ml</w:t>
      </w:r>
      <w:r w:rsidR="00BE6E1E" w:rsidRPr="00913317">
        <w:rPr>
          <w:szCs w:val="22"/>
          <w:lang w:val="hr-HR"/>
        </w:rPr>
        <w:t xml:space="preserve">ađa od 2 godine koji su primili vorikonazol u okviru programa </w:t>
      </w:r>
      <w:r w:rsidR="004D45E7" w:rsidRPr="00913317">
        <w:rPr>
          <w:szCs w:val="22"/>
          <w:lang w:val="hr-HR"/>
        </w:rPr>
        <w:t>primjen</w:t>
      </w:r>
      <w:r w:rsidR="00BE6E1E" w:rsidRPr="00913317">
        <w:rPr>
          <w:szCs w:val="22"/>
          <w:lang w:val="hr-HR"/>
        </w:rPr>
        <w:t xml:space="preserve">e </w:t>
      </w:r>
      <w:r w:rsidR="004D45E7" w:rsidRPr="00913317">
        <w:rPr>
          <w:szCs w:val="22"/>
          <w:lang w:val="hr-HR"/>
        </w:rPr>
        <w:t>lijek</w:t>
      </w:r>
      <w:r w:rsidR="00BE6E1E" w:rsidRPr="00913317">
        <w:rPr>
          <w:szCs w:val="22"/>
          <w:lang w:val="hr-HR"/>
        </w:rPr>
        <w:t>a iz milosrđa, prijavljene su sl</w:t>
      </w:r>
      <w:r w:rsidR="000459D0" w:rsidRPr="00913317">
        <w:rPr>
          <w:szCs w:val="22"/>
          <w:lang w:val="hr-HR"/>
        </w:rPr>
        <w:t>j</w:t>
      </w:r>
      <w:r w:rsidR="00BE6E1E" w:rsidRPr="00913317">
        <w:rPr>
          <w:szCs w:val="22"/>
          <w:lang w:val="hr-HR"/>
        </w:rPr>
        <w:t xml:space="preserve">edeće neželjene reakcije (za koje povezanost sa vorikonazolom ne može biti isključena): fotosenzitivne </w:t>
      </w:r>
      <w:r w:rsidR="00BE6E1E" w:rsidRPr="00913317">
        <w:rPr>
          <w:spacing w:val="-2"/>
          <w:szCs w:val="22"/>
          <w:lang w:val="hr-HR"/>
        </w:rPr>
        <w:t>reakcije (1), aritmija (1), pankreatitis (1), povećanje bilirubina u krvi (1), povećanje enzima jetre (1), osip (1)</w:t>
      </w:r>
      <w:r w:rsidR="00BE6E1E" w:rsidRPr="00913317">
        <w:rPr>
          <w:szCs w:val="22"/>
          <w:lang w:val="hr-HR"/>
        </w:rPr>
        <w:t xml:space="preserve"> i edem papile (1). U postmarketinškom periodu prijavljeni su slučajevi pankreatitisa kod pedijatrijskih pacijenata.</w:t>
      </w:r>
    </w:p>
    <w:p w14:paraId="1C3CD979" w14:textId="77777777" w:rsidR="006131C3" w:rsidRPr="00913317" w:rsidRDefault="006131C3" w:rsidP="00D72925">
      <w:pPr>
        <w:rPr>
          <w:color w:val="FF0000"/>
          <w:szCs w:val="22"/>
          <w:u w:val="single"/>
          <w:lang w:val="hr-HR"/>
        </w:rPr>
      </w:pPr>
    </w:p>
    <w:p w14:paraId="7DA1B111" w14:textId="77777777" w:rsidR="00096DB7" w:rsidRPr="00913317" w:rsidRDefault="00096DB7" w:rsidP="00D72925">
      <w:pPr>
        <w:rPr>
          <w:rFonts w:eastAsia="Calibri"/>
          <w:szCs w:val="22"/>
          <w:u w:val="single"/>
          <w:lang w:val="hr-HR"/>
        </w:rPr>
      </w:pPr>
      <w:r w:rsidRPr="00913317">
        <w:rPr>
          <w:rFonts w:eastAsia="Calibri"/>
          <w:szCs w:val="22"/>
          <w:u w:val="single"/>
          <w:lang w:val="hr-HR"/>
        </w:rPr>
        <w:t>Prijavljivanje sumnji na neželjena dejstva</w:t>
      </w:r>
    </w:p>
    <w:p w14:paraId="3F12E3DE" w14:textId="4DCFCE81" w:rsidR="00096DB7" w:rsidRPr="00913317" w:rsidRDefault="00096DB7" w:rsidP="00D72925">
      <w:pPr>
        <w:rPr>
          <w:rFonts w:eastAsia="Calibri"/>
          <w:szCs w:val="22"/>
          <w:lang w:val="hr-HR"/>
        </w:rPr>
      </w:pPr>
      <w:r w:rsidRPr="00913317">
        <w:rPr>
          <w:rFonts w:eastAsia="Calibri"/>
          <w:szCs w:val="22"/>
          <w:lang w:val="hr-HR"/>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126C1C" w:rsidRPr="00913317">
        <w:rPr>
          <w:rFonts w:eastAsia="Calibri"/>
          <w:szCs w:val="22"/>
          <w:lang w:val="hr-HR"/>
        </w:rPr>
        <w:t xml:space="preserve">Institutu </w:t>
      </w:r>
      <w:r w:rsidRPr="00913317">
        <w:rPr>
          <w:rFonts w:eastAsia="Calibri"/>
          <w:szCs w:val="22"/>
          <w:lang w:val="hr-HR"/>
        </w:rPr>
        <w:t>za ljekove i medicinska sredstva (</w:t>
      </w:r>
      <w:r w:rsidR="00126C1C" w:rsidRPr="00913317">
        <w:rPr>
          <w:rFonts w:eastAsia="Calibri"/>
          <w:szCs w:val="22"/>
          <w:lang w:val="hr-HR"/>
        </w:rPr>
        <w:t>CInMED</w:t>
      </w:r>
      <w:r w:rsidRPr="00913317">
        <w:rPr>
          <w:rFonts w:eastAsia="Calibri"/>
          <w:szCs w:val="22"/>
          <w:lang w:val="hr-HR"/>
        </w:rPr>
        <w:t>):</w:t>
      </w:r>
    </w:p>
    <w:p w14:paraId="52BC9DE1" w14:textId="719AC2AE" w:rsidR="00096DB7" w:rsidRPr="00913317" w:rsidRDefault="00126C1C" w:rsidP="00D72925">
      <w:pPr>
        <w:pStyle w:val="NoSpacing"/>
        <w:jc w:val="both"/>
        <w:rPr>
          <w:rFonts w:eastAsia="Calibri"/>
          <w:sz w:val="22"/>
          <w:szCs w:val="22"/>
          <w:lang w:val="hr-HR"/>
        </w:rPr>
      </w:pPr>
      <w:r w:rsidRPr="00913317">
        <w:rPr>
          <w:rFonts w:eastAsia="Calibri"/>
          <w:sz w:val="22"/>
          <w:szCs w:val="22"/>
          <w:lang w:val="hr-HR"/>
        </w:rPr>
        <w:t xml:space="preserve">Institut </w:t>
      </w:r>
      <w:r w:rsidR="00096DB7" w:rsidRPr="00913317">
        <w:rPr>
          <w:rFonts w:eastAsia="Calibri"/>
          <w:sz w:val="22"/>
          <w:szCs w:val="22"/>
          <w:lang w:val="hr-HR"/>
        </w:rPr>
        <w:t>za ljekove i medicinska sredstva</w:t>
      </w:r>
    </w:p>
    <w:p w14:paraId="29019F99" w14:textId="77777777" w:rsidR="00096DB7" w:rsidRPr="00913317" w:rsidRDefault="00096DB7" w:rsidP="00D72925">
      <w:pPr>
        <w:pStyle w:val="NoSpacing"/>
        <w:jc w:val="both"/>
        <w:rPr>
          <w:rFonts w:eastAsia="Calibri"/>
          <w:sz w:val="22"/>
          <w:szCs w:val="22"/>
          <w:lang w:val="hr-HR"/>
        </w:rPr>
      </w:pPr>
      <w:r w:rsidRPr="00913317">
        <w:rPr>
          <w:rFonts w:eastAsia="Calibri"/>
          <w:sz w:val="22"/>
          <w:szCs w:val="22"/>
          <w:lang w:val="hr-HR"/>
        </w:rPr>
        <w:t>Odjeljenje za farmakovigilancu</w:t>
      </w:r>
    </w:p>
    <w:p w14:paraId="3E5488C6" w14:textId="77777777" w:rsidR="00096DB7" w:rsidRPr="00913317" w:rsidRDefault="00096DB7" w:rsidP="00D72925">
      <w:pPr>
        <w:pStyle w:val="NoSpacing"/>
        <w:jc w:val="both"/>
        <w:rPr>
          <w:rFonts w:eastAsia="Calibri"/>
          <w:sz w:val="22"/>
          <w:szCs w:val="22"/>
          <w:lang w:val="hr-HR"/>
        </w:rPr>
      </w:pPr>
      <w:r w:rsidRPr="00913317">
        <w:rPr>
          <w:rFonts w:eastAsia="Calibri"/>
          <w:sz w:val="22"/>
          <w:szCs w:val="22"/>
          <w:lang w:val="hr-HR"/>
        </w:rPr>
        <w:t>Bulevar Ivana Crnojevića 64a, 81000 Podgorica</w:t>
      </w:r>
    </w:p>
    <w:p w14:paraId="4C0FE5C0" w14:textId="77777777" w:rsidR="00096DB7" w:rsidRPr="00913317" w:rsidRDefault="00096DB7" w:rsidP="00D72925">
      <w:pPr>
        <w:pStyle w:val="NoSpacing"/>
        <w:jc w:val="both"/>
        <w:rPr>
          <w:rFonts w:eastAsia="Calibri"/>
          <w:sz w:val="22"/>
          <w:szCs w:val="22"/>
          <w:lang w:val="hr-HR"/>
        </w:rPr>
      </w:pPr>
    </w:p>
    <w:p w14:paraId="18EDDE14" w14:textId="77777777" w:rsidR="00096DB7" w:rsidRPr="00913317" w:rsidRDefault="00096DB7" w:rsidP="00D72925">
      <w:pPr>
        <w:pStyle w:val="NoSpacing"/>
        <w:jc w:val="both"/>
        <w:rPr>
          <w:rFonts w:eastAsia="Calibri"/>
          <w:sz w:val="22"/>
          <w:szCs w:val="22"/>
          <w:lang w:val="hr-HR"/>
        </w:rPr>
      </w:pPr>
      <w:r w:rsidRPr="00913317">
        <w:rPr>
          <w:rFonts w:eastAsia="Calibri"/>
          <w:sz w:val="22"/>
          <w:szCs w:val="22"/>
          <w:lang w:val="hr-HR"/>
        </w:rPr>
        <w:t>tel: +382 (0) 20 310 280</w:t>
      </w:r>
    </w:p>
    <w:p w14:paraId="786D6B3F" w14:textId="77777777" w:rsidR="00096DB7" w:rsidRPr="00913317" w:rsidRDefault="00096DB7" w:rsidP="00D72925">
      <w:pPr>
        <w:pStyle w:val="NoSpacing"/>
        <w:jc w:val="both"/>
        <w:rPr>
          <w:rFonts w:eastAsia="Calibri"/>
          <w:sz w:val="22"/>
          <w:szCs w:val="22"/>
          <w:lang w:val="hr-HR"/>
        </w:rPr>
      </w:pPr>
      <w:r w:rsidRPr="00913317">
        <w:rPr>
          <w:rFonts w:eastAsia="Calibri"/>
          <w:sz w:val="22"/>
          <w:szCs w:val="22"/>
          <w:lang w:val="hr-HR"/>
        </w:rPr>
        <w:t>fax: +382 (0) 20 310 581</w:t>
      </w:r>
    </w:p>
    <w:p w14:paraId="18B842C1" w14:textId="592B8D43" w:rsidR="00096DB7" w:rsidRPr="00913317" w:rsidRDefault="0054718D" w:rsidP="00D72925">
      <w:pPr>
        <w:pStyle w:val="NoSpacing"/>
        <w:jc w:val="both"/>
        <w:rPr>
          <w:rFonts w:eastAsia="Calibri"/>
          <w:sz w:val="22"/>
          <w:szCs w:val="22"/>
          <w:lang w:val="hr-HR"/>
        </w:rPr>
      </w:pPr>
      <w:hyperlink r:id="rId8" w:history="1">
        <w:r w:rsidR="00126C1C" w:rsidRPr="00913317">
          <w:rPr>
            <w:rStyle w:val="Hyperlink"/>
            <w:rFonts w:eastAsia="Calibri"/>
            <w:sz w:val="22"/>
            <w:szCs w:val="22"/>
            <w:lang w:val="hr-HR"/>
          </w:rPr>
          <w:t>www.cinmed.me</w:t>
        </w:r>
      </w:hyperlink>
    </w:p>
    <w:p w14:paraId="6FE5AB1F" w14:textId="76D72D83" w:rsidR="00096DB7" w:rsidRPr="00913317" w:rsidRDefault="0054718D" w:rsidP="00D72925">
      <w:pPr>
        <w:pStyle w:val="NoSpacing"/>
        <w:jc w:val="both"/>
        <w:rPr>
          <w:rFonts w:eastAsia="Calibri"/>
          <w:color w:val="0000FF"/>
          <w:sz w:val="22"/>
          <w:szCs w:val="22"/>
          <w:u w:val="single"/>
          <w:lang w:val="hr-HR"/>
        </w:rPr>
      </w:pPr>
      <w:hyperlink r:id="rId9" w:history="1">
        <w:r w:rsidR="00126C1C" w:rsidRPr="00913317">
          <w:rPr>
            <w:rStyle w:val="Hyperlink"/>
            <w:rFonts w:eastAsia="Calibri"/>
            <w:sz w:val="22"/>
            <w:szCs w:val="22"/>
            <w:lang w:val="hr-HR"/>
          </w:rPr>
          <w:t>nezeljenadejstva@cinmed.me</w:t>
        </w:r>
      </w:hyperlink>
    </w:p>
    <w:p w14:paraId="58E2A944" w14:textId="18D41C00" w:rsidR="00096DB7" w:rsidRPr="00913317" w:rsidRDefault="00096DB7" w:rsidP="00D72925">
      <w:pPr>
        <w:pStyle w:val="NoSpacing"/>
        <w:jc w:val="both"/>
        <w:rPr>
          <w:rFonts w:eastAsia="Calibri"/>
          <w:sz w:val="22"/>
          <w:szCs w:val="22"/>
          <w:lang w:val="hr-HR"/>
        </w:rPr>
      </w:pPr>
      <w:r w:rsidRPr="00913317">
        <w:rPr>
          <w:rFonts w:eastAsia="Calibri"/>
          <w:sz w:val="22"/>
          <w:szCs w:val="22"/>
          <w:lang w:val="hr-HR"/>
        </w:rPr>
        <w:t>putem IS zdravstvene zaštite</w:t>
      </w:r>
    </w:p>
    <w:p w14:paraId="270D8D42" w14:textId="77777777" w:rsidR="001B7399" w:rsidRPr="003307B5" w:rsidRDefault="001B7399" w:rsidP="00D72925">
      <w:pPr>
        <w:pStyle w:val="NoSpacing"/>
        <w:jc w:val="both"/>
        <w:rPr>
          <w:rFonts w:eastAsia="Calibri"/>
          <w:sz w:val="22"/>
          <w:szCs w:val="22"/>
          <w:lang w:val="sr-Latn-RS"/>
        </w:rPr>
      </w:pPr>
      <w:r w:rsidRPr="008C59C8">
        <w:rPr>
          <w:rFonts w:eastAsia="Calibri"/>
          <w:sz w:val="22"/>
          <w:szCs w:val="22"/>
          <w:lang w:val="sr-Latn-RS"/>
        </w:rPr>
        <w:lastRenderedPageBreak/>
        <w:t>QR kod za online</w:t>
      </w:r>
      <w:r w:rsidRPr="003307B5">
        <w:rPr>
          <w:rFonts w:eastAsia="Calibri"/>
          <w:sz w:val="22"/>
          <w:szCs w:val="22"/>
          <w:lang w:val="sr-Latn-RS"/>
        </w:rPr>
        <w:t xml:space="preserve"> prijavu sumnje na neželjeno dejstvo lijeka:</w:t>
      </w:r>
    </w:p>
    <w:p w14:paraId="1C42E745" w14:textId="4FFE20E8" w:rsidR="001B7399" w:rsidRPr="00913317" w:rsidRDefault="001B7399" w:rsidP="00D72925">
      <w:pPr>
        <w:pStyle w:val="NoSpacing"/>
        <w:jc w:val="both"/>
        <w:rPr>
          <w:rFonts w:eastAsia="Calibri"/>
          <w:sz w:val="22"/>
          <w:szCs w:val="22"/>
          <w:lang w:val="hr-HR"/>
        </w:rPr>
      </w:pPr>
      <w:r w:rsidRPr="00913317">
        <w:rPr>
          <w:rFonts w:eastAsia="Calibri"/>
          <w:noProof/>
          <w:sz w:val="22"/>
          <w:szCs w:val="22"/>
        </w:rPr>
        <w:drawing>
          <wp:inline distT="0" distB="0" distL="0" distR="0" wp14:anchorId="32C338D6" wp14:editId="0D354754">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1EADCFF4" w14:textId="77777777" w:rsidR="006131C3" w:rsidRPr="00913317" w:rsidRDefault="006131C3" w:rsidP="00D72925">
      <w:pPr>
        <w:rPr>
          <w:color w:val="FF0000"/>
          <w:szCs w:val="22"/>
          <w:lang w:val="hr-HR"/>
        </w:rPr>
      </w:pPr>
    </w:p>
    <w:p w14:paraId="0D0F9158" w14:textId="37F9E331" w:rsidR="006131C3" w:rsidRPr="009C1794" w:rsidRDefault="00CE09F3" w:rsidP="00D72925">
      <w:pPr>
        <w:rPr>
          <w:b/>
          <w:bCs/>
          <w:szCs w:val="22"/>
          <w:lang w:val="hr-HR"/>
        </w:rPr>
      </w:pPr>
      <w:r w:rsidRPr="008C59C8">
        <w:rPr>
          <w:b/>
          <w:bCs/>
          <w:szCs w:val="22"/>
          <w:lang w:val="hr-HR"/>
        </w:rPr>
        <w:t>4.9</w:t>
      </w:r>
      <w:r w:rsidR="00126C1C" w:rsidRPr="003307B5">
        <w:rPr>
          <w:b/>
          <w:bCs/>
          <w:szCs w:val="22"/>
          <w:lang w:val="hr-HR"/>
        </w:rPr>
        <w:t>.</w:t>
      </w:r>
      <w:r w:rsidR="00126C1C" w:rsidRPr="003307B5">
        <w:rPr>
          <w:b/>
          <w:bCs/>
          <w:szCs w:val="22"/>
          <w:lang w:val="hr-HR"/>
        </w:rPr>
        <w:tab/>
      </w:r>
      <w:r w:rsidRPr="003307B5">
        <w:rPr>
          <w:b/>
          <w:bCs/>
          <w:szCs w:val="22"/>
          <w:lang w:val="hr-HR"/>
        </w:rPr>
        <w:t>Predoziranje</w:t>
      </w:r>
    </w:p>
    <w:p w14:paraId="29479E4F" w14:textId="77777777" w:rsidR="006131C3" w:rsidRPr="00913317" w:rsidRDefault="006131C3" w:rsidP="00D72925">
      <w:pPr>
        <w:rPr>
          <w:color w:val="FF0000"/>
          <w:szCs w:val="22"/>
          <w:lang w:val="hr-HR"/>
        </w:rPr>
      </w:pPr>
    </w:p>
    <w:p w14:paraId="3B90FF29" w14:textId="0117BD15" w:rsidR="006131C3" w:rsidRPr="00913317" w:rsidRDefault="00BE6E1E" w:rsidP="00D72925">
      <w:pPr>
        <w:rPr>
          <w:szCs w:val="22"/>
          <w:lang w:val="hr-HR"/>
        </w:rPr>
      </w:pPr>
      <w:r w:rsidRPr="00913317">
        <w:rPr>
          <w:szCs w:val="22"/>
          <w:lang w:val="hr-HR"/>
        </w:rPr>
        <w:t>U kliničkim studijama su opisana 3 slučaja akcidentalnog trovanja. Sva su se desila kod d</w:t>
      </w:r>
      <w:r w:rsidR="0046658F" w:rsidRPr="00913317">
        <w:rPr>
          <w:szCs w:val="22"/>
          <w:lang w:val="hr-HR"/>
        </w:rPr>
        <w:t>j</w:t>
      </w:r>
      <w:r w:rsidRPr="00913317">
        <w:rPr>
          <w:szCs w:val="22"/>
          <w:lang w:val="hr-HR"/>
        </w:rPr>
        <w:t>ece, koja su primila do pet puta veću dozu vorikonazola od pre</w:t>
      </w:r>
      <w:r w:rsidR="0046658F" w:rsidRPr="00913317">
        <w:rPr>
          <w:szCs w:val="22"/>
          <w:lang w:val="hr-HR"/>
        </w:rPr>
        <w:t>poručene intravenske doze</w:t>
      </w:r>
      <w:r w:rsidRPr="00913317">
        <w:rPr>
          <w:szCs w:val="22"/>
          <w:lang w:val="hr-HR"/>
        </w:rPr>
        <w:t>. Kod ove d</w:t>
      </w:r>
      <w:r w:rsidR="0046658F" w:rsidRPr="00913317">
        <w:rPr>
          <w:szCs w:val="22"/>
          <w:lang w:val="hr-HR"/>
        </w:rPr>
        <w:t>j</w:t>
      </w:r>
      <w:r w:rsidRPr="00913317">
        <w:rPr>
          <w:szCs w:val="22"/>
          <w:lang w:val="hr-HR"/>
        </w:rPr>
        <w:t xml:space="preserve">ece je opisan jedan slučaj fotofobije koja je trajala 10 minuta. </w:t>
      </w:r>
    </w:p>
    <w:p w14:paraId="4499A628" w14:textId="77777777" w:rsidR="006131C3" w:rsidRPr="00913317" w:rsidRDefault="00BE6E1E" w:rsidP="00D72925">
      <w:pPr>
        <w:rPr>
          <w:szCs w:val="22"/>
          <w:lang w:val="hr-HR"/>
        </w:rPr>
      </w:pPr>
      <w:r w:rsidRPr="00913317">
        <w:rPr>
          <w:szCs w:val="22"/>
          <w:lang w:val="hr-HR"/>
        </w:rPr>
        <w:t xml:space="preserve">Ne postoji antidot za vorikonazol. </w:t>
      </w:r>
    </w:p>
    <w:p w14:paraId="55881356" w14:textId="63041462" w:rsidR="006131C3" w:rsidRPr="00913317" w:rsidRDefault="00BE6E1E" w:rsidP="00D72925">
      <w:pPr>
        <w:rPr>
          <w:spacing w:val="-2"/>
          <w:szCs w:val="22"/>
          <w:lang w:val="hr-HR"/>
        </w:rPr>
      </w:pPr>
      <w:r w:rsidRPr="00913317">
        <w:rPr>
          <w:spacing w:val="-2"/>
          <w:szCs w:val="22"/>
          <w:lang w:val="hr-HR"/>
        </w:rPr>
        <w:t>Vorikonazol se uklanja</w:t>
      </w:r>
      <w:r w:rsidR="0046658F" w:rsidRPr="00913317">
        <w:rPr>
          <w:spacing w:val="-2"/>
          <w:szCs w:val="22"/>
          <w:lang w:val="hr-HR"/>
        </w:rPr>
        <w:t xml:space="preserve"> hemodijalizom brzinom od 121 </w:t>
      </w:r>
      <w:r w:rsidR="006C3F92" w:rsidRPr="00913317">
        <w:rPr>
          <w:spacing w:val="-2"/>
          <w:szCs w:val="22"/>
          <w:lang w:val="hr-HR"/>
        </w:rPr>
        <w:t>ml</w:t>
      </w:r>
      <w:r w:rsidRPr="00913317">
        <w:rPr>
          <w:spacing w:val="-2"/>
          <w:szCs w:val="22"/>
          <w:lang w:val="hr-HR"/>
        </w:rPr>
        <w:t xml:space="preserve">/min. Vehikulum u intravenskoj formulaciji, SBECD se hemodijalizom odstranjuje brzinom od 55 </w:t>
      </w:r>
      <w:r w:rsidR="006C3F92" w:rsidRPr="00913317">
        <w:rPr>
          <w:spacing w:val="-2"/>
          <w:szCs w:val="22"/>
          <w:lang w:val="hr-HR"/>
        </w:rPr>
        <w:t>ml</w:t>
      </w:r>
      <w:r w:rsidRPr="00913317">
        <w:rPr>
          <w:spacing w:val="-2"/>
          <w:szCs w:val="22"/>
          <w:lang w:val="hr-HR"/>
        </w:rPr>
        <w:t>/min. Kod predoziranja, hemodijaliza može pomoći za uklanjanje vorikonazola i SBECD iz organizma.</w:t>
      </w:r>
    </w:p>
    <w:p w14:paraId="605ABD08" w14:textId="28A2A992" w:rsidR="006131C3" w:rsidRPr="00913317" w:rsidRDefault="006131C3" w:rsidP="00D72925">
      <w:pPr>
        <w:rPr>
          <w:color w:val="FF0000"/>
          <w:spacing w:val="-2"/>
          <w:szCs w:val="22"/>
          <w:lang w:val="hr-HR"/>
        </w:rPr>
      </w:pPr>
    </w:p>
    <w:p w14:paraId="0350091B" w14:textId="77777777" w:rsidR="00A71908" w:rsidRPr="00913317" w:rsidRDefault="00A71908" w:rsidP="00D72925">
      <w:pPr>
        <w:rPr>
          <w:color w:val="FF0000"/>
          <w:spacing w:val="-2"/>
          <w:szCs w:val="22"/>
          <w:lang w:val="hr-HR"/>
        </w:rPr>
      </w:pPr>
    </w:p>
    <w:p w14:paraId="1412C03D" w14:textId="3CD1917E" w:rsidR="00CE09F3" w:rsidRPr="00913317" w:rsidRDefault="00CE09F3" w:rsidP="00D72925">
      <w:pPr>
        <w:pStyle w:val="NASLOV123"/>
        <w:spacing w:before="0" w:after="0"/>
        <w:jc w:val="both"/>
        <w:rPr>
          <w:lang w:val="hr-HR"/>
        </w:rPr>
      </w:pPr>
      <w:r w:rsidRPr="00913317">
        <w:rPr>
          <w:lang w:val="hr-HR"/>
        </w:rPr>
        <w:t>5</w:t>
      </w:r>
      <w:r w:rsidR="00126C1C" w:rsidRPr="00913317">
        <w:rPr>
          <w:lang w:val="hr-HR"/>
        </w:rPr>
        <w:t>.</w:t>
      </w:r>
      <w:r w:rsidR="00126C1C" w:rsidRPr="00913317">
        <w:rPr>
          <w:lang w:val="hr-HR"/>
        </w:rPr>
        <w:tab/>
      </w:r>
      <w:r w:rsidRPr="00913317">
        <w:rPr>
          <w:lang w:val="hr-HR"/>
        </w:rPr>
        <w:t>FARMAKOLOŠKI PODACI</w:t>
      </w:r>
    </w:p>
    <w:p w14:paraId="4EC7726D" w14:textId="77777777" w:rsidR="00A71908" w:rsidRPr="00913317" w:rsidRDefault="00A71908" w:rsidP="00D72925">
      <w:pPr>
        <w:pStyle w:val="NASLOV123"/>
        <w:spacing w:before="0" w:after="0"/>
        <w:jc w:val="both"/>
        <w:rPr>
          <w:lang w:val="hr-HR"/>
        </w:rPr>
      </w:pPr>
    </w:p>
    <w:p w14:paraId="2E659FF4" w14:textId="3B1309B4" w:rsidR="006131C3" w:rsidRPr="00913317" w:rsidRDefault="00CE09F3" w:rsidP="00D72925">
      <w:pPr>
        <w:rPr>
          <w:b/>
          <w:bCs/>
          <w:szCs w:val="22"/>
          <w:lang w:val="hr-HR"/>
        </w:rPr>
      </w:pPr>
      <w:r w:rsidRPr="00913317">
        <w:rPr>
          <w:b/>
          <w:bCs/>
          <w:szCs w:val="22"/>
          <w:lang w:val="hr-HR"/>
        </w:rPr>
        <w:t>5.1</w:t>
      </w:r>
      <w:r w:rsidR="00126C1C" w:rsidRPr="00913317">
        <w:rPr>
          <w:b/>
          <w:bCs/>
          <w:szCs w:val="22"/>
          <w:lang w:val="hr-HR"/>
        </w:rPr>
        <w:t>.</w:t>
      </w:r>
      <w:r w:rsidR="00126C1C" w:rsidRPr="00913317">
        <w:rPr>
          <w:b/>
          <w:bCs/>
          <w:szCs w:val="22"/>
          <w:lang w:val="hr-HR"/>
        </w:rPr>
        <w:tab/>
      </w:r>
      <w:r w:rsidRPr="00913317">
        <w:rPr>
          <w:b/>
          <w:bCs/>
          <w:szCs w:val="22"/>
          <w:lang w:val="hr-HR"/>
        </w:rPr>
        <w:t>Farmakodinamski podaci</w:t>
      </w:r>
    </w:p>
    <w:p w14:paraId="417DBC0D" w14:textId="77777777" w:rsidR="00407671" w:rsidRPr="00913317" w:rsidRDefault="00407671" w:rsidP="00D72925">
      <w:pPr>
        <w:rPr>
          <w:b/>
          <w:bCs/>
          <w:szCs w:val="22"/>
          <w:lang w:val="hr-HR"/>
        </w:rPr>
      </w:pPr>
    </w:p>
    <w:p w14:paraId="0BB62B89" w14:textId="35A89276" w:rsidR="006131C3" w:rsidRPr="00913317" w:rsidRDefault="00CE09F3" w:rsidP="00D72925">
      <w:pPr>
        <w:rPr>
          <w:bCs/>
          <w:szCs w:val="22"/>
          <w:lang w:val="hr-HR"/>
        </w:rPr>
      </w:pPr>
      <w:r w:rsidRPr="00913317">
        <w:rPr>
          <w:bCs/>
          <w:szCs w:val="22"/>
          <w:lang w:val="hr-HR"/>
        </w:rPr>
        <w:t>Farmakoterapijska grupa:</w:t>
      </w:r>
      <w:r w:rsidR="00BE6E1E" w:rsidRPr="00913317">
        <w:rPr>
          <w:b/>
          <w:bCs/>
          <w:szCs w:val="22"/>
          <w:lang w:val="hr-HR"/>
        </w:rPr>
        <w:t xml:space="preserve"> </w:t>
      </w:r>
      <w:r w:rsidR="00BE6E1E" w:rsidRPr="00913317">
        <w:rPr>
          <w:bCs/>
          <w:szCs w:val="22"/>
          <w:lang w:val="hr-HR"/>
        </w:rPr>
        <w:t xml:space="preserve">Antimikotici za sistemsku </w:t>
      </w:r>
      <w:r w:rsidR="004D45E7" w:rsidRPr="00913317">
        <w:rPr>
          <w:bCs/>
          <w:szCs w:val="22"/>
          <w:lang w:val="hr-HR"/>
        </w:rPr>
        <w:t>primjen</w:t>
      </w:r>
      <w:r w:rsidR="00BE6E1E" w:rsidRPr="00913317">
        <w:rPr>
          <w:bCs/>
          <w:szCs w:val="22"/>
          <w:lang w:val="hr-HR"/>
        </w:rPr>
        <w:t>u, derivati triazola</w:t>
      </w:r>
    </w:p>
    <w:p w14:paraId="66B0DCB7" w14:textId="77777777" w:rsidR="006131C3" w:rsidRPr="00913317" w:rsidRDefault="006131C3" w:rsidP="00D72925">
      <w:pPr>
        <w:rPr>
          <w:color w:val="FF0000"/>
          <w:szCs w:val="22"/>
          <w:lang w:val="hr-HR"/>
        </w:rPr>
      </w:pPr>
    </w:p>
    <w:p w14:paraId="2A10504B" w14:textId="1E810D27" w:rsidR="006131C3" w:rsidRPr="00913317" w:rsidRDefault="00096DB7" w:rsidP="00D72925">
      <w:pPr>
        <w:rPr>
          <w:bCs/>
          <w:szCs w:val="22"/>
          <w:lang w:val="hr-HR"/>
        </w:rPr>
      </w:pPr>
      <w:r w:rsidRPr="00913317">
        <w:rPr>
          <w:bCs/>
          <w:szCs w:val="22"/>
          <w:lang w:val="hr-HR"/>
        </w:rPr>
        <w:t>ATC kod</w:t>
      </w:r>
      <w:r w:rsidR="00CE09F3" w:rsidRPr="00913317">
        <w:rPr>
          <w:bCs/>
          <w:szCs w:val="22"/>
          <w:lang w:val="hr-HR"/>
        </w:rPr>
        <w:t>:</w:t>
      </w:r>
      <w:r w:rsidR="00BE6E1E" w:rsidRPr="00913317">
        <w:rPr>
          <w:bCs/>
          <w:szCs w:val="22"/>
          <w:lang w:val="hr-HR"/>
        </w:rPr>
        <w:t xml:space="preserve"> </w:t>
      </w:r>
      <w:r w:rsidR="00BE6E1E" w:rsidRPr="00913317">
        <w:rPr>
          <w:szCs w:val="22"/>
          <w:lang w:val="hr-HR"/>
        </w:rPr>
        <w:t>J02AC03</w:t>
      </w:r>
    </w:p>
    <w:p w14:paraId="4EE511BB" w14:textId="77777777" w:rsidR="006131C3" w:rsidRPr="00913317" w:rsidRDefault="006131C3" w:rsidP="00D72925">
      <w:pPr>
        <w:rPr>
          <w:szCs w:val="22"/>
          <w:lang w:val="hr-HR"/>
        </w:rPr>
      </w:pPr>
    </w:p>
    <w:p w14:paraId="44E60D86" w14:textId="77777777" w:rsidR="00AE064D" w:rsidRPr="00913317" w:rsidRDefault="00AE064D" w:rsidP="00D72925">
      <w:pPr>
        <w:pStyle w:val="Default"/>
        <w:jc w:val="both"/>
        <w:rPr>
          <w:color w:val="auto"/>
          <w:sz w:val="22"/>
          <w:szCs w:val="22"/>
          <w:u w:val="single"/>
          <w:lang w:val="hr-HR"/>
        </w:rPr>
      </w:pPr>
      <w:r w:rsidRPr="00913317">
        <w:rPr>
          <w:color w:val="auto"/>
          <w:sz w:val="22"/>
          <w:szCs w:val="22"/>
          <w:u w:val="single"/>
          <w:lang w:val="hr-HR"/>
        </w:rPr>
        <w:t>Mehanizam dejstva</w:t>
      </w:r>
    </w:p>
    <w:p w14:paraId="48A1984F" w14:textId="6B28A000" w:rsidR="006131C3" w:rsidRPr="00913317" w:rsidRDefault="00BE6E1E" w:rsidP="00D72925">
      <w:pPr>
        <w:tabs>
          <w:tab w:val="clear" w:pos="284"/>
        </w:tabs>
        <w:autoSpaceDE w:val="0"/>
        <w:autoSpaceDN w:val="0"/>
        <w:adjustRightInd w:val="0"/>
        <w:rPr>
          <w:szCs w:val="22"/>
          <w:lang w:val="hr-HR"/>
        </w:rPr>
      </w:pPr>
      <w:r w:rsidRPr="00913317">
        <w:rPr>
          <w:szCs w:val="22"/>
          <w:lang w:val="hr-HR"/>
        </w:rPr>
        <w:t xml:space="preserve">Vorikonazol je antigljivični </w:t>
      </w:r>
      <w:r w:rsidR="004D45E7" w:rsidRPr="00913317">
        <w:rPr>
          <w:szCs w:val="22"/>
          <w:lang w:val="hr-HR"/>
        </w:rPr>
        <w:t>lijek</w:t>
      </w:r>
      <w:r w:rsidRPr="00913317">
        <w:rPr>
          <w:szCs w:val="22"/>
          <w:lang w:val="hr-HR"/>
        </w:rPr>
        <w:t xml:space="preserve">, derivat triazola. </w:t>
      </w:r>
      <w:r w:rsidR="003256B9" w:rsidRPr="00913317">
        <w:rPr>
          <w:szCs w:val="22"/>
          <w:lang w:val="hr-HR"/>
        </w:rPr>
        <w:t>Njegov primarni mehanizam d</w:t>
      </w:r>
      <w:r w:rsidR="00A97E5B" w:rsidRPr="00913317">
        <w:rPr>
          <w:szCs w:val="22"/>
          <w:lang w:val="hr-HR"/>
        </w:rPr>
        <w:t>j</w:t>
      </w:r>
      <w:r w:rsidR="003256B9" w:rsidRPr="00913317">
        <w:rPr>
          <w:szCs w:val="22"/>
          <w:lang w:val="hr-HR"/>
        </w:rPr>
        <w:t>elovanja je inhibicija citohrom P450</w:t>
      </w:r>
      <w:r w:rsidRPr="00913317">
        <w:rPr>
          <w:szCs w:val="22"/>
          <w:lang w:val="hr-HR"/>
        </w:rPr>
        <w:t>-zavisne demetilacije 14α</w:t>
      </w:r>
      <w:r w:rsidR="003256B9" w:rsidRPr="00913317">
        <w:rPr>
          <w:szCs w:val="22"/>
          <w:lang w:val="hr-HR"/>
        </w:rPr>
        <w:t>-lanosterola</w:t>
      </w:r>
      <w:r w:rsidRPr="00913317">
        <w:rPr>
          <w:szCs w:val="22"/>
          <w:lang w:val="hr-HR"/>
        </w:rPr>
        <w:t xml:space="preserve"> gljivica, što predstavlja esencijalni</w:t>
      </w:r>
      <w:r w:rsidR="00D061E1" w:rsidRPr="00913317">
        <w:rPr>
          <w:szCs w:val="22"/>
          <w:lang w:val="hr-HR"/>
        </w:rPr>
        <w:t xml:space="preserve"> </w:t>
      </w:r>
      <w:r w:rsidRPr="00913317">
        <w:rPr>
          <w:szCs w:val="22"/>
          <w:lang w:val="hr-HR"/>
        </w:rPr>
        <w:t xml:space="preserve">korak u biosintezi ergosterola gljivica. Akumulacija 14α-metilsterola u korelaciji je sa </w:t>
      </w:r>
      <w:r w:rsidR="0024139F" w:rsidRPr="00913317">
        <w:rPr>
          <w:szCs w:val="22"/>
          <w:lang w:val="hr-HR"/>
        </w:rPr>
        <w:t>posl</w:t>
      </w:r>
      <w:r w:rsidR="0046658F" w:rsidRPr="00913317">
        <w:rPr>
          <w:szCs w:val="22"/>
          <w:lang w:val="hr-HR"/>
        </w:rPr>
        <w:t>j</w:t>
      </w:r>
      <w:r w:rsidR="0024139F" w:rsidRPr="00913317">
        <w:rPr>
          <w:szCs w:val="22"/>
          <w:lang w:val="hr-HR"/>
        </w:rPr>
        <w:t xml:space="preserve">edičnim </w:t>
      </w:r>
      <w:r w:rsidRPr="00913317">
        <w:rPr>
          <w:szCs w:val="22"/>
          <w:lang w:val="hr-HR"/>
        </w:rPr>
        <w:t xml:space="preserve">gubitkom ergosterola iz ćelijske membrane gljivica što može biti mehanizam antigljivične aktivnosti vorikonazola. </w:t>
      </w:r>
      <w:r w:rsidR="003256B9" w:rsidRPr="00913317">
        <w:rPr>
          <w:szCs w:val="22"/>
          <w:lang w:val="hr-HR"/>
        </w:rPr>
        <w:t>Vorikonazol je pokazao veću se</w:t>
      </w:r>
      <w:r w:rsidR="0046658F" w:rsidRPr="00913317">
        <w:rPr>
          <w:szCs w:val="22"/>
          <w:lang w:val="hr-HR"/>
        </w:rPr>
        <w:t>l</w:t>
      </w:r>
      <w:r w:rsidR="004D45E7" w:rsidRPr="00913317">
        <w:rPr>
          <w:szCs w:val="22"/>
          <w:lang w:val="hr-HR"/>
        </w:rPr>
        <w:t>ek</w:t>
      </w:r>
      <w:r w:rsidR="003256B9" w:rsidRPr="00913317">
        <w:rPr>
          <w:szCs w:val="22"/>
          <w:lang w:val="hr-HR"/>
        </w:rPr>
        <w:t>tivnost za</w:t>
      </w:r>
      <w:r w:rsidR="00E628C6" w:rsidRPr="00913317" w:rsidDel="00E628C6">
        <w:rPr>
          <w:szCs w:val="22"/>
          <w:lang w:val="hr-HR"/>
        </w:rPr>
        <w:t xml:space="preserve"> </w:t>
      </w:r>
      <w:r w:rsidR="003256B9" w:rsidRPr="00913317">
        <w:rPr>
          <w:szCs w:val="22"/>
          <w:lang w:val="hr-HR"/>
        </w:rPr>
        <w:t>enzime gljivičnog</w:t>
      </w:r>
      <w:r w:rsidR="00E628C6" w:rsidRPr="00913317" w:rsidDel="00E628C6">
        <w:rPr>
          <w:szCs w:val="22"/>
          <w:lang w:val="hr-HR"/>
        </w:rPr>
        <w:t xml:space="preserve"> </w:t>
      </w:r>
      <w:r w:rsidRPr="00913317">
        <w:rPr>
          <w:szCs w:val="22"/>
          <w:lang w:val="hr-HR"/>
        </w:rPr>
        <w:t>citohrom</w:t>
      </w:r>
      <w:r w:rsidR="00407671" w:rsidRPr="00913317">
        <w:rPr>
          <w:szCs w:val="22"/>
          <w:lang w:val="hr-HR"/>
        </w:rPr>
        <w:t>a</w:t>
      </w:r>
      <w:r w:rsidRPr="00913317">
        <w:rPr>
          <w:szCs w:val="22"/>
          <w:lang w:val="hr-HR"/>
        </w:rPr>
        <w:t xml:space="preserve"> P450 nego za različite citohrom P450 enzimske sisteme sisara.</w:t>
      </w:r>
    </w:p>
    <w:p w14:paraId="7A5CE53D" w14:textId="77777777" w:rsidR="00AE064D" w:rsidRPr="00913317" w:rsidRDefault="00AE064D" w:rsidP="00D72925">
      <w:pPr>
        <w:pStyle w:val="Default"/>
        <w:jc w:val="both"/>
        <w:rPr>
          <w:color w:val="auto"/>
          <w:sz w:val="22"/>
          <w:szCs w:val="22"/>
          <w:lang w:val="hr-HR"/>
        </w:rPr>
      </w:pPr>
    </w:p>
    <w:p w14:paraId="58D34D7E" w14:textId="77777777" w:rsidR="00AE064D" w:rsidRPr="00913317" w:rsidRDefault="00BE6E1E" w:rsidP="00D72925">
      <w:pPr>
        <w:pStyle w:val="Default"/>
        <w:jc w:val="both"/>
        <w:rPr>
          <w:color w:val="auto"/>
          <w:sz w:val="22"/>
          <w:szCs w:val="22"/>
          <w:u w:val="single"/>
          <w:lang w:val="hr-HR"/>
        </w:rPr>
      </w:pPr>
      <w:r w:rsidRPr="00913317">
        <w:rPr>
          <w:color w:val="auto"/>
          <w:sz w:val="22"/>
          <w:szCs w:val="22"/>
          <w:u w:val="single"/>
          <w:lang w:val="hr-HR"/>
        </w:rPr>
        <w:t>Odnos farmakokinetike i farmakodinamike</w:t>
      </w:r>
    </w:p>
    <w:p w14:paraId="3D50D009" w14:textId="7A826F83" w:rsidR="006131C3" w:rsidRPr="00913317" w:rsidRDefault="00BE6E1E" w:rsidP="00D72925">
      <w:pPr>
        <w:rPr>
          <w:szCs w:val="22"/>
          <w:lang w:val="hr-HR"/>
        </w:rPr>
      </w:pPr>
      <w:r w:rsidRPr="00913317">
        <w:rPr>
          <w:szCs w:val="22"/>
          <w:lang w:val="hr-HR"/>
        </w:rPr>
        <w:t xml:space="preserve">U 10 terapijskih studija, </w:t>
      </w:r>
      <w:r w:rsidR="004D45E7" w:rsidRPr="00913317">
        <w:rPr>
          <w:szCs w:val="22"/>
          <w:lang w:val="hr-HR"/>
        </w:rPr>
        <w:t>vrijedno</w:t>
      </w:r>
      <w:r w:rsidR="00E628C6" w:rsidRPr="00913317">
        <w:rPr>
          <w:szCs w:val="22"/>
          <w:lang w:val="hr-HR"/>
        </w:rPr>
        <w:t xml:space="preserve">st medijane </w:t>
      </w:r>
      <w:r w:rsidRPr="00913317">
        <w:rPr>
          <w:szCs w:val="22"/>
          <w:lang w:val="hr-HR"/>
        </w:rPr>
        <w:t>pros</w:t>
      </w:r>
      <w:r w:rsidR="0046658F" w:rsidRPr="00913317">
        <w:rPr>
          <w:szCs w:val="22"/>
          <w:lang w:val="hr-HR"/>
        </w:rPr>
        <w:t>j</w:t>
      </w:r>
      <w:r w:rsidRPr="00913317">
        <w:rPr>
          <w:szCs w:val="22"/>
          <w:lang w:val="hr-HR"/>
        </w:rPr>
        <w:t xml:space="preserve">ečnih i maksimalnih koncentracija vorikonazola u plazmi </w:t>
      </w:r>
      <w:r w:rsidR="00E628C6" w:rsidRPr="00913317">
        <w:rPr>
          <w:szCs w:val="22"/>
          <w:lang w:val="hr-HR"/>
        </w:rPr>
        <w:t xml:space="preserve">pojedinačnih </w:t>
      </w:r>
      <w:r w:rsidRPr="00913317">
        <w:rPr>
          <w:szCs w:val="22"/>
          <w:lang w:val="hr-HR"/>
        </w:rPr>
        <w:t xml:space="preserve">ispitanika bila je 2425 </w:t>
      </w:r>
      <w:r w:rsidR="00AF6B52" w:rsidRPr="00913317">
        <w:rPr>
          <w:szCs w:val="22"/>
          <w:lang w:val="hr-HR"/>
        </w:rPr>
        <w:t>ng</w:t>
      </w:r>
      <w:r w:rsidR="0046658F" w:rsidRPr="00913317">
        <w:rPr>
          <w:szCs w:val="22"/>
          <w:lang w:val="hr-HR"/>
        </w:rPr>
        <w:t>/</w:t>
      </w:r>
      <w:r w:rsidR="006C3F92" w:rsidRPr="00913317">
        <w:rPr>
          <w:szCs w:val="22"/>
          <w:lang w:val="hr-HR"/>
        </w:rPr>
        <w:t>ml</w:t>
      </w:r>
      <w:r w:rsidRPr="00913317">
        <w:rPr>
          <w:szCs w:val="22"/>
          <w:lang w:val="hr-HR"/>
        </w:rPr>
        <w:t xml:space="preserve"> (</w:t>
      </w:r>
      <w:r w:rsidR="003256B9" w:rsidRPr="00913317">
        <w:rPr>
          <w:szCs w:val="22"/>
          <w:lang w:val="hr-HR"/>
        </w:rPr>
        <w:t>interkvartilni raspon od</w:t>
      </w:r>
      <w:r w:rsidR="00E628C6" w:rsidRPr="00913317">
        <w:rPr>
          <w:szCs w:val="22"/>
          <w:lang w:val="hr-HR"/>
        </w:rPr>
        <w:t xml:space="preserve"> </w:t>
      </w:r>
      <w:r w:rsidRPr="00913317">
        <w:rPr>
          <w:szCs w:val="22"/>
          <w:lang w:val="hr-HR"/>
        </w:rPr>
        <w:t xml:space="preserve">1193 do 4380 </w:t>
      </w:r>
      <w:r w:rsidR="00AF6B52" w:rsidRPr="00913317">
        <w:rPr>
          <w:szCs w:val="22"/>
          <w:lang w:val="hr-HR"/>
        </w:rPr>
        <w:t>ng</w:t>
      </w:r>
      <w:r w:rsidR="0046658F" w:rsidRPr="00913317">
        <w:rPr>
          <w:szCs w:val="22"/>
          <w:lang w:val="hr-HR"/>
        </w:rPr>
        <w:t>/</w:t>
      </w:r>
      <w:r w:rsidR="006C3F92" w:rsidRPr="00913317">
        <w:rPr>
          <w:szCs w:val="22"/>
          <w:lang w:val="hr-HR"/>
        </w:rPr>
        <w:t>ml</w:t>
      </w:r>
      <w:r w:rsidRPr="00913317">
        <w:rPr>
          <w:szCs w:val="22"/>
          <w:lang w:val="hr-HR"/>
        </w:rPr>
        <w:t>), odnosno 3742</w:t>
      </w:r>
      <w:r w:rsidR="004067EB" w:rsidRPr="00913317">
        <w:rPr>
          <w:szCs w:val="22"/>
          <w:lang w:val="hr-HR"/>
        </w:rPr>
        <w:t> </w:t>
      </w:r>
      <w:r w:rsidR="00AF6B52" w:rsidRPr="00913317">
        <w:rPr>
          <w:szCs w:val="22"/>
          <w:lang w:val="hr-HR"/>
        </w:rPr>
        <w:t>ng</w:t>
      </w:r>
      <w:r w:rsidR="0046658F" w:rsidRPr="00913317">
        <w:rPr>
          <w:szCs w:val="22"/>
          <w:lang w:val="hr-HR"/>
        </w:rPr>
        <w:t>/</w:t>
      </w:r>
      <w:r w:rsidR="006C3F92" w:rsidRPr="00913317">
        <w:rPr>
          <w:szCs w:val="22"/>
          <w:lang w:val="hr-HR"/>
        </w:rPr>
        <w:t>ml</w:t>
      </w:r>
      <w:r w:rsidRPr="00913317">
        <w:rPr>
          <w:szCs w:val="22"/>
          <w:lang w:val="hr-HR"/>
        </w:rPr>
        <w:t xml:space="preserve"> (</w:t>
      </w:r>
      <w:r w:rsidR="003256B9" w:rsidRPr="00913317">
        <w:rPr>
          <w:szCs w:val="22"/>
          <w:lang w:val="hr-HR"/>
        </w:rPr>
        <w:t>interkvartilni raspon od</w:t>
      </w:r>
      <w:r w:rsidR="00E628C6" w:rsidRPr="00913317">
        <w:rPr>
          <w:szCs w:val="22"/>
          <w:lang w:val="hr-HR"/>
        </w:rPr>
        <w:t xml:space="preserve"> </w:t>
      </w:r>
      <w:r w:rsidRPr="00913317">
        <w:rPr>
          <w:szCs w:val="22"/>
          <w:lang w:val="hr-HR"/>
        </w:rPr>
        <w:t xml:space="preserve">2027 do 6302 </w:t>
      </w:r>
      <w:r w:rsidR="00AF6B52" w:rsidRPr="00913317">
        <w:rPr>
          <w:szCs w:val="22"/>
          <w:lang w:val="hr-HR"/>
        </w:rPr>
        <w:t>ng</w:t>
      </w:r>
      <w:r w:rsidR="0046658F" w:rsidRPr="00913317">
        <w:rPr>
          <w:szCs w:val="22"/>
          <w:lang w:val="hr-HR"/>
        </w:rPr>
        <w:t>/</w:t>
      </w:r>
      <w:r w:rsidR="006C3F92" w:rsidRPr="00913317">
        <w:rPr>
          <w:szCs w:val="22"/>
          <w:lang w:val="hr-HR"/>
        </w:rPr>
        <w:t>ml</w:t>
      </w:r>
      <w:r w:rsidRPr="00913317">
        <w:rPr>
          <w:szCs w:val="22"/>
          <w:lang w:val="hr-HR"/>
        </w:rPr>
        <w:t xml:space="preserve">). Pozitivna korelacija između srednje, maksimalne i minimalne koncentracije vorikonazola u plazmi i efikasnosti u terapijskim studijama nije ustanovljena niti je </w:t>
      </w:r>
      <w:r w:rsidR="007D3307" w:rsidRPr="00913317">
        <w:rPr>
          <w:szCs w:val="22"/>
          <w:lang w:val="hr-HR"/>
        </w:rPr>
        <w:t>utvrđena</w:t>
      </w:r>
      <w:r w:rsidRPr="00913317">
        <w:rPr>
          <w:szCs w:val="22"/>
          <w:lang w:val="hr-HR"/>
        </w:rPr>
        <w:t xml:space="preserve"> u studijama profilakse.</w:t>
      </w:r>
    </w:p>
    <w:p w14:paraId="6049CD5F" w14:textId="21064169" w:rsidR="006131C3" w:rsidRPr="00913317" w:rsidRDefault="00BE6E1E" w:rsidP="00D72925">
      <w:pPr>
        <w:rPr>
          <w:szCs w:val="22"/>
          <w:lang w:val="hr-HR"/>
        </w:rPr>
      </w:pPr>
      <w:r w:rsidRPr="00913317">
        <w:rPr>
          <w:szCs w:val="22"/>
          <w:lang w:val="hr-HR"/>
        </w:rPr>
        <w:t>Farmakokine</w:t>
      </w:r>
      <w:r w:rsidR="007D3307" w:rsidRPr="00913317">
        <w:rPr>
          <w:szCs w:val="22"/>
          <w:lang w:val="hr-HR"/>
        </w:rPr>
        <w:t>tičke</w:t>
      </w:r>
      <w:r w:rsidRPr="00913317">
        <w:rPr>
          <w:szCs w:val="22"/>
          <w:lang w:val="hr-HR"/>
        </w:rPr>
        <w:t>-farmakodinamsk</w:t>
      </w:r>
      <w:r w:rsidR="007D3307" w:rsidRPr="00913317">
        <w:rPr>
          <w:szCs w:val="22"/>
          <w:lang w:val="hr-HR"/>
        </w:rPr>
        <w:t>e</w:t>
      </w:r>
      <w:r w:rsidRPr="00913317">
        <w:rPr>
          <w:szCs w:val="22"/>
          <w:lang w:val="hr-HR"/>
        </w:rPr>
        <w:t xml:space="preserve"> analiz</w:t>
      </w:r>
      <w:r w:rsidR="007D3307" w:rsidRPr="00913317">
        <w:rPr>
          <w:szCs w:val="22"/>
          <w:lang w:val="hr-HR"/>
        </w:rPr>
        <w:t>e</w:t>
      </w:r>
      <w:r w:rsidRPr="00913317">
        <w:rPr>
          <w:szCs w:val="22"/>
          <w:lang w:val="hr-HR"/>
        </w:rPr>
        <w:t xml:space="preserve"> podataka iz kliničkih studija ustanovila je pozitivnu korelaciju između koncentracija vorikonazola u plazmi i </w:t>
      </w:r>
      <w:r w:rsidR="007D3307" w:rsidRPr="00913317">
        <w:rPr>
          <w:szCs w:val="22"/>
          <w:lang w:val="hr-HR"/>
        </w:rPr>
        <w:t>poremećaja</w:t>
      </w:r>
      <w:r w:rsidRPr="00913317">
        <w:rPr>
          <w:szCs w:val="22"/>
          <w:lang w:val="hr-HR"/>
        </w:rPr>
        <w:t xml:space="preserve"> </w:t>
      </w:r>
      <w:r w:rsidR="004D45E7" w:rsidRPr="00913317">
        <w:rPr>
          <w:szCs w:val="22"/>
          <w:lang w:val="hr-HR"/>
        </w:rPr>
        <w:t>vrijedno</w:t>
      </w:r>
      <w:r w:rsidRPr="00913317">
        <w:rPr>
          <w:szCs w:val="22"/>
          <w:lang w:val="hr-HR"/>
        </w:rPr>
        <w:t>sti funkcionalnih testova jetre, kao i poremećaja vida. Prilagođavanje doza u studijama profilakse nije istraženo.</w:t>
      </w:r>
    </w:p>
    <w:p w14:paraId="0A58A921" w14:textId="77777777" w:rsidR="00AE064D" w:rsidRPr="00913317" w:rsidRDefault="00AE064D" w:rsidP="00D72925">
      <w:pPr>
        <w:pStyle w:val="Default"/>
        <w:jc w:val="both"/>
        <w:rPr>
          <w:color w:val="FF0000"/>
          <w:sz w:val="22"/>
          <w:szCs w:val="22"/>
          <w:lang w:val="hr-HR"/>
        </w:rPr>
      </w:pPr>
    </w:p>
    <w:p w14:paraId="065D14E2" w14:textId="5A086D64" w:rsidR="00AE064D" w:rsidRPr="00913317" w:rsidRDefault="00AE064D" w:rsidP="00D72925">
      <w:pPr>
        <w:pStyle w:val="Default"/>
        <w:jc w:val="both"/>
        <w:rPr>
          <w:color w:val="auto"/>
          <w:sz w:val="22"/>
          <w:szCs w:val="22"/>
          <w:u w:val="single"/>
          <w:lang w:val="hr-HR"/>
        </w:rPr>
      </w:pPr>
      <w:r w:rsidRPr="00913317">
        <w:rPr>
          <w:color w:val="auto"/>
          <w:sz w:val="22"/>
          <w:szCs w:val="22"/>
          <w:u w:val="single"/>
          <w:lang w:val="hr-HR"/>
        </w:rPr>
        <w:t xml:space="preserve">Klinička efikasnost i </w:t>
      </w:r>
      <w:r w:rsidR="003204CC" w:rsidRPr="00913317">
        <w:rPr>
          <w:color w:val="auto"/>
          <w:sz w:val="22"/>
          <w:szCs w:val="22"/>
          <w:u w:val="single"/>
          <w:lang w:val="hr-HR"/>
        </w:rPr>
        <w:t>bezbjedn</w:t>
      </w:r>
      <w:r w:rsidRPr="00913317">
        <w:rPr>
          <w:color w:val="auto"/>
          <w:sz w:val="22"/>
          <w:szCs w:val="22"/>
          <w:u w:val="single"/>
          <w:lang w:val="hr-HR"/>
        </w:rPr>
        <w:t>ost</w:t>
      </w:r>
    </w:p>
    <w:p w14:paraId="3BF6D6ED" w14:textId="02AF83D1" w:rsidR="006131C3" w:rsidRPr="00913317" w:rsidRDefault="00BE6E1E" w:rsidP="00D72925">
      <w:pPr>
        <w:rPr>
          <w:szCs w:val="22"/>
          <w:lang w:val="hr-HR"/>
        </w:rPr>
      </w:pPr>
      <w:r w:rsidRPr="00913317">
        <w:rPr>
          <w:szCs w:val="22"/>
          <w:lang w:val="hr-HR"/>
        </w:rPr>
        <w:t xml:space="preserve">Pokazano je </w:t>
      </w:r>
      <w:r w:rsidRPr="00913317">
        <w:rPr>
          <w:i/>
          <w:szCs w:val="22"/>
          <w:lang w:val="hr-HR"/>
        </w:rPr>
        <w:t>in vitro</w:t>
      </w:r>
      <w:r w:rsidRPr="00913317">
        <w:rPr>
          <w:szCs w:val="22"/>
          <w:lang w:val="hr-HR"/>
        </w:rPr>
        <w:t xml:space="preserve"> da</w:t>
      </w:r>
      <w:r w:rsidRPr="00913317">
        <w:rPr>
          <w:i/>
          <w:szCs w:val="22"/>
          <w:lang w:val="hr-HR"/>
        </w:rPr>
        <w:t xml:space="preserve"> </w:t>
      </w:r>
      <w:r w:rsidRPr="00913317">
        <w:rPr>
          <w:szCs w:val="22"/>
          <w:lang w:val="hr-HR"/>
        </w:rPr>
        <w:t>vorikonazol ima širok spektar antigljivične aktivnosti</w:t>
      </w:r>
      <w:r w:rsidR="0077531C" w:rsidRPr="00913317">
        <w:rPr>
          <w:szCs w:val="22"/>
          <w:lang w:val="hr-HR"/>
        </w:rPr>
        <w:t xml:space="preserve"> </w:t>
      </w:r>
      <w:r w:rsidRPr="00913317">
        <w:rPr>
          <w:szCs w:val="22"/>
          <w:lang w:val="hr-HR"/>
        </w:rPr>
        <w:t xml:space="preserve">protiv </w:t>
      </w:r>
      <w:r w:rsidRPr="00913317">
        <w:rPr>
          <w:i/>
          <w:szCs w:val="22"/>
          <w:lang w:val="hr-HR"/>
        </w:rPr>
        <w:t>Candida</w:t>
      </w:r>
      <w:r w:rsidR="00836E48" w:rsidRPr="00913317">
        <w:rPr>
          <w:i/>
          <w:szCs w:val="22"/>
          <w:lang w:val="hr-HR"/>
        </w:rPr>
        <w:t xml:space="preserve"> spp</w:t>
      </w:r>
      <w:r w:rsidRPr="00913317">
        <w:rPr>
          <w:szCs w:val="22"/>
          <w:lang w:val="hr-HR"/>
        </w:rPr>
        <w:t xml:space="preserve"> (uključujući flukonazol-rezistentnu </w:t>
      </w:r>
      <w:r w:rsidRPr="00913317">
        <w:rPr>
          <w:i/>
          <w:szCs w:val="22"/>
          <w:lang w:val="hr-HR"/>
        </w:rPr>
        <w:t>C. krusei</w:t>
      </w:r>
      <w:r w:rsidRPr="00913317">
        <w:rPr>
          <w:szCs w:val="22"/>
          <w:lang w:val="hr-HR"/>
        </w:rPr>
        <w:t xml:space="preserve"> i rezistentne sojeve </w:t>
      </w:r>
      <w:r w:rsidRPr="00913317">
        <w:rPr>
          <w:i/>
          <w:szCs w:val="22"/>
          <w:lang w:val="hr-HR"/>
        </w:rPr>
        <w:t>C. glabrata</w:t>
      </w:r>
      <w:r w:rsidRPr="00913317">
        <w:rPr>
          <w:szCs w:val="22"/>
          <w:lang w:val="hr-HR"/>
        </w:rPr>
        <w:t xml:space="preserve"> i </w:t>
      </w:r>
      <w:r w:rsidRPr="00913317">
        <w:rPr>
          <w:i/>
          <w:szCs w:val="22"/>
          <w:lang w:val="hr-HR"/>
        </w:rPr>
        <w:t>C. albicans</w:t>
      </w:r>
      <w:r w:rsidRPr="00913317">
        <w:rPr>
          <w:szCs w:val="22"/>
          <w:lang w:val="hr-HR"/>
        </w:rPr>
        <w:t>) i da d</w:t>
      </w:r>
      <w:r w:rsidR="0046658F" w:rsidRPr="00913317">
        <w:rPr>
          <w:szCs w:val="22"/>
          <w:lang w:val="hr-HR"/>
        </w:rPr>
        <w:t>j</w:t>
      </w:r>
      <w:r w:rsidRPr="00913317">
        <w:rPr>
          <w:szCs w:val="22"/>
          <w:lang w:val="hr-HR"/>
        </w:rPr>
        <w:t xml:space="preserve">eluje fungicidno protiv svih testiranih vrsta </w:t>
      </w:r>
      <w:r w:rsidRPr="00913317">
        <w:rPr>
          <w:i/>
          <w:szCs w:val="22"/>
          <w:lang w:val="hr-HR"/>
        </w:rPr>
        <w:t>Aspergillus</w:t>
      </w:r>
      <w:r w:rsidRPr="00913317">
        <w:rPr>
          <w:szCs w:val="22"/>
          <w:lang w:val="hr-HR"/>
        </w:rPr>
        <w:t xml:space="preserve">-a. Takođe, vorikonazol pokazuje </w:t>
      </w:r>
      <w:r w:rsidRPr="00913317">
        <w:rPr>
          <w:i/>
          <w:szCs w:val="22"/>
          <w:lang w:val="hr-HR"/>
        </w:rPr>
        <w:t>in vitro</w:t>
      </w:r>
      <w:r w:rsidRPr="00913317">
        <w:rPr>
          <w:szCs w:val="22"/>
          <w:lang w:val="hr-HR"/>
        </w:rPr>
        <w:t xml:space="preserve"> fungicidnu aktivnost protiv novijih vrsta gljivičnih patogena, uključujući</w:t>
      </w:r>
      <w:r w:rsidRPr="00913317">
        <w:rPr>
          <w:i/>
          <w:szCs w:val="22"/>
          <w:lang w:val="hr-HR"/>
        </w:rPr>
        <w:t xml:space="preserve"> Scedosporium</w:t>
      </w:r>
      <w:r w:rsidRPr="00913317">
        <w:rPr>
          <w:szCs w:val="22"/>
          <w:lang w:val="hr-HR"/>
        </w:rPr>
        <w:t xml:space="preserve"> ili </w:t>
      </w:r>
      <w:r w:rsidRPr="00913317">
        <w:rPr>
          <w:i/>
          <w:szCs w:val="22"/>
          <w:lang w:val="hr-HR"/>
        </w:rPr>
        <w:t>Fusarium</w:t>
      </w:r>
      <w:r w:rsidRPr="00913317">
        <w:rPr>
          <w:szCs w:val="22"/>
          <w:lang w:val="hr-HR"/>
        </w:rPr>
        <w:t xml:space="preserve"> koji pokazuju ograničenu os</w:t>
      </w:r>
      <w:r w:rsidR="00F4722E" w:rsidRPr="00913317">
        <w:rPr>
          <w:szCs w:val="22"/>
          <w:lang w:val="hr-HR"/>
        </w:rPr>
        <w:t>j</w:t>
      </w:r>
      <w:r w:rsidRPr="00913317">
        <w:rPr>
          <w:szCs w:val="22"/>
          <w:lang w:val="hr-HR"/>
        </w:rPr>
        <w:t xml:space="preserve">etljivost na postojeće antigljivične </w:t>
      </w:r>
      <w:r w:rsidR="004D45E7" w:rsidRPr="00913317">
        <w:rPr>
          <w:szCs w:val="22"/>
          <w:lang w:val="hr-HR"/>
        </w:rPr>
        <w:t>ljekov</w:t>
      </w:r>
      <w:r w:rsidRPr="00913317">
        <w:rPr>
          <w:szCs w:val="22"/>
          <w:lang w:val="hr-HR"/>
        </w:rPr>
        <w:t xml:space="preserve">e. </w:t>
      </w:r>
    </w:p>
    <w:p w14:paraId="07A01E1D" w14:textId="32177923" w:rsidR="006131C3" w:rsidRPr="00913317" w:rsidRDefault="00BE6E1E" w:rsidP="00D72925">
      <w:pPr>
        <w:rPr>
          <w:szCs w:val="22"/>
          <w:lang w:val="hr-HR"/>
        </w:rPr>
      </w:pPr>
      <w:r w:rsidRPr="00913317">
        <w:rPr>
          <w:szCs w:val="22"/>
          <w:lang w:val="hr-HR"/>
        </w:rPr>
        <w:t xml:space="preserve">Klinička efikasnost, definisana kao parcijalni ili potpuni odgovor, pokazana je za </w:t>
      </w:r>
      <w:r w:rsidRPr="00913317">
        <w:rPr>
          <w:i/>
          <w:szCs w:val="22"/>
          <w:lang w:val="hr-HR"/>
        </w:rPr>
        <w:t>Aspergil</w:t>
      </w:r>
      <w:r w:rsidR="0077531C" w:rsidRPr="00913317">
        <w:rPr>
          <w:i/>
          <w:szCs w:val="22"/>
          <w:lang w:val="hr-HR"/>
        </w:rPr>
        <w:t>l</w:t>
      </w:r>
      <w:r w:rsidRPr="00913317">
        <w:rPr>
          <w:i/>
          <w:szCs w:val="22"/>
          <w:lang w:val="hr-HR"/>
        </w:rPr>
        <w:t>us</w:t>
      </w:r>
      <w:r w:rsidRPr="00913317">
        <w:rPr>
          <w:szCs w:val="22"/>
          <w:lang w:val="hr-HR"/>
        </w:rPr>
        <w:t xml:space="preserve"> </w:t>
      </w:r>
      <w:r w:rsidRPr="00913317">
        <w:rPr>
          <w:i/>
          <w:szCs w:val="22"/>
          <w:lang w:val="hr-HR"/>
        </w:rPr>
        <w:t>spp</w:t>
      </w:r>
      <w:r w:rsidRPr="00913317">
        <w:rPr>
          <w:szCs w:val="22"/>
          <w:lang w:val="hr-HR"/>
        </w:rPr>
        <w:t xml:space="preserve">. uključujući </w:t>
      </w:r>
      <w:r w:rsidRPr="00913317">
        <w:rPr>
          <w:i/>
          <w:szCs w:val="22"/>
          <w:lang w:val="hr-HR"/>
        </w:rPr>
        <w:t>A. flavus</w:t>
      </w:r>
      <w:r w:rsidRPr="00913317">
        <w:rPr>
          <w:szCs w:val="22"/>
          <w:lang w:val="hr-HR"/>
        </w:rPr>
        <w:t xml:space="preserve">, </w:t>
      </w:r>
      <w:r w:rsidRPr="00913317">
        <w:rPr>
          <w:i/>
          <w:szCs w:val="22"/>
          <w:lang w:val="hr-HR"/>
        </w:rPr>
        <w:t>A. fumigatus</w:t>
      </w:r>
      <w:r w:rsidRPr="00913317">
        <w:rPr>
          <w:szCs w:val="22"/>
          <w:lang w:val="hr-HR"/>
        </w:rPr>
        <w:t xml:space="preserve">, </w:t>
      </w:r>
      <w:r w:rsidRPr="00913317">
        <w:rPr>
          <w:i/>
          <w:szCs w:val="22"/>
          <w:lang w:val="hr-HR"/>
        </w:rPr>
        <w:t>A. terreus</w:t>
      </w:r>
      <w:r w:rsidRPr="00913317">
        <w:rPr>
          <w:szCs w:val="22"/>
          <w:lang w:val="hr-HR"/>
        </w:rPr>
        <w:t xml:space="preserve">, </w:t>
      </w:r>
      <w:r w:rsidRPr="00913317">
        <w:rPr>
          <w:i/>
          <w:szCs w:val="22"/>
          <w:lang w:val="hr-HR"/>
        </w:rPr>
        <w:t>A. niger</w:t>
      </w:r>
      <w:r w:rsidRPr="00913317">
        <w:rPr>
          <w:szCs w:val="22"/>
          <w:lang w:val="hr-HR"/>
        </w:rPr>
        <w:t xml:space="preserve">, </w:t>
      </w:r>
      <w:r w:rsidRPr="00913317">
        <w:rPr>
          <w:i/>
          <w:szCs w:val="22"/>
          <w:lang w:val="hr-HR"/>
        </w:rPr>
        <w:t>A. nidulans</w:t>
      </w:r>
      <w:r w:rsidRPr="00913317">
        <w:rPr>
          <w:szCs w:val="22"/>
          <w:lang w:val="hr-HR"/>
        </w:rPr>
        <w:t xml:space="preserve">, </w:t>
      </w:r>
      <w:r w:rsidRPr="00913317">
        <w:rPr>
          <w:i/>
          <w:szCs w:val="22"/>
          <w:lang w:val="hr-HR"/>
        </w:rPr>
        <w:t>Candida spp</w:t>
      </w:r>
      <w:r w:rsidRPr="00913317">
        <w:rPr>
          <w:szCs w:val="22"/>
          <w:lang w:val="hr-HR"/>
        </w:rPr>
        <w:t xml:space="preserve">., uključujući </w:t>
      </w:r>
      <w:r w:rsidRPr="00913317">
        <w:rPr>
          <w:i/>
          <w:szCs w:val="22"/>
          <w:lang w:val="hr-HR"/>
        </w:rPr>
        <w:t>C. albicans</w:t>
      </w:r>
      <w:r w:rsidRPr="00913317">
        <w:rPr>
          <w:szCs w:val="22"/>
          <w:lang w:val="hr-HR"/>
        </w:rPr>
        <w:t>,</w:t>
      </w:r>
      <w:r w:rsidRPr="00913317">
        <w:rPr>
          <w:i/>
          <w:szCs w:val="22"/>
          <w:lang w:val="hr-HR"/>
        </w:rPr>
        <w:t xml:space="preserve"> C. glabrata, C. krusei</w:t>
      </w:r>
      <w:r w:rsidRPr="00913317">
        <w:rPr>
          <w:szCs w:val="22"/>
          <w:lang w:val="hr-HR"/>
        </w:rPr>
        <w:t xml:space="preserve">, </w:t>
      </w:r>
      <w:r w:rsidRPr="00913317">
        <w:rPr>
          <w:i/>
          <w:szCs w:val="22"/>
          <w:lang w:val="hr-HR"/>
        </w:rPr>
        <w:t xml:space="preserve">C. parapsilosis </w:t>
      </w:r>
      <w:r w:rsidRPr="00913317">
        <w:rPr>
          <w:szCs w:val="22"/>
          <w:lang w:val="hr-HR"/>
        </w:rPr>
        <w:t xml:space="preserve">i </w:t>
      </w:r>
      <w:r w:rsidRPr="00913317">
        <w:rPr>
          <w:i/>
          <w:szCs w:val="22"/>
          <w:lang w:val="hr-HR"/>
        </w:rPr>
        <w:t xml:space="preserve">C. tropicalis </w:t>
      </w:r>
      <w:r w:rsidRPr="00913317">
        <w:rPr>
          <w:szCs w:val="22"/>
          <w:lang w:val="hr-HR"/>
        </w:rPr>
        <w:t xml:space="preserve">i ograničeni broj </w:t>
      </w:r>
      <w:r w:rsidRPr="00913317">
        <w:rPr>
          <w:i/>
          <w:szCs w:val="22"/>
          <w:lang w:val="hr-HR"/>
        </w:rPr>
        <w:t>C. dubliniensis</w:t>
      </w:r>
      <w:r w:rsidRPr="00913317">
        <w:rPr>
          <w:szCs w:val="22"/>
          <w:lang w:val="hr-HR"/>
        </w:rPr>
        <w:t xml:space="preserve">, </w:t>
      </w:r>
      <w:r w:rsidRPr="00913317">
        <w:rPr>
          <w:i/>
          <w:szCs w:val="22"/>
          <w:lang w:val="hr-HR"/>
        </w:rPr>
        <w:t>C. inconspicua</w:t>
      </w:r>
      <w:r w:rsidRPr="00913317">
        <w:rPr>
          <w:szCs w:val="22"/>
          <w:lang w:val="hr-HR"/>
        </w:rPr>
        <w:t xml:space="preserve"> i </w:t>
      </w:r>
      <w:r w:rsidRPr="00913317">
        <w:rPr>
          <w:i/>
          <w:szCs w:val="22"/>
          <w:lang w:val="hr-HR"/>
        </w:rPr>
        <w:t>C. guilliermondii</w:t>
      </w:r>
      <w:r w:rsidRPr="00913317">
        <w:rPr>
          <w:szCs w:val="22"/>
          <w:lang w:val="hr-HR"/>
        </w:rPr>
        <w:t xml:space="preserve">, </w:t>
      </w:r>
      <w:r w:rsidRPr="00913317">
        <w:rPr>
          <w:i/>
          <w:szCs w:val="22"/>
          <w:lang w:val="hr-HR"/>
        </w:rPr>
        <w:t>Scedosporium spp</w:t>
      </w:r>
      <w:r w:rsidRPr="00913317">
        <w:rPr>
          <w:szCs w:val="22"/>
          <w:lang w:val="hr-HR"/>
        </w:rPr>
        <w:t xml:space="preserve">., uključujući </w:t>
      </w:r>
      <w:r w:rsidRPr="00913317">
        <w:rPr>
          <w:i/>
          <w:szCs w:val="22"/>
          <w:lang w:val="hr-HR"/>
        </w:rPr>
        <w:t>S.</w:t>
      </w:r>
      <w:r w:rsidRPr="00913317">
        <w:rPr>
          <w:szCs w:val="22"/>
          <w:lang w:val="hr-HR"/>
        </w:rPr>
        <w:t xml:space="preserve"> </w:t>
      </w:r>
      <w:r w:rsidRPr="00913317">
        <w:rPr>
          <w:i/>
          <w:szCs w:val="22"/>
          <w:lang w:val="hr-HR"/>
        </w:rPr>
        <w:t>apiospermum</w:t>
      </w:r>
      <w:r w:rsidRPr="00913317">
        <w:rPr>
          <w:szCs w:val="22"/>
          <w:lang w:val="hr-HR"/>
        </w:rPr>
        <w:t xml:space="preserve">, </w:t>
      </w:r>
      <w:r w:rsidRPr="00913317">
        <w:rPr>
          <w:i/>
          <w:szCs w:val="22"/>
          <w:lang w:val="hr-HR"/>
        </w:rPr>
        <w:t>S. prolificans</w:t>
      </w:r>
      <w:r w:rsidRPr="00913317">
        <w:rPr>
          <w:szCs w:val="22"/>
          <w:lang w:val="hr-HR"/>
        </w:rPr>
        <w:t xml:space="preserve"> i </w:t>
      </w:r>
      <w:r w:rsidRPr="00913317">
        <w:rPr>
          <w:i/>
          <w:szCs w:val="22"/>
          <w:lang w:val="hr-HR"/>
        </w:rPr>
        <w:t>Fusarium spp</w:t>
      </w:r>
      <w:r w:rsidRPr="00913317">
        <w:rPr>
          <w:szCs w:val="22"/>
          <w:lang w:val="hr-HR"/>
        </w:rPr>
        <w:t>.</w:t>
      </w:r>
    </w:p>
    <w:p w14:paraId="24AFF41C" w14:textId="498EFFD7" w:rsidR="006131C3" w:rsidRPr="00913317" w:rsidRDefault="00BE6E1E" w:rsidP="00D72925">
      <w:pPr>
        <w:pStyle w:val="Header"/>
        <w:tabs>
          <w:tab w:val="clear" w:pos="4536"/>
          <w:tab w:val="clear" w:pos="9072"/>
          <w:tab w:val="left" w:pos="284"/>
        </w:tabs>
        <w:rPr>
          <w:szCs w:val="22"/>
          <w:lang w:val="hr-HR"/>
        </w:rPr>
      </w:pPr>
      <w:r w:rsidRPr="00913317">
        <w:rPr>
          <w:szCs w:val="22"/>
          <w:lang w:val="hr-HR"/>
        </w:rPr>
        <w:lastRenderedPageBreak/>
        <w:t>Druge tretirane gljivične infekcije (često sa parcijalnim ili sa kompletnim odgovorom</w:t>
      </w:r>
      <w:r w:rsidR="0077531C" w:rsidRPr="00913317">
        <w:rPr>
          <w:szCs w:val="22"/>
          <w:lang w:val="hr-HR"/>
        </w:rPr>
        <w:t>)</w:t>
      </w:r>
      <w:r w:rsidRPr="00913317">
        <w:rPr>
          <w:szCs w:val="22"/>
          <w:lang w:val="hr-HR"/>
        </w:rPr>
        <w:t xml:space="preserve"> uključuju izolovane slučajeve </w:t>
      </w:r>
      <w:r w:rsidRPr="00913317">
        <w:rPr>
          <w:i/>
          <w:szCs w:val="22"/>
          <w:lang w:val="hr-HR"/>
        </w:rPr>
        <w:t>Alternaria</w:t>
      </w:r>
      <w:r w:rsidRPr="00913317">
        <w:rPr>
          <w:szCs w:val="22"/>
          <w:lang w:val="hr-HR"/>
        </w:rPr>
        <w:t xml:space="preserve"> </w:t>
      </w:r>
      <w:r w:rsidRPr="00913317">
        <w:rPr>
          <w:i/>
          <w:szCs w:val="22"/>
          <w:lang w:val="hr-HR"/>
        </w:rPr>
        <w:t>spp</w:t>
      </w:r>
      <w:r w:rsidRPr="00913317">
        <w:rPr>
          <w:szCs w:val="22"/>
          <w:lang w:val="hr-HR"/>
        </w:rPr>
        <w:t xml:space="preserve">., </w:t>
      </w:r>
      <w:r w:rsidRPr="00913317">
        <w:rPr>
          <w:i/>
          <w:szCs w:val="22"/>
          <w:lang w:val="hr-HR"/>
        </w:rPr>
        <w:t>Blastomyces dermatitidis, Blastoschizomyces capitatus, Cladosporium spp</w:t>
      </w:r>
      <w:r w:rsidRPr="00913317">
        <w:rPr>
          <w:szCs w:val="22"/>
          <w:lang w:val="hr-HR"/>
        </w:rPr>
        <w:t xml:space="preserve">., </w:t>
      </w:r>
      <w:r w:rsidRPr="00913317">
        <w:rPr>
          <w:i/>
          <w:szCs w:val="22"/>
          <w:lang w:val="hr-HR"/>
        </w:rPr>
        <w:t>Coccidioides immitis, Conidiobolus coronatus,</w:t>
      </w:r>
      <w:r w:rsidRPr="00913317">
        <w:rPr>
          <w:szCs w:val="22"/>
          <w:lang w:val="hr-HR"/>
        </w:rPr>
        <w:t xml:space="preserve"> </w:t>
      </w:r>
      <w:r w:rsidRPr="00913317">
        <w:rPr>
          <w:i/>
          <w:szCs w:val="22"/>
          <w:lang w:val="hr-HR"/>
        </w:rPr>
        <w:t>Cryptococcus neoformans, Exserohilum rostratum, Exophiala spinifera, Fonsecaea pedrosoi, Madurella mycetomatis, Paecilomyces lilacinus, Penicillium</w:t>
      </w:r>
      <w:r w:rsidRPr="00913317">
        <w:rPr>
          <w:szCs w:val="22"/>
          <w:lang w:val="hr-HR"/>
        </w:rPr>
        <w:t xml:space="preserve"> </w:t>
      </w:r>
      <w:r w:rsidRPr="00913317">
        <w:rPr>
          <w:i/>
          <w:szCs w:val="22"/>
          <w:lang w:val="hr-HR"/>
        </w:rPr>
        <w:t>spp</w:t>
      </w:r>
      <w:r w:rsidRPr="00913317">
        <w:rPr>
          <w:szCs w:val="22"/>
          <w:lang w:val="hr-HR"/>
        </w:rPr>
        <w:t xml:space="preserve">. uključujući </w:t>
      </w:r>
      <w:r w:rsidRPr="00913317">
        <w:rPr>
          <w:i/>
          <w:szCs w:val="22"/>
          <w:lang w:val="hr-HR"/>
        </w:rPr>
        <w:t xml:space="preserve">P. marneffei, Phialophora richardsiae, Scopulariopsis brevicaulis </w:t>
      </w:r>
      <w:r w:rsidRPr="00913317">
        <w:rPr>
          <w:szCs w:val="22"/>
          <w:lang w:val="hr-HR"/>
        </w:rPr>
        <w:t xml:space="preserve">i </w:t>
      </w:r>
      <w:r w:rsidRPr="00913317">
        <w:rPr>
          <w:i/>
          <w:szCs w:val="22"/>
          <w:lang w:val="hr-HR"/>
        </w:rPr>
        <w:t>Trichosporon</w:t>
      </w:r>
      <w:r w:rsidRPr="00913317">
        <w:rPr>
          <w:szCs w:val="22"/>
          <w:lang w:val="hr-HR"/>
        </w:rPr>
        <w:t xml:space="preserve"> </w:t>
      </w:r>
      <w:r w:rsidRPr="00913317">
        <w:rPr>
          <w:i/>
          <w:szCs w:val="22"/>
          <w:lang w:val="hr-HR"/>
        </w:rPr>
        <w:t>spp</w:t>
      </w:r>
      <w:r w:rsidRPr="00913317">
        <w:rPr>
          <w:szCs w:val="22"/>
          <w:lang w:val="hr-HR"/>
        </w:rPr>
        <w:t xml:space="preserve">., uključujući </w:t>
      </w:r>
      <w:r w:rsidRPr="00913317">
        <w:rPr>
          <w:i/>
          <w:szCs w:val="22"/>
          <w:lang w:val="hr-HR"/>
        </w:rPr>
        <w:t xml:space="preserve">T. beigelii </w:t>
      </w:r>
      <w:r w:rsidRPr="00913317">
        <w:rPr>
          <w:szCs w:val="22"/>
          <w:lang w:val="hr-HR"/>
        </w:rPr>
        <w:t>infekcije.</w:t>
      </w:r>
    </w:p>
    <w:p w14:paraId="0D34AB25" w14:textId="5ECEBB19" w:rsidR="006131C3" w:rsidRPr="00913317" w:rsidRDefault="00BE6E1E" w:rsidP="00D72925">
      <w:pPr>
        <w:tabs>
          <w:tab w:val="clear" w:pos="284"/>
        </w:tabs>
        <w:autoSpaceDE w:val="0"/>
        <w:autoSpaceDN w:val="0"/>
        <w:adjustRightInd w:val="0"/>
        <w:rPr>
          <w:szCs w:val="22"/>
          <w:lang w:val="hr-HR"/>
        </w:rPr>
      </w:pPr>
      <w:r w:rsidRPr="00913317">
        <w:rPr>
          <w:i/>
          <w:szCs w:val="22"/>
          <w:lang w:val="hr-HR"/>
        </w:rPr>
        <w:t xml:space="preserve">In vitro </w:t>
      </w:r>
      <w:r w:rsidRPr="00913317">
        <w:rPr>
          <w:szCs w:val="22"/>
          <w:lang w:val="hr-HR"/>
        </w:rPr>
        <w:t xml:space="preserve">aktivnost protiv kliničkih izolata uočena je za </w:t>
      </w:r>
      <w:r w:rsidRPr="00913317">
        <w:rPr>
          <w:i/>
          <w:szCs w:val="22"/>
          <w:lang w:val="hr-HR"/>
        </w:rPr>
        <w:t>Acremonium</w:t>
      </w:r>
      <w:r w:rsidRPr="00913317">
        <w:rPr>
          <w:szCs w:val="22"/>
          <w:lang w:val="hr-HR"/>
        </w:rPr>
        <w:t xml:space="preserve"> </w:t>
      </w:r>
      <w:r w:rsidRPr="00913317">
        <w:rPr>
          <w:i/>
          <w:szCs w:val="22"/>
          <w:lang w:val="hr-HR"/>
        </w:rPr>
        <w:t>spp</w:t>
      </w:r>
      <w:r w:rsidRPr="00913317">
        <w:rPr>
          <w:szCs w:val="22"/>
          <w:lang w:val="hr-HR"/>
        </w:rPr>
        <w:t xml:space="preserve">., </w:t>
      </w:r>
      <w:r w:rsidRPr="00913317">
        <w:rPr>
          <w:i/>
          <w:szCs w:val="22"/>
          <w:lang w:val="hr-HR"/>
        </w:rPr>
        <w:t>Alternaria spp</w:t>
      </w:r>
      <w:r w:rsidRPr="00913317">
        <w:rPr>
          <w:szCs w:val="22"/>
          <w:lang w:val="hr-HR"/>
        </w:rPr>
        <w:t xml:space="preserve">., </w:t>
      </w:r>
      <w:r w:rsidRPr="00913317">
        <w:rPr>
          <w:i/>
          <w:szCs w:val="22"/>
          <w:lang w:val="hr-HR"/>
        </w:rPr>
        <w:t>Bipolaris</w:t>
      </w:r>
      <w:r w:rsidRPr="00913317">
        <w:rPr>
          <w:szCs w:val="22"/>
          <w:lang w:val="hr-HR"/>
        </w:rPr>
        <w:t xml:space="preserve"> </w:t>
      </w:r>
      <w:r w:rsidRPr="00913317">
        <w:rPr>
          <w:i/>
          <w:szCs w:val="22"/>
          <w:lang w:val="hr-HR"/>
        </w:rPr>
        <w:t>spp</w:t>
      </w:r>
      <w:r w:rsidRPr="00913317">
        <w:rPr>
          <w:szCs w:val="22"/>
          <w:lang w:val="hr-HR"/>
        </w:rPr>
        <w:t xml:space="preserve">., </w:t>
      </w:r>
      <w:r w:rsidRPr="00913317">
        <w:rPr>
          <w:i/>
          <w:szCs w:val="22"/>
          <w:lang w:val="hr-HR"/>
        </w:rPr>
        <w:t>Cladophialophora</w:t>
      </w:r>
      <w:r w:rsidRPr="00913317">
        <w:rPr>
          <w:szCs w:val="22"/>
          <w:lang w:val="hr-HR"/>
        </w:rPr>
        <w:t xml:space="preserve"> </w:t>
      </w:r>
      <w:r w:rsidRPr="00913317">
        <w:rPr>
          <w:i/>
          <w:szCs w:val="22"/>
          <w:lang w:val="hr-HR"/>
        </w:rPr>
        <w:t>spp</w:t>
      </w:r>
      <w:r w:rsidRPr="00913317">
        <w:rPr>
          <w:szCs w:val="22"/>
          <w:lang w:val="hr-HR"/>
        </w:rPr>
        <w:t>.</w:t>
      </w:r>
      <w:r w:rsidR="00103E69" w:rsidRPr="00913317">
        <w:rPr>
          <w:szCs w:val="22"/>
          <w:lang w:val="hr-HR"/>
        </w:rPr>
        <w:t xml:space="preserve"> </w:t>
      </w:r>
      <w:r w:rsidRPr="00913317">
        <w:rPr>
          <w:szCs w:val="22"/>
          <w:lang w:val="hr-HR"/>
        </w:rPr>
        <w:t xml:space="preserve">i </w:t>
      </w:r>
      <w:r w:rsidRPr="00913317">
        <w:rPr>
          <w:i/>
          <w:szCs w:val="22"/>
          <w:lang w:val="hr-HR"/>
        </w:rPr>
        <w:t>Histoplasma capsulatum</w:t>
      </w:r>
      <w:r w:rsidRPr="00913317">
        <w:rPr>
          <w:szCs w:val="22"/>
          <w:lang w:val="hr-HR"/>
        </w:rPr>
        <w:t xml:space="preserve">, </w:t>
      </w:r>
      <w:r w:rsidR="003256B9" w:rsidRPr="00913317">
        <w:rPr>
          <w:szCs w:val="22"/>
          <w:lang w:val="hr-HR"/>
        </w:rPr>
        <w:t>gd</w:t>
      </w:r>
      <w:r w:rsidR="00F4722E" w:rsidRPr="00913317">
        <w:rPr>
          <w:szCs w:val="22"/>
          <w:lang w:val="hr-HR"/>
        </w:rPr>
        <w:t>j</w:t>
      </w:r>
      <w:r w:rsidR="003256B9" w:rsidRPr="00913317">
        <w:rPr>
          <w:szCs w:val="22"/>
          <w:lang w:val="hr-HR"/>
        </w:rPr>
        <w:t>e je najveći broj sojeva bio inhibiran pri koncentracijama vorikonazola u rasponu od</w:t>
      </w:r>
      <w:r w:rsidR="00B31C19" w:rsidRPr="00913317" w:rsidDel="00B31C19">
        <w:rPr>
          <w:szCs w:val="22"/>
          <w:lang w:val="hr-HR"/>
        </w:rPr>
        <w:t xml:space="preserve"> </w:t>
      </w:r>
      <w:r w:rsidRPr="00913317">
        <w:rPr>
          <w:szCs w:val="22"/>
          <w:lang w:val="hr-HR"/>
        </w:rPr>
        <w:t>0,05 do 2 mikrograma/</w:t>
      </w:r>
      <w:r w:rsidR="006C3F92" w:rsidRPr="00913317">
        <w:rPr>
          <w:szCs w:val="22"/>
          <w:lang w:val="hr-HR"/>
        </w:rPr>
        <w:t>ml</w:t>
      </w:r>
      <w:r w:rsidRPr="00913317">
        <w:rPr>
          <w:szCs w:val="22"/>
          <w:lang w:val="hr-HR"/>
        </w:rPr>
        <w:t>.</w:t>
      </w:r>
    </w:p>
    <w:p w14:paraId="38965D2B" w14:textId="2BF79D75" w:rsidR="006131C3" w:rsidRPr="00913317" w:rsidRDefault="00BE6E1E" w:rsidP="00D72925">
      <w:pPr>
        <w:rPr>
          <w:szCs w:val="22"/>
          <w:lang w:val="hr-HR"/>
        </w:rPr>
      </w:pPr>
      <w:r w:rsidRPr="00913317">
        <w:rPr>
          <w:i/>
          <w:szCs w:val="22"/>
          <w:lang w:val="hr-HR"/>
        </w:rPr>
        <w:t>In vitro</w:t>
      </w:r>
      <w:r w:rsidRPr="00913317">
        <w:rPr>
          <w:szCs w:val="22"/>
          <w:lang w:val="hr-HR"/>
        </w:rPr>
        <w:t xml:space="preserve"> aktivnost vorikonazola pokazana je i protiv sl</w:t>
      </w:r>
      <w:r w:rsidR="0053434F" w:rsidRPr="00913317">
        <w:rPr>
          <w:szCs w:val="22"/>
          <w:lang w:val="hr-HR"/>
        </w:rPr>
        <w:t>j</w:t>
      </w:r>
      <w:r w:rsidRPr="00913317">
        <w:rPr>
          <w:szCs w:val="22"/>
          <w:lang w:val="hr-HR"/>
        </w:rPr>
        <w:t xml:space="preserve">edećih patogena: </w:t>
      </w:r>
      <w:r w:rsidRPr="00913317">
        <w:rPr>
          <w:i/>
          <w:szCs w:val="22"/>
          <w:lang w:val="hr-HR"/>
        </w:rPr>
        <w:t>Curvularia</w:t>
      </w:r>
      <w:r w:rsidRPr="00913317">
        <w:rPr>
          <w:szCs w:val="22"/>
          <w:lang w:val="hr-HR"/>
        </w:rPr>
        <w:t xml:space="preserve"> </w:t>
      </w:r>
      <w:r w:rsidRPr="00913317">
        <w:rPr>
          <w:i/>
          <w:szCs w:val="22"/>
          <w:lang w:val="hr-HR"/>
        </w:rPr>
        <w:t>spp</w:t>
      </w:r>
      <w:r w:rsidRPr="00913317">
        <w:rPr>
          <w:szCs w:val="22"/>
          <w:lang w:val="hr-HR"/>
        </w:rPr>
        <w:t xml:space="preserve">. i </w:t>
      </w:r>
      <w:r w:rsidRPr="00913317">
        <w:rPr>
          <w:i/>
          <w:szCs w:val="22"/>
          <w:lang w:val="hr-HR"/>
        </w:rPr>
        <w:t>Sporothrix</w:t>
      </w:r>
      <w:r w:rsidRPr="00913317">
        <w:rPr>
          <w:szCs w:val="22"/>
          <w:lang w:val="hr-HR"/>
        </w:rPr>
        <w:t xml:space="preserve"> </w:t>
      </w:r>
      <w:r w:rsidRPr="00913317">
        <w:rPr>
          <w:i/>
          <w:szCs w:val="22"/>
          <w:lang w:val="hr-HR"/>
        </w:rPr>
        <w:t>spp</w:t>
      </w:r>
      <w:r w:rsidRPr="00913317">
        <w:rPr>
          <w:szCs w:val="22"/>
          <w:lang w:val="hr-HR"/>
        </w:rPr>
        <w:t>, ali klinički značaj ovih podataka nije poznat.</w:t>
      </w:r>
    </w:p>
    <w:p w14:paraId="7B811355" w14:textId="3BD8E83F" w:rsidR="006131C3" w:rsidRPr="00913317" w:rsidRDefault="00BE6E1E" w:rsidP="00D72925">
      <w:pPr>
        <w:pStyle w:val="Paragraph"/>
        <w:spacing w:after="0"/>
        <w:jc w:val="both"/>
        <w:rPr>
          <w:sz w:val="22"/>
          <w:szCs w:val="22"/>
          <w:u w:val="single"/>
          <w:lang w:val="hr-HR"/>
        </w:rPr>
      </w:pPr>
      <w:r w:rsidRPr="00913317">
        <w:rPr>
          <w:sz w:val="22"/>
          <w:szCs w:val="22"/>
          <w:u w:val="single"/>
          <w:lang w:val="hr-HR"/>
        </w:rPr>
        <w:t xml:space="preserve">Granične </w:t>
      </w:r>
      <w:r w:rsidR="004D45E7" w:rsidRPr="00913317">
        <w:rPr>
          <w:sz w:val="22"/>
          <w:szCs w:val="22"/>
          <w:u w:val="single"/>
          <w:lang w:val="hr-HR"/>
        </w:rPr>
        <w:t>vrijedno</w:t>
      </w:r>
      <w:r w:rsidRPr="00913317">
        <w:rPr>
          <w:sz w:val="22"/>
          <w:szCs w:val="22"/>
          <w:u w:val="single"/>
          <w:lang w:val="hr-HR"/>
        </w:rPr>
        <w:t>sti</w:t>
      </w:r>
    </w:p>
    <w:p w14:paraId="21CFA67B" w14:textId="4CE494CE" w:rsidR="006131C3" w:rsidRPr="00913317" w:rsidRDefault="00BE6E1E" w:rsidP="00D72925">
      <w:pPr>
        <w:pStyle w:val="Paragraph"/>
        <w:spacing w:after="0"/>
        <w:jc w:val="both"/>
        <w:rPr>
          <w:sz w:val="22"/>
          <w:szCs w:val="22"/>
          <w:lang w:val="hr-HR"/>
        </w:rPr>
      </w:pPr>
      <w:r w:rsidRPr="00913317">
        <w:rPr>
          <w:sz w:val="22"/>
          <w:szCs w:val="22"/>
          <w:lang w:val="hr-HR"/>
        </w:rPr>
        <w:t>Uzorke za gljivične kulture i druga relevantna laboratorijska ispitivanja (serologija, histopatologija) treba uzeti pr</w:t>
      </w:r>
      <w:r w:rsidR="00E10AD6" w:rsidRPr="00913317">
        <w:rPr>
          <w:sz w:val="22"/>
          <w:szCs w:val="22"/>
          <w:lang w:val="hr-HR"/>
        </w:rPr>
        <w:t>ij</w:t>
      </w:r>
      <w:r w:rsidRPr="00913317">
        <w:rPr>
          <w:sz w:val="22"/>
          <w:szCs w:val="22"/>
          <w:lang w:val="hr-HR"/>
        </w:rPr>
        <w:t>e početka terapije, kako bi se izolovali i identifikovali uzročnici infekcije. Terapija se može započeti i pr</w:t>
      </w:r>
      <w:r w:rsidR="00E10AD6" w:rsidRPr="00913317">
        <w:rPr>
          <w:sz w:val="22"/>
          <w:szCs w:val="22"/>
          <w:lang w:val="hr-HR"/>
        </w:rPr>
        <w:t>ij</w:t>
      </w:r>
      <w:r w:rsidRPr="00913317">
        <w:rPr>
          <w:sz w:val="22"/>
          <w:szCs w:val="22"/>
          <w:lang w:val="hr-HR"/>
        </w:rPr>
        <w:t xml:space="preserve">e nego što rezultati kultura i drugih laboratorijskih ispitivanja budu </w:t>
      </w:r>
      <w:r w:rsidR="00C7273D" w:rsidRPr="00913317">
        <w:rPr>
          <w:sz w:val="22"/>
          <w:szCs w:val="22"/>
          <w:lang w:val="hr-HR"/>
        </w:rPr>
        <w:t xml:space="preserve">gotovi; međutim, </w:t>
      </w:r>
      <w:r w:rsidR="003256B9" w:rsidRPr="00913317">
        <w:rPr>
          <w:sz w:val="22"/>
          <w:szCs w:val="22"/>
          <w:lang w:val="hr-HR"/>
        </w:rPr>
        <w:t>kada ti rezultati budu dostupni</w:t>
      </w:r>
      <w:r w:rsidR="00C7273D" w:rsidRPr="00913317">
        <w:rPr>
          <w:sz w:val="22"/>
          <w:szCs w:val="22"/>
          <w:lang w:val="hr-HR"/>
        </w:rPr>
        <w:t xml:space="preserve">, treba </w:t>
      </w:r>
      <w:r w:rsidR="00241E3D" w:rsidRPr="00913317">
        <w:rPr>
          <w:sz w:val="22"/>
          <w:szCs w:val="22"/>
          <w:lang w:val="hr-HR"/>
        </w:rPr>
        <w:t>prilagoditi</w:t>
      </w:r>
      <w:r w:rsidR="00C7273D" w:rsidRPr="00913317">
        <w:rPr>
          <w:sz w:val="22"/>
          <w:szCs w:val="22"/>
          <w:lang w:val="hr-HR"/>
        </w:rPr>
        <w:t xml:space="preserve"> antiinfektivnu terapiju na osnovu njih. </w:t>
      </w:r>
    </w:p>
    <w:p w14:paraId="3632873D" w14:textId="0C929041" w:rsidR="006131C3" w:rsidRPr="00913317" w:rsidRDefault="00BE6E1E" w:rsidP="00D72925">
      <w:pPr>
        <w:pStyle w:val="Paragraph"/>
        <w:spacing w:after="0"/>
        <w:jc w:val="both"/>
        <w:rPr>
          <w:spacing w:val="-2"/>
          <w:sz w:val="22"/>
          <w:szCs w:val="22"/>
          <w:lang w:val="hr-HR"/>
        </w:rPr>
      </w:pPr>
      <w:r w:rsidRPr="00913317">
        <w:rPr>
          <w:spacing w:val="-2"/>
          <w:sz w:val="22"/>
          <w:szCs w:val="22"/>
          <w:lang w:val="hr-HR"/>
        </w:rPr>
        <w:t xml:space="preserve">Vrste koje su najčešći uzročnici infekcija kod ljudi uključuju </w:t>
      </w:r>
      <w:r w:rsidRPr="00913317">
        <w:rPr>
          <w:i/>
          <w:spacing w:val="-2"/>
          <w:sz w:val="22"/>
          <w:szCs w:val="22"/>
          <w:lang w:val="hr-HR"/>
        </w:rPr>
        <w:t xml:space="preserve">C. albicans, C. parapsilosis, C. tropicalis, C. glabrata </w:t>
      </w:r>
      <w:r w:rsidRPr="00913317">
        <w:rPr>
          <w:spacing w:val="-2"/>
          <w:sz w:val="22"/>
          <w:szCs w:val="22"/>
          <w:lang w:val="hr-HR"/>
        </w:rPr>
        <w:t>i</w:t>
      </w:r>
      <w:r w:rsidRPr="00913317">
        <w:rPr>
          <w:i/>
          <w:spacing w:val="-2"/>
          <w:sz w:val="22"/>
          <w:szCs w:val="22"/>
          <w:lang w:val="hr-HR"/>
        </w:rPr>
        <w:t xml:space="preserve"> C. krusei</w:t>
      </w:r>
      <w:r w:rsidRPr="00913317">
        <w:rPr>
          <w:spacing w:val="-2"/>
          <w:sz w:val="22"/>
          <w:szCs w:val="22"/>
          <w:lang w:val="hr-HR"/>
        </w:rPr>
        <w:t xml:space="preserve"> i za sve njih minimalne inhibitorne koncentracije (MIK) vorikonazola obično ne prelaze 1</w:t>
      </w:r>
      <w:r w:rsidR="00404A0A" w:rsidRPr="00913317">
        <w:rPr>
          <w:spacing w:val="-2"/>
          <w:sz w:val="22"/>
          <w:szCs w:val="22"/>
          <w:lang w:val="hr-HR"/>
        </w:rPr>
        <w:t> </w:t>
      </w:r>
      <w:r w:rsidR="00E10AD6" w:rsidRPr="00913317">
        <w:rPr>
          <w:spacing w:val="-2"/>
          <w:sz w:val="22"/>
          <w:szCs w:val="22"/>
          <w:lang w:val="hr-HR"/>
        </w:rPr>
        <w:t>mg/l</w:t>
      </w:r>
      <w:r w:rsidRPr="00913317">
        <w:rPr>
          <w:spacing w:val="-2"/>
          <w:sz w:val="22"/>
          <w:szCs w:val="22"/>
          <w:lang w:val="hr-HR"/>
        </w:rPr>
        <w:t>.</w:t>
      </w:r>
    </w:p>
    <w:p w14:paraId="4B7AFEBC" w14:textId="41812831" w:rsidR="006131C3" w:rsidRPr="00913317" w:rsidRDefault="00BE6E1E" w:rsidP="00D72925">
      <w:pPr>
        <w:rPr>
          <w:b/>
          <w:szCs w:val="22"/>
          <w:lang w:val="hr-HR"/>
        </w:rPr>
      </w:pPr>
      <w:r w:rsidRPr="00913317">
        <w:rPr>
          <w:szCs w:val="22"/>
          <w:lang w:val="hr-HR"/>
        </w:rPr>
        <w:t xml:space="preserve">Međutim, </w:t>
      </w:r>
      <w:r w:rsidRPr="00913317">
        <w:rPr>
          <w:i/>
          <w:szCs w:val="22"/>
          <w:lang w:val="hr-HR"/>
        </w:rPr>
        <w:t>in vitro</w:t>
      </w:r>
      <w:r w:rsidRPr="00913317">
        <w:rPr>
          <w:szCs w:val="22"/>
          <w:lang w:val="hr-HR"/>
        </w:rPr>
        <w:t xml:space="preserve"> aktivnost vorikonazola protiv </w:t>
      </w:r>
      <w:r w:rsidRPr="00913317">
        <w:rPr>
          <w:i/>
          <w:szCs w:val="22"/>
          <w:lang w:val="hr-HR"/>
        </w:rPr>
        <w:t>Candida spp.</w:t>
      </w:r>
      <w:r w:rsidRPr="00913317">
        <w:rPr>
          <w:szCs w:val="22"/>
          <w:lang w:val="hr-HR"/>
        </w:rPr>
        <w:t xml:space="preserve"> nije ujednačena. Posebno kod </w:t>
      </w:r>
      <w:r w:rsidRPr="00913317">
        <w:rPr>
          <w:i/>
          <w:szCs w:val="22"/>
          <w:lang w:val="hr-HR"/>
        </w:rPr>
        <w:t>C.glabrata</w:t>
      </w:r>
      <w:r w:rsidRPr="00913317">
        <w:rPr>
          <w:szCs w:val="22"/>
          <w:lang w:val="hr-HR"/>
        </w:rPr>
        <w:t xml:space="preserve">, MIK vorikonazola za flukonazol rezistentne izolate proporcionalno su veći nego </w:t>
      </w:r>
      <w:r w:rsidR="004D45E7" w:rsidRPr="00913317">
        <w:rPr>
          <w:szCs w:val="22"/>
          <w:lang w:val="hr-HR"/>
        </w:rPr>
        <w:t>vrijedno</w:t>
      </w:r>
      <w:r w:rsidR="00B52F36" w:rsidRPr="00913317">
        <w:rPr>
          <w:szCs w:val="22"/>
          <w:lang w:val="hr-HR"/>
        </w:rPr>
        <w:t xml:space="preserve">sti </w:t>
      </w:r>
      <w:r w:rsidRPr="00913317">
        <w:rPr>
          <w:szCs w:val="22"/>
          <w:lang w:val="hr-HR"/>
        </w:rPr>
        <w:t>MIK za flukonazol os</w:t>
      </w:r>
      <w:r w:rsidR="002E7C46" w:rsidRPr="00913317">
        <w:rPr>
          <w:szCs w:val="22"/>
          <w:lang w:val="hr-HR"/>
        </w:rPr>
        <w:t>j</w:t>
      </w:r>
      <w:r w:rsidRPr="00913317">
        <w:rPr>
          <w:szCs w:val="22"/>
          <w:lang w:val="hr-HR"/>
        </w:rPr>
        <w:t xml:space="preserve">etljive izolate. Zbog toga, treba učiniti sve da se identifikuje vrsta </w:t>
      </w:r>
      <w:r w:rsidRPr="00913317">
        <w:rPr>
          <w:i/>
          <w:szCs w:val="22"/>
          <w:lang w:val="hr-HR"/>
        </w:rPr>
        <w:t>Candida</w:t>
      </w:r>
      <w:r w:rsidRPr="00913317">
        <w:rPr>
          <w:szCs w:val="22"/>
          <w:lang w:val="hr-HR"/>
        </w:rPr>
        <w:t xml:space="preserve">. Ukoliko su dostupni rezultati ispitivanja </w:t>
      </w:r>
      <w:r w:rsidR="00D061E1" w:rsidRPr="00913317">
        <w:rPr>
          <w:szCs w:val="22"/>
          <w:lang w:val="hr-HR"/>
        </w:rPr>
        <w:t>os</w:t>
      </w:r>
      <w:r w:rsidR="00E10AD6" w:rsidRPr="00913317">
        <w:rPr>
          <w:szCs w:val="22"/>
          <w:lang w:val="hr-HR"/>
        </w:rPr>
        <w:t>j</w:t>
      </w:r>
      <w:r w:rsidR="00D061E1" w:rsidRPr="00913317">
        <w:rPr>
          <w:szCs w:val="22"/>
          <w:lang w:val="hr-HR"/>
        </w:rPr>
        <w:t>etljivosti na antimikotike</w:t>
      </w:r>
      <w:r w:rsidRPr="00913317">
        <w:rPr>
          <w:szCs w:val="22"/>
          <w:lang w:val="hr-HR"/>
        </w:rPr>
        <w:t xml:space="preserve">, rezultati MIK mogu se interpretirati pomoću graničnih </w:t>
      </w:r>
      <w:r w:rsidR="004D45E7" w:rsidRPr="00913317">
        <w:rPr>
          <w:szCs w:val="22"/>
          <w:lang w:val="hr-HR"/>
        </w:rPr>
        <w:t>vrijedno</w:t>
      </w:r>
      <w:r w:rsidRPr="00913317">
        <w:rPr>
          <w:szCs w:val="22"/>
          <w:lang w:val="hr-HR"/>
        </w:rPr>
        <w:t>sti koje je ustanovila Evropska komisija za ispitivanje antimikrobne os</w:t>
      </w:r>
      <w:r w:rsidR="00E10AD6" w:rsidRPr="00913317">
        <w:rPr>
          <w:szCs w:val="22"/>
          <w:lang w:val="hr-HR"/>
        </w:rPr>
        <w:t>j</w:t>
      </w:r>
      <w:r w:rsidRPr="00913317">
        <w:rPr>
          <w:szCs w:val="22"/>
          <w:lang w:val="hr-HR"/>
        </w:rPr>
        <w:t>etljivosti (</w:t>
      </w:r>
      <w:r w:rsidR="00AF40AE" w:rsidRPr="00913317">
        <w:rPr>
          <w:szCs w:val="22"/>
          <w:lang w:val="hr-HR"/>
        </w:rPr>
        <w:t xml:space="preserve">engl. </w:t>
      </w:r>
      <w:r w:rsidRPr="00913317">
        <w:rPr>
          <w:i/>
          <w:szCs w:val="22"/>
          <w:lang w:val="hr-HR"/>
        </w:rPr>
        <w:t>European Committee on Antimicrobial Susceptibility Testing</w:t>
      </w:r>
      <w:r w:rsidR="00B52F36" w:rsidRPr="00913317">
        <w:rPr>
          <w:szCs w:val="22"/>
          <w:lang w:val="hr-HR"/>
        </w:rPr>
        <w:t>,</w:t>
      </w:r>
      <w:r w:rsidRPr="00913317">
        <w:rPr>
          <w:szCs w:val="22"/>
          <w:lang w:val="hr-HR"/>
        </w:rPr>
        <w:t xml:space="preserve"> EUCAST).</w:t>
      </w:r>
    </w:p>
    <w:p w14:paraId="488B4864" w14:textId="77777777" w:rsidR="006131C3" w:rsidRPr="00913317" w:rsidRDefault="006131C3" w:rsidP="00D72925">
      <w:pPr>
        <w:rPr>
          <w:b/>
          <w:color w:val="FF0000"/>
          <w:szCs w:val="22"/>
          <w:lang w:val="hr-HR"/>
        </w:rPr>
      </w:pPr>
    </w:p>
    <w:p w14:paraId="218D6609" w14:textId="77777777" w:rsidR="00B77686" w:rsidRPr="00913317" w:rsidRDefault="00BE6E1E" w:rsidP="00D72925">
      <w:pPr>
        <w:rPr>
          <w:b/>
          <w:szCs w:val="22"/>
          <w:lang w:val="hr-HR"/>
        </w:rPr>
      </w:pPr>
      <w:r w:rsidRPr="00913317">
        <w:rPr>
          <w:b/>
          <w:szCs w:val="22"/>
          <w:lang w:val="hr-HR"/>
        </w:rPr>
        <w:t xml:space="preserve">EUCAST granične </w:t>
      </w:r>
      <w:r w:rsidR="004D45E7" w:rsidRPr="00913317">
        <w:rPr>
          <w:b/>
          <w:szCs w:val="22"/>
          <w:lang w:val="hr-HR"/>
        </w:rPr>
        <w:t>vrijedno</w:t>
      </w:r>
      <w:r w:rsidRPr="00913317">
        <w:rPr>
          <w:b/>
          <w:szCs w:val="22"/>
          <w:lang w:val="hr-HR"/>
        </w:rPr>
        <w:t>sti</w:t>
      </w:r>
    </w:p>
    <w:p w14:paraId="1BCD2682" w14:textId="77777777" w:rsidR="00B77686" w:rsidRPr="00913317" w:rsidRDefault="00B77686" w:rsidP="00D72925">
      <w:pPr>
        <w:rPr>
          <w:b/>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6"/>
        <w:gridCol w:w="2517"/>
        <w:gridCol w:w="2604"/>
      </w:tblGrid>
      <w:tr w:rsidR="00B77686" w:rsidRPr="0054718D" w14:paraId="4504106E" w14:textId="77777777" w:rsidTr="00723F41">
        <w:tc>
          <w:tcPr>
            <w:tcW w:w="2243" w:type="pct"/>
            <w:vMerge w:val="restart"/>
          </w:tcPr>
          <w:p w14:paraId="491A2B8B" w14:textId="11061022" w:rsidR="00B77686" w:rsidRPr="00913317" w:rsidRDefault="004A07C2" w:rsidP="00D72925">
            <w:pPr>
              <w:pStyle w:val="TableTextColHead"/>
              <w:jc w:val="both"/>
              <w:rPr>
                <w:rFonts w:ascii="Times New Roman" w:hAnsi="Times New Roman"/>
                <w:sz w:val="22"/>
                <w:szCs w:val="22"/>
                <w:lang w:val="hr-HR"/>
              </w:rPr>
            </w:pPr>
            <w:r w:rsidRPr="00913317">
              <w:rPr>
                <w:rFonts w:ascii="Times New Roman" w:hAnsi="Times New Roman"/>
                <w:sz w:val="22"/>
                <w:szCs w:val="22"/>
                <w:lang w:val="hr-HR"/>
              </w:rPr>
              <w:t xml:space="preserve">Vrste gljivica </w:t>
            </w:r>
            <w:r w:rsidR="00B77686" w:rsidRPr="00913317">
              <w:rPr>
                <w:rFonts w:ascii="Times New Roman" w:hAnsi="Times New Roman"/>
                <w:sz w:val="22"/>
                <w:szCs w:val="22"/>
                <w:lang w:val="hr-HR"/>
              </w:rPr>
              <w:t>Candida i Aspergillus</w:t>
            </w:r>
          </w:p>
        </w:tc>
        <w:tc>
          <w:tcPr>
            <w:tcW w:w="2757" w:type="pct"/>
            <w:gridSpan w:val="2"/>
          </w:tcPr>
          <w:p w14:paraId="0C055E6C" w14:textId="6DB4C356" w:rsidR="00B77686" w:rsidRPr="00913317" w:rsidRDefault="00B77686" w:rsidP="00D72925">
            <w:pPr>
              <w:pStyle w:val="TableTextColHead"/>
              <w:jc w:val="both"/>
              <w:rPr>
                <w:rFonts w:ascii="Times New Roman" w:hAnsi="Times New Roman"/>
                <w:bCs/>
                <w:sz w:val="22"/>
                <w:szCs w:val="22"/>
                <w:lang w:val="hr-HR"/>
              </w:rPr>
            </w:pPr>
            <w:r w:rsidRPr="00913317">
              <w:rPr>
                <w:rFonts w:ascii="Times New Roman" w:hAnsi="Times New Roman"/>
                <w:bCs/>
                <w:sz w:val="22"/>
                <w:szCs w:val="22"/>
                <w:lang w:val="hr-HR"/>
              </w:rPr>
              <w:t>Granične vrijednosti minimalne inhibitorne koncentracije (MI</w:t>
            </w:r>
            <w:r w:rsidR="003C18A0" w:rsidRPr="00913317">
              <w:rPr>
                <w:rFonts w:ascii="Times New Roman" w:hAnsi="Times New Roman"/>
                <w:bCs/>
                <w:sz w:val="22"/>
                <w:szCs w:val="22"/>
                <w:lang w:val="hr-HR"/>
              </w:rPr>
              <w:t>K</w:t>
            </w:r>
            <w:r w:rsidRPr="00913317">
              <w:rPr>
                <w:rFonts w:ascii="Times New Roman" w:hAnsi="Times New Roman"/>
                <w:bCs/>
                <w:sz w:val="22"/>
                <w:szCs w:val="22"/>
                <w:lang w:val="hr-HR"/>
              </w:rPr>
              <w:t>) (mg/</w:t>
            </w:r>
            <w:r w:rsidR="0053434F" w:rsidRPr="00913317">
              <w:rPr>
                <w:rFonts w:ascii="Times New Roman" w:hAnsi="Times New Roman"/>
                <w:bCs/>
                <w:sz w:val="22"/>
                <w:szCs w:val="22"/>
                <w:lang w:val="hr-HR"/>
              </w:rPr>
              <w:t>l</w:t>
            </w:r>
            <w:r w:rsidRPr="00913317">
              <w:rPr>
                <w:rFonts w:ascii="Times New Roman" w:hAnsi="Times New Roman"/>
                <w:bCs/>
                <w:sz w:val="22"/>
                <w:szCs w:val="22"/>
                <w:lang w:val="hr-HR"/>
              </w:rPr>
              <w:t>)</w:t>
            </w:r>
          </w:p>
        </w:tc>
      </w:tr>
      <w:tr w:rsidR="00B77686" w:rsidRPr="00913317" w14:paraId="44974C5E" w14:textId="77777777" w:rsidTr="00723F41">
        <w:tc>
          <w:tcPr>
            <w:tcW w:w="2243" w:type="pct"/>
            <w:vMerge/>
          </w:tcPr>
          <w:p w14:paraId="47F71278" w14:textId="77777777" w:rsidR="00B77686" w:rsidRPr="00913317" w:rsidRDefault="00B77686" w:rsidP="00D72925">
            <w:pPr>
              <w:pStyle w:val="TableTextColHead"/>
              <w:jc w:val="both"/>
              <w:rPr>
                <w:rFonts w:ascii="Times New Roman" w:hAnsi="Times New Roman"/>
                <w:sz w:val="22"/>
                <w:szCs w:val="22"/>
                <w:lang w:val="hr-HR"/>
              </w:rPr>
            </w:pPr>
          </w:p>
        </w:tc>
        <w:tc>
          <w:tcPr>
            <w:tcW w:w="1355" w:type="pct"/>
          </w:tcPr>
          <w:p w14:paraId="6C8C5C82" w14:textId="78FB4D42" w:rsidR="00B77686" w:rsidRPr="00913317" w:rsidRDefault="00B77686" w:rsidP="00D72925">
            <w:pPr>
              <w:pStyle w:val="TableTextColHead"/>
              <w:jc w:val="both"/>
              <w:rPr>
                <w:rFonts w:ascii="Times New Roman" w:hAnsi="Times New Roman"/>
                <w:sz w:val="22"/>
                <w:szCs w:val="22"/>
                <w:lang w:val="hr-HR"/>
              </w:rPr>
            </w:pPr>
            <w:r w:rsidRPr="00913317">
              <w:rPr>
                <w:rFonts w:ascii="Times New Roman" w:hAnsi="Times New Roman"/>
                <w:sz w:val="22"/>
                <w:szCs w:val="22"/>
                <w:lang w:val="hr-HR"/>
              </w:rPr>
              <w:t>≤S (osjetljiv)</w:t>
            </w:r>
          </w:p>
        </w:tc>
        <w:tc>
          <w:tcPr>
            <w:tcW w:w="1402" w:type="pct"/>
          </w:tcPr>
          <w:p w14:paraId="5FC5DC0A" w14:textId="545C6FBF" w:rsidR="00B77686" w:rsidRPr="00913317" w:rsidRDefault="00B77686" w:rsidP="00D72925">
            <w:pPr>
              <w:pStyle w:val="TableTextColHead"/>
              <w:jc w:val="both"/>
              <w:rPr>
                <w:rFonts w:ascii="Times New Roman" w:hAnsi="Times New Roman"/>
                <w:sz w:val="22"/>
                <w:szCs w:val="22"/>
                <w:lang w:val="hr-HR"/>
              </w:rPr>
            </w:pPr>
            <w:r w:rsidRPr="00913317">
              <w:rPr>
                <w:rFonts w:ascii="Times New Roman" w:hAnsi="Times New Roman"/>
                <w:sz w:val="22"/>
                <w:szCs w:val="22"/>
                <w:lang w:val="hr-HR"/>
              </w:rPr>
              <w:t>&gt;R (rezistentan)</w:t>
            </w:r>
          </w:p>
        </w:tc>
      </w:tr>
      <w:tr w:rsidR="00B77686" w:rsidRPr="00913317" w14:paraId="2237FB4E" w14:textId="77777777" w:rsidTr="00723F41">
        <w:tc>
          <w:tcPr>
            <w:tcW w:w="2243" w:type="pct"/>
          </w:tcPr>
          <w:p w14:paraId="7B5978BA" w14:textId="77777777" w:rsidR="00B77686" w:rsidRPr="00913317" w:rsidRDefault="00B77686" w:rsidP="00D72925">
            <w:pPr>
              <w:pStyle w:val="TableText"/>
              <w:jc w:val="both"/>
              <w:rPr>
                <w:rFonts w:cs="Times New Roman"/>
                <w:i/>
                <w:sz w:val="22"/>
                <w:szCs w:val="22"/>
                <w:lang w:val="hr-HR"/>
              </w:rPr>
            </w:pPr>
            <w:r w:rsidRPr="00913317">
              <w:rPr>
                <w:rFonts w:cs="Times New Roman"/>
                <w:i/>
                <w:sz w:val="22"/>
                <w:szCs w:val="22"/>
                <w:lang w:val="hr-HR"/>
              </w:rPr>
              <w:t>Candida albicans</w:t>
            </w:r>
            <w:r w:rsidRPr="00913317">
              <w:rPr>
                <w:rFonts w:cs="Times New Roman"/>
                <w:i/>
                <w:sz w:val="22"/>
                <w:szCs w:val="22"/>
                <w:vertAlign w:val="superscript"/>
                <w:lang w:val="hr-HR"/>
              </w:rPr>
              <w:t>1</w:t>
            </w:r>
          </w:p>
        </w:tc>
        <w:tc>
          <w:tcPr>
            <w:tcW w:w="1355" w:type="pct"/>
          </w:tcPr>
          <w:p w14:paraId="32797BD2" w14:textId="26A2D2EE"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0,06</w:t>
            </w:r>
          </w:p>
        </w:tc>
        <w:tc>
          <w:tcPr>
            <w:tcW w:w="1402" w:type="pct"/>
          </w:tcPr>
          <w:p w14:paraId="798FF1B1" w14:textId="683524A5"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0,25</w:t>
            </w:r>
          </w:p>
        </w:tc>
      </w:tr>
      <w:tr w:rsidR="00B77686" w:rsidRPr="00913317" w14:paraId="0BA565D5" w14:textId="77777777" w:rsidTr="00723F41">
        <w:tc>
          <w:tcPr>
            <w:tcW w:w="2243" w:type="pct"/>
          </w:tcPr>
          <w:p w14:paraId="58B0974E" w14:textId="77777777" w:rsidR="00B77686" w:rsidRPr="00913317" w:rsidRDefault="00B77686" w:rsidP="00D72925">
            <w:pPr>
              <w:pStyle w:val="TableText"/>
              <w:jc w:val="both"/>
              <w:rPr>
                <w:rFonts w:cs="Times New Roman"/>
                <w:i/>
                <w:sz w:val="22"/>
                <w:szCs w:val="22"/>
                <w:lang w:val="hr-HR"/>
              </w:rPr>
            </w:pPr>
            <w:r w:rsidRPr="00913317">
              <w:rPr>
                <w:rFonts w:cs="Times New Roman"/>
                <w:i/>
                <w:sz w:val="22"/>
                <w:szCs w:val="22"/>
                <w:lang w:val="hr-HR"/>
              </w:rPr>
              <w:t xml:space="preserve">Candida </w:t>
            </w:r>
            <w:r w:rsidRPr="00913317">
              <w:rPr>
                <w:rFonts w:cs="Times New Roman"/>
                <w:i/>
                <w:iCs/>
                <w:sz w:val="22"/>
                <w:szCs w:val="22"/>
                <w:lang w:val="hr-HR"/>
              </w:rPr>
              <w:t>dubliniensis</w:t>
            </w:r>
            <w:r w:rsidRPr="00913317">
              <w:rPr>
                <w:rFonts w:cs="Times New Roman"/>
                <w:i/>
                <w:sz w:val="22"/>
                <w:szCs w:val="22"/>
                <w:vertAlign w:val="superscript"/>
                <w:lang w:val="hr-HR"/>
              </w:rPr>
              <w:t>1</w:t>
            </w:r>
          </w:p>
        </w:tc>
        <w:tc>
          <w:tcPr>
            <w:tcW w:w="1355" w:type="pct"/>
          </w:tcPr>
          <w:p w14:paraId="09A97F7A" w14:textId="5F5579C7"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0,06</w:t>
            </w:r>
          </w:p>
        </w:tc>
        <w:tc>
          <w:tcPr>
            <w:tcW w:w="1402" w:type="pct"/>
          </w:tcPr>
          <w:p w14:paraId="468C33A0" w14:textId="166BFE8A"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0,25</w:t>
            </w:r>
          </w:p>
        </w:tc>
      </w:tr>
      <w:tr w:rsidR="00B77686" w:rsidRPr="00913317" w14:paraId="6D66EFDA" w14:textId="77777777" w:rsidTr="00723F41">
        <w:tc>
          <w:tcPr>
            <w:tcW w:w="2243" w:type="pct"/>
          </w:tcPr>
          <w:p w14:paraId="634054A6" w14:textId="77777777" w:rsidR="00B77686" w:rsidRPr="00913317" w:rsidRDefault="00B77686" w:rsidP="00D72925">
            <w:pPr>
              <w:pStyle w:val="TableText"/>
              <w:jc w:val="both"/>
              <w:rPr>
                <w:rFonts w:cs="Times New Roman"/>
                <w:i/>
                <w:sz w:val="22"/>
                <w:szCs w:val="22"/>
                <w:lang w:val="hr-HR"/>
              </w:rPr>
            </w:pPr>
            <w:r w:rsidRPr="00913317">
              <w:rPr>
                <w:rFonts w:cs="Times New Roman"/>
                <w:i/>
                <w:sz w:val="22"/>
                <w:szCs w:val="22"/>
                <w:lang w:val="hr-HR"/>
              </w:rPr>
              <w:t>Candida glabrata</w:t>
            </w:r>
          </w:p>
        </w:tc>
        <w:tc>
          <w:tcPr>
            <w:tcW w:w="1355" w:type="pct"/>
          </w:tcPr>
          <w:p w14:paraId="35FC4DF4" w14:textId="0283108E"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Nedovoljno dokaza (ND)</w:t>
            </w:r>
          </w:p>
        </w:tc>
        <w:tc>
          <w:tcPr>
            <w:tcW w:w="1402" w:type="pct"/>
          </w:tcPr>
          <w:p w14:paraId="2B4767D4" w14:textId="0E1D10EE"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r>
      <w:tr w:rsidR="00B77686" w:rsidRPr="00913317" w14:paraId="098CF47E" w14:textId="77777777" w:rsidTr="00723F41">
        <w:tc>
          <w:tcPr>
            <w:tcW w:w="2243" w:type="pct"/>
          </w:tcPr>
          <w:p w14:paraId="210C751C" w14:textId="77777777" w:rsidR="00B77686" w:rsidRPr="00913317" w:rsidRDefault="00B77686" w:rsidP="00D72925">
            <w:pPr>
              <w:pStyle w:val="TableText"/>
              <w:jc w:val="both"/>
              <w:rPr>
                <w:rFonts w:cs="Times New Roman"/>
                <w:i/>
                <w:sz w:val="22"/>
                <w:szCs w:val="22"/>
                <w:lang w:val="hr-HR"/>
              </w:rPr>
            </w:pPr>
            <w:r w:rsidRPr="00913317">
              <w:rPr>
                <w:rFonts w:cs="Times New Roman"/>
                <w:i/>
                <w:sz w:val="22"/>
                <w:szCs w:val="22"/>
                <w:lang w:val="hr-HR"/>
              </w:rPr>
              <w:t>Candida krusei</w:t>
            </w:r>
          </w:p>
        </w:tc>
        <w:tc>
          <w:tcPr>
            <w:tcW w:w="1355" w:type="pct"/>
          </w:tcPr>
          <w:p w14:paraId="75F570D6" w14:textId="29ADADA0"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c>
          <w:tcPr>
            <w:tcW w:w="1402" w:type="pct"/>
          </w:tcPr>
          <w:p w14:paraId="63F6AE63" w14:textId="2E549DC7"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r>
      <w:tr w:rsidR="00B77686" w:rsidRPr="00913317" w14:paraId="20B99213" w14:textId="77777777" w:rsidTr="00723F41">
        <w:tc>
          <w:tcPr>
            <w:tcW w:w="2243" w:type="pct"/>
          </w:tcPr>
          <w:p w14:paraId="7F8C4828" w14:textId="77777777" w:rsidR="00B77686" w:rsidRPr="00913317" w:rsidRDefault="00B77686" w:rsidP="00D72925">
            <w:pPr>
              <w:pStyle w:val="TableText"/>
              <w:jc w:val="both"/>
              <w:rPr>
                <w:rFonts w:cs="Times New Roman"/>
                <w:i/>
                <w:sz w:val="22"/>
                <w:szCs w:val="22"/>
                <w:lang w:val="hr-HR"/>
              </w:rPr>
            </w:pPr>
            <w:r w:rsidRPr="00913317">
              <w:rPr>
                <w:rFonts w:cs="Times New Roman"/>
                <w:i/>
                <w:sz w:val="22"/>
                <w:szCs w:val="22"/>
                <w:lang w:val="hr-HR"/>
              </w:rPr>
              <w:t>Candida parapsilosis</w:t>
            </w:r>
            <w:r w:rsidRPr="00913317">
              <w:rPr>
                <w:rFonts w:cs="Times New Roman"/>
                <w:i/>
                <w:sz w:val="22"/>
                <w:szCs w:val="22"/>
                <w:vertAlign w:val="superscript"/>
                <w:lang w:val="hr-HR"/>
              </w:rPr>
              <w:t>1</w:t>
            </w:r>
          </w:p>
        </w:tc>
        <w:tc>
          <w:tcPr>
            <w:tcW w:w="1355" w:type="pct"/>
          </w:tcPr>
          <w:p w14:paraId="43B92430" w14:textId="1F2FC364"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0,125</w:t>
            </w:r>
          </w:p>
        </w:tc>
        <w:tc>
          <w:tcPr>
            <w:tcW w:w="1402" w:type="pct"/>
          </w:tcPr>
          <w:p w14:paraId="30AE1071" w14:textId="4B6B065A"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0,25</w:t>
            </w:r>
          </w:p>
        </w:tc>
      </w:tr>
      <w:tr w:rsidR="00B77686" w:rsidRPr="00913317" w14:paraId="17B14E43" w14:textId="77777777" w:rsidTr="00723F41">
        <w:tc>
          <w:tcPr>
            <w:tcW w:w="2243" w:type="pct"/>
          </w:tcPr>
          <w:p w14:paraId="0A25A046" w14:textId="77777777" w:rsidR="00B77686" w:rsidRPr="00913317" w:rsidRDefault="00B77686" w:rsidP="00D72925">
            <w:pPr>
              <w:pStyle w:val="TableText"/>
              <w:jc w:val="both"/>
              <w:rPr>
                <w:rFonts w:cs="Times New Roman"/>
                <w:i/>
                <w:sz w:val="22"/>
                <w:szCs w:val="22"/>
                <w:lang w:val="hr-HR"/>
              </w:rPr>
            </w:pPr>
            <w:r w:rsidRPr="00913317">
              <w:rPr>
                <w:rFonts w:cs="Times New Roman"/>
                <w:i/>
                <w:sz w:val="22"/>
                <w:szCs w:val="22"/>
                <w:lang w:val="hr-HR"/>
              </w:rPr>
              <w:t>Candida tropicalis</w:t>
            </w:r>
            <w:r w:rsidRPr="00913317">
              <w:rPr>
                <w:rFonts w:cs="Times New Roman"/>
                <w:i/>
                <w:iCs/>
                <w:sz w:val="22"/>
                <w:szCs w:val="22"/>
                <w:vertAlign w:val="superscript"/>
                <w:lang w:val="hr-HR"/>
              </w:rPr>
              <w:t>1</w:t>
            </w:r>
          </w:p>
        </w:tc>
        <w:tc>
          <w:tcPr>
            <w:tcW w:w="1355" w:type="pct"/>
          </w:tcPr>
          <w:p w14:paraId="608247D6" w14:textId="3B8048F0"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0,125</w:t>
            </w:r>
          </w:p>
        </w:tc>
        <w:tc>
          <w:tcPr>
            <w:tcW w:w="1402" w:type="pct"/>
          </w:tcPr>
          <w:p w14:paraId="010AD59B" w14:textId="4682C437"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0,25</w:t>
            </w:r>
          </w:p>
        </w:tc>
      </w:tr>
      <w:tr w:rsidR="00B77686" w:rsidRPr="00913317" w14:paraId="553B1A6E" w14:textId="77777777" w:rsidTr="00723F41">
        <w:tc>
          <w:tcPr>
            <w:tcW w:w="2243" w:type="pct"/>
          </w:tcPr>
          <w:p w14:paraId="0814279A" w14:textId="77777777" w:rsidR="00B77686" w:rsidRPr="00913317" w:rsidRDefault="00B77686" w:rsidP="00D72925">
            <w:pPr>
              <w:pStyle w:val="TableText"/>
              <w:jc w:val="both"/>
              <w:rPr>
                <w:rFonts w:cs="Times New Roman"/>
                <w:i/>
                <w:sz w:val="22"/>
                <w:szCs w:val="22"/>
                <w:lang w:val="hr-HR"/>
              </w:rPr>
            </w:pPr>
            <w:r w:rsidRPr="00913317">
              <w:rPr>
                <w:rFonts w:cs="Times New Roman"/>
                <w:i/>
                <w:iCs/>
                <w:sz w:val="22"/>
                <w:szCs w:val="22"/>
                <w:lang w:val="hr-HR"/>
              </w:rPr>
              <w:t>Candida guilliermondii</w:t>
            </w:r>
            <w:r w:rsidRPr="00913317">
              <w:rPr>
                <w:rFonts w:cs="Times New Roman"/>
                <w:i/>
                <w:iCs/>
                <w:sz w:val="22"/>
                <w:szCs w:val="22"/>
                <w:vertAlign w:val="superscript"/>
                <w:lang w:val="hr-HR"/>
              </w:rPr>
              <w:t>2</w:t>
            </w:r>
          </w:p>
        </w:tc>
        <w:tc>
          <w:tcPr>
            <w:tcW w:w="1355" w:type="pct"/>
          </w:tcPr>
          <w:p w14:paraId="083FF3F6" w14:textId="20D69FEB"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c>
          <w:tcPr>
            <w:tcW w:w="1402" w:type="pct"/>
          </w:tcPr>
          <w:p w14:paraId="187ED842" w14:textId="72AAEB37"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r>
      <w:tr w:rsidR="00B77686" w:rsidRPr="00913317" w14:paraId="03720CE8" w14:textId="77777777" w:rsidTr="00723F41">
        <w:tc>
          <w:tcPr>
            <w:tcW w:w="2243" w:type="pct"/>
          </w:tcPr>
          <w:p w14:paraId="5771C3DD" w14:textId="5CF40A92" w:rsidR="00B77686" w:rsidRPr="00913317" w:rsidRDefault="00B77686" w:rsidP="00D72925">
            <w:pPr>
              <w:pStyle w:val="TableText"/>
              <w:jc w:val="both"/>
              <w:rPr>
                <w:rFonts w:cs="Times New Roman"/>
                <w:i/>
                <w:sz w:val="22"/>
                <w:szCs w:val="22"/>
                <w:lang w:val="hr-HR"/>
              </w:rPr>
            </w:pPr>
            <w:r w:rsidRPr="00913317">
              <w:rPr>
                <w:rFonts w:cs="Times New Roman"/>
                <w:iCs/>
                <w:sz w:val="22"/>
                <w:szCs w:val="22"/>
                <w:lang w:val="hr-HR"/>
              </w:rPr>
              <w:t>Granične vrijednosti nezavisne od vrste gljivice</w:t>
            </w:r>
            <w:r w:rsidRPr="00913317">
              <w:rPr>
                <w:rFonts w:cs="Times New Roman"/>
                <w:i/>
                <w:sz w:val="22"/>
                <w:szCs w:val="22"/>
                <w:lang w:val="hr-HR"/>
              </w:rPr>
              <w:t xml:space="preserve"> Candida</w:t>
            </w:r>
            <w:r w:rsidRPr="00913317">
              <w:rPr>
                <w:rFonts w:cs="Times New Roman"/>
                <w:i/>
                <w:sz w:val="22"/>
                <w:szCs w:val="22"/>
                <w:vertAlign w:val="superscript"/>
                <w:lang w:val="hr-HR"/>
              </w:rPr>
              <w:t>3</w:t>
            </w:r>
          </w:p>
        </w:tc>
        <w:tc>
          <w:tcPr>
            <w:tcW w:w="1355" w:type="pct"/>
          </w:tcPr>
          <w:p w14:paraId="4273EBF9" w14:textId="50F9BED3"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c>
          <w:tcPr>
            <w:tcW w:w="1402" w:type="pct"/>
          </w:tcPr>
          <w:p w14:paraId="74307E81" w14:textId="72C8AEB4"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r>
      <w:tr w:rsidR="00B77686" w:rsidRPr="00913317" w14:paraId="7DD9DE3D" w14:textId="77777777" w:rsidTr="00723F41">
        <w:tc>
          <w:tcPr>
            <w:tcW w:w="2243" w:type="pct"/>
          </w:tcPr>
          <w:p w14:paraId="4965E571" w14:textId="77777777" w:rsidR="00B77686" w:rsidRPr="00913317" w:rsidRDefault="00B77686" w:rsidP="00D72925">
            <w:pPr>
              <w:pStyle w:val="TableText"/>
              <w:jc w:val="both"/>
              <w:rPr>
                <w:rFonts w:cs="Times New Roman"/>
                <w:iCs/>
                <w:sz w:val="22"/>
                <w:szCs w:val="22"/>
                <w:lang w:val="hr-HR"/>
              </w:rPr>
            </w:pPr>
            <w:r w:rsidRPr="00913317">
              <w:rPr>
                <w:rFonts w:cs="Times New Roman"/>
                <w:i/>
                <w:sz w:val="22"/>
                <w:szCs w:val="22"/>
                <w:lang w:val="hr-HR"/>
              </w:rPr>
              <w:t>Aspergillus fumigatus</w:t>
            </w:r>
            <w:r w:rsidRPr="00913317">
              <w:rPr>
                <w:rFonts w:cs="Times New Roman"/>
                <w:i/>
                <w:iCs/>
                <w:sz w:val="22"/>
                <w:szCs w:val="22"/>
                <w:vertAlign w:val="superscript"/>
                <w:lang w:val="hr-HR"/>
              </w:rPr>
              <w:t>4</w:t>
            </w:r>
          </w:p>
        </w:tc>
        <w:tc>
          <w:tcPr>
            <w:tcW w:w="1355" w:type="pct"/>
          </w:tcPr>
          <w:p w14:paraId="651FECA0" w14:textId="77777777"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1</w:t>
            </w:r>
          </w:p>
        </w:tc>
        <w:tc>
          <w:tcPr>
            <w:tcW w:w="1402" w:type="pct"/>
          </w:tcPr>
          <w:p w14:paraId="14C5A865" w14:textId="77777777"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1</w:t>
            </w:r>
          </w:p>
        </w:tc>
      </w:tr>
      <w:tr w:rsidR="00B77686" w:rsidRPr="00913317" w14:paraId="5F5D3E10" w14:textId="77777777" w:rsidTr="00723F41">
        <w:tc>
          <w:tcPr>
            <w:tcW w:w="2243" w:type="pct"/>
          </w:tcPr>
          <w:p w14:paraId="2A2FC92A" w14:textId="77777777" w:rsidR="00B77686" w:rsidRPr="00913317" w:rsidRDefault="00B77686" w:rsidP="00D72925">
            <w:pPr>
              <w:pStyle w:val="TableText"/>
              <w:jc w:val="both"/>
              <w:rPr>
                <w:rFonts w:cs="Times New Roman"/>
                <w:iCs/>
                <w:sz w:val="22"/>
                <w:szCs w:val="22"/>
                <w:lang w:val="hr-HR"/>
              </w:rPr>
            </w:pPr>
            <w:r w:rsidRPr="00913317">
              <w:rPr>
                <w:rFonts w:cs="Times New Roman"/>
                <w:i/>
                <w:sz w:val="22"/>
                <w:szCs w:val="22"/>
                <w:lang w:val="hr-HR"/>
              </w:rPr>
              <w:t>Aspergillus nidulans</w:t>
            </w:r>
            <w:r w:rsidRPr="00913317">
              <w:rPr>
                <w:rFonts w:cs="Times New Roman"/>
                <w:i/>
                <w:iCs/>
                <w:sz w:val="22"/>
                <w:szCs w:val="22"/>
                <w:vertAlign w:val="superscript"/>
                <w:lang w:val="hr-HR"/>
              </w:rPr>
              <w:t>4</w:t>
            </w:r>
          </w:p>
        </w:tc>
        <w:tc>
          <w:tcPr>
            <w:tcW w:w="1355" w:type="pct"/>
          </w:tcPr>
          <w:p w14:paraId="0645259B" w14:textId="77777777"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1</w:t>
            </w:r>
          </w:p>
        </w:tc>
        <w:tc>
          <w:tcPr>
            <w:tcW w:w="1402" w:type="pct"/>
          </w:tcPr>
          <w:p w14:paraId="25C05A84" w14:textId="77777777"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1</w:t>
            </w:r>
          </w:p>
        </w:tc>
      </w:tr>
      <w:tr w:rsidR="00B77686" w:rsidRPr="00913317" w14:paraId="6CE86B6B" w14:textId="77777777" w:rsidTr="00723F41">
        <w:tc>
          <w:tcPr>
            <w:tcW w:w="2243" w:type="pct"/>
          </w:tcPr>
          <w:p w14:paraId="1722C9ED" w14:textId="77777777" w:rsidR="00B77686" w:rsidRPr="00913317" w:rsidRDefault="00B77686" w:rsidP="00D72925">
            <w:pPr>
              <w:pStyle w:val="TableText"/>
              <w:jc w:val="both"/>
              <w:rPr>
                <w:rFonts w:cs="Times New Roman"/>
                <w:iCs/>
                <w:sz w:val="22"/>
                <w:szCs w:val="22"/>
                <w:lang w:val="hr-HR"/>
              </w:rPr>
            </w:pPr>
            <w:r w:rsidRPr="00913317">
              <w:rPr>
                <w:rFonts w:cs="Times New Roman"/>
                <w:i/>
                <w:sz w:val="22"/>
                <w:szCs w:val="22"/>
                <w:lang w:val="hr-HR"/>
              </w:rPr>
              <w:t>Aspergillus flavus</w:t>
            </w:r>
          </w:p>
        </w:tc>
        <w:tc>
          <w:tcPr>
            <w:tcW w:w="1355" w:type="pct"/>
          </w:tcPr>
          <w:p w14:paraId="2CA941F8" w14:textId="25CCCDB9"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r w:rsidRPr="00913317">
              <w:rPr>
                <w:rFonts w:cs="Times New Roman"/>
                <w:sz w:val="22"/>
                <w:szCs w:val="22"/>
                <w:vertAlign w:val="superscript"/>
                <w:lang w:val="hr-HR"/>
              </w:rPr>
              <w:t>5</w:t>
            </w:r>
          </w:p>
        </w:tc>
        <w:tc>
          <w:tcPr>
            <w:tcW w:w="1402" w:type="pct"/>
          </w:tcPr>
          <w:p w14:paraId="74549BC3" w14:textId="78DC606B"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r w:rsidRPr="00913317">
              <w:rPr>
                <w:rFonts w:cs="Times New Roman"/>
                <w:sz w:val="22"/>
                <w:szCs w:val="22"/>
                <w:vertAlign w:val="superscript"/>
                <w:lang w:val="hr-HR"/>
              </w:rPr>
              <w:t>5</w:t>
            </w:r>
          </w:p>
        </w:tc>
      </w:tr>
      <w:tr w:rsidR="00B77686" w:rsidRPr="00913317" w14:paraId="355927D1" w14:textId="77777777" w:rsidTr="00723F41">
        <w:tc>
          <w:tcPr>
            <w:tcW w:w="2243" w:type="pct"/>
          </w:tcPr>
          <w:p w14:paraId="2B6DD126" w14:textId="77777777" w:rsidR="00B77686" w:rsidRPr="00913317" w:rsidRDefault="00B77686" w:rsidP="00D72925">
            <w:pPr>
              <w:pStyle w:val="TableText"/>
              <w:jc w:val="both"/>
              <w:rPr>
                <w:rFonts w:cs="Times New Roman"/>
                <w:iCs/>
                <w:sz w:val="22"/>
                <w:szCs w:val="22"/>
                <w:lang w:val="hr-HR"/>
              </w:rPr>
            </w:pPr>
            <w:r w:rsidRPr="00913317">
              <w:rPr>
                <w:rFonts w:cs="Times New Roman"/>
                <w:i/>
                <w:sz w:val="22"/>
                <w:szCs w:val="22"/>
                <w:lang w:val="hr-HR"/>
              </w:rPr>
              <w:t>Aspergillus niger</w:t>
            </w:r>
          </w:p>
        </w:tc>
        <w:tc>
          <w:tcPr>
            <w:tcW w:w="1355" w:type="pct"/>
          </w:tcPr>
          <w:p w14:paraId="2EFD5A39" w14:textId="61F68C63"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r w:rsidRPr="00913317">
              <w:rPr>
                <w:rFonts w:cs="Times New Roman"/>
                <w:sz w:val="22"/>
                <w:szCs w:val="22"/>
                <w:vertAlign w:val="superscript"/>
                <w:lang w:val="hr-HR"/>
              </w:rPr>
              <w:t>5</w:t>
            </w:r>
          </w:p>
        </w:tc>
        <w:tc>
          <w:tcPr>
            <w:tcW w:w="1402" w:type="pct"/>
          </w:tcPr>
          <w:p w14:paraId="487B181F" w14:textId="38C8B0CB"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r w:rsidRPr="00913317">
              <w:rPr>
                <w:rFonts w:cs="Times New Roman"/>
                <w:sz w:val="22"/>
                <w:szCs w:val="22"/>
                <w:vertAlign w:val="superscript"/>
                <w:lang w:val="hr-HR"/>
              </w:rPr>
              <w:t>5</w:t>
            </w:r>
          </w:p>
        </w:tc>
      </w:tr>
      <w:tr w:rsidR="00B77686" w:rsidRPr="00913317" w14:paraId="2B6A21A7" w14:textId="77777777" w:rsidTr="00723F41">
        <w:tc>
          <w:tcPr>
            <w:tcW w:w="2243" w:type="pct"/>
          </w:tcPr>
          <w:p w14:paraId="38594C80" w14:textId="77777777" w:rsidR="00B77686" w:rsidRPr="00913317" w:rsidRDefault="00B77686" w:rsidP="00D72925">
            <w:pPr>
              <w:pStyle w:val="TableText"/>
              <w:jc w:val="both"/>
              <w:rPr>
                <w:rFonts w:cs="Times New Roman"/>
                <w:iCs/>
                <w:sz w:val="22"/>
                <w:szCs w:val="22"/>
                <w:lang w:val="hr-HR"/>
              </w:rPr>
            </w:pPr>
            <w:r w:rsidRPr="00913317">
              <w:rPr>
                <w:rFonts w:cs="Times New Roman"/>
                <w:i/>
                <w:sz w:val="22"/>
                <w:szCs w:val="22"/>
                <w:lang w:val="hr-HR"/>
              </w:rPr>
              <w:t>Aspergillus terreus</w:t>
            </w:r>
          </w:p>
        </w:tc>
        <w:tc>
          <w:tcPr>
            <w:tcW w:w="1355" w:type="pct"/>
          </w:tcPr>
          <w:p w14:paraId="54D8A097" w14:textId="658045A9"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r w:rsidRPr="00913317">
              <w:rPr>
                <w:rFonts w:cs="Times New Roman"/>
                <w:sz w:val="22"/>
                <w:szCs w:val="22"/>
                <w:vertAlign w:val="superscript"/>
                <w:lang w:val="hr-HR"/>
              </w:rPr>
              <w:t>5</w:t>
            </w:r>
          </w:p>
        </w:tc>
        <w:tc>
          <w:tcPr>
            <w:tcW w:w="1402" w:type="pct"/>
          </w:tcPr>
          <w:p w14:paraId="1595B5BF" w14:textId="58DA78AA"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r w:rsidRPr="00913317">
              <w:rPr>
                <w:rFonts w:cs="Times New Roman"/>
                <w:sz w:val="22"/>
                <w:szCs w:val="22"/>
                <w:vertAlign w:val="superscript"/>
                <w:lang w:val="hr-HR"/>
              </w:rPr>
              <w:t>5</w:t>
            </w:r>
          </w:p>
        </w:tc>
      </w:tr>
      <w:tr w:rsidR="00B77686" w:rsidRPr="00913317" w14:paraId="25A73D05" w14:textId="77777777" w:rsidTr="00723F41">
        <w:tc>
          <w:tcPr>
            <w:tcW w:w="2243" w:type="pct"/>
          </w:tcPr>
          <w:p w14:paraId="2199BF2A" w14:textId="387E27F7" w:rsidR="00B77686" w:rsidRPr="00913317" w:rsidRDefault="00B77686" w:rsidP="00D72925">
            <w:pPr>
              <w:pStyle w:val="TableText"/>
              <w:jc w:val="both"/>
              <w:rPr>
                <w:rFonts w:cs="Times New Roman"/>
                <w:iCs/>
                <w:sz w:val="22"/>
                <w:szCs w:val="22"/>
                <w:lang w:val="hr-HR"/>
              </w:rPr>
            </w:pPr>
            <w:r w:rsidRPr="00913317">
              <w:rPr>
                <w:rFonts w:cs="Times New Roman"/>
                <w:iCs/>
                <w:sz w:val="22"/>
                <w:szCs w:val="22"/>
                <w:lang w:val="hr-HR"/>
              </w:rPr>
              <w:t>Granične vrijednosti nezavisne od vrste</w:t>
            </w:r>
            <w:r w:rsidRPr="00913317">
              <w:rPr>
                <w:rFonts w:cs="Times New Roman"/>
                <w:sz w:val="22"/>
                <w:szCs w:val="22"/>
                <w:vertAlign w:val="superscript"/>
                <w:lang w:val="hr-HR"/>
              </w:rPr>
              <w:t>6</w:t>
            </w:r>
          </w:p>
        </w:tc>
        <w:tc>
          <w:tcPr>
            <w:tcW w:w="1355" w:type="pct"/>
          </w:tcPr>
          <w:p w14:paraId="22476A47" w14:textId="36F906B9"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c>
          <w:tcPr>
            <w:tcW w:w="1402" w:type="pct"/>
          </w:tcPr>
          <w:p w14:paraId="28C4EC3A" w14:textId="149FFF65" w:rsidR="00B77686" w:rsidRPr="00913317" w:rsidRDefault="00B77686" w:rsidP="00D72925">
            <w:pPr>
              <w:pStyle w:val="TableText"/>
              <w:jc w:val="both"/>
              <w:rPr>
                <w:rFonts w:cs="Times New Roman"/>
                <w:sz w:val="22"/>
                <w:szCs w:val="22"/>
                <w:lang w:val="hr-HR"/>
              </w:rPr>
            </w:pPr>
            <w:r w:rsidRPr="00913317">
              <w:rPr>
                <w:rFonts w:cs="Times New Roman"/>
                <w:sz w:val="22"/>
                <w:szCs w:val="22"/>
                <w:lang w:val="hr-HR"/>
              </w:rPr>
              <w:t>ND</w:t>
            </w:r>
          </w:p>
        </w:tc>
      </w:tr>
      <w:tr w:rsidR="00B77686" w:rsidRPr="0054718D" w14:paraId="0F3C2590" w14:textId="77777777" w:rsidTr="00723F41">
        <w:tc>
          <w:tcPr>
            <w:tcW w:w="5000" w:type="pct"/>
            <w:gridSpan w:val="3"/>
          </w:tcPr>
          <w:p w14:paraId="1BDCBB64" w14:textId="265B4EFD" w:rsidR="00B77686" w:rsidRPr="0054718D" w:rsidRDefault="00B77686" w:rsidP="00D72925">
            <w:pPr>
              <w:pStyle w:val="TableTextFootnote"/>
              <w:jc w:val="both"/>
              <w:rPr>
                <w:szCs w:val="22"/>
                <w:lang w:val="hr-HR"/>
              </w:rPr>
            </w:pPr>
            <w:r w:rsidRPr="0054718D">
              <w:rPr>
                <w:b/>
                <w:bCs/>
                <w:szCs w:val="22"/>
                <w:vertAlign w:val="superscript"/>
                <w:lang w:val="hr-HR"/>
              </w:rPr>
              <w:t>1</w:t>
            </w:r>
            <w:r w:rsidRPr="0054718D">
              <w:rPr>
                <w:szCs w:val="22"/>
                <w:lang w:val="hr-HR"/>
              </w:rPr>
              <w:t xml:space="preserve"> Sojevi kod kojih su vrijednosti MIK iznad granice osjetljivosti/osjetljivosti uz povećanu izloženost (Susceptible/Intermediate, S/I) su rijetki ili još ni</w:t>
            </w:r>
            <w:r w:rsidR="00064A15" w:rsidRPr="0054718D">
              <w:rPr>
                <w:szCs w:val="22"/>
                <w:lang w:val="hr-HR"/>
              </w:rPr>
              <w:t>je</w:t>
            </w:r>
            <w:r w:rsidRPr="0054718D">
              <w:rPr>
                <w:szCs w:val="22"/>
                <w:lang w:val="hr-HR"/>
              </w:rPr>
              <w:t xml:space="preserve">su prijavljeni. Identifikacija i ispitivanje osjetljivosti ovakvih izolata na antimikotike se mora ponoviti i ako se rezultati potvrde, izolate treba poslati u referentnu laboratoriju. </w:t>
            </w:r>
            <w:r w:rsidRPr="0054718D">
              <w:rPr>
                <w:szCs w:val="22"/>
                <w:lang w:val="hr-HR" w:eastAsia="en-GB"/>
              </w:rPr>
              <w:t xml:space="preserve">Sve dok nema dokaza vezanih za klinički odgovor za potvrđene izolate sa MIK vrijednostima iznad važeće granične vrijednosti rezistencije, potrebno ih je prijaviti kao rezistentne. Klinički odgovor od 76% postignut je kod infekcija uzrokovanih vrstama navedenim u nastavku, kada su MIK vrijednosti bile niže od ili jednake epidemiološkim graničnim vrijednostima. Stoga se populacije „divljeg tipa“ vrsta </w:t>
            </w:r>
            <w:r w:rsidRPr="0054718D">
              <w:rPr>
                <w:i/>
                <w:iCs/>
                <w:szCs w:val="22"/>
                <w:lang w:val="hr-HR" w:eastAsia="en-GB"/>
              </w:rPr>
              <w:t xml:space="preserve">C. albicans, C. dubliniensis, C. parapsilosis </w:t>
            </w:r>
            <w:r w:rsidRPr="0054718D">
              <w:rPr>
                <w:szCs w:val="22"/>
                <w:lang w:val="hr-HR" w:eastAsia="en-GB"/>
              </w:rPr>
              <w:t>i</w:t>
            </w:r>
            <w:r w:rsidRPr="0054718D">
              <w:rPr>
                <w:i/>
                <w:iCs/>
                <w:szCs w:val="22"/>
                <w:lang w:val="hr-HR" w:eastAsia="en-GB"/>
              </w:rPr>
              <w:t xml:space="preserve"> C. tropicalis</w:t>
            </w:r>
            <w:r w:rsidRPr="0054718D">
              <w:rPr>
                <w:szCs w:val="22"/>
                <w:lang w:val="hr-HR" w:eastAsia="en-GB"/>
              </w:rPr>
              <w:t xml:space="preserve"> smatraju osjetljivim.</w:t>
            </w:r>
          </w:p>
          <w:p w14:paraId="7E0DA53F" w14:textId="6C08EFE8" w:rsidR="00B77686" w:rsidRPr="0054718D" w:rsidRDefault="00B77686" w:rsidP="00D72925">
            <w:pPr>
              <w:pStyle w:val="TableTextFootnote"/>
              <w:jc w:val="both"/>
              <w:rPr>
                <w:szCs w:val="22"/>
                <w:lang w:val="hr-HR"/>
              </w:rPr>
            </w:pPr>
            <w:r w:rsidRPr="0054718D">
              <w:rPr>
                <w:b/>
                <w:bCs/>
                <w:szCs w:val="22"/>
                <w:vertAlign w:val="superscript"/>
                <w:lang w:val="hr-HR"/>
              </w:rPr>
              <w:t>2</w:t>
            </w:r>
            <w:r w:rsidRPr="0054718D">
              <w:rPr>
                <w:szCs w:val="22"/>
                <w:lang w:val="hr-HR"/>
              </w:rPr>
              <w:t xml:space="preserve"> </w:t>
            </w:r>
            <w:r w:rsidRPr="0054718D">
              <w:rPr>
                <w:szCs w:val="22"/>
                <w:lang w:val="hr-HR" w:eastAsia="en-GB"/>
              </w:rPr>
              <w:t xml:space="preserve">Epidemiološke granične vrijednosti (engl. </w:t>
            </w:r>
            <w:r w:rsidRPr="0054718D">
              <w:rPr>
                <w:color w:val="000000"/>
                <w:szCs w:val="22"/>
                <w:lang w:val="hr-HR" w:eastAsia="en-GB"/>
              </w:rPr>
              <w:t>epidemiological cut-off values</w:t>
            </w:r>
            <w:r w:rsidRPr="0054718D">
              <w:rPr>
                <w:szCs w:val="22"/>
                <w:lang w:val="hr-HR" w:eastAsia="en-GB"/>
              </w:rPr>
              <w:t xml:space="preserve">, ECOFF) za ove vrste su uopšteno veće nego one za </w:t>
            </w:r>
            <w:r w:rsidRPr="0054718D">
              <w:rPr>
                <w:i/>
                <w:iCs/>
                <w:szCs w:val="22"/>
                <w:lang w:val="hr-HR" w:eastAsia="en-GB"/>
              </w:rPr>
              <w:t>C. albicans</w:t>
            </w:r>
            <w:r w:rsidRPr="0054718D">
              <w:rPr>
                <w:szCs w:val="22"/>
                <w:lang w:val="hr-HR" w:eastAsia="en-GB"/>
              </w:rPr>
              <w:t>.</w:t>
            </w:r>
          </w:p>
          <w:p w14:paraId="6C894B62" w14:textId="515C0543" w:rsidR="00B77686" w:rsidRPr="0054718D" w:rsidRDefault="00B77686" w:rsidP="00D72925">
            <w:pPr>
              <w:overflowPunct w:val="0"/>
              <w:autoSpaceDE w:val="0"/>
              <w:autoSpaceDN w:val="0"/>
              <w:adjustRightInd w:val="0"/>
              <w:textAlignment w:val="baseline"/>
              <w:rPr>
                <w:sz w:val="20"/>
                <w:szCs w:val="22"/>
                <w:lang w:val="hr-HR" w:eastAsia="en-GB"/>
              </w:rPr>
            </w:pPr>
            <w:r w:rsidRPr="0054718D">
              <w:rPr>
                <w:sz w:val="20"/>
                <w:szCs w:val="22"/>
                <w:vertAlign w:val="superscript"/>
                <w:lang w:val="hr-HR" w:eastAsia="en-GB"/>
              </w:rPr>
              <w:lastRenderedPageBreak/>
              <w:t>3</w:t>
            </w:r>
            <w:r w:rsidRPr="0054718D">
              <w:rPr>
                <w:sz w:val="20"/>
                <w:szCs w:val="22"/>
                <w:lang w:val="hr-HR" w:eastAsia="en-GB"/>
              </w:rPr>
              <w:t xml:space="preserve"> Granične vrijednosti nezavisne od vrste utvrđene su prevashodno na osnovu farmakokinetičkih/farmakodinamičkih podataka i ne zavise od distribucije MIK vrijednosti za određene vrste gljivice </w:t>
            </w:r>
            <w:r w:rsidRPr="0054718D">
              <w:rPr>
                <w:i/>
                <w:iCs/>
                <w:sz w:val="20"/>
                <w:szCs w:val="22"/>
                <w:lang w:val="hr-HR" w:eastAsia="en-GB"/>
              </w:rPr>
              <w:t>Candida</w:t>
            </w:r>
            <w:r w:rsidRPr="0054718D">
              <w:rPr>
                <w:sz w:val="20"/>
                <w:szCs w:val="22"/>
                <w:lang w:val="hr-HR" w:eastAsia="en-GB"/>
              </w:rPr>
              <w:t>. One se primjenjuju samo kod organizama koji nemaju određene granične vrijednosti.</w:t>
            </w:r>
          </w:p>
          <w:p w14:paraId="6A1DE536" w14:textId="19DD85C3" w:rsidR="00B77686" w:rsidRPr="0054718D" w:rsidRDefault="00B77686" w:rsidP="00D72925">
            <w:pPr>
              <w:pStyle w:val="TableTextFootnote"/>
              <w:jc w:val="both"/>
              <w:rPr>
                <w:szCs w:val="22"/>
                <w:lang w:val="hr-HR" w:eastAsia="en-GB"/>
              </w:rPr>
            </w:pPr>
            <w:r w:rsidRPr="0054718D">
              <w:rPr>
                <w:b/>
                <w:bCs/>
                <w:szCs w:val="22"/>
                <w:vertAlign w:val="superscript"/>
                <w:lang w:val="hr-HR"/>
              </w:rPr>
              <w:t>4</w:t>
            </w:r>
            <w:r w:rsidRPr="0054718D">
              <w:rPr>
                <w:szCs w:val="22"/>
                <w:lang w:val="hr-HR"/>
              </w:rPr>
              <w:t xml:space="preserve"> </w:t>
            </w:r>
            <w:r w:rsidR="00915732" w:rsidRPr="0054718D">
              <w:rPr>
                <w:color w:val="000000"/>
                <w:szCs w:val="22"/>
                <w:lang w:val="hr-HR" w:eastAsia="en-GB"/>
              </w:rPr>
              <w:t>Područje tehničke nesigurnosti</w:t>
            </w:r>
            <w:r w:rsidRPr="0054718D">
              <w:rPr>
                <w:color w:val="000000"/>
                <w:szCs w:val="22"/>
                <w:lang w:val="hr-HR" w:eastAsia="en-GB"/>
              </w:rPr>
              <w:t xml:space="preserve"> </w:t>
            </w:r>
            <w:r w:rsidRPr="0054718D">
              <w:rPr>
                <w:szCs w:val="22"/>
                <w:lang w:val="hr-HR" w:eastAsia="en-GB"/>
              </w:rPr>
              <w:t>(</w:t>
            </w:r>
            <w:r w:rsidR="00915732" w:rsidRPr="0054718D">
              <w:rPr>
                <w:szCs w:val="22"/>
                <w:lang w:val="hr-HR" w:eastAsia="en-GB"/>
              </w:rPr>
              <w:t xml:space="preserve">engl. area of technical uncertainty, </w:t>
            </w:r>
            <w:r w:rsidRPr="0054718D">
              <w:rPr>
                <w:szCs w:val="22"/>
                <w:lang w:val="hr-HR" w:eastAsia="en-GB"/>
              </w:rPr>
              <w:t xml:space="preserve">ATU) </w:t>
            </w:r>
            <w:r w:rsidR="00915732" w:rsidRPr="0054718D">
              <w:rPr>
                <w:szCs w:val="22"/>
                <w:lang w:val="hr-HR" w:eastAsia="en-GB"/>
              </w:rPr>
              <w:t>iznosi</w:t>
            </w:r>
            <w:r w:rsidRPr="0054718D">
              <w:rPr>
                <w:szCs w:val="22"/>
                <w:lang w:val="hr-HR" w:eastAsia="en-GB"/>
              </w:rPr>
              <w:t xml:space="preserve"> 2. </w:t>
            </w:r>
            <w:r w:rsidR="00915732" w:rsidRPr="0054718D">
              <w:rPr>
                <w:szCs w:val="22"/>
                <w:lang w:val="hr-HR" w:eastAsia="en-GB"/>
              </w:rPr>
              <w:t xml:space="preserve">Prijavljuje se kao </w:t>
            </w:r>
            <w:r w:rsidRPr="0054718D">
              <w:rPr>
                <w:szCs w:val="22"/>
                <w:lang w:val="hr-HR" w:eastAsia="en-GB"/>
              </w:rPr>
              <w:t xml:space="preserve">R </w:t>
            </w:r>
            <w:r w:rsidR="00915732" w:rsidRPr="0054718D">
              <w:rPr>
                <w:szCs w:val="22"/>
                <w:lang w:val="hr-HR" w:eastAsia="en-GB"/>
              </w:rPr>
              <w:t>uz sljedeći komentar</w:t>
            </w:r>
            <w:r w:rsidRPr="0054718D">
              <w:rPr>
                <w:szCs w:val="22"/>
                <w:lang w:val="hr-HR" w:eastAsia="en-GB"/>
              </w:rPr>
              <w:t xml:space="preserve">: </w:t>
            </w:r>
            <w:r w:rsidR="00915732" w:rsidRPr="0054718D">
              <w:rPr>
                <w:szCs w:val="22"/>
                <w:lang w:val="hr-HR" w:eastAsia="en-GB"/>
              </w:rPr>
              <w:t xml:space="preserve">„Vorikonazol se može primjenjivati u određenim kliničkim situacijama </w:t>
            </w:r>
            <w:r w:rsidRPr="0054718D">
              <w:rPr>
                <w:szCs w:val="22"/>
                <w:lang w:val="hr-HR" w:eastAsia="en-GB"/>
              </w:rPr>
              <w:t>(</w:t>
            </w:r>
            <w:r w:rsidR="00915732" w:rsidRPr="0054718D">
              <w:rPr>
                <w:szCs w:val="22"/>
                <w:lang w:val="hr-HR" w:eastAsia="en-GB"/>
              </w:rPr>
              <w:t>neinvazivni oblici infekcije</w:t>
            </w:r>
            <w:r w:rsidRPr="0054718D">
              <w:rPr>
                <w:szCs w:val="22"/>
                <w:lang w:val="hr-HR" w:eastAsia="en-GB"/>
              </w:rPr>
              <w:t xml:space="preserve">) </w:t>
            </w:r>
            <w:r w:rsidR="00915732" w:rsidRPr="0054718D">
              <w:rPr>
                <w:szCs w:val="22"/>
                <w:lang w:val="hr-HR" w:eastAsia="en-GB"/>
              </w:rPr>
              <w:t>ukoliko se osigura dovoljna izloženost“</w:t>
            </w:r>
            <w:r w:rsidRPr="0054718D">
              <w:rPr>
                <w:szCs w:val="22"/>
                <w:lang w:val="hr-HR" w:eastAsia="en-GB"/>
              </w:rPr>
              <w:t>.</w:t>
            </w:r>
          </w:p>
          <w:p w14:paraId="17EF3724" w14:textId="67D3A8E1" w:rsidR="00B77686" w:rsidRPr="0054718D" w:rsidRDefault="00B77686" w:rsidP="00D72925">
            <w:pPr>
              <w:overflowPunct w:val="0"/>
              <w:autoSpaceDE w:val="0"/>
              <w:autoSpaceDN w:val="0"/>
              <w:adjustRightInd w:val="0"/>
              <w:textAlignment w:val="baseline"/>
              <w:rPr>
                <w:sz w:val="20"/>
                <w:szCs w:val="22"/>
                <w:lang w:val="hr-HR" w:eastAsia="en-GB"/>
              </w:rPr>
            </w:pPr>
            <w:r w:rsidRPr="0054718D">
              <w:rPr>
                <w:sz w:val="20"/>
                <w:szCs w:val="22"/>
                <w:vertAlign w:val="superscript"/>
                <w:lang w:val="hr-HR" w:eastAsia="en-GB"/>
              </w:rPr>
              <w:t>5</w:t>
            </w:r>
            <w:r w:rsidRPr="0054718D">
              <w:rPr>
                <w:sz w:val="20"/>
                <w:szCs w:val="22"/>
                <w:lang w:val="hr-HR" w:eastAsia="en-GB"/>
              </w:rPr>
              <w:t xml:space="preserve"> </w:t>
            </w:r>
            <w:r w:rsidR="00915732" w:rsidRPr="0054718D">
              <w:rPr>
                <w:sz w:val="20"/>
                <w:szCs w:val="22"/>
                <w:lang w:val="hr-HR" w:eastAsia="en-GB"/>
              </w:rPr>
              <w:t>Epidemiološke granične vrijednosti za ove vrste su uopšteno za jedno dvostruko razrjeđivanje veće nego onih prijavljenih za</w:t>
            </w:r>
            <w:r w:rsidRPr="0054718D">
              <w:rPr>
                <w:sz w:val="20"/>
                <w:szCs w:val="22"/>
                <w:lang w:val="hr-HR" w:eastAsia="en-GB"/>
              </w:rPr>
              <w:t xml:space="preserve"> </w:t>
            </w:r>
            <w:r w:rsidRPr="0054718D">
              <w:rPr>
                <w:i/>
                <w:iCs/>
                <w:sz w:val="20"/>
                <w:szCs w:val="22"/>
                <w:lang w:val="hr-HR" w:eastAsia="en-GB"/>
              </w:rPr>
              <w:t>A. fumigatus</w:t>
            </w:r>
            <w:r w:rsidRPr="0054718D">
              <w:rPr>
                <w:sz w:val="20"/>
                <w:szCs w:val="22"/>
                <w:lang w:val="hr-HR" w:eastAsia="en-GB"/>
              </w:rPr>
              <w:t>.</w:t>
            </w:r>
          </w:p>
          <w:p w14:paraId="4F23107B" w14:textId="0AF41D12" w:rsidR="00B77686" w:rsidRPr="00913317" w:rsidRDefault="00B77686" w:rsidP="00D72925">
            <w:pPr>
              <w:pStyle w:val="TableTextFootnote"/>
              <w:jc w:val="both"/>
              <w:rPr>
                <w:sz w:val="22"/>
                <w:szCs w:val="22"/>
                <w:lang w:val="hr-HR"/>
              </w:rPr>
            </w:pPr>
            <w:r w:rsidRPr="0054718D">
              <w:rPr>
                <w:szCs w:val="22"/>
                <w:vertAlign w:val="superscript"/>
                <w:lang w:val="hr-HR" w:eastAsia="en-GB"/>
              </w:rPr>
              <w:t xml:space="preserve">6 </w:t>
            </w:r>
            <w:r w:rsidR="00915732" w:rsidRPr="0054718D">
              <w:rPr>
                <w:szCs w:val="22"/>
                <w:lang w:val="hr-HR" w:eastAsia="en-GB"/>
              </w:rPr>
              <w:t>Granične vrijednosti nezavisne od vrste nijesu utvrđene</w:t>
            </w:r>
            <w:r w:rsidRPr="0054718D">
              <w:rPr>
                <w:szCs w:val="22"/>
                <w:lang w:val="hr-HR" w:eastAsia="en-GB"/>
              </w:rPr>
              <w:t>.</w:t>
            </w:r>
          </w:p>
        </w:tc>
      </w:tr>
    </w:tbl>
    <w:p w14:paraId="6B609FDE" w14:textId="0648BA33" w:rsidR="006131C3" w:rsidRPr="00913317" w:rsidRDefault="00BE6E1E" w:rsidP="00D72925">
      <w:pPr>
        <w:rPr>
          <w:color w:val="FF0000"/>
          <w:szCs w:val="22"/>
          <w:u w:val="single"/>
          <w:lang w:val="hr-HR"/>
        </w:rPr>
      </w:pPr>
      <w:r w:rsidRPr="00913317">
        <w:rPr>
          <w:b/>
          <w:szCs w:val="22"/>
          <w:lang w:val="hr-HR"/>
        </w:rPr>
        <w:lastRenderedPageBreak/>
        <w:t xml:space="preserve"> </w:t>
      </w:r>
    </w:p>
    <w:p w14:paraId="74E1F710" w14:textId="77777777" w:rsidR="006131C3" w:rsidRPr="00913317" w:rsidRDefault="00BE6E1E" w:rsidP="00D72925">
      <w:pPr>
        <w:keepNext/>
        <w:rPr>
          <w:szCs w:val="22"/>
          <w:u w:val="single"/>
          <w:lang w:val="hr-HR"/>
        </w:rPr>
      </w:pPr>
      <w:r w:rsidRPr="00913317">
        <w:rPr>
          <w:szCs w:val="22"/>
          <w:u w:val="single"/>
          <w:lang w:val="hr-HR"/>
        </w:rPr>
        <w:t>Kliničko iskustvo</w:t>
      </w:r>
    </w:p>
    <w:p w14:paraId="1BD024EA" w14:textId="3C0F4DD7" w:rsidR="006131C3" w:rsidRPr="00913317" w:rsidRDefault="00BE6E1E" w:rsidP="00D72925">
      <w:pPr>
        <w:keepNext/>
        <w:rPr>
          <w:szCs w:val="22"/>
          <w:lang w:val="hr-HR"/>
        </w:rPr>
      </w:pPr>
      <w:r w:rsidRPr="00913317">
        <w:rPr>
          <w:szCs w:val="22"/>
          <w:lang w:val="hr-HR"/>
        </w:rPr>
        <w:t>Usp</w:t>
      </w:r>
      <w:r w:rsidR="006A48DA" w:rsidRPr="00913317">
        <w:rPr>
          <w:szCs w:val="22"/>
          <w:lang w:val="hr-HR"/>
        </w:rPr>
        <w:t>j</w:t>
      </w:r>
      <w:r w:rsidRPr="00913317">
        <w:rPr>
          <w:szCs w:val="22"/>
          <w:lang w:val="hr-HR"/>
        </w:rPr>
        <w:t>ešan ishod u ovom d</w:t>
      </w:r>
      <w:r w:rsidR="006A48DA" w:rsidRPr="00913317">
        <w:rPr>
          <w:szCs w:val="22"/>
          <w:lang w:val="hr-HR"/>
        </w:rPr>
        <w:t>ij</w:t>
      </w:r>
      <w:r w:rsidRPr="00913317">
        <w:rPr>
          <w:szCs w:val="22"/>
          <w:lang w:val="hr-HR"/>
        </w:rPr>
        <w:t xml:space="preserve">elu definisan je kao kompletan ili parcijalni odgovor. </w:t>
      </w:r>
    </w:p>
    <w:p w14:paraId="1B24E17A" w14:textId="77777777" w:rsidR="006131C3" w:rsidRPr="00913317" w:rsidRDefault="006131C3" w:rsidP="00D72925">
      <w:pPr>
        <w:rPr>
          <w:i/>
          <w:color w:val="FF0000"/>
          <w:szCs w:val="22"/>
          <w:u w:val="single"/>
          <w:lang w:val="hr-HR"/>
        </w:rPr>
      </w:pPr>
    </w:p>
    <w:p w14:paraId="70EACF32" w14:textId="77777777" w:rsidR="006131C3" w:rsidRPr="00913317" w:rsidRDefault="00BE6E1E" w:rsidP="00D72925">
      <w:pPr>
        <w:rPr>
          <w:szCs w:val="22"/>
          <w:u w:val="single"/>
          <w:lang w:val="hr-HR"/>
        </w:rPr>
      </w:pPr>
      <w:r w:rsidRPr="00913317">
        <w:rPr>
          <w:i/>
          <w:szCs w:val="22"/>
          <w:u w:val="single"/>
          <w:lang w:val="hr-HR"/>
        </w:rPr>
        <w:t>Aspergillus</w:t>
      </w:r>
      <w:r w:rsidRPr="00913317">
        <w:rPr>
          <w:szCs w:val="22"/>
          <w:u w:val="single"/>
          <w:lang w:val="hr-HR"/>
        </w:rPr>
        <w:t xml:space="preserve"> infekcije – efikasnost kod pacijenata sa aspergilozom i lošom prognozom</w:t>
      </w:r>
    </w:p>
    <w:p w14:paraId="7B1BB51C" w14:textId="76461D3B" w:rsidR="006131C3" w:rsidRPr="00913317" w:rsidRDefault="00BE6E1E" w:rsidP="00D72925">
      <w:pPr>
        <w:pStyle w:val="CM55"/>
        <w:spacing w:after="0"/>
        <w:jc w:val="both"/>
        <w:rPr>
          <w:sz w:val="22"/>
          <w:szCs w:val="22"/>
          <w:lang w:val="hr-HR"/>
        </w:rPr>
      </w:pPr>
      <w:r w:rsidRPr="00913317">
        <w:rPr>
          <w:sz w:val="22"/>
          <w:szCs w:val="22"/>
          <w:lang w:val="hr-HR"/>
        </w:rPr>
        <w:t xml:space="preserve">Vorikonazol je </w:t>
      </w:r>
      <w:r w:rsidRPr="00913317">
        <w:rPr>
          <w:i/>
          <w:sz w:val="22"/>
          <w:szCs w:val="22"/>
          <w:lang w:val="hr-HR"/>
        </w:rPr>
        <w:t>in vitro</w:t>
      </w:r>
      <w:r w:rsidRPr="00913317">
        <w:rPr>
          <w:sz w:val="22"/>
          <w:szCs w:val="22"/>
          <w:lang w:val="hr-HR"/>
        </w:rPr>
        <w:t xml:space="preserve"> pokazao fungicidnu aktivnost protiv </w:t>
      </w:r>
      <w:r w:rsidRPr="00913317">
        <w:rPr>
          <w:i/>
          <w:sz w:val="22"/>
          <w:szCs w:val="22"/>
          <w:lang w:val="hr-HR"/>
        </w:rPr>
        <w:t>Aspergillus</w:t>
      </w:r>
      <w:r w:rsidRPr="00913317">
        <w:rPr>
          <w:sz w:val="22"/>
          <w:szCs w:val="22"/>
          <w:lang w:val="hr-HR"/>
        </w:rPr>
        <w:t xml:space="preserve"> </w:t>
      </w:r>
      <w:r w:rsidRPr="00913317">
        <w:rPr>
          <w:i/>
          <w:sz w:val="22"/>
          <w:szCs w:val="22"/>
          <w:lang w:val="hr-HR"/>
        </w:rPr>
        <w:t>spp</w:t>
      </w:r>
      <w:r w:rsidRPr="00913317">
        <w:rPr>
          <w:sz w:val="22"/>
          <w:szCs w:val="22"/>
          <w:lang w:val="hr-HR"/>
        </w:rPr>
        <w:t xml:space="preserve">. Efikasnost i </w:t>
      </w:r>
      <w:r w:rsidR="003256B9" w:rsidRPr="00913317">
        <w:rPr>
          <w:sz w:val="22"/>
          <w:szCs w:val="22"/>
          <w:lang w:val="hr-HR"/>
        </w:rPr>
        <w:t>korist vorikonazola</w:t>
      </w:r>
      <w:r w:rsidR="005453B7" w:rsidRPr="00913317">
        <w:rPr>
          <w:sz w:val="22"/>
          <w:szCs w:val="22"/>
          <w:lang w:val="hr-HR"/>
        </w:rPr>
        <w:t xml:space="preserve"> </w:t>
      </w:r>
      <w:r w:rsidR="003256B9" w:rsidRPr="00913317">
        <w:rPr>
          <w:sz w:val="22"/>
          <w:szCs w:val="22"/>
          <w:lang w:val="hr-HR"/>
        </w:rPr>
        <w:t xml:space="preserve">obzirom </w:t>
      </w:r>
      <w:r w:rsidR="005453B7" w:rsidRPr="00913317">
        <w:rPr>
          <w:sz w:val="22"/>
          <w:szCs w:val="22"/>
          <w:lang w:val="hr-HR"/>
        </w:rPr>
        <w:t xml:space="preserve">na to da </w:t>
      </w:r>
      <w:r w:rsidR="003256B9" w:rsidRPr="00913317">
        <w:rPr>
          <w:sz w:val="22"/>
          <w:szCs w:val="22"/>
          <w:lang w:val="hr-HR"/>
        </w:rPr>
        <w:t>preživljavanje</w:t>
      </w:r>
      <w:r w:rsidR="00C7273D" w:rsidRPr="00913317">
        <w:rPr>
          <w:sz w:val="22"/>
          <w:szCs w:val="22"/>
          <w:lang w:val="hr-HR"/>
        </w:rPr>
        <w:t xml:space="preserve"> u odnosu na konvencionalnu terapiju amfotericinom B u primarnoj terapiji akutne invazivne aspergiloze, pokazani su u jednoj otvorenoj, randomizovanoj</w:t>
      </w:r>
      <w:r w:rsidRPr="00913317">
        <w:rPr>
          <w:sz w:val="22"/>
          <w:szCs w:val="22"/>
          <w:lang w:val="hr-HR"/>
        </w:rPr>
        <w:t>, multicentričnoj studiji na 277 imunokompromitovanih pacijenata, l</w:t>
      </w:r>
      <w:r w:rsidR="005453B7" w:rsidRPr="00913317">
        <w:rPr>
          <w:sz w:val="22"/>
          <w:szCs w:val="22"/>
          <w:lang w:val="hr-HR"/>
        </w:rPr>
        <w:t>ij</w:t>
      </w:r>
      <w:r w:rsidRPr="00913317">
        <w:rPr>
          <w:sz w:val="22"/>
          <w:szCs w:val="22"/>
          <w:lang w:val="hr-HR"/>
        </w:rPr>
        <w:t>ečenih 12 ned</w:t>
      </w:r>
      <w:r w:rsidR="005453B7" w:rsidRPr="00913317">
        <w:rPr>
          <w:sz w:val="22"/>
          <w:szCs w:val="22"/>
          <w:lang w:val="hr-HR"/>
        </w:rPr>
        <w:t>j</w:t>
      </w:r>
      <w:r w:rsidRPr="00913317">
        <w:rPr>
          <w:sz w:val="22"/>
          <w:szCs w:val="22"/>
          <w:lang w:val="hr-HR"/>
        </w:rPr>
        <w:t xml:space="preserve">elja. Vorikonazol je </w:t>
      </w:r>
      <w:r w:rsidR="004D45E7" w:rsidRPr="00913317">
        <w:rPr>
          <w:sz w:val="22"/>
          <w:szCs w:val="22"/>
          <w:lang w:val="hr-HR"/>
        </w:rPr>
        <w:t>primjen</w:t>
      </w:r>
      <w:r w:rsidRPr="00913317">
        <w:rPr>
          <w:sz w:val="22"/>
          <w:szCs w:val="22"/>
          <w:lang w:val="hr-HR"/>
        </w:rPr>
        <w:t>jivan intravenski u udarnoj dozi od 6 mg/kg na 12 sati tokom prva 24 sata, posl</w:t>
      </w:r>
      <w:r w:rsidR="00FD5C4B" w:rsidRPr="00913317">
        <w:rPr>
          <w:sz w:val="22"/>
          <w:szCs w:val="22"/>
          <w:lang w:val="hr-HR"/>
        </w:rPr>
        <w:t>ij</w:t>
      </w:r>
      <w:r w:rsidRPr="00913317">
        <w:rPr>
          <w:sz w:val="22"/>
          <w:szCs w:val="22"/>
          <w:lang w:val="hr-HR"/>
        </w:rPr>
        <w:t>e čega je usl</w:t>
      </w:r>
      <w:r w:rsidR="005453B7" w:rsidRPr="00913317">
        <w:rPr>
          <w:sz w:val="22"/>
          <w:szCs w:val="22"/>
          <w:lang w:val="hr-HR"/>
        </w:rPr>
        <w:t>ij</w:t>
      </w:r>
      <w:r w:rsidRPr="00913317">
        <w:rPr>
          <w:sz w:val="22"/>
          <w:szCs w:val="22"/>
          <w:lang w:val="hr-HR"/>
        </w:rPr>
        <w:t xml:space="preserve">edila doza održavanja od 4 mg/kg svakih 12 sati tokom najmanje 7 dana. </w:t>
      </w:r>
      <w:r w:rsidR="00E252F6" w:rsidRPr="00913317">
        <w:rPr>
          <w:sz w:val="22"/>
          <w:szCs w:val="22"/>
          <w:lang w:val="hr-HR"/>
        </w:rPr>
        <w:t xml:space="preserve">Zatim se terapija može nastaviti </w:t>
      </w:r>
      <w:r w:rsidR="004D45E7" w:rsidRPr="00913317">
        <w:rPr>
          <w:sz w:val="22"/>
          <w:szCs w:val="22"/>
          <w:lang w:val="hr-HR"/>
        </w:rPr>
        <w:t>primjen</w:t>
      </w:r>
      <w:r w:rsidR="00E252F6" w:rsidRPr="00913317">
        <w:rPr>
          <w:sz w:val="22"/>
          <w:szCs w:val="22"/>
          <w:lang w:val="hr-HR"/>
        </w:rPr>
        <w:t>om</w:t>
      </w:r>
      <w:r w:rsidR="00C7273D" w:rsidRPr="00913317">
        <w:rPr>
          <w:sz w:val="22"/>
          <w:szCs w:val="22"/>
          <w:lang w:val="hr-HR"/>
        </w:rPr>
        <w:t xml:space="preserve"> </w:t>
      </w:r>
      <w:r w:rsidR="003256B9" w:rsidRPr="00913317">
        <w:rPr>
          <w:sz w:val="22"/>
          <w:szCs w:val="22"/>
          <w:lang w:val="hr-HR"/>
        </w:rPr>
        <w:t>oraln</w:t>
      </w:r>
      <w:r w:rsidR="00E252F6" w:rsidRPr="00913317">
        <w:rPr>
          <w:sz w:val="22"/>
          <w:szCs w:val="22"/>
          <w:lang w:val="hr-HR"/>
        </w:rPr>
        <w:t>og farmaceutskog</w:t>
      </w:r>
      <w:r w:rsidR="003256B9" w:rsidRPr="00913317">
        <w:rPr>
          <w:sz w:val="22"/>
          <w:szCs w:val="22"/>
          <w:lang w:val="hr-HR"/>
        </w:rPr>
        <w:t xml:space="preserve"> oblik</w:t>
      </w:r>
      <w:r w:rsidR="00E252F6" w:rsidRPr="00913317">
        <w:rPr>
          <w:sz w:val="22"/>
          <w:szCs w:val="22"/>
          <w:lang w:val="hr-HR"/>
        </w:rPr>
        <w:t xml:space="preserve">a </w:t>
      </w:r>
      <w:r w:rsidRPr="00913317">
        <w:rPr>
          <w:sz w:val="22"/>
          <w:szCs w:val="22"/>
          <w:lang w:val="hr-HR"/>
        </w:rPr>
        <w:t xml:space="preserve">u dozi od 200 mg na </w:t>
      </w:r>
      <w:r w:rsidR="00E252F6" w:rsidRPr="00913317">
        <w:rPr>
          <w:sz w:val="22"/>
          <w:szCs w:val="22"/>
          <w:lang w:val="hr-HR"/>
        </w:rPr>
        <w:t xml:space="preserve">svakih </w:t>
      </w:r>
      <w:r w:rsidRPr="00913317">
        <w:rPr>
          <w:sz w:val="22"/>
          <w:szCs w:val="22"/>
          <w:lang w:val="hr-HR"/>
        </w:rPr>
        <w:t xml:space="preserve">12 sati. </w:t>
      </w:r>
      <w:r w:rsidR="00CA6657" w:rsidRPr="00913317">
        <w:rPr>
          <w:sz w:val="22"/>
          <w:szCs w:val="22"/>
          <w:lang w:val="hr-HR"/>
        </w:rPr>
        <w:t>Medijana</w:t>
      </w:r>
      <w:r w:rsidRPr="00913317">
        <w:rPr>
          <w:sz w:val="22"/>
          <w:szCs w:val="22"/>
          <w:lang w:val="hr-HR"/>
        </w:rPr>
        <w:t xml:space="preserve"> trajanj</w:t>
      </w:r>
      <w:r w:rsidR="00CA6657" w:rsidRPr="00913317">
        <w:rPr>
          <w:sz w:val="22"/>
          <w:szCs w:val="22"/>
          <w:lang w:val="hr-HR"/>
        </w:rPr>
        <w:t>a</w:t>
      </w:r>
      <w:r w:rsidRPr="00913317">
        <w:rPr>
          <w:sz w:val="22"/>
          <w:szCs w:val="22"/>
          <w:lang w:val="hr-HR"/>
        </w:rPr>
        <w:t xml:space="preserve"> intravenske terapije vorikonazolom bilo je 10 dana (od 2 do 85 dana). Nakon intravenske terapije vorikonazolom, </w:t>
      </w:r>
      <w:r w:rsidR="00CA6657" w:rsidRPr="00913317">
        <w:rPr>
          <w:sz w:val="22"/>
          <w:szCs w:val="22"/>
          <w:lang w:val="hr-HR"/>
        </w:rPr>
        <w:t xml:space="preserve">medijana trajanja </w:t>
      </w:r>
      <w:r w:rsidRPr="00913317">
        <w:rPr>
          <w:sz w:val="22"/>
          <w:szCs w:val="22"/>
          <w:lang w:val="hr-HR"/>
        </w:rPr>
        <w:t>terapije oralnim oblikom vorikonazola bilo je 76 dana (od 2 do 232 dana).</w:t>
      </w:r>
    </w:p>
    <w:p w14:paraId="70FFEE6D" w14:textId="7F3E9DFA" w:rsidR="006131C3" w:rsidRPr="00913317" w:rsidRDefault="00BE6E1E" w:rsidP="00D72925">
      <w:pPr>
        <w:rPr>
          <w:szCs w:val="22"/>
          <w:lang w:val="hr-HR"/>
        </w:rPr>
      </w:pPr>
      <w:r w:rsidRPr="00913317">
        <w:rPr>
          <w:szCs w:val="22"/>
          <w:lang w:val="hr-HR"/>
        </w:rPr>
        <w:t>Zadovoljavajući opšti odgovor (kompletno ili parcijalno povlačenje svih simptoma i znakova, radiografskih/bronhoskopskih abnormalnosti prisutnih na početku) postignut je kod 53% pacijenata l</w:t>
      </w:r>
      <w:r w:rsidR="005453B7" w:rsidRPr="00913317">
        <w:rPr>
          <w:szCs w:val="22"/>
          <w:lang w:val="hr-HR"/>
        </w:rPr>
        <w:t>ij</w:t>
      </w:r>
      <w:r w:rsidRPr="00913317">
        <w:rPr>
          <w:szCs w:val="22"/>
          <w:lang w:val="hr-HR"/>
        </w:rPr>
        <w:t>ečenih vorikonazolom, u odnosu na 31% pacijenata l</w:t>
      </w:r>
      <w:r w:rsidR="005453B7" w:rsidRPr="00913317">
        <w:rPr>
          <w:szCs w:val="22"/>
          <w:lang w:val="hr-HR"/>
        </w:rPr>
        <w:t>ij</w:t>
      </w:r>
      <w:r w:rsidRPr="00913317">
        <w:rPr>
          <w:szCs w:val="22"/>
          <w:lang w:val="hr-HR"/>
        </w:rPr>
        <w:t xml:space="preserve">ečenih komparativnim </w:t>
      </w:r>
      <w:r w:rsidR="004D45E7" w:rsidRPr="00913317">
        <w:rPr>
          <w:szCs w:val="22"/>
          <w:lang w:val="hr-HR"/>
        </w:rPr>
        <w:t>lijek</w:t>
      </w:r>
      <w:r w:rsidRPr="00913317">
        <w:rPr>
          <w:szCs w:val="22"/>
          <w:lang w:val="hr-HR"/>
        </w:rPr>
        <w:t>om. Stopa preživljavanja posl</w:t>
      </w:r>
      <w:r w:rsidR="00FD5C4B" w:rsidRPr="00913317">
        <w:rPr>
          <w:szCs w:val="22"/>
          <w:lang w:val="hr-HR"/>
        </w:rPr>
        <w:t>ij</w:t>
      </w:r>
      <w:r w:rsidRPr="00913317">
        <w:rPr>
          <w:szCs w:val="22"/>
          <w:lang w:val="hr-HR"/>
        </w:rPr>
        <w:t>e 84 dana je bila statistički značajno veća u grupi na vorikonazolu u odnosu na komparat</w:t>
      </w:r>
      <w:r w:rsidR="002E5C9D" w:rsidRPr="00913317">
        <w:rPr>
          <w:szCs w:val="22"/>
          <w:lang w:val="hr-HR"/>
        </w:rPr>
        <w:t xml:space="preserve">ivni </w:t>
      </w:r>
      <w:r w:rsidR="004D45E7" w:rsidRPr="00913317">
        <w:rPr>
          <w:szCs w:val="22"/>
          <w:lang w:val="hr-HR"/>
        </w:rPr>
        <w:t>lijek</w:t>
      </w:r>
      <w:r w:rsidRPr="00913317">
        <w:rPr>
          <w:szCs w:val="22"/>
          <w:lang w:val="hr-HR"/>
        </w:rPr>
        <w:t>. Klinički i statistički značajan benefit pokazan je u korist vorikonazola i u odnosu na vr</w:t>
      </w:r>
      <w:r w:rsidR="00496DAD" w:rsidRPr="00913317">
        <w:rPr>
          <w:szCs w:val="22"/>
          <w:lang w:val="hr-HR"/>
        </w:rPr>
        <w:t>ij</w:t>
      </w:r>
      <w:r w:rsidRPr="00913317">
        <w:rPr>
          <w:szCs w:val="22"/>
          <w:lang w:val="hr-HR"/>
        </w:rPr>
        <w:t>eme do smrti i u odnosu na vr</w:t>
      </w:r>
      <w:r w:rsidR="00496DAD" w:rsidRPr="00913317">
        <w:rPr>
          <w:szCs w:val="22"/>
          <w:lang w:val="hr-HR"/>
        </w:rPr>
        <w:t>ij</w:t>
      </w:r>
      <w:r w:rsidRPr="00913317">
        <w:rPr>
          <w:szCs w:val="22"/>
          <w:lang w:val="hr-HR"/>
        </w:rPr>
        <w:t>eme do prekida terapije zbog pojave toksičnosti.</w:t>
      </w:r>
    </w:p>
    <w:p w14:paraId="256AC429" w14:textId="28AC7A1D" w:rsidR="006131C3" w:rsidRPr="00913317" w:rsidRDefault="00BE6E1E" w:rsidP="00D72925">
      <w:pPr>
        <w:rPr>
          <w:szCs w:val="22"/>
          <w:lang w:val="hr-HR"/>
        </w:rPr>
      </w:pPr>
      <w:r w:rsidRPr="00913317">
        <w:rPr>
          <w:szCs w:val="22"/>
          <w:lang w:val="hr-HR"/>
        </w:rPr>
        <w:t>Ova studija je potvrdila nalaze jedne ranije sprovedene, prospektivne studije gd</w:t>
      </w:r>
      <w:r w:rsidR="00F4722E" w:rsidRPr="00913317">
        <w:rPr>
          <w:szCs w:val="22"/>
          <w:lang w:val="hr-HR"/>
        </w:rPr>
        <w:t>j</w:t>
      </w:r>
      <w:r w:rsidRPr="00913317">
        <w:rPr>
          <w:szCs w:val="22"/>
          <w:lang w:val="hr-HR"/>
        </w:rPr>
        <w:t xml:space="preserve">e je dobijen pozitivan ishod kod pacijenata sa faktorima rizika za lošu prognozu, uključujući odbacivanje grafta, a naročito cerebralne infekcije (koje su obično udružene sa skoro 100% smrtnošću). </w:t>
      </w:r>
    </w:p>
    <w:p w14:paraId="0BF4166A" w14:textId="77777777" w:rsidR="006131C3" w:rsidRPr="00913317" w:rsidRDefault="00BE6E1E" w:rsidP="00D72925">
      <w:pPr>
        <w:rPr>
          <w:szCs w:val="22"/>
          <w:lang w:val="hr-HR"/>
        </w:rPr>
      </w:pPr>
      <w:r w:rsidRPr="00913317">
        <w:rPr>
          <w:szCs w:val="22"/>
          <w:lang w:val="hr-HR"/>
        </w:rPr>
        <w:t xml:space="preserve">U studije su bili uključeni pacijenti nakon transplantacije kostne srži i organa, sa hematološkim malignitetima, karcinomom i AIDS-om koji su imali cerebralnu, sinusnu, plućnu i diseminovanu aspergilozu. </w:t>
      </w:r>
    </w:p>
    <w:p w14:paraId="2E0C98DB" w14:textId="77777777" w:rsidR="006131C3" w:rsidRPr="00913317" w:rsidRDefault="006131C3" w:rsidP="00D72925">
      <w:pPr>
        <w:rPr>
          <w:szCs w:val="22"/>
          <w:u w:val="single"/>
          <w:lang w:val="hr-HR"/>
        </w:rPr>
      </w:pPr>
    </w:p>
    <w:p w14:paraId="3450D3D0" w14:textId="77777777" w:rsidR="006131C3" w:rsidRPr="00913317" w:rsidRDefault="00BE6E1E" w:rsidP="00D72925">
      <w:pPr>
        <w:keepNext/>
        <w:rPr>
          <w:szCs w:val="22"/>
          <w:u w:val="single"/>
          <w:lang w:val="hr-HR"/>
        </w:rPr>
      </w:pPr>
      <w:r w:rsidRPr="00913317">
        <w:rPr>
          <w:szCs w:val="22"/>
          <w:u w:val="single"/>
          <w:lang w:val="hr-HR"/>
        </w:rPr>
        <w:t>Kandidemija kod pacijenata bez neutropenije</w:t>
      </w:r>
    </w:p>
    <w:p w14:paraId="1BDAACA1" w14:textId="5AB78BA7" w:rsidR="006131C3" w:rsidRPr="00913317" w:rsidRDefault="00BE6E1E" w:rsidP="00D72925">
      <w:pPr>
        <w:rPr>
          <w:szCs w:val="22"/>
          <w:lang w:val="hr-HR"/>
        </w:rPr>
      </w:pPr>
      <w:r w:rsidRPr="00913317">
        <w:rPr>
          <w:szCs w:val="22"/>
          <w:lang w:val="hr-HR"/>
        </w:rPr>
        <w:t>U otvorenoj, komparativnoj studiji pokazana je efikasnost vorikonazola u poređenju sa terapijskim režimom amfotericin B pa flukonazol u primarnoj terapiji kandidemije. Tri stotine sedamdeset (370) ne-neutropenijskih pacijenata (preko 12 godina starosti) sa dokumentovanom kandidemijom bili su uključeni u studiju, od kojih je 248 l</w:t>
      </w:r>
      <w:r w:rsidR="005453B7" w:rsidRPr="00913317">
        <w:rPr>
          <w:szCs w:val="22"/>
          <w:lang w:val="hr-HR"/>
        </w:rPr>
        <w:t>ij</w:t>
      </w:r>
      <w:r w:rsidRPr="00913317">
        <w:rPr>
          <w:szCs w:val="22"/>
          <w:lang w:val="hr-HR"/>
        </w:rPr>
        <w:t xml:space="preserve">ečeno vorikonazolom. 9 ispitanika u vorkonazol grupi i 5 u grupi na amfotericinu B i flukonazolu imali su mikološki dokazane infekcije dubokih tkiva. Pacijenti sa insuficijencijom bubrega su isključeni iz studije. </w:t>
      </w:r>
      <w:r w:rsidR="00B82FF1" w:rsidRPr="00913317">
        <w:rPr>
          <w:szCs w:val="22"/>
          <w:lang w:val="hr-HR"/>
        </w:rPr>
        <w:t>Medijana</w:t>
      </w:r>
      <w:r w:rsidRPr="00913317">
        <w:rPr>
          <w:szCs w:val="22"/>
          <w:lang w:val="hr-HR"/>
        </w:rPr>
        <w:t xml:space="preserve"> trajanj</w:t>
      </w:r>
      <w:r w:rsidR="00B82FF1" w:rsidRPr="00913317">
        <w:rPr>
          <w:szCs w:val="22"/>
          <w:lang w:val="hr-HR"/>
        </w:rPr>
        <w:t>a</w:t>
      </w:r>
      <w:r w:rsidRPr="00913317">
        <w:rPr>
          <w:szCs w:val="22"/>
          <w:lang w:val="hr-HR"/>
        </w:rPr>
        <w:t xml:space="preserve"> terapije bil</w:t>
      </w:r>
      <w:r w:rsidR="00B82FF1" w:rsidRPr="00913317">
        <w:rPr>
          <w:szCs w:val="22"/>
          <w:lang w:val="hr-HR"/>
        </w:rPr>
        <w:t>a</w:t>
      </w:r>
      <w:r w:rsidRPr="00913317">
        <w:rPr>
          <w:szCs w:val="22"/>
          <w:lang w:val="hr-HR"/>
        </w:rPr>
        <w:t xml:space="preserve"> je 15 dana u ob</w:t>
      </w:r>
      <w:r w:rsidR="00FD5C4B" w:rsidRPr="00913317">
        <w:rPr>
          <w:szCs w:val="22"/>
          <w:lang w:val="hr-HR"/>
        </w:rPr>
        <w:t>i</w:t>
      </w:r>
      <w:r w:rsidR="00496DAD" w:rsidRPr="00913317">
        <w:rPr>
          <w:szCs w:val="22"/>
          <w:lang w:val="hr-HR"/>
        </w:rPr>
        <w:t>j</w:t>
      </w:r>
      <w:r w:rsidRPr="00913317">
        <w:rPr>
          <w:szCs w:val="22"/>
          <w:lang w:val="hr-HR"/>
        </w:rPr>
        <w:t>e grupe. U primarnoj analizi, usp</w:t>
      </w:r>
      <w:r w:rsidR="00496DAD" w:rsidRPr="00913317">
        <w:rPr>
          <w:szCs w:val="22"/>
          <w:lang w:val="hr-HR"/>
        </w:rPr>
        <w:t>j</w:t>
      </w:r>
      <w:r w:rsidRPr="00913317">
        <w:rPr>
          <w:szCs w:val="22"/>
          <w:lang w:val="hr-HR"/>
        </w:rPr>
        <w:t xml:space="preserve">ešan odgovor je </w:t>
      </w:r>
      <w:r w:rsidR="004D45E7" w:rsidRPr="00913317">
        <w:rPr>
          <w:szCs w:val="22"/>
          <w:lang w:val="hr-HR"/>
        </w:rPr>
        <w:t>proc</w:t>
      </w:r>
      <w:r w:rsidR="00496DAD" w:rsidRPr="00913317">
        <w:rPr>
          <w:szCs w:val="22"/>
          <w:lang w:val="hr-HR"/>
        </w:rPr>
        <w:t>i</w:t>
      </w:r>
      <w:r w:rsidR="004D45E7" w:rsidRPr="00913317">
        <w:rPr>
          <w:szCs w:val="22"/>
          <w:lang w:val="hr-HR"/>
        </w:rPr>
        <w:t>jen</w:t>
      </w:r>
      <w:r w:rsidRPr="00913317">
        <w:rPr>
          <w:szCs w:val="22"/>
          <w:lang w:val="hr-HR"/>
        </w:rPr>
        <w:t xml:space="preserve">jen od strane nezavisne Komisije za </w:t>
      </w:r>
      <w:r w:rsidR="004D45E7" w:rsidRPr="00913317">
        <w:rPr>
          <w:szCs w:val="22"/>
          <w:lang w:val="hr-HR"/>
        </w:rPr>
        <w:t>procjen</w:t>
      </w:r>
      <w:r w:rsidRPr="00913317">
        <w:rPr>
          <w:szCs w:val="22"/>
          <w:lang w:val="hr-HR"/>
        </w:rPr>
        <w:t>u podataka (</w:t>
      </w:r>
      <w:r w:rsidR="005B6D30" w:rsidRPr="00913317">
        <w:rPr>
          <w:szCs w:val="22"/>
          <w:lang w:val="hr-HR"/>
        </w:rPr>
        <w:t xml:space="preserve">engl. </w:t>
      </w:r>
      <w:r w:rsidRPr="00913317">
        <w:rPr>
          <w:i/>
          <w:szCs w:val="22"/>
          <w:lang w:val="hr-HR"/>
        </w:rPr>
        <w:t>Data Review Committee</w:t>
      </w:r>
      <w:r w:rsidR="00B82FF1" w:rsidRPr="00913317">
        <w:rPr>
          <w:i/>
          <w:szCs w:val="22"/>
          <w:lang w:val="hr-HR"/>
        </w:rPr>
        <w:t>,</w:t>
      </w:r>
      <w:r w:rsidR="00E00E39" w:rsidRPr="00913317">
        <w:rPr>
          <w:i/>
          <w:szCs w:val="22"/>
          <w:lang w:val="hr-HR"/>
        </w:rPr>
        <w:t xml:space="preserve"> </w:t>
      </w:r>
      <w:r w:rsidR="003C4544" w:rsidRPr="00913317">
        <w:rPr>
          <w:i/>
          <w:szCs w:val="22"/>
          <w:lang w:val="hr-HR"/>
        </w:rPr>
        <w:t>D</w:t>
      </w:r>
      <w:r w:rsidR="00C37C0C" w:rsidRPr="00913317">
        <w:rPr>
          <w:i/>
          <w:szCs w:val="22"/>
          <w:lang w:val="hr-HR"/>
        </w:rPr>
        <w:t>R</w:t>
      </w:r>
      <w:r w:rsidR="003C4544" w:rsidRPr="00913317">
        <w:rPr>
          <w:i/>
          <w:szCs w:val="22"/>
          <w:lang w:val="hr-HR"/>
        </w:rPr>
        <w:t>C</w:t>
      </w:r>
      <w:r w:rsidRPr="00913317">
        <w:rPr>
          <w:szCs w:val="22"/>
          <w:lang w:val="hr-HR"/>
        </w:rPr>
        <w:t xml:space="preserve">), </w:t>
      </w:r>
      <w:r w:rsidR="00B82FF1" w:rsidRPr="00913317">
        <w:rPr>
          <w:szCs w:val="22"/>
          <w:lang w:val="hr-HR"/>
        </w:rPr>
        <w:t xml:space="preserve">koja nije znala koji su </w:t>
      </w:r>
      <w:r w:rsidR="004D45E7" w:rsidRPr="00913317">
        <w:rPr>
          <w:szCs w:val="22"/>
          <w:lang w:val="hr-HR"/>
        </w:rPr>
        <w:t>lijek</w:t>
      </w:r>
      <w:r w:rsidR="00B82FF1" w:rsidRPr="00913317">
        <w:rPr>
          <w:szCs w:val="22"/>
          <w:lang w:val="hr-HR"/>
        </w:rPr>
        <w:t xml:space="preserve"> ispitanici uzimali, </w:t>
      </w:r>
      <w:r w:rsidR="006C0E77" w:rsidRPr="00913317">
        <w:rPr>
          <w:szCs w:val="22"/>
          <w:lang w:val="hr-HR"/>
        </w:rPr>
        <w:t xml:space="preserve">a </w:t>
      </w:r>
      <w:r w:rsidRPr="00913317">
        <w:rPr>
          <w:szCs w:val="22"/>
          <w:lang w:val="hr-HR"/>
        </w:rPr>
        <w:t xml:space="preserve">bio je definisan kao povlačenje/poboljšanje svih kliničkih znakova i simptoma infekcije sa eradikacijom </w:t>
      </w:r>
      <w:r w:rsidRPr="00913317">
        <w:rPr>
          <w:i/>
          <w:szCs w:val="22"/>
          <w:lang w:val="hr-HR"/>
        </w:rPr>
        <w:t>Candida-e</w:t>
      </w:r>
      <w:r w:rsidRPr="00913317">
        <w:rPr>
          <w:szCs w:val="22"/>
          <w:lang w:val="hr-HR"/>
        </w:rPr>
        <w:t xml:space="preserve"> iz krvi i sa m</w:t>
      </w:r>
      <w:r w:rsidR="00FD5C4B" w:rsidRPr="00913317">
        <w:rPr>
          <w:szCs w:val="22"/>
          <w:lang w:val="hr-HR"/>
        </w:rPr>
        <w:t>j</w:t>
      </w:r>
      <w:r w:rsidRPr="00913317">
        <w:rPr>
          <w:szCs w:val="22"/>
          <w:lang w:val="hr-HR"/>
        </w:rPr>
        <w:t>esta infekcije u dubokim tkivima, 12 ned</w:t>
      </w:r>
      <w:r w:rsidR="00496DAD" w:rsidRPr="00913317">
        <w:rPr>
          <w:szCs w:val="22"/>
          <w:lang w:val="hr-HR"/>
        </w:rPr>
        <w:t>j</w:t>
      </w:r>
      <w:r w:rsidRPr="00913317">
        <w:rPr>
          <w:szCs w:val="22"/>
          <w:lang w:val="hr-HR"/>
        </w:rPr>
        <w:t>elja posl</w:t>
      </w:r>
      <w:r w:rsidR="00FD5C4B" w:rsidRPr="00913317">
        <w:rPr>
          <w:szCs w:val="22"/>
          <w:lang w:val="hr-HR"/>
        </w:rPr>
        <w:t>ij</w:t>
      </w:r>
      <w:r w:rsidRPr="00913317">
        <w:rPr>
          <w:szCs w:val="22"/>
          <w:lang w:val="hr-HR"/>
        </w:rPr>
        <w:t>e završetka terapije. Pacijenti koji ni</w:t>
      </w:r>
      <w:r w:rsidR="00307C10" w:rsidRPr="00913317">
        <w:rPr>
          <w:szCs w:val="22"/>
          <w:lang w:val="hr-HR"/>
        </w:rPr>
        <w:t>je</w:t>
      </w:r>
      <w:r w:rsidRPr="00913317">
        <w:rPr>
          <w:szCs w:val="22"/>
          <w:lang w:val="hr-HR"/>
        </w:rPr>
        <w:t>su bili na pregledu 12 ned</w:t>
      </w:r>
      <w:r w:rsidR="00496DAD" w:rsidRPr="00913317">
        <w:rPr>
          <w:szCs w:val="22"/>
          <w:lang w:val="hr-HR"/>
        </w:rPr>
        <w:t>j</w:t>
      </w:r>
      <w:r w:rsidRPr="00913317">
        <w:rPr>
          <w:szCs w:val="22"/>
          <w:lang w:val="hr-HR"/>
        </w:rPr>
        <w:t>elja posl</w:t>
      </w:r>
      <w:r w:rsidR="00FD5C4B" w:rsidRPr="00913317">
        <w:rPr>
          <w:szCs w:val="22"/>
          <w:lang w:val="hr-HR"/>
        </w:rPr>
        <w:t>ij</w:t>
      </w:r>
      <w:r w:rsidRPr="00913317">
        <w:rPr>
          <w:szCs w:val="22"/>
          <w:lang w:val="hr-HR"/>
        </w:rPr>
        <w:t>e završetka terapije smatrani su terapijskim neusp</w:t>
      </w:r>
      <w:r w:rsidR="00496DAD" w:rsidRPr="00913317">
        <w:rPr>
          <w:szCs w:val="22"/>
          <w:lang w:val="hr-HR"/>
        </w:rPr>
        <w:t>j</w:t>
      </w:r>
      <w:r w:rsidRPr="00913317">
        <w:rPr>
          <w:szCs w:val="22"/>
          <w:lang w:val="hr-HR"/>
        </w:rPr>
        <w:t>ehom. U ovoj analizi usp</w:t>
      </w:r>
      <w:r w:rsidR="00496DAD" w:rsidRPr="00913317">
        <w:rPr>
          <w:szCs w:val="22"/>
          <w:lang w:val="hr-HR"/>
        </w:rPr>
        <w:t>j</w:t>
      </w:r>
      <w:r w:rsidRPr="00913317">
        <w:rPr>
          <w:szCs w:val="22"/>
          <w:lang w:val="hr-HR"/>
        </w:rPr>
        <w:t>ešan odgovor postignut je kod 41% pacijenata u ob</w:t>
      </w:r>
      <w:r w:rsidR="00FD5C4B" w:rsidRPr="00913317">
        <w:rPr>
          <w:szCs w:val="22"/>
          <w:lang w:val="hr-HR"/>
        </w:rPr>
        <w:t>i</w:t>
      </w:r>
      <w:r w:rsidR="00496DAD" w:rsidRPr="00913317">
        <w:rPr>
          <w:szCs w:val="22"/>
          <w:lang w:val="hr-HR"/>
        </w:rPr>
        <w:t>j</w:t>
      </w:r>
      <w:r w:rsidRPr="00913317">
        <w:rPr>
          <w:szCs w:val="22"/>
          <w:lang w:val="hr-HR"/>
        </w:rPr>
        <w:t>e</w:t>
      </w:r>
      <w:r w:rsidR="00DF77FD" w:rsidRPr="00913317">
        <w:rPr>
          <w:szCs w:val="22"/>
          <w:lang w:val="hr-HR"/>
        </w:rPr>
        <w:t xml:space="preserve"> terapijske</w:t>
      </w:r>
      <w:r w:rsidRPr="00913317">
        <w:rPr>
          <w:szCs w:val="22"/>
          <w:lang w:val="hr-HR"/>
        </w:rPr>
        <w:t xml:space="preserve"> grupe.</w:t>
      </w:r>
    </w:p>
    <w:p w14:paraId="2F1D5CB4" w14:textId="482E7C86" w:rsidR="006131C3" w:rsidRPr="00913317" w:rsidRDefault="00BE6E1E" w:rsidP="00D72925">
      <w:pPr>
        <w:rPr>
          <w:szCs w:val="22"/>
          <w:lang w:val="hr-HR"/>
        </w:rPr>
      </w:pPr>
      <w:r w:rsidRPr="00913317">
        <w:rPr>
          <w:szCs w:val="22"/>
          <w:lang w:val="hr-HR"/>
        </w:rPr>
        <w:t xml:space="preserve">U sekundarnoj analizi, koja je izvršena na osnovu </w:t>
      </w:r>
      <w:r w:rsidR="004D45E7" w:rsidRPr="00913317">
        <w:rPr>
          <w:szCs w:val="22"/>
          <w:lang w:val="hr-HR"/>
        </w:rPr>
        <w:t>procjen</w:t>
      </w:r>
      <w:r w:rsidRPr="00913317">
        <w:rPr>
          <w:szCs w:val="22"/>
          <w:lang w:val="hr-HR"/>
        </w:rPr>
        <w:t xml:space="preserve">e Komisije za </w:t>
      </w:r>
      <w:r w:rsidR="004D45E7" w:rsidRPr="00913317">
        <w:rPr>
          <w:szCs w:val="22"/>
          <w:lang w:val="hr-HR"/>
        </w:rPr>
        <w:t>procjen</w:t>
      </w:r>
      <w:r w:rsidRPr="00913317">
        <w:rPr>
          <w:szCs w:val="22"/>
          <w:lang w:val="hr-HR"/>
        </w:rPr>
        <w:t>u podatka (</w:t>
      </w:r>
      <w:r w:rsidRPr="00913317">
        <w:rPr>
          <w:i/>
          <w:szCs w:val="22"/>
          <w:lang w:val="hr-HR"/>
        </w:rPr>
        <w:t>DRC</w:t>
      </w:r>
      <w:r w:rsidRPr="00913317">
        <w:rPr>
          <w:szCs w:val="22"/>
          <w:lang w:val="hr-HR"/>
        </w:rPr>
        <w:t>) na posl</w:t>
      </w:r>
      <w:r w:rsidR="00FD5C4B" w:rsidRPr="00913317">
        <w:rPr>
          <w:szCs w:val="22"/>
          <w:lang w:val="hr-HR"/>
        </w:rPr>
        <w:t>j</w:t>
      </w:r>
      <w:r w:rsidRPr="00913317">
        <w:rPr>
          <w:szCs w:val="22"/>
          <w:lang w:val="hr-HR"/>
        </w:rPr>
        <w:t>ednjem pregledu pacijenata (kraj terapije ili 2, 6 ili 12 ned</w:t>
      </w:r>
      <w:r w:rsidR="00496DAD" w:rsidRPr="00913317">
        <w:rPr>
          <w:szCs w:val="22"/>
          <w:lang w:val="hr-HR"/>
        </w:rPr>
        <w:t>j</w:t>
      </w:r>
      <w:r w:rsidRPr="00913317">
        <w:rPr>
          <w:szCs w:val="22"/>
          <w:lang w:val="hr-HR"/>
        </w:rPr>
        <w:t>elja posl</w:t>
      </w:r>
      <w:r w:rsidR="00FD5C4B" w:rsidRPr="00913317">
        <w:rPr>
          <w:szCs w:val="22"/>
          <w:lang w:val="hr-HR"/>
        </w:rPr>
        <w:t>ij</w:t>
      </w:r>
      <w:r w:rsidRPr="00913317">
        <w:rPr>
          <w:szCs w:val="22"/>
          <w:lang w:val="hr-HR"/>
        </w:rPr>
        <w:t>e kraja terapije), usp</w:t>
      </w:r>
      <w:r w:rsidR="00496DAD" w:rsidRPr="00913317">
        <w:rPr>
          <w:szCs w:val="22"/>
          <w:lang w:val="hr-HR"/>
        </w:rPr>
        <w:t>j</w:t>
      </w:r>
      <w:r w:rsidRPr="00913317">
        <w:rPr>
          <w:szCs w:val="22"/>
          <w:lang w:val="hr-HR"/>
        </w:rPr>
        <w:t xml:space="preserve">ešan odgovor postignut je kod 65% pacijenata u grupi na vorikonazolu i kod 71% pacijenata u grupi na amfotericinu B i flukonazolu. </w:t>
      </w:r>
    </w:p>
    <w:p w14:paraId="147A326B" w14:textId="3FC43DC5" w:rsidR="006131C3" w:rsidRPr="00913317" w:rsidRDefault="004D45E7" w:rsidP="00D72925">
      <w:pPr>
        <w:rPr>
          <w:szCs w:val="22"/>
          <w:lang w:val="hr-HR"/>
        </w:rPr>
      </w:pPr>
      <w:r w:rsidRPr="00913317">
        <w:rPr>
          <w:szCs w:val="22"/>
          <w:lang w:val="hr-HR"/>
        </w:rPr>
        <w:t>Procjen</w:t>
      </w:r>
      <w:r w:rsidR="00BE6E1E" w:rsidRPr="00913317">
        <w:rPr>
          <w:szCs w:val="22"/>
          <w:lang w:val="hr-HR"/>
        </w:rPr>
        <w:t>a istraživača o usp</w:t>
      </w:r>
      <w:r w:rsidR="00931447" w:rsidRPr="00913317">
        <w:rPr>
          <w:szCs w:val="22"/>
          <w:lang w:val="hr-HR"/>
        </w:rPr>
        <w:t>j</w:t>
      </w:r>
      <w:r w:rsidR="00BE6E1E" w:rsidRPr="00913317">
        <w:rPr>
          <w:szCs w:val="22"/>
          <w:lang w:val="hr-HR"/>
        </w:rPr>
        <w:t>ešnosti ishoda terapije u svakoj od navedenih vremenskih tačaka prikazana je u sl</w:t>
      </w:r>
      <w:r w:rsidR="00496DAD" w:rsidRPr="00913317">
        <w:rPr>
          <w:szCs w:val="22"/>
          <w:lang w:val="hr-HR"/>
        </w:rPr>
        <w:t>j</w:t>
      </w:r>
      <w:r w:rsidR="00BE6E1E" w:rsidRPr="00913317">
        <w:rPr>
          <w:szCs w:val="22"/>
          <w:lang w:val="hr-HR"/>
        </w:rPr>
        <w:t>edećoj tabeli</w:t>
      </w:r>
      <w:r w:rsidR="00197FB9" w:rsidRPr="00913317">
        <w:rPr>
          <w:szCs w:val="22"/>
          <w:lang w:val="hr-HR"/>
        </w:rPr>
        <w:t xml:space="preserve"> prema navedenom vremenu pregleda</w:t>
      </w:r>
      <w:r w:rsidR="00BE6E1E" w:rsidRPr="00913317">
        <w:rPr>
          <w:szCs w:val="22"/>
          <w:lang w:val="hr-HR"/>
        </w:rPr>
        <w:t>:</w:t>
      </w:r>
    </w:p>
    <w:p w14:paraId="2EED0239" w14:textId="77777777" w:rsidR="006131C3" w:rsidRPr="00913317" w:rsidRDefault="006131C3" w:rsidP="00D72925">
      <w:pPr>
        <w:rPr>
          <w:color w:val="FF0000"/>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85"/>
        <w:gridCol w:w="3033"/>
      </w:tblGrid>
      <w:tr w:rsidR="00935053" w:rsidRPr="00913317" w14:paraId="2E821065" w14:textId="77777777" w:rsidTr="00723F41">
        <w:tc>
          <w:tcPr>
            <w:tcW w:w="1814" w:type="pct"/>
          </w:tcPr>
          <w:p w14:paraId="5F2BE04F" w14:textId="4DC44A16" w:rsidR="00C7332E" w:rsidRPr="00913317" w:rsidRDefault="00BE6E1E" w:rsidP="00D72925">
            <w:pPr>
              <w:rPr>
                <w:b/>
                <w:i/>
                <w:iCs/>
                <w:szCs w:val="22"/>
                <w:lang w:val="hr-HR"/>
              </w:rPr>
            </w:pPr>
            <w:r w:rsidRPr="00913317">
              <w:rPr>
                <w:b/>
                <w:i/>
                <w:iCs/>
                <w:szCs w:val="22"/>
                <w:lang w:val="hr-HR"/>
              </w:rPr>
              <w:lastRenderedPageBreak/>
              <w:t>Vr</w:t>
            </w:r>
            <w:r w:rsidR="00496DAD" w:rsidRPr="00913317">
              <w:rPr>
                <w:b/>
                <w:i/>
                <w:iCs/>
                <w:szCs w:val="22"/>
                <w:lang w:val="hr-HR"/>
              </w:rPr>
              <w:t>ij</w:t>
            </w:r>
            <w:r w:rsidRPr="00913317">
              <w:rPr>
                <w:b/>
                <w:i/>
                <w:iCs/>
                <w:szCs w:val="22"/>
                <w:lang w:val="hr-HR"/>
              </w:rPr>
              <w:t xml:space="preserve">eme pregleda </w:t>
            </w:r>
          </w:p>
          <w:p w14:paraId="557B05E5" w14:textId="10D90581" w:rsidR="00BE6E1E" w:rsidRPr="00913317" w:rsidRDefault="00BE6E1E" w:rsidP="00D72925">
            <w:pPr>
              <w:rPr>
                <w:b/>
                <w:i/>
                <w:iCs/>
                <w:szCs w:val="22"/>
                <w:lang w:val="hr-HR"/>
              </w:rPr>
            </w:pPr>
          </w:p>
        </w:tc>
        <w:tc>
          <w:tcPr>
            <w:tcW w:w="1553" w:type="pct"/>
          </w:tcPr>
          <w:p w14:paraId="6B9DFD14" w14:textId="77777777" w:rsidR="006131C3" w:rsidRPr="00913317" w:rsidRDefault="00BE6E1E" w:rsidP="00D72925">
            <w:pPr>
              <w:rPr>
                <w:b/>
                <w:i/>
                <w:iCs/>
                <w:szCs w:val="22"/>
                <w:lang w:val="hr-HR"/>
              </w:rPr>
            </w:pPr>
            <w:r w:rsidRPr="00913317">
              <w:rPr>
                <w:b/>
                <w:i/>
                <w:iCs/>
                <w:szCs w:val="22"/>
                <w:lang w:val="hr-HR"/>
              </w:rPr>
              <w:t>Vorikonazol</w:t>
            </w:r>
          </w:p>
          <w:p w14:paraId="2702CEC5" w14:textId="77777777" w:rsidR="006131C3" w:rsidRPr="00913317" w:rsidRDefault="00BE6E1E" w:rsidP="00D72925">
            <w:pPr>
              <w:rPr>
                <w:szCs w:val="22"/>
                <w:lang w:val="hr-HR"/>
              </w:rPr>
            </w:pPr>
            <w:r w:rsidRPr="00913317">
              <w:rPr>
                <w:szCs w:val="22"/>
                <w:lang w:val="hr-HR"/>
              </w:rPr>
              <w:t>(N=248)</w:t>
            </w:r>
          </w:p>
        </w:tc>
        <w:tc>
          <w:tcPr>
            <w:tcW w:w="1634" w:type="pct"/>
          </w:tcPr>
          <w:p w14:paraId="31C321A0" w14:textId="77777777" w:rsidR="006131C3" w:rsidRPr="00913317" w:rsidRDefault="00BE6E1E" w:rsidP="00D72925">
            <w:pPr>
              <w:tabs>
                <w:tab w:val="left" w:pos="1755"/>
              </w:tabs>
              <w:rPr>
                <w:b/>
                <w:i/>
                <w:iCs/>
                <w:szCs w:val="22"/>
                <w:lang w:val="hr-HR"/>
              </w:rPr>
            </w:pPr>
            <w:r w:rsidRPr="00913317">
              <w:rPr>
                <w:b/>
                <w:i/>
                <w:iCs/>
                <w:szCs w:val="22"/>
                <w:lang w:val="hr-HR"/>
              </w:rPr>
              <w:t>Amfotericin B→flukonazol</w:t>
            </w:r>
          </w:p>
          <w:p w14:paraId="25EDCA99" w14:textId="77777777" w:rsidR="006131C3" w:rsidRPr="00913317" w:rsidRDefault="00BE6E1E" w:rsidP="00D72925">
            <w:pPr>
              <w:tabs>
                <w:tab w:val="left" w:pos="1755"/>
              </w:tabs>
              <w:rPr>
                <w:szCs w:val="22"/>
                <w:lang w:val="hr-HR"/>
              </w:rPr>
            </w:pPr>
            <w:r w:rsidRPr="00913317">
              <w:rPr>
                <w:szCs w:val="22"/>
                <w:lang w:val="hr-HR"/>
              </w:rPr>
              <w:t>(N=122)</w:t>
            </w:r>
          </w:p>
        </w:tc>
      </w:tr>
      <w:tr w:rsidR="00935053" w:rsidRPr="00913317" w14:paraId="54E996A0" w14:textId="77777777" w:rsidTr="00723F41">
        <w:tc>
          <w:tcPr>
            <w:tcW w:w="1814" w:type="pct"/>
          </w:tcPr>
          <w:p w14:paraId="4EBBD11A" w14:textId="77777777" w:rsidR="006131C3" w:rsidRPr="00913317" w:rsidRDefault="00BE6E1E" w:rsidP="00D72925">
            <w:pPr>
              <w:rPr>
                <w:szCs w:val="22"/>
                <w:lang w:val="hr-HR"/>
              </w:rPr>
            </w:pPr>
            <w:r w:rsidRPr="00913317">
              <w:rPr>
                <w:szCs w:val="22"/>
                <w:lang w:val="hr-HR"/>
              </w:rPr>
              <w:t>Kraj terapije</w:t>
            </w:r>
          </w:p>
        </w:tc>
        <w:tc>
          <w:tcPr>
            <w:tcW w:w="1553" w:type="pct"/>
          </w:tcPr>
          <w:p w14:paraId="1651A731" w14:textId="77777777" w:rsidR="006131C3" w:rsidRPr="00913317" w:rsidRDefault="00BE6E1E" w:rsidP="00D72925">
            <w:pPr>
              <w:rPr>
                <w:szCs w:val="22"/>
                <w:lang w:val="hr-HR"/>
              </w:rPr>
            </w:pPr>
            <w:r w:rsidRPr="00913317">
              <w:rPr>
                <w:szCs w:val="22"/>
                <w:lang w:val="hr-HR"/>
              </w:rPr>
              <w:t>178 (72%)</w:t>
            </w:r>
          </w:p>
        </w:tc>
        <w:tc>
          <w:tcPr>
            <w:tcW w:w="1634" w:type="pct"/>
          </w:tcPr>
          <w:p w14:paraId="5587C6FC" w14:textId="77777777" w:rsidR="006131C3" w:rsidRPr="00913317" w:rsidRDefault="00BE6E1E" w:rsidP="00D72925">
            <w:pPr>
              <w:rPr>
                <w:szCs w:val="22"/>
                <w:lang w:val="hr-HR"/>
              </w:rPr>
            </w:pPr>
            <w:r w:rsidRPr="00913317">
              <w:rPr>
                <w:szCs w:val="22"/>
                <w:lang w:val="hr-HR"/>
              </w:rPr>
              <w:t>88 (72%)</w:t>
            </w:r>
          </w:p>
        </w:tc>
      </w:tr>
      <w:tr w:rsidR="00935053" w:rsidRPr="00913317" w14:paraId="323220DF" w14:textId="77777777" w:rsidTr="00723F41">
        <w:tc>
          <w:tcPr>
            <w:tcW w:w="1814" w:type="pct"/>
          </w:tcPr>
          <w:p w14:paraId="2044533D" w14:textId="3123303B" w:rsidR="006131C3" w:rsidRPr="00913317" w:rsidRDefault="00BE6E1E" w:rsidP="00D72925">
            <w:pPr>
              <w:rPr>
                <w:szCs w:val="22"/>
                <w:lang w:val="hr-HR"/>
              </w:rPr>
            </w:pPr>
            <w:r w:rsidRPr="00913317">
              <w:rPr>
                <w:szCs w:val="22"/>
                <w:lang w:val="hr-HR"/>
              </w:rPr>
              <w:t>2 ned</w:t>
            </w:r>
            <w:r w:rsidR="00496DAD" w:rsidRPr="00913317">
              <w:rPr>
                <w:szCs w:val="22"/>
                <w:lang w:val="hr-HR"/>
              </w:rPr>
              <w:t>j</w:t>
            </w:r>
            <w:r w:rsidRPr="00913317">
              <w:rPr>
                <w:szCs w:val="22"/>
                <w:lang w:val="hr-HR"/>
              </w:rPr>
              <w:t>elje posl</w:t>
            </w:r>
            <w:r w:rsidR="005D4B59" w:rsidRPr="00913317">
              <w:rPr>
                <w:szCs w:val="22"/>
                <w:lang w:val="hr-HR"/>
              </w:rPr>
              <w:t>ij</w:t>
            </w:r>
            <w:r w:rsidRPr="00913317">
              <w:rPr>
                <w:szCs w:val="22"/>
                <w:lang w:val="hr-HR"/>
              </w:rPr>
              <w:t>e kraja terapije</w:t>
            </w:r>
          </w:p>
        </w:tc>
        <w:tc>
          <w:tcPr>
            <w:tcW w:w="1553" w:type="pct"/>
          </w:tcPr>
          <w:p w14:paraId="783A2033" w14:textId="77777777" w:rsidR="006131C3" w:rsidRPr="00913317" w:rsidRDefault="00BE6E1E" w:rsidP="00D72925">
            <w:pPr>
              <w:rPr>
                <w:szCs w:val="22"/>
                <w:lang w:val="hr-HR"/>
              </w:rPr>
            </w:pPr>
            <w:r w:rsidRPr="00913317">
              <w:rPr>
                <w:szCs w:val="22"/>
                <w:lang w:val="hr-HR"/>
              </w:rPr>
              <w:t>125 (50%)</w:t>
            </w:r>
          </w:p>
        </w:tc>
        <w:tc>
          <w:tcPr>
            <w:tcW w:w="1634" w:type="pct"/>
          </w:tcPr>
          <w:p w14:paraId="68F24AF2" w14:textId="77777777" w:rsidR="006131C3" w:rsidRPr="00913317" w:rsidRDefault="00BE6E1E" w:rsidP="00D72925">
            <w:pPr>
              <w:rPr>
                <w:szCs w:val="22"/>
                <w:lang w:val="hr-HR"/>
              </w:rPr>
            </w:pPr>
            <w:r w:rsidRPr="00913317">
              <w:rPr>
                <w:szCs w:val="22"/>
                <w:lang w:val="hr-HR"/>
              </w:rPr>
              <w:t>62 (51%)</w:t>
            </w:r>
          </w:p>
        </w:tc>
      </w:tr>
      <w:tr w:rsidR="00935053" w:rsidRPr="00913317" w14:paraId="1B609B5D" w14:textId="77777777" w:rsidTr="00723F41">
        <w:tc>
          <w:tcPr>
            <w:tcW w:w="1814" w:type="pct"/>
          </w:tcPr>
          <w:p w14:paraId="4823E79F" w14:textId="3D5EF97F" w:rsidR="006131C3" w:rsidRPr="00913317" w:rsidRDefault="00BE6E1E" w:rsidP="00D72925">
            <w:pPr>
              <w:rPr>
                <w:szCs w:val="22"/>
                <w:lang w:val="hr-HR"/>
              </w:rPr>
            </w:pPr>
            <w:r w:rsidRPr="00913317">
              <w:rPr>
                <w:szCs w:val="22"/>
                <w:lang w:val="hr-HR"/>
              </w:rPr>
              <w:t>6 ned</w:t>
            </w:r>
            <w:r w:rsidR="00496DAD" w:rsidRPr="00913317">
              <w:rPr>
                <w:szCs w:val="22"/>
                <w:lang w:val="hr-HR"/>
              </w:rPr>
              <w:t>j</w:t>
            </w:r>
            <w:r w:rsidRPr="00913317">
              <w:rPr>
                <w:szCs w:val="22"/>
                <w:lang w:val="hr-HR"/>
              </w:rPr>
              <w:t>elja posl</w:t>
            </w:r>
            <w:r w:rsidR="005D4B59" w:rsidRPr="00913317">
              <w:rPr>
                <w:szCs w:val="22"/>
                <w:lang w:val="hr-HR"/>
              </w:rPr>
              <w:t>ij</w:t>
            </w:r>
            <w:r w:rsidRPr="00913317">
              <w:rPr>
                <w:szCs w:val="22"/>
                <w:lang w:val="hr-HR"/>
              </w:rPr>
              <w:t>e kraja terapije</w:t>
            </w:r>
          </w:p>
        </w:tc>
        <w:tc>
          <w:tcPr>
            <w:tcW w:w="1553" w:type="pct"/>
          </w:tcPr>
          <w:p w14:paraId="2479AC16" w14:textId="77777777" w:rsidR="006131C3" w:rsidRPr="00913317" w:rsidRDefault="00BE6E1E" w:rsidP="00D72925">
            <w:pPr>
              <w:rPr>
                <w:szCs w:val="22"/>
                <w:lang w:val="hr-HR"/>
              </w:rPr>
            </w:pPr>
            <w:r w:rsidRPr="00913317">
              <w:rPr>
                <w:szCs w:val="22"/>
                <w:lang w:val="hr-HR"/>
              </w:rPr>
              <w:t>104 (42%)</w:t>
            </w:r>
          </w:p>
        </w:tc>
        <w:tc>
          <w:tcPr>
            <w:tcW w:w="1634" w:type="pct"/>
          </w:tcPr>
          <w:p w14:paraId="6ACB7BFD" w14:textId="77777777" w:rsidR="006131C3" w:rsidRPr="00913317" w:rsidRDefault="00BE6E1E" w:rsidP="00D72925">
            <w:pPr>
              <w:rPr>
                <w:szCs w:val="22"/>
                <w:lang w:val="hr-HR"/>
              </w:rPr>
            </w:pPr>
            <w:r w:rsidRPr="00913317">
              <w:rPr>
                <w:szCs w:val="22"/>
                <w:lang w:val="hr-HR"/>
              </w:rPr>
              <w:t>55 (45%)</w:t>
            </w:r>
          </w:p>
        </w:tc>
      </w:tr>
      <w:tr w:rsidR="00935053" w:rsidRPr="00913317" w14:paraId="0C1187A6" w14:textId="77777777" w:rsidTr="00723F41">
        <w:tc>
          <w:tcPr>
            <w:tcW w:w="1814" w:type="pct"/>
          </w:tcPr>
          <w:p w14:paraId="6434FB66" w14:textId="23C139BE" w:rsidR="006131C3" w:rsidRPr="00913317" w:rsidRDefault="00BE6E1E" w:rsidP="00D72925">
            <w:pPr>
              <w:rPr>
                <w:szCs w:val="22"/>
                <w:lang w:val="hr-HR"/>
              </w:rPr>
            </w:pPr>
            <w:r w:rsidRPr="00913317">
              <w:rPr>
                <w:szCs w:val="22"/>
                <w:lang w:val="hr-HR"/>
              </w:rPr>
              <w:t>12 ned</w:t>
            </w:r>
            <w:r w:rsidR="00496DAD" w:rsidRPr="00913317">
              <w:rPr>
                <w:szCs w:val="22"/>
                <w:lang w:val="hr-HR"/>
              </w:rPr>
              <w:t>j</w:t>
            </w:r>
            <w:r w:rsidRPr="00913317">
              <w:rPr>
                <w:szCs w:val="22"/>
                <w:lang w:val="hr-HR"/>
              </w:rPr>
              <w:t>elja posl</w:t>
            </w:r>
            <w:r w:rsidR="005D4B59" w:rsidRPr="00913317">
              <w:rPr>
                <w:szCs w:val="22"/>
                <w:lang w:val="hr-HR"/>
              </w:rPr>
              <w:t>ij</w:t>
            </w:r>
            <w:r w:rsidRPr="00913317">
              <w:rPr>
                <w:szCs w:val="22"/>
                <w:lang w:val="hr-HR"/>
              </w:rPr>
              <w:t>e kraja terapije</w:t>
            </w:r>
          </w:p>
        </w:tc>
        <w:tc>
          <w:tcPr>
            <w:tcW w:w="1553" w:type="pct"/>
          </w:tcPr>
          <w:p w14:paraId="5F9D763B" w14:textId="77777777" w:rsidR="006131C3" w:rsidRPr="00913317" w:rsidRDefault="00BE6E1E" w:rsidP="00D72925">
            <w:pPr>
              <w:rPr>
                <w:szCs w:val="22"/>
                <w:lang w:val="hr-HR"/>
              </w:rPr>
            </w:pPr>
            <w:r w:rsidRPr="00913317">
              <w:rPr>
                <w:szCs w:val="22"/>
                <w:lang w:val="hr-HR"/>
              </w:rPr>
              <w:t>104 (42%)</w:t>
            </w:r>
          </w:p>
        </w:tc>
        <w:tc>
          <w:tcPr>
            <w:tcW w:w="1634" w:type="pct"/>
          </w:tcPr>
          <w:p w14:paraId="36CDB124" w14:textId="77777777" w:rsidR="006131C3" w:rsidRPr="00913317" w:rsidRDefault="00BE6E1E" w:rsidP="00D72925">
            <w:pPr>
              <w:rPr>
                <w:szCs w:val="22"/>
                <w:lang w:val="hr-HR"/>
              </w:rPr>
            </w:pPr>
            <w:r w:rsidRPr="00913317">
              <w:rPr>
                <w:szCs w:val="22"/>
                <w:lang w:val="hr-HR"/>
              </w:rPr>
              <w:t>51 (42%)</w:t>
            </w:r>
          </w:p>
        </w:tc>
      </w:tr>
    </w:tbl>
    <w:p w14:paraId="6A3EB05A" w14:textId="77777777" w:rsidR="00A71908" w:rsidRPr="00913317" w:rsidRDefault="00A71908" w:rsidP="00D72925">
      <w:pPr>
        <w:rPr>
          <w:szCs w:val="22"/>
          <w:u w:val="single"/>
          <w:lang w:val="hr-HR"/>
        </w:rPr>
      </w:pPr>
    </w:p>
    <w:p w14:paraId="178DAF6B" w14:textId="7CC69B3F" w:rsidR="006131C3" w:rsidRPr="00913317" w:rsidRDefault="00BE6E1E" w:rsidP="00D72925">
      <w:pPr>
        <w:rPr>
          <w:szCs w:val="22"/>
          <w:u w:val="single"/>
          <w:lang w:val="hr-HR"/>
        </w:rPr>
      </w:pPr>
      <w:r w:rsidRPr="00913317">
        <w:rPr>
          <w:szCs w:val="22"/>
          <w:u w:val="single"/>
          <w:lang w:val="hr-HR"/>
        </w:rPr>
        <w:t>Ozbiljne refrakt</w:t>
      </w:r>
      <w:r w:rsidR="0077560D" w:rsidRPr="00913317">
        <w:rPr>
          <w:szCs w:val="22"/>
          <w:u w:val="single"/>
          <w:lang w:val="hr-HR"/>
        </w:rPr>
        <w:t>o</w:t>
      </w:r>
      <w:r w:rsidRPr="00913317">
        <w:rPr>
          <w:szCs w:val="22"/>
          <w:u w:val="single"/>
          <w:lang w:val="hr-HR"/>
        </w:rPr>
        <w:t xml:space="preserve">rne </w:t>
      </w:r>
      <w:r w:rsidR="00D061E1" w:rsidRPr="00913317">
        <w:rPr>
          <w:szCs w:val="22"/>
          <w:u w:val="single"/>
          <w:lang w:val="hr-HR"/>
        </w:rPr>
        <w:t xml:space="preserve">infekcije izazvane gljivicom </w:t>
      </w:r>
      <w:r w:rsidRPr="00913317">
        <w:rPr>
          <w:i/>
          <w:szCs w:val="22"/>
          <w:u w:val="single"/>
          <w:lang w:val="hr-HR"/>
        </w:rPr>
        <w:t>Candida</w:t>
      </w:r>
      <w:r w:rsidRPr="00913317">
        <w:rPr>
          <w:szCs w:val="22"/>
          <w:u w:val="single"/>
          <w:lang w:val="hr-HR"/>
        </w:rPr>
        <w:t xml:space="preserve"> </w:t>
      </w:r>
    </w:p>
    <w:p w14:paraId="318F539E" w14:textId="409C46A1" w:rsidR="006131C3" w:rsidRPr="00913317" w:rsidRDefault="00BE6E1E" w:rsidP="00D72925">
      <w:pPr>
        <w:rPr>
          <w:szCs w:val="22"/>
          <w:lang w:val="hr-HR"/>
        </w:rPr>
      </w:pPr>
      <w:r w:rsidRPr="00913317">
        <w:rPr>
          <w:szCs w:val="22"/>
          <w:lang w:val="hr-HR"/>
        </w:rPr>
        <w:t>Studija je obuhvatila 55 pacijenata sa ozbiljnim, refrakt</w:t>
      </w:r>
      <w:r w:rsidR="007B7B52" w:rsidRPr="00913317">
        <w:rPr>
          <w:szCs w:val="22"/>
          <w:lang w:val="hr-HR"/>
        </w:rPr>
        <w:t>o</w:t>
      </w:r>
      <w:r w:rsidRPr="00913317">
        <w:rPr>
          <w:szCs w:val="22"/>
          <w:lang w:val="hr-HR"/>
        </w:rPr>
        <w:t xml:space="preserve">rnim, sistemskim </w:t>
      </w:r>
      <w:r w:rsidRPr="00913317">
        <w:rPr>
          <w:i/>
          <w:szCs w:val="22"/>
          <w:lang w:val="hr-HR"/>
        </w:rPr>
        <w:t>Candida</w:t>
      </w:r>
      <w:r w:rsidRPr="00913317">
        <w:rPr>
          <w:szCs w:val="22"/>
          <w:lang w:val="hr-HR"/>
        </w:rPr>
        <w:t xml:space="preserve"> infekcijama (uključujući kandidemiju, diseminovanu i druge invazivne kandidijaze) kod kojih je prethodna antifungalna terapija, pr</w:t>
      </w:r>
      <w:r w:rsidR="00AC2359" w:rsidRPr="00913317">
        <w:rPr>
          <w:szCs w:val="22"/>
          <w:lang w:val="hr-HR"/>
        </w:rPr>
        <w:t>ij</w:t>
      </w:r>
      <w:r w:rsidRPr="00913317">
        <w:rPr>
          <w:szCs w:val="22"/>
          <w:lang w:val="hr-HR"/>
        </w:rPr>
        <w:t>e svega sa flukonazolom, bila bez efekta. Usp</w:t>
      </w:r>
      <w:r w:rsidR="00AC2359" w:rsidRPr="00913317">
        <w:rPr>
          <w:szCs w:val="22"/>
          <w:lang w:val="hr-HR"/>
        </w:rPr>
        <w:t>j</w:t>
      </w:r>
      <w:r w:rsidRPr="00913317">
        <w:rPr>
          <w:szCs w:val="22"/>
          <w:lang w:val="hr-HR"/>
        </w:rPr>
        <w:t>ešan odgovor je postignut kod 24 pacijenta (15 kompletan, 9 parcijalan odgovor). Kod flukonazol-rezistentnih ne-</w:t>
      </w:r>
      <w:r w:rsidRPr="00913317">
        <w:rPr>
          <w:i/>
          <w:szCs w:val="22"/>
          <w:lang w:val="hr-HR"/>
        </w:rPr>
        <w:t>albicans</w:t>
      </w:r>
      <w:r w:rsidRPr="00913317">
        <w:rPr>
          <w:szCs w:val="22"/>
          <w:lang w:val="hr-HR"/>
        </w:rPr>
        <w:t xml:space="preserve"> vrsta, usp</w:t>
      </w:r>
      <w:r w:rsidR="00AC2359" w:rsidRPr="00913317">
        <w:rPr>
          <w:szCs w:val="22"/>
          <w:lang w:val="hr-HR"/>
        </w:rPr>
        <w:t>j</w:t>
      </w:r>
      <w:r w:rsidRPr="00913317">
        <w:rPr>
          <w:szCs w:val="22"/>
          <w:lang w:val="hr-HR"/>
        </w:rPr>
        <w:t xml:space="preserve">ešan ishod dobijen je u 3/3 </w:t>
      </w:r>
      <w:r w:rsidRPr="00913317">
        <w:rPr>
          <w:i/>
          <w:szCs w:val="22"/>
          <w:lang w:val="hr-HR"/>
        </w:rPr>
        <w:t>C. krusei</w:t>
      </w:r>
      <w:r w:rsidRPr="00913317">
        <w:rPr>
          <w:szCs w:val="22"/>
          <w:lang w:val="hr-HR"/>
        </w:rPr>
        <w:t xml:space="preserve"> infekcije</w:t>
      </w:r>
      <w:r w:rsidRPr="00913317">
        <w:rPr>
          <w:i/>
          <w:szCs w:val="22"/>
          <w:lang w:val="hr-HR"/>
        </w:rPr>
        <w:t xml:space="preserve"> </w:t>
      </w:r>
      <w:r w:rsidRPr="00913317">
        <w:rPr>
          <w:szCs w:val="22"/>
          <w:lang w:val="hr-HR"/>
        </w:rPr>
        <w:t xml:space="preserve">(kompletan odgovor) i 6/8 </w:t>
      </w:r>
      <w:r w:rsidRPr="00913317">
        <w:rPr>
          <w:i/>
          <w:szCs w:val="22"/>
          <w:lang w:val="hr-HR"/>
        </w:rPr>
        <w:t>C. glabrata</w:t>
      </w:r>
      <w:r w:rsidRPr="00913317">
        <w:rPr>
          <w:szCs w:val="22"/>
          <w:lang w:val="hr-HR"/>
        </w:rPr>
        <w:t xml:space="preserve"> (5 kompletnih, 1 parcijalni odgovor) infekcija. Ove podatke o kliničkoj efikasnosti podržavaju ograničeni podaci o os</w:t>
      </w:r>
      <w:r w:rsidR="002E7C46" w:rsidRPr="00913317">
        <w:rPr>
          <w:szCs w:val="22"/>
          <w:lang w:val="hr-HR"/>
        </w:rPr>
        <w:t>j</w:t>
      </w:r>
      <w:r w:rsidRPr="00913317">
        <w:rPr>
          <w:szCs w:val="22"/>
          <w:lang w:val="hr-HR"/>
        </w:rPr>
        <w:t xml:space="preserve">etljivosti. </w:t>
      </w:r>
    </w:p>
    <w:p w14:paraId="464E7178" w14:textId="77777777" w:rsidR="005D4B59" w:rsidRPr="00913317" w:rsidRDefault="005D4B59" w:rsidP="00D72925">
      <w:pPr>
        <w:rPr>
          <w:szCs w:val="22"/>
          <w:lang w:val="hr-HR"/>
        </w:rPr>
      </w:pPr>
    </w:p>
    <w:p w14:paraId="6287B3A1" w14:textId="0F9F23EF" w:rsidR="006131C3" w:rsidRPr="00913317" w:rsidRDefault="00D061E1" w:rsidP="00D72925">
      <w:pPr>
        <w:rPr>
          <w:szCs w:val="22"/>
          <w:u w:val="single"/>
          <w:lang w:val="hr-HR"/>
        </w:rPr>
      </w:pPr>
      <w:r w:rsidRPr="00913317">
        <w:rPr>
          <w:szCs w:val="22"/>
          <w:u w:val="single"/>
          <w:lang w:val="hr-HR"/>
        </w:rPr>
        <w:t xml:space="preserve">Infekcije izazvane gljivicama </w:t>
      </w:r>
      <w:r w:rsidR="00BE6E1E" w:rsidRPr="00913317">
        <w:rPr>
          <w:i/>
          <w:szCs w:val="22"/>
          <w:u w:val="single"/>
          <w:lang w:val="hr-HR"/>
        </w:rPr>
        <w:t>Scedosporium</w:t>
      </w:r>
      <w:r w:rsidR="00BE6E1E" w:rsidRPr="00913317">
        <w:rPr>
          <w:szCs w:val="22"/>
          <w:u w:val="single"/>
          <w:lang w:val="hr-HR"/>
        </w:rPr>
        <w:t xml:space="preserve"> i </w:t>
      </w:r>
      <w:r w:rsidR="00BE6E1E" w:rsidRPr="00913317">
        <w:rPr>
          <w:i/>
          <w:szCs w:val="22"/>
          <w:u w:val="single"/>
          <w:lang w:val="hr-HR"/>
        </w:rPr>
        <w:t>Fusarium</w:t>
      </w:r>
    </w:p>
    <w:p w14:paraId="0B032286" w14:textId="7B047939" w:rsidR="006131C3" w:rsidRPr="00913317" w:rsidRDefault="00BE6E1E" w:rsidP="00D72925">
      <w:pPr>
        <w:rPr>
          <w:szCs w:val="22"/>
          <w:lang w:val="hr-HR"/>
        </w:rPr>
      </w:pPr>
      <w:r w:rsidRPr="00913317">
        <w:rPr>
          <w:szCs w:val="22"/>
          <w:lang w:val="hr-HR"/>
        </w:rPr>
        <w:t>Pokazano je da je vorikonazol efikasan protiv sl</w:t>
      </w:r>
      <w:r w:rsidR="00AC2359" w:rsidRPr="00913317">
        <w:rPr>
          <w:szCs w:val="22"/>
          <w:lang w:val="hr-HR"/>
        </w:rPr>
        <w:t>j</w:t>
      </w:r>
      <w:r w:rsidRPr="00913317">
        <w:rPr>
          <w:szCs w:val="22"/>
          <w:lang w:val="hr-HR"/>
        </w:rPr>
        <w:t>edećih r</w:t>
      </w:r>
      <w:r w:rsidR="00AC2359" w:rsidRPr="00913317">
        <w:rPr>
          <w:szCs w:val="22"/>
          <w:lang w:val="hr-HR"/>
        </w:rPr>
        <w:t>ij</w:t>
      </w:r>
      <w:r w:rsidRPr="00913317">
        <w:rPr>
          <w:szCs w:val="22"/>
          <w:lang w:val="hr-HR"/>
        </w:rPr>
        <w:t>etkih gljivičnih patogena:</w:t>
      </w:r>
    </w:p>
    <w:p w14:paraId="12502BE6" w14:textId="50F1F39C" w:rsidR="006131C3" w:rsidRPr="00913317" w:rsidRDefault="00BE6E1E" w:rsidP="00D72925">
      <w:pPr>
        <w:rPr>
          <w:szCs w:val="22"/>
          <w:lang w:val="hr-HR"/>
        </w:rPr>
      </w:pPr>
      <w:r w:rsidRPr="00913317">
        <w:rPr>
          <w:i/>
          <w:szCs w:val="22"/>
          <w:lang w:val="hr-HR"/>
        </w:rPr>
        <w:t>Scedosporium</w:t>
      </w:r>
      <w:r w:rsidRPr="00913317">
        <w:rPr>
          <w:szCs w:val="22"/>
          <w:lang w:val="hr-HR"/>
        </w:rPr>
        <w:t xml:space="preserve"> </w:t>
      </w:r>
      <w:r w:rsidRPr="00913317">
        <w:rPr>
          <w:i/>
          <w:szCs w:val="22"/>
          <w:lang w:val="hr-HR"/>
        </w:rPr>
        <w:t>spp</w:t>
      </w:r>
      <w:r w:rsidRPr="00913317">
        <w:rPr>
          <w:szCs w:val="22"/>
          <w:lang w:val="hr-HR"/>
        </w:rPr>
        <w:t>.: Usp</w:t>
      </w:r>
      <w:r w:rsidR="00AC2359" w:rsidRPr="00913317">
        <w:rPr>
          <w:szCs w:val="22"/>
          <w:lang w:val="hr-HR"/>
        </w:rPr>
        <w:t>j</w:t>
      </w:r>
      <w:r w:rsidRPr="00913317">
        <w:rPr>
          <w:szCs w:val="22"/>
          <w:lang w:val="hr-HR"/>
        </w:rPr>
        <w:t xml:space="preserve">ešan odgovor na terapiju vorikonazolom postignut je kod 16 (6 kompletan, 10 parcijalni odgovor) od 28 pacijenata sa </w:t>
      </w:r>
      <w:r w:rsidRPr="00913317">
        <w:rPr>
          <w:i/>
          <w:szCs w:val="22"/>
          <w:lang w:val="hr-HR"/>
        </w:rPr>
        <w:t>S. apiospermum</w:t>
      </w:r>
      <w:r w:rsidRPr="00913317">
        <w:rPr>
          <w:szCs w:val="22"/>
          <w:lang w:val="hr-HR"/>
        </w:rPr>
        <w:t xml:space="preserve"> i 2 (oba parcijalni odgovor) od 7 pacijenata sa </w:t>
      </w:r>
      <w:r w:rsidRPr="00913317">
        <w:rPr>
          <w:i/>
          <w:szCs w:val="22"/>
          <w:lang w:val="hr-HR"/>
        </w:rPr>
        <w:t>S. prolificans</w:t>
      </w:r>
      <w:r w:rsidRPr="00913317">
        <w:rPr>
          <w:szCs w:val="22"/>
          <w:lang w:val="hr-HR"/>
        </w:rPr>
        <w:t xml:space="preserve"> infekcijom. Dodatno, usp</w:t>
      </w:r>
      <w:r w:rsidR="00AC2359" w:rsidRPr="00913317">
        <w:rPr>
          <w:szCs w:val="22"/>
          <w:lang w:val="hr-HR"/>
        </w:rPr>
        <w:t>j</w:t>
      </w:r>
      <w:r w:rsidRPr="00913317">
        <w:rPr>
          <w:szCs w:val="22"/>
          <w:lang w:val="hr-HR"/>
        </w:rPr>
        <w:t xml:space="preserve">ešan odgovor je postignut kod 1 od 3 pacijenta sa infekcijom prouzrokovanom sa više od jednog mikroorganizma uključujući i </w:t>
      </w:r>
      <w:r w:rsidRPr="00913317">
        <w:rPr>
          <w:i/>
          <w:szCs w:val="22"/>
          <w:lang w:val="hr-HR"/>
        </w:rPr>
        <w:t>Scedosporioum</w:t>
      </w:r>
      <w:r w:rsidRPr="00913317">
        <w:rPr>
          <w:szCs w:val="22"/>
          <w:lang w:val="hr-HR"/>
        </w:rPr>
        <w:t xml:space="preserve"> </w:t>
      </w:r>
      <w:r w:rsidRPr="00913317">
        <w:rPr>
          <w:i/>
          <w:szCs w:val="22"/>
          <w:lang w:val="hr-HR"/>
        </w:rPr>
        <w:t>spp</w:t>
      </w:r>
      <w:r w:rsidRPr="00913317">
        <w:rPr>
          <w:szCs w:val="22"/>
          <w:lang w:val="hr-HR"/>
        </w:rPr>
        <w:t xml:space="preserve">. </w:t>
      </w:r>
    </w:p>
    <w:p w14:paraId="28B0D964" w14:textId="2894CBCA" w:rsidR="006131C3" w:rsidRPr="00913317" w:rsidRDefault="00BE6E1E" w:rsidP="00D72925">
      <w:pPr>
        <w:rPr>
          <w:szCs w:val="22"/>
          <w:lang w:val="hr-HR"/>
        </w:rPr>
      </w:pPr>
      <w:r w:rsidRPr="00913317">
        <w:rPr>
          <w:i/>
          <w:szCs w:val="22"/>
          <w:lang w:val="hr-HR"/>
        </w:rPr>
        <w:t>Fusarium spp.</w:t>
      </w:r>
      <w:r w:rsidRPr="00913317">
        <w:rPr>
          <w:szCs w:val="22"/>
          <w:lang w:val="hr-HR"/>
        </w:rPr>
        <w:t>: 7 (3 kompletna, 4 parcijalna odgovora) od 17 pacijenata je bilo usp</w:t>
      </w:r>
      <w:r w:rsidR="00AC2359" w:rsidRPr="00913317">
        <w:rPr>
          <w:szCs w:val="22"/>
          <w:lang w:val="hr-HR"/>
        </w:rPr>
        <w:t>j</w:t>
      </w:r>
      <w:r w:rsidRPr="00913317">
        <w:rPr>
          <w:szCs w:val="22"/>
          <w:lang w:val="hr-HR"/>
        </w:rPr>
        <w:t>ešno l</w:t>
      </w:r>
      <w:r w:rsidR="005453B7" w:rsidRPr="00913317">
        <w:rPr>
          <w:szCs w:val="22"/>
          <w:lang w:val="hr-HR"/>
        </w:rPr>
        <w:t>ij</w:t>
      </w:r>
      <w:r w:rsidRPr="00913317">
        <w:rPr>
          <w:szCs w:val="22"/>
          <w:lang w:val="hr-HR"/>
        </w:rPr>
        <w:t>ečeno sa vorikonazolom. Od ovih 7 pacijenata, 3 su imala infekciju oka, 1 sinusa</w:t>
      </w:r>
      <w:r w:rsidR="00AA4473" w:rsidRPr="00913317">
        <w:rPr>
          <w:szCs w:val="22"/>
          <w:lang w:val="hr-HR"/>
        </w:rPr>
        <w:t>,</w:t>
      </w:r>
      <w:r w:rsidRPr="00913317">
        <w:rPr>
          <w:szCs w:val="22"/>
          <w:lang w:val="hr-HR"/>
        </w:rPr>
        <w:t xml:space="preserve"> a 3 diseminovanu infekciju. Četiri dodatna pacijenta sa fuzariozom imali su infekciju prouzrokovanu sa </w:t>
      </w:r>
      <w:r w:rsidR="00BF0412" w:rsidRPr="00913317">
        <w:rPr>
          <w:szCs w:val="22"/>
          <w:lang w:val="hr-HR"/>
        </w:rPr>
        <w:t>nekoliko</w:t>
      </w:r>
      <w:r w:rsidRPr="00913317">
        <w:rPr>
          <w:szCs w:val="22"/>
          <w:lang w:val="hr-HR"/>
        </w:rPr>
        <w:t xml:space="preserve"> mikro</w:t>
      </w:r>
      <w:r w:rsidR="00A95746" w:rsidRPr="00913317">
        <w:rPr>
          <w:szCs w:val="22"/>
          <w:lang w:val="hr-HR"/>
        </w:rPr>
        <w:t>o</w:t>
      </w:r>
      <w:r w:rsidRPr="00913317">
        <w:rPr>
          <w:szCs w:val="22"/>
          <w:lang w:val="hr-HR"/>
        </w:rPr>
        <w:t>rganizama; dvoje od njih imalo je usp</w:t>
      </w:r>
      <w:r w:rsidR="00AC2359" w:rsidRPr="00913317">
        <w:rPr>
          <w:szCs w:val="22"/>
          <w:lang w:val="hr-HR"/>
        </w:rPr>
        <w:t>j</w:t>
      </w:r>
      <w:r w:rsidRPr="00913317">
        <w:rPr>
          <w:szCs w:val="22"/>
          <w:lang w:val="hr-HR"/>
        </w:rPr>
        <w:t xml:space="preserve">ešan ishod. </w:t>
      </w:r>
    </w:p>
    <w:p w14:paraId="2390AC11" w14:textId="679BFE43" w:rsidR="006131C3" w:rsidRPr="00913317" w:rsidRDefault="00BE6E1E" w:rsidP="00D72925">
      <w:pPr>
        <w:rPr>
          <w:szCs w:val="22"/>
          <w:lang w:val="hr-HR"/>
        </w:rPr>
      </w:pPr>
      <w:r w:rsidRPr="00913317">
        <w:rPr>
          <w:szCs w:val="22"/>
          <w:lang w:val="hr-HR"/>
        </w:rPr>
        <w:t>Većina pacijenata koji su primili terapiju vorikonazolom za gore pomenute r</w:t>
      </w:r>
      <w:r w:rsidR="00AC2359" w:rsidRPr="00913317">
        <w:rPr>
          <w:szCs w:val="22"/>
          <w:lang w:val="hr-HR"/>
        </w:rPr>
        <w:t>ij</w:t>
      </w:r>
      <w:r w:rsidRPr="00913317">
        <w:rPr>
          <w:szCs w:val="22"/>
          <w:lang w:val="hr-HR"/>
        </w:rPr>
        <w:t>etke infekcije, ni</w:t>
      </w:r>
      <w:r w:rsidR="006B17FC" w:rsidRPr="00913317">
        <w:rPr>
          <w:szCs w:val="22"/>
          <w:lang w:val="hr-HR"/>
        </w:rPr>
        <w:t>je</w:t>
      </w:r>
      <w:r w:rsidRPr="00913317">
        <w:rPr>
          <w:szCs w:val="22"/>
          <w:lang w:val="hr-HR"/>
        </w:rPr>
        <w:t>su podnosili ili su bili refrakt</w:t>
      </w:r>
      <w:r w:rsidR="00394FD5" w:rsidRPr="00913317">
        <w:rPr>
          <w:szCs w:val="22"/>
          <w:lang w:val="hr-HR"/>
        </w:rPr>
        <w:t>o</w:t>
      </w:r>
      <w:r w:rsidRPr="00913317">
        <w:rPr>
          <w:szCs w:val="22"/>
          <w:lang w:val="hr-HR"/>
        </w:rPr>
        <w:t>rni na prethodnu antifungalnu terapiju.</w:t>
      </w:r>
    </w:p>
    <w:p w14:paraId="0025E0BF" w14:textId="77777777" w:rsidR="006131C3" w:rsidRPr="00913317" w:rsidRDefault="00BE6E1E" w:rsidP="00D72925">
      <w:pPr>
        <w:rPr>
          <w:szCs w:val="22"/>
          <w:u w:val="single"/>
          <w:lang w:val="hr-HR"/>
        </w:rPr>
      </w:pPr>
      <w:r w:rsidRPr="00913317">
        <w:rPr>
          <w:bCs/>
          <w:szCs w:val="22"/>
          <w:u w:val="single"/>
          <w:lang w:val="hr-HR"/>
        </w:rPr>
        <w:t xml:space="preserve">Primarna profilaksa </w:t>
      </w:r>
      <w:r w:rsidRPr="00913317">
        <w:rPr>
          <w:szCs w:val="22"/>
          <w:u w:val="single"/>
          <w:lang w:val="hr-HR"/>
        </w:rPr>
        <w:t xml:space="preserve">invazivnih gljivičnih infekcija </w:t>
      </w:r>
      <w:r w:rsidRPr="00913317">
        <w:rPr>
          <w:bCs/>
          <w:szCs w:val="22"/>
          <w:u w:val="single"/>
          <w:lang w:val="hr-HR"/>
        </w:rPr>
        <w:t xml:space="preserve">– efikasnost kod primalaca </w:t>
      </w:r>
      <w:r w:rsidRPr="00913317">
        <w:rPr>
          <w:szCs w:val="22"/>
          <w:u w:val="single"/>
          <w:lang w:val="hr-HR"/>
        </w:rPr>
        <w:t xml:space="preserve">transplantata hematopoetskih matičnih ćelija </w:t>
      </w:r>
      <w:r w:rsidRPr="00913317">
        <w:rPr>
          <w:bCs/>
          <w:szCs w:val="22"/>
          <w:u w:val="single"/>
          <w:lang w:val="hr-HR"/>
        </w:rPr>
        <w:t xml:space="preserve">bez prethodno potvrđene ili suspektne </w:t>
      </w:r>
      <w:r w:rsidRPr="00913317">
        <w:rPr>
          <w:szCs w:val="22"/>
          <w:u w:val="single"/>
          <w:lang w:val="hr-HR"/>
        </w:rPr>
        <w:t xml:space="preserve">invazivne gljivične infekcije </w:t>
      </w:r>
    </w:p>
    <w:p w14:paraId="482BA753" w14:textId="77777777" w:rsidR="006131C3" w:rsidRPr="00913317" w:rsidRDefault="006131C3" w:rsidP="00D72925">
      <w:pPr>
        <w:pStyle w:val="Default"/>
        <w:jc w:val="both"/>
        <w:rPr>
          <w:color w:val="FF0000"/>
          <w:sz w:val="22"/>
          <w:szCs w:val="22"/>
          <w:lang w:val="hr-HR"/>
        </w:rPr>
      </w:pPr>
    </w:p>
    <w:p w14:paraId="4DBEEDE0" w14:textId="0C9CD9BB" w:rsidR="006131C3" w:rsidRPr="00913317" w:rsidRDefault="004D45E7" w:rsidP="00D72925">
      <w:pPr>
        <w:pStyle w:val="Default"/>
        <w:jc w:val="both"/>
        <w:rPr>
          <w:color w:val="auto"/>
          <w:sz w:val="22"/>
          <w:szCs w:val="22"/>
          <w:lang w:val="hr-HR"/>
        </w:rPr>
      </w:pPr>
      <w:r w:rsidRPr="00913317">
        <w:rPr>
          <w:color w:val="auto"/>
          <w:sz w:val="22"/>
          <w:szCs w:val="22"/>
          <w:lang w:val="hr-HR"/>
        </w:rPr>
        <w:t>Primjen</w:t>
      </w:r>
      <w:r w:rsidR="003256B9" w:rsidRPr="00913317">
        <w:rPr>
          <w:color w:val="auto"/>
          <w:sz w:val="22"/>
          <w:szCs w:val="22"/>
          <w:lang w:val="hr-HR"/>
        </w:rPr>
        <w:t xml:space="preserve">a vorikonazola u primarnoj profilaksi upoređivana je sa itrakonazolom u otvorenoj, komparativnoj, multicentričnoj studiji kod odraslih i adolescenata koji su primaoci alogenog transplantata hematopoetskih matičnih ćelija </w:t>
      </w:r>
      <w:r w:rsidR="003256B9" w:rsidRPr="00913317">
        <w:rPr>
          <w:bCs/>
          <w:color w:val="auto"/>
          <w:sz w:val="22"/>
          <w:szCs w:val="22"/>
          <w:lang w:val="hr-HR"/>
        </w:rPr>
        <w:t xml:space="preserve">bez prethodne potvrđene ili suspektne </w:t>
      </w:r>
      <w:r w:rsidR="003256B9" w:rsidRPr="00913317">
        <w:rPr>
          <w:color w:val="auto"/>
          <w:sz w:val="22"/>
          <w:szCs w:val="22"/>
          <w:lang w:val="hr-HR"/>
        </w:rPr>
        <w:t>invazivne gljivične infekcije. Terapijski usp</w:t>
      </w:r>
      <w:r w:rsidR="000858E4" w:rsidRPr="00913317">
        <w:rPr>
          <w:color w:val="auto"/>
          <w:sz w:val="22"/>
          <w:szCs w:val="22"/>
          <w:lang w:val="hr-HR"/>
        </w:rPr>
        <w:t>j</w:t>
      </w:r>
      <w:r w:rsidR="003256B9" w:rsidRPr="00913317">
        <w:rPr>
          <w:color w:val="auto"/>
          <w:sz w:val="22"/>
          <w:szCs w:val="22"/>
          <w:lang w:val="hr-HR"/>
        </w:rPr>
        <w:t xml:space="preserve">eh je definisan kao mogućnost da se nastavi profilaksa </w:t>
      </w:r>
      <w:r w:rsidRPr="00913317">
        <w:rPr>
          <w:color w:val="auto"/>
          <w:sz w:val="22"/>
          <w:szCs w:val="22"/>
          <w:lang w:val="hr-HR"/>
        </w:rPr>
        <w:t>primjen</w:t>
      </w:r>
      <w:r w:rsidR="003256B9" w:rsidRPr="00913317">
        <w:rPr>
          <w:color w:val="auto"/>
          <w:sz w:val="22"/>
          <w:szCs w:val="22"/>
          <w:lang w:val="hr-HR"/>
        </w:rPr>
        <w:t xml:space="preserve">om ispitivanog </w:t>
      </w:r>
      <w:r w:rsidRPr="00913317">
        <w:rPr>
          <w:color w:val="auto"/>
          <w:sz w:val="22"/>
          <w:szCs w:val="22"/>
          <w:lang w:val="hr-HR"/>
        </w:rPr>
        <w:t>lijek</w:t>
      </w:r>
      <w:r w:rsidR="003256B9" w:rsidRPr="00913317">
        <w:rPr>
          <w:color w:val="auto"/>
          <w:sz w:val="22"/>
          <w:szCs w:val="22"/>
          <w:lang w:val="hr-HR"/>
        </w:rPr>
        <w:t xml:space="preserve">a 100 dana nakon izvršene transplantacije hematopoetskih matičnih ćelija (bez prestanka duže od 14 dana) i preživljavanje bez </w:t>
      </w:r>
      <w:r w:rsidR="003256B9" w:rsidRPr="00913317">
        <w:rPr>
          <w:bCs/>
          <w:color w:val="auto"/>
          <w:sz w:val="22"/>
          <w:szCs w:val="22"/>
          <w:lang w:val="hr-HR"/>
        </w:rPr>
        <w:t xml:space="preserve">potvrđene ili suspektne </w:t>
      </w:r>
      <w:r w:rsidR="003256B9" w:rsidRPr="00913317">
        <w:rPr>
          <w:color w:val="auto"/>
          <w:sz w:val="22"/>
          <w:szCs w:val="22"/>
          <w:lang w:val="hr-HR"/>
        </w:rPr>
        <w:t xml:space="preserve">invazivne gljivične infekcije u toku 180 dana nakon izvršene transplantacije hematopoetskih matičnih ćelija. Modifikovanu </w:t>
      </w:r>
      <w:r w:rsidR="003256B9" w:rsidRPr="00913317">
        <w:rPr>
          <w:i/>
          <w:color w:val="auto"/>
          <w:sz w:val="22"/>
          <w:szCs w:val="22"/>
          <w:lang w:val="hr-HR"/>
        </w:rPr>
        <w:t>intent-to-treat</w:t>
      </w:r>
      <w:r w:rsidR="003256B9" w:rsidRPr="00913317">
        <w:rPr>
          <w:color w:val="auto"/>
          <w:sz w:val="22"/>
          <w:szCs w:val="22"/>
          <w:lang w:val="hr-HR"/>
        </w:rPr>
        <w:t xml:space="preserve"> (engl. </w:t>
      </w:r>
      <w:r w:rsidR="003256B9" w:rsidRPr="00913317">
        <w:rPr>
          <w:i/>
          <w:color w:val="auto"/>
          <w:sz w:val="22"/>
          <w:szCs w:val="22"/>
          <w:lang w:val="hr-HR"/>
        </w:rPr>
        <w:t>Modified intent-to-treat</w:t>
      </w:r>
      <w:r w:rsidR="003256B9" w:rsidRPr="00913317">
        <w:rPr>
          <w:color w:val="auto"/>
          <w:sz w:val="22"/>
          <w:szCs w:val="22"/>
          <w:lang w:val="hr-HR"/>
        </w:rPr>
        <w:t>, MITT) grupu činilo je 465 primalaca alogenog transplatata hematopoetskih matičnih ćelija, od kojih je 45% imalo akutnu mijeloidnu leukemiju (A</w:t>
      </w:r>
      <w:r w:rsidR="006C3F92" w:rsidRPr="00913317">
        <w:rPr>
          <w:color w:val="auto"/>
          <w:sz w:val="22"/>
          <w:szCs w:val="22"/>
          <w:lang w:val="hr-HR"/>
        </w:rPr>
        <w:t>ML</w:t>
      </w:r>
      <w:r w:rsidR="003256B9" w:rsidRPr="00913317">
        <w:rPr>
          <w:color w:val="auto"/>
          <w:sz w:val="22"/>
          <w:szCs w:val="22"/>
          <w:lang w:val="hr-HR"/>
        </w:rPr>
        <w:t xml:space="preserve">). Od svih pacijenata, 58% je podvrgnuto postupku mijeloablacije. Profilaksa ispitivanim </w:t>
      </w:r>
      <w:r w:rsidRPr="00913317">
        <w:rPr>
          <w:color w:val="auto"/>
          <w:sz w:val="22"/>
          <w:szCs w:val="22"/>
          <w:lang w:val="hr-HR"/>
        </w:rPr>
        <w:t>lijek</w:t>
      </w:r>
      <w:r w:rsidR="003256B9" w:rsidRPr="00913317">
        <w:rPr>
          <w:color w:val="auto"/>
          <w:sz w:val="22"/>
          <w:szCs w:val="22"/>
          <w:lang w:val="hr-HR"/>
        </w:rPr>
        <w:t xml:space="preserve">om je započeta neposredno nakon transplantacije hematopoetskih matičnih ćelija: 224 ispitanika je primalo vorikonazol, a 241 ispitanik je primao itrakonazol. Medijana trajanja profilakse ispitivanim </w:t>
      </w:r>
      <w:r w:rsidRPr="00913317">
        <w:rPr>
          <w:color w:val="auto"/>
          <w:sz w:val="22"/>
          <w:szCs w:val="22"/>
          <w:lang w:val="hr-HR"/>
        </w:rPr>
        <w:t>lijek</w:t>
      </w:r>
      <w:r w:rsidR="003256B9" w:rsidRPr="00913317">
        <w:rPr>
          <w:color w:val="auto"/>
          <w:sz w:val="22"/>
          <w:szCs w:val="22"/>
          <w:lang w:val="hr-HR"/>
        </w:rPr>
        <w:t>om iznosilo je 96 dana za vorikonazol, odnosno 68 dana za itrakonazol u MITT grupi.</w:t>
      </w:r>
    </w:p>
    <w:p w14:paraId="30B8809E" w14:textId="77777777" w:rsidR="006131C3" w:rsidRPr="00913317" w:rsidRDefault="006131C3" w:rsidP="00D72925">
      <w:pPr>
        <w:pStyle w:val="Default"/>
        <w:jc w:val="both"/>
        <w:rPr>
          <w:color w:val="auto"/>
          <w:sz w:val="22"/>
          <w:szCs w:val="22"/>
          <w:u w:val="single"/>
          <w:lang w:val="hr-HR"/>
        </w:rPr>
      </w:pPr>
    </w:p>
    <w:p w14:paraId="312B09DC" w14:textId="30053D45" w:rsidR="006131C3" w:rsidRPr="00913317" w:rsidRDefault="00C7273D" w:rsidP="00D72925">
      <w:pPr>
        <w:pStyle w:val="Default"/>
        <w:jc w:val="both"/>
        <w:rPr>
          <w:color w:val="auto"/>
          <w:sz w:val="22"/>
          <w:szCs w:val="22"/>
          <w:lang w:val="hr-HR"/>
        </w:rPr>
      </w:pPr>
      <w:r w:rsidRPr="00913317">
        <w:rPr>
          <w:color w:val="auto"/>
          <w:sz w:val="22"/>
          <w:szCs w:val="22"/>
          <w:lang w:val="hr-HR"/>
        </w:rPr>
        <w:t>Stopa usp</w:t>
      </w:r>
      <w:r w:rsidR="000858E4" w:rsidRPr="00913317">
        <w:rPr>
          <w:color w:val="auto"/>
          <w:sz w:val="22"/>
          <w:szCs w:val="22"/>
          <w:lang w:val="hr-HR"/>
        </w:rPr>
        <w:t>j</w:t>
      </w:r>
      <w:r w:rsidRPr="00913317">
        <w:rPr>
          <w:color w:val="auto"/>
          <w:sz w:val="22"/>
          <w:szCs w:val="22"/>
          <w:lang w:val="hr-HR"/>
        </w:rPr>
        <w:t xml:space="preserve">eha i drugi sekundarni </w:t>
      </w:r>
      <w:r w:rsidR="003256B9" w:rsidRPr="00913317">
        <w:rPr>
          <w:color w:val="auto"/>
          <w:sz w:val="22"/>
          <w:szCs w:val="22"/>
          <w:lang w:val="hr-HR"/>
        </w:rPr>
        <w:t xml:space="preserve">parametri praćenja </w:t>
      </w:r>
      <w:r w:rsidRPr="00913317">
        <w:rPr>
          <w:color w:val="auto"/>
          <w:sz w:val="22"/>
          <w:szCs w:val="22"/>
          <w:lang w:val="hr-HR"/>
        </w:rPr>
        <w:t>ishod</w:t>
      </w:r>
      <w:r w:rsidR="00F379CC" w:rsidRPr="00913317">
        <w:rPr>
          <w:color w:val="auto"/>
          <w:sz w:val="22"/>
          <w:szCs w:val="22"/>
          <w:lang w:val="hr-HR"/>
        </w:rPr>
        <w:t>a</w:t>
      </w:r>
      <w:r w:rsidR="00BE6E1E" w:rsidRPr="00913317">
        <w:rPr>
          <w:color w:val="auto"/>
          <w:sz w:val="22"/>
          <w:szCs w:val="22"/>
          <w:lang w:val="hr-HR"/>
        </w:rPr>
        <w:t xml:space="preserve"> su prikazani u donjoj tabeli:</w:t>
      </w:r>
    </w:p>
    <w:p w14:paraId="5B261C4E" w14:textId="77777777" w:rsidR="006131C3" w:rsidRPr="00913317" w:rsidRDefault="006131C3" w:rsidP="00D72925">
      <w:pPr>
        <w:pStyle w:val="Default"/>
        <w:jc w:val="both"/>
        <w:rPr>
          <w:color w:val="FF0000"/>
          <w:sz w:val="22"/>
          <w:szCs w:val="22"/>
          <w:u w:val="single"/>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1"/>
        <w:gridCol w:w="1427"/>
        <w:gridCol w:w="1341"/>
        <w:gridCol w:w="2288"/>
        <w:gridCol w:w="1170"/>
      </w:tblGrid>
      <w:tr w:rsidR="00935053" w:rsidRPr="00913317" w14:paraId="50583CB8" w14:textId="77777777" w:rsidTr="0054718D">
        <w:tc>
          <w:tcPr>
            <w:tcW w:w="1667" w:type="pct"/>
            <w:tcBorders>
              <w:top w:val="single" w:sz="4" w:space="0" w:color="000000"/>
              <w:left w:val="single" w:sz="4" w:space="0" w:color="000000"/>
              <w:bottom w:val="single" w:sz="4" w:space="0" w:color="000000"/>
              <w:right w:val="single" w:sz="4" w:space="0" w:color="000000"/>
            </w:tcBorders>
            <w:shd w:val="clear" w:color="auto" w:fill="EEECE1"/>
          </w:tcPr>
          <w:p w14:paraId="6018BEF1" w14:textId="5ACCC0BF" w:rsidR="00BE6E1E" w:rsidRPr="00913317" w:rsidRDefault="003256B9" w:rsidP="00D72925">
            <w:pPr>
              <w:pStyle w:val="Default"/>
              <w:jc w:val="both"/>
              <w:rPr>
                <w:b/>
                <w:color w:val="auto"/>
                <w:sz w:val="22"/>
                <w:szCs w:val="22"/>
                <w:lang w:val="hr-HR"/>
              </w:rPr>
            </w:pPr>
            <w:r w:rsidRPr="00913317">
              <w:rPr>
                <w:b/>
                <w:bCs/>
                <w:color w:val="auto"/>
                <w:sz w:val="22"/>
                <w:szCs w:val="22"/>
                <w:lang w:val="hr-HR"/>
              </w:rPr>
              <w:t>Parametri praćenja ishoda</w:t>
            </w:r>
            <w:r w:rsidR="00BE6E1E" w:rsidRPr="00913317">
              <w:rPr>
                <w:b/>
                <w:color w:val="auto"/>
                <w:sz w:val="22"/>
                <w:szCs w:val="22"/>
                <w:lang w:val="hr-HR"/>
              </w:rPr>
              <w:t xml:space="preserve"> studije</w:t>
            </w:r>
          </w:p>
        </w:tc>
        <w:tc>
          <w:tcPr>
            <w:tcW w:w="787" w:type="pct"/>
            <w:tcBorders>
              <w:top w:val="single" w:sz="4" w:space="0" w:color="000000"/>
              <w:left w:val="single" w:sz="4" w:space="0" w:color="000000"/>
              <w:bottom w:val="single" w:sz="4" w:space="0" w:color="000000"/>
              <w:right w:val="single" w:sz="4" w:space="0" w:color="000000"/>
            </w:tcBorders>
            <w:shd w:val="clear" w:color="auto" w:fill="EEECE1"/>
          </w:tcPr>
          <w:p w14:paraId="3061FEE4" w14:textId="77777777" w:rsidR="00BE6E1E" w:rsidRPr="00913317" w:rsidRDefault="00BE6E1E" w:rsidP="00D72925">
            <w:pPr>
              <w:pStyle w:val="Default"/>
              <w:jc w:val="both"/>
              <w:rPr>
                <w:b/>
                <w:color w:val="auto"/>
                <w:sz w:val="22"/>
                <w:szCs w:val="22"/>
                <w:lang w:val="hr-HR"/>
              </w:rPr>
            </w:pPr>
            <w:r w:rsidRPr="00913317">
              <w:rPr>
                <w:b/>
                <w:color w:val="auto"/>
                <w:sz w:val="22"/>
                <w:szCs w:val="22"/>
                <w:lang w:val="hr-HR"/>
              </w:rPr>
              <w:t>Vorikonazol</w:t>
            </w:r>
            <w:r w:rsidRPr="00913317">
              <w:rPr>
                <w:b/>
                <w:color w:val="auto"/>
                <w:sz w:val="22"/>
                <w:szCs w:val="22"/>
                <w:lang w:val="hr-HR"/>
              </w:rPr>
              <w:br/>
              <w:t>N=224</w:t>
            </w:r>
          </w:p>
        </w:tc>
        <w:tc>
          <w:tcPr>
            <w:tcW w:w="741" w:type="pct"/>
            <w:tcBorders>
              <w:top w:val="single" w:sz="4" w:space="0" w:color="000000"/>
              <w:left w:val="single" w:sz="4" w:space="0" w:color="000000"/>
              <w:bottom w:val="single" w:sz="4" w:space="0" w:color="000000"/>
              <w:right w:val="single" w:sz="4" w:space="0" w:color="000000"/>
            </w:tcBorders>
            <w:shd w:val="clear" w:color="auto" w:fill="EEECE1"/>
          </w:tcPr>
          <w:p w14:paraId="3A7C346A" w14:textId="77777777" w:rsidR="00BE6E1E" w:rsidRPr="00913317" w:rsidRDefault="00BE6E1E" w:rsidP="00D72925">
            <w:pPr>
              <w:pStyle w:val="Default"/>
              <w:jc w:val="both"/>
              <w:rPr>
                <w:b/>
                <w:color w:val="auto"/>
                <w:sz w:val="22"/>
                <w:szCs w:val="22"/>
                <w:lang w:val="hr-HR"/>
              </w:rPr>
            </w:pPr>
            <w:r w:rsidRPr="00913317">
              <w:rPr>
                <w:b/>
                <w:color w:val="auto"/>
                <w:sz w:val="22"/>
                <w:szCs w:val="22"/>
                <w:lang w:val="hr-HR"/>
              </w:rPr>
              <w:t>Itrakonazol</w:t>
            </w:r>
            <w:r w:rsidRPr="00913317">
              <w:rPr>
                <w:b/>
                <w:color w:val="auto"/>
                <w:sz w:val="22"/>
                <w:szCs w:val="22"/>
                <w:lang w:val="hr-HR"/>
              </w:rPr>
              <w:br/>
              <w:t>N=241</w:t>
            </w:r>
          </w:p>
        </w:tc>
        <w:tc>
          <w:tcPr>
            <w:tcW w:w="1250" w:type="pct"/>
            <w:tcBorders>
              <w:top w:val="single" w:sz="4" w:space="0" w:color="000000"/>
              <w:left w:val="single" w:sz="4" w:space="0" w:color="000000"/>
              <w:bottom w:val="single" w:sz="4" w:space="0" w:color="000000"/>
              <w:right w:val="single" w:sz="4" w:space="0" w:color="000000"/>
            </w:tcBorders>
            <w:shd w:val="clear" w:color="auto" w:fill="EEECE1"/>
          </w:tcPr>
          <w:p w14:paraId="49F39A34" w14:textId="72415A2A" w:rsidR="006131C3" w:rsidRPr="00913317" w:rsidRDefault="00BE6E1E" w:rsidP="00D72925">
            <w:pPr>
              <w:pStyle w:val="Default"/>
              <w:jc w:val="both"/>
              <w:rPr>
                <w:b/>
                <w:color w:val="auto"/>
                <w:sz w:val="22"/>
                <w:szCs w:val="22"/>
                <w:lang w:val="hr-HR"/>
              </w:rPr>
            </w:pPr>
            <w:r w:rsidRPr="00913317">
              <w:rPr>
                <w:b/>
                <w:color w:val="auto"/>
                <w:sz w:val="22"/>
                <w:szCs w:val="22"/>
                <w:lang w:val="hr-HR"/>
              </w:rPr>
              <w:t>Razlika proporcija i 95% interval pouzdanosti (CI)</w:t>
            </w:r>
          </w:p>
        </w:tc>
        <w:tc>
          <w:tcPr>
            <w:tcW w:w="555" w:type="pct"/>
            <w:tcBorders>
              <w:top w:val="single" w:sz="4" w:space="0" w:color="000000"/>
              <w:left w:val="single" w:sz="4" w:space="0" w:color="000000"/>
              <w:bottom w:val="single" w:sz="4" w:space="0" w:color="000000"/>
              <w:right w:val="single" w:sz="4" w:space="0" w:color="000000"/>
            </w:tcBorders>
            <w:shd w:val="clear" w:color="auto" w:fill="EEECE1"/>
          </w:tcPr>
          <w:p w14:paraId="216F929C" w14:textId="372D940D" w:rsidR="006131C3" w:rsidRPr="00913317" w:rsidRDefault="00BE6E1E" w:rsidP="00D72925">
            <w:pPr>
              <w:pStyle w:val="Default"/>
              <w:jc w:val="both"/>
              <w:rPr>
                <w:b/>
                <w:color w:val="auto"/>
                <w:sz w:val="22"/>
                <w:szCs w:val="22"/>
                <w:lang w:val="hr-HR"/>
              </w:rPr>
            </w:pPr>
            <w:r w:rsidRPr="00913317">
              <w:rPr>
                <w:b/>
                <w:color w:val="auto"/>
                <w:sz w:val="22"/>
                <w:szCs w:val="22"/>
                <w:lang w:val="hr-HR"/>
              </w:rPr>
              <w:t>p-</w:t>
            </w:r>
            <w:r w:rsidR="004D45E7" w:rsidRPr="00913317">
              <w:rPr>
                <w:b/>
                <w:color w:val="auto"/>
                <w:sz w:val="22"/>
                <w:szCs w:val="22"/>
                <w:lang w:val="hr-HR"/>
              </w:rPr>
              <w:t>vrijedno</w:t>
            </w:r>
            <w:r w:rsidRPr="00913317">
              <w:rPr>
                <w:b/>
                <w:color w:val="auto"/>
                <w:sz w:val="22"/>
                <w:szCs w:val="22"/>
                <w:lang w:val="hr-HR"/>
              </w:rPr>
              <w:t>st</w:t>
            </w:r>
          </w:p>
        </w:tc>
      </w:tr>
      <w:tr w:rsidR="00935053" w:rsidRPr="00913317" w14:paraId="37BD18FA" w14:textId="77777777" w:rsidTr="0054718D">
        <w:tc>
          <w:tcPr>
            <w:tcW w:w="1667" w:type="pct"/>
            <w:tcBorders>
              <w:top w:val="single" w:sz="4" w:space="0" w:color="000000"/>
              <w:left w:val="single" w:sz="4" w:space="0" w:color="000000"/>
              <w:bottom w:val="single" w:sz="4" w:space="0" w:color="000000"/>
              <w:right w:val="single" w:sz="4" w:space="0" w:color="000000"/>
            </w:tcBorders>
          </w:tcPr>
          <w:p w14:paraId="641E34B6" w14:textId="70922DB0" w:rsidR="00BE6E1E" w:rsidRPr="00913317" w:rsidRDefault="00BE6E1E" w:rsidP="00D72925">
            <w:pPr>
              <w:pStyle w:val="Default"/>
              <w:jc w:val="both"/>
              <w:rPr>
                <w:color w:val="auto"/>
                <w:sz w:val="22"/>
                <w:szCs w:val="22"/>
                <w:lang w:val="hr-HR"/>
              </w:rPr>
            </w:pPr>
            <w:r w:rsidRPr="00913317">
              <w:rPr>
                <w:color w:val="auto"/>
                <w:sz w:val="22"/>
                <w:szCs w:val="22"/>
                <w:lang w:val="hr-HR"/>
              </w:rPr>
              <w:t>Usp</w:t>
            </w:r>
            <w:r w:rsidR="000858E4" w:rsidRPr="00913317">
              <w:rPr>
                <w:color w:val="auto"/>
                <w:sz w:val="22"/>
                <w:szCs w:val="22"/>
                <w:lang w:val="hr-HR"/>
              </w:rPr>
              <w:t>j</w:t>
            </w:r>
            <w:r w:rsidRPr="00913317">
              <w:rPr>
                <w:color w:val="auto"/>
                <w:sz w:val="22"/>
                <w:szCs w:val="22"/>
                <w:lang w:val="hr-HR"/>
              </w:rPr>
              <w:t>eh 180. dana*</w:t>
            </w:r>
          </w:p>
        </w:tc>
        <w:tc>
          <w:tcPr>
            <w:tcW w:w="787" w:type="pct"/>
            <w:tcBorders>
              <w:top w:val="single" w:sz="4" w:space="0" w:color="000000"/>
              <w:left w:val="single" w:sz="4" w:space="0" w:color="000000"/>
              <w:bottom w:val="single" w:sz="4" w:space="0" w:color="000000"/>
              <w:right w:val="single" w:sz="4" w:space="0" w:color="000000"/>
            </w:tcBorders>
          </w:tcPr>
          <w:p w14:paraId="75D90A19"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109 (48,7%)</w:t>
            </w:r>
          </w:p>
        </w:tc>
        <w:tc>
          <w:tcPr>
            <w:tcW w:w="741" w:type="pct"/>
            <w:tcBorders>
              <w:top w:val="single" w:sz="4" w:space="0" w:color="000000"/>
              <w:left w:val="single" w:sz="4" w:space="0" w:color="000000"/>
              <w:bottom w:val="single" w:sz="4" w:space="0" w:color="000000"/>
              <w:right w:val="single" w:sz="4" w:space="0" w:color="000000"/>
            </w:tcBorders>
          </w:tcPr>
          <w:p w14:paraId="22655513"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80 (33,2%)</w:t>
            </w:r>
          </w:p>
        </w:tc>
        <w:tc>
          <w:tcPr>
            <w:tcW w:w="1250" w:type="pct"/>
            <w:tcBorders>
              <w:top w:val="single" w:sz="4" w:space="0" w:color="000000"/>
              <w:left w:val="single" w:sz="4" w:space="0" w:color="000000"/>
              <w:bottom w:val="single" w:sz="4" w:space="0" w:color="000000"/>
              <w:right w:val="single" w:sz="4" w:space="0" w:color="000000"/>
            </w:tcBorders>
          </w:tcPr>
          <w:p w14:paraId="247D7446"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16,4% (7,7%; 25,1%)**</w:t>
            </w:r>
          </w:p>
        </w:tc>
        <w:tc>
          <w:tcPr>
            <w:tcW w:w="555" w:type="pct"/>
            <w:tcBorders>
              <w:top w:val="single" w:sz="4" w:space="0" w:color="000000"/>
              <w:left w:val="single" w:sz="4" w:space="0" w:color="000000"/>
              <w:bottom w:val="single" w:sz="4" w:space="0" w:color="000000"/>
              <w:right w:val="single" w:sz="4" w:space="0" w:color="000000"/>
            </w:tcBorders>
          </w:tcPr>
          <w:p w14:paraId="7BE26802"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0,0002**</w:t>
            </w:r>
          </w:p>
        </w:tc>
      </w:tr>
      <w:tr w:rsidR="00935053" w:rsidRPr="00913317" w14:paraId="04B83EBE" w14:textId="77777777" w:rsidTr="0054718D">
        <w:tc>
          <w:tcPr>
            <w:tcW w:w="1667" w:type="pct"/>
            <w:tcBorders>
              <w:top w:val="single" w:sz="4" w:space="0" w:color="000000"/>
              <w:left w:val="single" w:sz="4" w:space="0" w:color="000000"/>
              <w:bottom w:val="single" w:sz="4" w:space="0" w:color="000000"/>
              <w:right w:val="single" w:sz="4" w:space="0" w:color="000000"/>
            </w:tcBorders>
          </w:tcPr>
          <w:p w14:paraId="6C73F939" w14:textId="72D5D69C" w:rsidR="00BE6E1E" w:rsidRPr="00913317" w:rsidRDefault="00BE6E1E" w:rsidP="00D72925">
            <w:pPr>
              <w:pStyle w:val="Default"/>
              <w:jc w:val="both"/>
              <w:rPr>
                <w:color w:val="auto"/>
                <w:sz w:val="22"/>
                <w:szCs w:val="22"/>
                <w:lang w:val="hr-HR"/>
              </w:rPr>
            </w:pPr>
            <w:r w:rsidRPr="00913317">
              <w:rPr>
                <w:color w:val="auto"/>
                <w:sz w:val="22"/>
                <w:szCs w:val="22"/>
                <w:lang w:val="hr-HR"/>
              </w:rPr>
              <w:t>Usp</w:t>
            </w:r>
            <w:r w:rsidR="000858E4" w:rsidRPr="00913317">
              <w:rPr>
                <w:color w:val="auto"/>
                <w:sz w:val="22"/>
                <w:szCs w:val="22"/>
                <w:lang w:val="hr-HR"/>
              </w:rPr>
              <w:t>j</w:t>
            </w:r>
            <w:r w:rsidRPr="00913317">
              <w:rPr>
                <w:color w:val="auto"/>
                <w:sz w:val="22"/>
                <w:szCs w:val="22"/>
                <w:lang w:val="hr-HR"/>
              </w:rPr>
              <w:t>eh 100. dana</w:t>
            </w:r>
          </w:p>
        </w:tc>
        <w:tc>
          <w:tcPr>
            <w:tcW w:w="787" w:type="pct"/>
            <w:tcBorders>
              <w:top w:val="single" w:sz="4" w:space="0" w:color="000000"/>
              <w:left w:val="single" w:sz="4" w:space="0" w:color="000000"/>
              <w:bottom w:val="single" w:sz="4" w:space="0" w:color="000000"/>
              <w:right w:val="single" w:sz="4" w:space="0" w:color="000000"/>
            </w:tcBorders>
          </w:tcPr>
          <w:p w14:paraId="382CE7B5"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121 (54,0%)</w:t>
            </w:r>
          </w:p>
        </w:tc>
        <w:tc>
          <w:tcPr>
            <w:tcW w:w="741" w:type="pct"/>
            <w:tcBorders>
              <w:top w:val="single" w:sz="4" w:space="0" w:color="000000"/>
              <w:left w:val="single" w:sz="4" w:space="0" w:color="000000"/>
              <w:bottom w:val="single" w:sz="4" w:space="0" w:color="000000"/>
              <w:right w:val="single" w:sz="4" w:space="0" w:color="000000"/>
            </w:tcBorders>
          </w:tcPr>
          <w:p w14:paraId="2DC1E917"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96 (39,8%)</w:t>
            </w:r>
          </w:p>
        </w:tc>
        <w:tc>
          <w:tcPr>
            <w:tcW w:w="1250" w:type="pct"/>
            <w:tcBorders>
              <w:top w:val="single" w:sz="4" w:space="0" w:color="000000"/>
              <w:left w:val="single" w:sz="4" w:space="0" w:color="000000"/>
              <w:bottom w:val="single" w:sz="4" w:space="0" w:color="000000"/>
              <w:right w:val="single" w:sz="4" w:space="0" w:color="000000"/>
            </w:tcBorders>
          </w:tcPr>
          <w:p w14:paraId="0317E523"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15,4% (6,6%; 24,2%)**</w:t>
            </w:r>
          </w:p>
        </w:tc>
        <w:tc>
          <w:tcPr>
            <w:tcW w:w="555" w:type="pct"/>
            <w:tcBorders>
              <w:top w:val="single" w:sz="4" w:space="0" w:color="000000"/>
              <w:left w:val="single" w:sz="4" w:space="0" w:color="000000"/>
              <w:bottom w:val="single" w:sz="4" w:space="0" w:color="000000"/>
              <w:right w:val="single" w:sz="4" w:space="0" w:color="000000"/>
            </w:tcBorders>
          </w:tcPr>
          <w:p w14:paraId="46BE11A8"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0,0006**</w:t>
            </w:r>
          </w:p>
        </w:tc>
      </w:tr>
      <w:tr w:rsidR="00935053" w:rsidRPr="00913317" w14:paraId="7C335BB1" w14:textId="77777777" w:rsidTr="0054718D">
        <w:tc>
          <w:tcPr>
            <w:tcW w:w="1667" w:type="pct"/>
            <w:tcBorders>
              <w:top w:val="single" w:sz="4" w:space="0" w:color="000000"/>
              <w:left w:val="single" w:sz="4" w:space="0" w:color="000000"/>
              <w:bottom w:val="single" w:sz="4" w:space="0" w:color="000000"/>
              <w:right w:val="single" w:sz="4" w:space="0" w:color="000000"/>
            </w:tcBorders>
          </w:tcPr>
          <w:p w14:paraId="2B4BA7F0" w14:textId="53D7BD26" w:rsidR="00BE6E1E" w:rsidRPr="00913317" w:rsidRDefault="00BE6E1E" w:rsidP="00D72925">
            <w:pPr>
              <w:pStyle w:val="Default"/>
              <w:jc w:val="both"/>
              <w:rPr>
                <w:color w:val="auto"/>
                <w:sz w:val="22"/>
                <w:szCs w:val="22"/>
                <w:lang w:val="hr-HR"/>
              </w:rPr>
            </w:pPr>
            <w:r w:rsidRPr="00913317">
              <w:rPr>
                <w:color w:val="auto"/>
                <w:sz w:val="22"/>
                <w:szCs w:val="22"/>
                <w:lang w:val="hr-HR"/>
              </w:rPr>
              <w:t xml:space="preserve">Završeno najmanje 100 dana profilakse ispitivanim </w:t>
            </w:r>
            <w:r w:rsidR="004D45E7" w:rsidRPr="00913317">
              <w:rPr>
                <w:color w:val="auto"/>
                <w:sz w:val="22"/>
                <w:szCs w:val="22"/>
                <w:lang w:val="hr-HR"/>
              </w:rPr>
              <w:t>lijek</w:t>
            </w:r>
            <w:r w:rsidRPr="00913317">
              <w:rPr>
                <w:color w:val="auto"/>
                <w:sz w:val="22"/>
                <w:szCs w:val="22"/>
                <w:lang w:val="hr-HR"/>
              </w:rPr>
              <w:t>om</w:t>
            </w:r>
          </w:p>
        </w:tc>
        <w:tc>
          <w:tcPr>
            <w:tcW w:w="787" w:type="pct"/>
            <w:tcBorders>
              <w:top w:val="single" w:sz="4" w:space="0" w:color="000000"/>
              <w:left w:val="single" w:sz="4" w:space="0" w:color="000000"/>
              <w:bottom w:val="single" w:sz="4" w:space="0" w:color="000000"/>
              <w:right w:val="single" w:sz="4" w:space="0" w:color="000000"/>
            </w:tcBorders>
          </w:tcPr>
          <w:p w14:paraId="10765C69"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120 (53,6%)</w:t>
            </w:r>
          </w:p>
        </w:tc>
        <w:tc>
          <w:tcPr>
            <w:tcW w:w="741" w:type="pct"/>
            <w:tcBorders>
              <w:top w:val="single" w:sz="4" w:space="0" w:color="000000"/>
              <w:left w:val="single" w:sz="4" w:space="0" w:color="000000"/>
              <w:bottom w:val="single" w:sz="4" w:space="0" w:color="000000"/>
              <w:right w:val="single" w:sz="4" w:space="0" w:color="000000"/>
            </w:tcBorders>
          </w:tcPr>
          <w:p w14:paraId="27C3E0CB"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94 (39,0%)</w:t>
            </w:r>
          </w:p>
        </w:tc>
        <w:tc>
          <w:tcPr>
            <w:tcW w:w="1250" w:type="pct"/>
            <w:tcBorders>
              <w:top w:val="single" w:sz="4" w:space="0" w:color="000000"/>
              <w:left w:val="single" w:sz="4" w:space="0" w:color="000000"/>
              <w:bottom w:val="single" w:sz="4" w:space="0" w:color="000000"/>
              <w:right w:val="single" w:sz="4" w:space="0" w:color="000000"/>
            </w:tcBorders>
          </w:tcPr>
          <w:p w14:paraId="20938B83"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14,6% (5,6%; 23,5%)</w:t>
            </w:r>
          </w:p>
        </w:tc>
        <w:tc>
          <w:tcPr>
            <w:tcW w:w="555" w:type="pct"/>
            <w:tcBorders>
              <w:top w:val="single" w:sz="4" w:space="0" w:color="000000"/>
              <w:left w:val="single" w:sz="4" w:space="0" w:color="000000"/>
              <w:bottom w:val="single" w:sz="4" w:space="0" w:color="000000"/>
              <w:right w:val="single" w:sz="4" w:space="0" w:color="000000"/>
            </w:tcBorders>
          </w:tcPr>
          <w:p w14:paraId="575BEA2B"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0,0015</w:t>
            </w:r>
          </w:p>
        </w:tc>
      </w:tr>
      <w:tr w:rsidR="00935053" w:rsidRPr="00913317" w14:paraId="1B7A161E" w14:textId="77777777" w:rsidTr="0054718D">
        <w:tc>
          <w:tcPr>
            <w:tcW w:w="1667" w:type="pct"/>
            <w:tcBorders>
              <w:top w:val="single" w:sz="4" w:space="0" w:color="000000"/>
              <w:left w:val="single" w:sz="4" w:space="0" w:color="000000"/>
              <w:bottom w:val="single" w:sz="4" w:space="0" w:color="000000"/>
              <w:right w:val="single" w:sz="4" w:space="0" w:color="000000"/>
            </w:tcBorders>
          </w:tcPr>
          <w:p w14:paraId="5951A0F7"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Preživljavanje do 180. dana</w:t>
            </w:r>
          </w:p>
        </w:tc>
        <w:tc>
          <w:tcPr>
            <w:tcW w:w="787" w:type="pct"/>
            <w:tcBorders>
              <w:top w:val="single" w:sz="4" w:space="0" w:color="000000"/>
              <w:left w:val="single" w:sz="4" w:space="0" w:color="000000"/>
              <w:bottom w:val="single" w:sz="4" w:space="0" w:color="000000"/>
              <w:right w:val="single" w:sz="4" w:space="0" w:color="000000"/>
            </w:tcBorders>
          </w:tcPr>
          <w:p w14:paraId="2B9913C0"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184 (82,1%)</w:t>
            </w:r>
          </w:p>
        </w:tc>
        <w:tc>
          <w:tcPr>
            <w:tcW w:w="741" w:type="pct"/>
            <w:tcBorders>
              <w:top w:val="single" w:sz="4" w:space="0" w:color="000000"/>
              <w:left w:val="single" w:sz="4" w:space="0" w:color="000000"/>
              <w:bottom w:val="single" w:sz="4" w:space="0" w:color="000000"/>
              <w:right w:val="single" w:sz="4" w:space="0" w:color="000000"/>
            </w:tcBorders>
          </w:tcPr>
          <w:p w14:paraId="2A97756F"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197 (81,7%)</w:t>
            </w:r>
          </w:p>
        </w:tc>
        <w:tc>
          <w:tcPr>
            <w:tcW w:w="1250" w:type="pct"/>
            <w:tcBorders>
              <w:top w:val="single" w:sz="4" w:space="0" w:color="000000"/>
              <w:left w:val="single" w:sz="4" w:space="0" w:color="000000"/>
              <w:bottom w:val="single" w:sz="4" w:space="0" w:color="000000"/>
              <w:right w:val="single" w:sz="4" w:space="0" w:color="000000"/>
            </w:tcBorders>
          </w:tcPr>
          <w:p w14:paraId="0F80DE25"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0,4% (-6,6%; 7,4%)</w:t>
            </w:r>
          </w:p>
        </w:tc>
        <w:tc>
          <w:tcPr>
            <w:tcW w:w="555" w:type="pct"/>
            <w:tcBorders>
              <w:top w:val="single" w:sz="4" w:space="0" w:color="000000"/>
              <w:left w:val="single" w:sz="4" w:space="0" w:color="000000"/>
              <w:bottom w:val="single" w:sz="4" w:space="0" w:color="000000"/>
              <w:right w:val="single" w:sz="4" w:space="0" w:color="000000"/>
            </w:tcBorders>
          </w:tcPr>
          <w:p w14:paraId="5DD6FB78"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0,9107</w:t>
            </w:r>
          </w:p>
        </w:tc>
      </w:tr>
      <w:tr w:rsidR="00935053" w:rsidRPr="00913317" w14:paraId="3723CB8A" w14:textId="77777777" w:rsidTr="0054718D">
        <w:tc>
          <w:tcPr>
            <w:tcW w:w="1667" w:type="pct"/>
            <w:tcBorders>
              <w:top w:val="single" w:sz="4" w:space="0" w:color="000000"/>
              <w:left w:val="single" w:sz="4" w:space="0" w:color="000000"/>
              <w:bottom w:val="single" w:sz="4" w:space="0" w:color="000000"/>
              <w:right w:val="single" w:sz="4" w:space="0" w:color="000000"/>
            </w:tcBorders>
          </w:tcPr>
          <w:p w14:paraId="35AF497A"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lastRenderedPageBreak/>
              <w:t>Razvijena dokazana ili suspektna IFI do 180. dana</w:t>
            </w:r>
          </w:p>
        </w:tc>
        <w:tc>
          <w:tcPr>
            <w:tcW w:w="787" w:type="pct"/>
            <w:tcBorders>
              <w:top w:val="single" w:sz="4" w:space="0" w:color="000000"/>
              <w:left w:val="single" w:sz="4" w:space="0" w:color="000000"/>
              <w:bottom w:val="single" w:sz="4" w:space="0" w:color="000000"/>
              <w:right w:val="single" w:sz="4" w:space="0" w:color="000000"/>
            </w:tcBorders>
          </w:tcPr>
          <w:p w14:paraId="20A2993A"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3 (1,3%)</w:t>
            </w:r>
          </w:p>
        </w:tc>
        <w:tc>
          <w:tcPr>
            <w:tcW w:w="741" w:type="pct"/>
            <w:tcBorders>
              <w:top w:val="single" w:sz="4" w:space="0" w:color="000000"/>
              <w:left w:val="single" w:sz="4" w:space="0" w:color="000000"/>
              <w:bottom w:val="single" w:sz="4" w:space="0" w:color="000000"/>
              <w:right w:val="single" w:sz="4" w:space="0" w:color="000000"/>
            </w:tcBorders>
          </w:tcPr>
          <w:p w14:paraId="18DCF9A0"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5 (2,1%)</w:t>
            </w:r>
          </w:p>
        </w:tc>
        <w:tc>
          <w:tcPr>
            <w:tcW w:w="1250" w:type="pct"/>
            <w:tcBorders>
              <w:top w:val="single" w:sz="4" w:space="0" w:color="000000"/>
              <w:left w:val="single" w:sz="4" w:space="0" w:color="000000"/>
              <w:bottom w:val="single" w:sz="4" w:space="0" w:color="000000"/>
              <w:right w:val="single" w:sz="4" w:space="0" w:color="000000"/>
            </w:tcBorders>
          </w:tcPr>
          <w:p w14:paraId="70612166"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-0,7% (-3,1%; 1,6%)</w:t>
            </w:r>
          </w:p>
        </w:tc>
        <w:tc>
          <w:tcPr>
            <w:tcW w:w="555" w:type="pct"/>
            <w:tcBorders>
              <w:top w:val="single" w:sz="4" w:space="0" w:color="000000"/>
              <w:left w:val="single" w:sz="4" w:space="0" w:color="000000"/>
              <w:bottom w:val="single" w:sz="4" w:space="0" w:color="000000"/>
              <w:right w:val="single" w:sz="4" w:space="0" w:color="000000"/>
            </w:tcBorders>
          </w:tcPr>
          <w:p w14:paraId="594B41AF"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0,5390</w:t>
            </w:r>
          </w:p>
        </w:tc>
      </w:tr>
      <w:tr w:rsidR="00935053" w:rsidRPr="00913317" w14:paraId="3B5B6AB7" w14:textId="77777777" w:rsidTr="0054718D">
        <w:tc>
          <w:tcPr>
            <w:tcW w:w="1667" w:type="pct"/>
            <w:tcBorders>
              <w:top w:val="single" w:sz="4" w:space="0" w:color="000000"/>
              <w:left w:val="single" w:sz="4" w:space="0" w:color="000000"/>
              <w:bottom w:val="single" w:sz="4" w:space="0" w:color="000000"/>
              <w:right w:val="single" w:sz="4" w:space="0" w:color="000000"/>
            </w:tcBorders>
          </w:tcPr>
          <w:p w14:paraId="7344355C"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Razvijena dokazana ili suspektna IFI do 100. dana</w:t>
            </w:r>
          </w:p>
        </w:tc>
        <w:tc>
          <w:tcPr>
            <w:tcW w:w="787" w:type="pct"/>
            <w:tcBorders>
              <w:top w:val="single" w:sz="4" w:space="0" w:color="000000"/>
              <w:left w:val="single" w:sz="4" w:space="0" w:color="000000"/>
              <w:bottom w:val="single" w:sz="4" w:space="0" w:color="000000"/>
              <w:right w:val="single" w:sz="4" w:space="0" w:color="000000"/>
            </w:tcBorders>
          </w:tcPr>
          <w:p w14:paraId="1AC00E86"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2 (0,9%)</w:t>
            </w:r>
          </w:p>
        </w:tc>
        <w:tc>
          <w:tcPr>
            <w:tcW w:w="741" w:type="pct"/>
            <w:tcBorders>
              <w:top w:val="single" w:sz="4" w:space="0" w:color="000000"/>
              <w:left w:val="single" w:sz="4" w:space="0" w:color="000000"/>
              <w:bottom w:val="single" w:sz="4" w:space="0" w:color="000000"/>
              <w:right w:val="single" w:sz="4" w:space="0" w:color="000000"/>
            </w:tcBorders>
          </w:tcPr>
          <w:p w14:paraId="54F9E725" w14:textId="77777777" w:rsidR="00BE6E1E" w:rsidRPr="00913317" w:rsidRDefault="00BE6E1E" w:rsidP="00D72925">
            <w:pPr>
              <w:pStyle w:val="Default"/>
              <w:jc w:val="both"/>
              <w:rPr>
                <w:color w:val="auto"/>
                <w:sz w:val="22"/>
                <w:szCs w:val="22"/>
                <w:lang w:val="hr-HR"/>
              </w:rPr>
            </w:pPr>
            <w:r w:rsidRPr="00913317">
              <w:rPr>
                <w:color w:val="auto"/>
                <w:sz w:val="22"/>
                <w:szCs w:val="22"/>
                <w:lang w:val="hr-HR"/>
              </w:rPr>
              <w:t>4 (1,7%)</w:t>
            </w:r>
          </w:p>
        </w:tc>
        <w:tc>
          <w:tcPr>
            <w:tcW w:w="1250" w:type="pct"/>
            <w:tcBorders>
              <w:top w:val="single" w:sz="4" w:space="0" w:color="000000"/>
              <w:left w:val="single" w:sz="4" w:space="0" w:color="000000"/>
              <w:bottom w:val="single" w:sz="4" w:space="0" w:color="000000"/>
              <w:right w:val="single" w:sz="4" w:space="0" w:color="000000"/>
            </w:tcBorders>
          </w:tcPr>
          <w:p w14:paraId="122566B0"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-0,8% (-2,8%; 1,3%)</w:t>
            </w:r>
          </w:p>
        </w:tc>
        <w:tc>
          <w:tcPr>
            <w:tcW w:w="555" w:type="pct"/>
            <w:tcBorders>
              <w:top w:val="single" w:sz="4" w:space="0" w:color="000000"/>
              <w:left w:val="single" w:sz="4" w:space="0" w:color="000000"/>
              <w:bottom w:val="single" w:sz="4" w:space="0" w:color="000000"/>
              <w:right w:val="single" w:sz="4" w:space="0" w:color="000000"/>
            </w:tcBorders>
          </w:tcPr>
          <w:p w14:paraId="3FE12529"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0,4589</w:t>
            </w:r>
          </w:p>
        </w:tc>
      </w:tr>
      <w:tr w:rsidR="00935053" w:rsidRPr="00913317" w14:paraId="68C76741" w14:textId="77777777" w:rsidTr="0054718D">
        <w:tc>
          <w:tcPr>
            <w:tcW w:w="1667" w:type="pct"/>
            <w:tcBorders>
              <w:top w:val="single" w:sz="4" w:space="0" w:color="000000"/>
              <w:left w:val="single" w:sz="4" w:space="0" w:color="000000"/>
              <w:bottom w:val="single" w:sz="4" w:space="0" w:color="000000"/>
              <w:right w:val="single" w:sz="4" w:space="0" w:color="000000"/>
            </w:tcBorders>
          </w:tcPr>
          <w:p w14:paraId="3D19B9A2" w14:textId="01D83BA5"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 xml:space="preserve">Razvijena dokazana ili suspektna IFI tokom </w:t>
            </w:r>
            <w:r w:rsidR="004D45E7" w:rsidRPr="00913317">
              <w:rPr>
                <w:color w:val="auto"/>
                <w:sz w:val="22"/>
                <w:szCs w:val="22"/>
                <w:lang w:val="hr-HR"/>
              </w:rPr>
              <w:t>primjen</w:t>
            </w:r>
            <w:r w:rsidRPr="00913317">
              <w:rPr>
                <w:color w:val="auto"/>
                <w:sz w:val="22"/>
                <w:szCs w:val="22"/>
                <w:lang w:val="hr-HR"/>
              </w:rPr>
              <w:t xml:space="preserve">e ispitivanog </w:t>
            </w:r>
            <w:r w:rsidR="004D45E7" w:rsidRPr="00913317">
              <w:rPr>
                <w:color w:val="auto"/>
                <w:sz w:val="22"/>
                <w:szCs w:val="22"/>
                <w:lang w:val="hr-HR"/>
              </w:rPr>
              <w:t>lijek</w:t>
            </w:r>
            <w:r w:rsidRPr="00913317">
              <w:rPr>
                <w:color w:val="auto"/>
                <w:sz w:val="22"/>
                <w:szCs w:val="22"/>
                <w:lang w:val="hr-HR"/>
              </w:rPr>
              <w:t>a</w:t>
            </w:r>
          </w:p>
        </w:tc>
        <w:tc>
          <w:tcPr>
            <w:tcW w:w="787" w:type="pct"/>
            <w:tcBorders>
              <w:top w:val="single" w:sz="4" w:space="0" w:color="000000"/>
              <w:left w:val="single" w:sz="4" w:space="0" w:color="000000"/>
              <w:bottom w:val="single" w:sz="4" w:space="0" w:color="000000"/>
              <w:right w:val="single" w:sz="4" w:space="0" w:color="000000"/>
            </w:tcBorders>
          </w:tcPr>
          <w:p w14:paraId="1EF35CD0"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0</w:t>
            </w:r>
          </w:p>
        </w:tc>
        <w:tc>
          <w:tcPr>
            <w:tcW w:w="741" w:type="pct"/>
            <w:tcBorders>
              <w:top w:val="single" w:sz="4" w:space="0" w:color="000000"/>
              <w:left w:val="single" w:sz="4" w:space="0" w:color="000000"/>
              <w:bottom w:val="single" w:sz="4" w:space="0" w:color="000000"/>
              <w:right w:val="single" w:sz="4" w:space="0" w:color="000000"/>
            </w:tcBorders>
          </w:tcPr>
          <w:p w14:paraId="793C4CAF"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3 (1,2%)</w:t>
            </w:r>
          </w:p>
        </w:tc>
        <w:tc>
          <w:tcPr>
            <w:tcW w:w="1250" w:type="pct"/>
            <w:tcBorders>
              <w:top w:val="single" w:sz="4" w:space="0" w:color="000000"/>
              <w:left w:val="single" w:sz="4" w:space="0" w:color="000000"/>
              <w:bottom w:val="single" w:sz="4" w:space="0" w:color="000000"/>
              <w:right w:val="single" w:sz="4" w:space="0" w:color="000000"/>
            </w:tcBorders>
          </w:tcPr>
          <w:p w14:paraId="1956CD76"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-1,2% (-2,6%; 0,2%)</w:t>
            </w:r>
          </w:p>
        </w:tc>
        <w:tc>
          <w:tcPr>
            <w:tcW w:w="555" w:type="pct"/>
            <w:tcBorders>
              <w:top w:val="single" w:sz="4" w:space="0" w:color="000000"/>
              <w:left w:val="single" w:sz="4" w:space="0" w:color="000000"/>
              <w:bottom w:val="single" w:sz="4" w:space="0" w:color="000000"/>
              <w:right w:val="single" w:sz="4" w:space="0" w:color="000000"/>
            </w:tcBorders>
          </w:tcPr>
          <w:p w14:paraId="3214F352" w14:textId="77777777" w:rsidR="006131C3" w:rsidRPr="00913317" w:rsidRDefault="00BE6E1E" w:rsidP="00D72925">
            <w:pPr>
              <w:pStyle w:val="Default"/>
              <w:jc w:val="both"/>
              <w:rPr>
                <w:color w:val="auto"/>
                <w:sz w:val="22"/>
                <w:szCs w:val="22"/>
                <w:lang w:val="hr-HR"/>
              </w:rPr>
            </w:pPr>
            <w:r w:rsidRPr="00913317">
              <w:rPr>
                <w:color w:val="auto"/>
                <w:sz w:val="22"/>
                <w:szCs w:val="22"/>
                <w:lang w:val="hr-HR"/>
              </w:rPr>
              <w:t>0,0813</w:t>
            </w:r>
          </w:p>
        </w:tc>
      </w:tr>
    </w:tbl>
    <w:p w14:paraId="44D119FB" w14:textId="7C0B4D01" w:rsidR="006131C3" w:rsidRPr="0054718D" w:rsidRDefault="003256B9" w:rsidP="00D72925">
      <w:pPr>
        <w:pStyle w:val="Default"/>
        <w:jc w:val="both"/>
        <w:rPr>
          <w:color w:val="auto"/>
          <w:sz w:val="20"/>
          <w:szCs w:val="22"/>
          <w:lang w:val="hr-HR"/>
        </w:rPr>
      </w:pPr>
      <w:r w:rsidRPr="0054718D">
        <w:rPr>
          <w:color w:val="auto"/>
          <w:sz w:val="20"/>
          <w:szCs w:val="22"/>
          <w:lang w:val="hr-HR"/>
        </w:rPr>
        <w:t xml:space="preserve">* Primarni </w:t>
      </w:r>
      <w:r w:rsidRPr="0054718D">
        <w:rPr>
          <w:bCs/>
          <w:color w:val="auto"/>
          <w:sz w:val="20"/>
          <w:szCs w:val="22"/>
          <w:lang w:val="hr-HR"/>
        </w:rPr>
        <w:t>parametar praćenja ishoda</w:t>
      </w:r>
      <w:r w:rsidRPr="0054718D">
        <w:rPr>
          <w:color w:val="auto"/>
          <w:sz w:val="20"/>
          <w:szCs w:val="22"/>
          <w:lang w:val="hr-HR"/>
        </w:rPr>
        <w:t xml:space="preserve"> studije</w:t>
      </w:r>
    </w:p>
    <w:p w14:paraId="24DE8535" w14:textId="0841E5B1" w:rsidR="006131C3" w:rsidRPr="0054718D" w:rsidRDefault="003256B9" w:rsidP="00D72925">
      <w:pPr>
        <w:pStyle w:val="Default"/>
        <w:jc w:val="both"/>
        <w:rPr>
          <w:color w:val="auto"/>
          <w:sz w:val="20"/>
          <w:szCs w:val="22"/>
          <w:lang w:val="hr-HR"/>
        </w:rPr>
      </w:pPr>
      <w:r w:rsidRPr="0054718D">
        <w:rPr>
          <w:color w:val="auto"/>
          <w:sz w:val="20"/>
          <w:szCs w:val="22"/>
          <w:lang w:val="hr-HR"/>
        </w:rPr>
        <w:t>** Razlika proporcija, 95% CI i p-</w:t>
      </w:r>
      <w:r w:rsidR="004D45E7" w:rsidRPr="0054718D">
        <w:rPr>
          <w:color w:val="auto"/>
          <w:sz w:val="20"/>
          <w:szCs w:val="22"/>
          <w:lang w:val="hr-HR"/>
        </w:rPr>
        <w:t>vrijedno</w:t>
      </w:r>
      <w:r w:rsidRPr="0054718D">
        <w:rPr>
          <w:color w:val="auto"/>
          <w:sz w:val="20"/>
          <w:szCs w:val="22"/>
          <w:lang w:val="hr-HR"/>
        </w:rPr>
        <w:t>st dobijeni nakon prilagođavanja za randomizaciju</w:t>
      </w:r>
    </w:p>
    <w:p w14:paraId="07A8FFA0" w14:textId="77777777" w:rsidR="006131C3" w:rsidRPr="00913317" w:rsidRDefault="006131C3" w:rsidP="00D72925">
      <w:pPr>
        <w:pStyle w:val="Default"/>
        <w:jc w:val="both"/>
        <w:rPr>
          <w:color w:val="auto"/>
          <w:sz w:val="22"/>
          <w:szCs w:val="22"/>
          <w:lang w:val="hr-HR"/>
        </w:rPr>
      </w:pPr>
    </w:p>
    <w:p w14:paraId="79634788" w14:textId="3C47FAEC" w:rsidR="006131C3" w:rsidRPr="00913317" w:rsidRDefault="00BE6E1E" w:rsidP="00D72925">
      <w:pPr>
        <w:pStyle w:val="Default"/>
        <w:jc w:val="both"/>
        <w:rPr>
          <w:color w:val="auto"/>
          <w:sz w:val="22"/>
          <w:szCs w:val="22"/>
          <w:lang w:val="hr-HR"/>
        </w:rPr>
      </w:pPr>
      <w:r w:rsidRPr="00913317">
        <w:rPr>
          <w:color w:val="auto"/>
          <w:sz w:val="22"/>
          <w:szCs w:val="22"/>
          <w:lang w:val="hr-HR"/>
        </w:rPr>
        <w:t>U tabelama u nastavku prikazana je stopa razvoja probojne invazivne gljivične infekcije do 180. dana, kao i primarni</w:t>
      </w:r>
      <w:r w:rsidR="004E431F" w:rsidRPr="00913317">
        <w:rPr>
          <w:color w:val="auto"/>
          <w:sz w:val="22"/>
          <w:szCs w:val="22"/>
          <w:lang w:val="hr-HR"/>
        </w:rPr>
        <w:t xml:space="preserve"> parametar praćenja</w:t>
      </w:r>
      <w:r w:rsidRPr="00913317">
        <w:rPr>
          <w:color w:val="auto"/>
          <w:sz w:val="22"/>
          <w:szCs w:val="22"/>
          <w:lang w:val="hr-HR"/>
        </w:rPr>
        <w:t xml:space="preserve"> </w:t>
      </w:r>
      <w:r w:rsidR="003256B9" w:rsidRPr="00913317">
        <w:rPr>
          <w:color w:val="auto"/>
          <w:sz w:val="22"/>
          <w:szCs w:val="22"/>
          <w:lang w:val="hr-HR"/>
        </w:rPr>
        <w:t>ishoda</w:t>
      </w:r>
      <w:r w:rsidRPr="00913317">
        <w:rPr>
          <w:color w:val="auto"/>
          <w:sz w:val="22"/>
          <w:szCs w:val="22"/>
          <w:lang w:val="hr-HR"/>
        </w:rPr>
        <w:t xml:space="preserve"> studije (usp</w:t>
      </w:r>
      <w:r w:rsidR="00931447" w:rsidRPr="00913317">
        <w:rPr>
          <w:color w:val="auto"/>
          <w:sz w:val="22"/>
          <w:szCs w:val="22"/>
          <w:lang w:val="hr-HR"/>
        </w:rPr>
        <w:t>j</w:t>
      </w:r>
      <w:r w:rsidRPr="00913317">
        <w:rPr>
          <w:color w:val="auto"/>
          <w:sz w:val="22"/>
          <w:szCs w:val="22"/>
          <w:lang w:val="hr-HR"/>
        </w:rPr>
        <w:t xml:space="preserve">eh 180. dana) kod pacijenata sa akutnom mijeloidnom leukemijom, odnosno pacijenata </w:t>
      </w:r>
      <w:r w:rsidR="00C7273D" w:rsidRPr="00913317">
        <w:rPr>
          <w:color w:val="auto"/>
          <w:sz w:val="22"/>
          <w:szCs w:val="22"/>
          <w:lang w:val="hr-HR"/>
        </w:rPr>
        <w:t xml:space="preserve">podvrgnutih </w:t>
      </w:r>
      <w:r w:rsidR="003256B9" w:rsidRPr="00913317">
        <w:rPr>
          <w:color w:val="auto"/>
          <w:sz w:val="22"/>
          <w:szCs w:val="22"/>
          <w:lang w:val="hr-HR"/>
        </w:rPr>
        <w:t>mijeloablativnom postupku</w:t>
      </w:r>
      <w:r w:rsidR="00C7273D" w:rsidRPr="00913317">
        <w:rPr>
          <w:color w:val="auto"/>
          <w:sz w:val="22"/>
          <w:szCs w:val="22"/>
          <w:lang w:val="hr-HR"/>
        </w:rPr>
        <w:t>.</w:t>
      </w:r>
    </w:p>
    <w:p w14:paraId="70BC2543" w14:textId="77777777" w:rsidR="00BE6E1E" w:rsidRPr="00913317" w:rsidRDefault="00BE6E1E" w:rsidP="00D72925">
      <w:pPr>
        <w:pStyle w:val="Default"/>
        <w:keepNext/>
        <w:keepLines/>
        <w:jc w:val="both"/>
        <w:rPr>
          <w:b/>
          <w:color w:val="auto"/>
          <w:sz w:val="22"/>
          <w:szCs w:val="22"/>
          <w:lang w:val="hr-HR"/>
        </w:rPr>
      </w:pPr>
    </w:p>
    <w:p w14:paraId="7CEE7B17" w14:textId="77777777" w:rsidR="00BE6E1E" w:rsidRPr="00913317" w:rsidRDefault="00BE6E1E" w:rsidP="00D72925">
      <w:pPr>
        <w:pStyle w:val="Default"/>
        <w:keepNext/>
        <w:keepLines/>
        <w:jc w:val="both"/>
        <w:rPr>
          <w:b/>
          <w:color w:val="auto"/>
          <w:sz w:val="22"/>
          <w:szCs w:val="22"/>
          <w:lang w:val="hr-HR"/>
        </w:rPr>
      </w:pPr>
      <w:r w:rsidRPr="00913317">
        <w:rPr>
          <w:b/>
          <w:color w:val="auto"/>
          <w:sz w:val="22"/>
          <w:szCs w:val="22"/>
          <w:lang w:val="hr-HR"/>
        </w:rPr>
        <w:t>Akutna mijeloidna leukemija</w:t>
      </w:r>
    </w:p>
    <w:p w14:paraId="63F51604" w14:textId="77777777" w:rsidR="00BE6E1E" w:rsidRPr="00913317" w:rsidRDefault="00BE6E1E" w:rsidP="00D72925">
      <w:pPr>
        <w:pStyle w:val="Default"/>
        <w:keepNext/>
        <w:keepLines/>
        <w:jc w:val="both"/>
        <w:rPr>
          <w:color w:val="auto"/>
          <w:sz w:val="22"/>
          <w:szCs w:val="22"/>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8"/>
        <w:gridCol w:w="1610"/>
        <w:gridCol w:w="1516"/>
        <w:gridCol w:w="3223"/>
      </w:tblGrid>
      <w:tr w:rsidR="00935053" w:rsidRPr="00913317" w14:paraId="348DC923" w14:textId="77777777" w:rsidTr="0054718D">
        <w:tc>
          <w:tcPr>
            <w:tcW w:w="1582" w:type="pct"/>
            <w:tcBorders>
              <w:bottom w:val="single" w:sz="4" w:space="0" w:color="000000"/>
            </w:tcBorders>
            <w:shd w:val="clear" w:color="auto" w:fill="EEECE1"/>
          </w:tcPr>
          <w:p w14:paraId="4C5A909D" w14:textId="73A27676" w:rsidR="00BE6E1E" w:rsidRPr="00913317" w:rsidRDefault="003256B9" w:rsidP="00D72925">
            <w:pPr>
              <w:pStyle w:val="Default"/>
              <w:tabs>
                <w:tab w:val="left" w:pos="284"/>
              </w:tabs>
              <w:jc w:val="both"/>
              <w:rPr>
                <w:b/>
                <w:color w:val="auto"/>
                <w:sz w:val="22"/>
                <w:szCs w:val="22"/>
                <w:lang w:val="hr-HR"/>
              </w:rPr>
            </w:pPr>
            <w:r w:rsidRPr="00913317">
              <w:rPr>
                <w:b/>
                <w:bCs/>
                <w:color w:val="auto"/>
                <w:sz w:val="22"/>
                <w:szCs w:val="22"/>
                <w:lang w:val="hr-HR"/>
              </w:rPr>
              <w:t xml:space="preserve">Parametri praćenja </w:t>
            </w:r>
            <w:r w:rsidR="00EB02E1" w:rsidRPr="00913317">
              <w:rPr>
                <w:b/>
                <w:bCs/>
                <w:color w:val="auto"/>
                <w:sz w:val="22"/>
                <w:szCs w:val="22"/>
                <w:lang w:val="hr-HR"/>
              </w:rPr>
              <w:t>ishoda</w:t>
            </w:r>
            <w:r w:rsidR="00604E70" w:rsidRPr="00913317">
              <w:rPr>
                <w:b/>
                <w:color w:val="auto"/>
                <w:sz w:val="22"/>
                <w:szCs w:val="22"/>
                <w:lang w:val="hr-HR"/>
              </w:rPr>
              <w:t xml:space="preserve"> </w:t>
            </w:r>
            <w:r w:rsidR="00BE6E1E" w:rsidRPr="00913317">
              <w:rPr>
                <w:b/>
                <w:color w:val="auto"/>
                <w:sz w:val="22"/>
                <w:szCs w:val="22"/>
                <w:lang w:val="hr-HR"/>
              </w:rPr>
              <w:t>studije</w:t>
            </w:r>
          </w:p>
        </w:tc>
        <w:tc>
          <w:tcPr>
            <w:tcW w:w="867" w:type="pct"/>
            <w:tcBorders>
              <w:bottom w:val="single" w:sz="4" w:space="0" w:color="000000"/>
            </w:tcBorders>
            <w:shd w:val="clear" w:color="auto" w:fill="EEECE1"/>
          </w:tcPr>
          <w:p w14:paraId="496AA5DC" w14:textId="05311104" w:rsidR="00BE6E1E" w:rsidRPr="00913317" w:rsidRDefault="00BE6E1E" w:rsidP="00D72925">
            <w:pPr>
              <w:pStyle w:val="Default"/>
              <w:tabs>
                <w:tab w:val="left" w:pos="284"/>
              </w:tabs>
              <w:jc w:val="both"/>
              <w:rPr>
                <w:b/>
                <w:color w:val="auto"/>
                <w:sz w:val="22"/>
                <w:szCs w:val="22"/>
                <w:lang w:val="hr-HR"/>
              </w:rPr>
            </w:pPr>
            <w:r w:rsidRPr="00913317">
              <w:rPr>
                <w:b/>
                <w:color w:val="auto"/>
                <w:sz w:val="22"/>
                <w:szCs w:val="22"/>
                <w:lang w:val="hr-HR"/>
              </w:rPr>
              <w:t>Vorikonazol</w:t>
            </w:r>
          </w:p>
          <w:p w14:paraId="1B69C60F" w14:textId="46667D9A" w:rsidR="00BE6E1E" w:rsidRPr="00913317" w:rsidRDefault="00BE6E1E" w:rsidP="00D72925">
            <w:pPr>
              <w:pStyle w:val="Default"/>
              <w:tabs>
                <w:tab w:val="left" w:pos="284"/>
              </w:tabs>
              <w:jc w:val="both"/>
              <w:rPr>
                <w:b/>
                <w:color w:val="auto"/>
                <w:sz w:val="22"/>
                <w:szCs w:val="22"/>
                <w:lang w:val="hr-HR"/>
              </w:rPr>
            </w:pPr>
            <w:r w:rsidRPr="00913317">
              <w:rPr>
                <w:b/>
                <w:color w:val="auto"/>
                <w:sz w:val="22"/>
                <w:szCs w:val="22"/>
                <w:lang w:val="hr-HR"/>
              </w:rPr>
              <w:t>(N=98)</w:t>
            </w:r>
          </w:p>
        </w:tc>
        <w:tc>
          <w:tcPr>
            <w:tcW w:w="816" w:type="pct"/>
            <w:tcBorders>
              <w:bottom w:val="single" w:sz="4" w:space="0" w:color="000000"/>
            </w:tcBorders>
            <w:shd w:val="clear" w:color="auto" w:fill="EEECE1"/>
          </w:tcPr>
          <w:p w14:paraId="43DFFED2" w14:textId="77777777" w:rsidR="00BE6E1E" w:rsidRPr="00913317" w:rsidRDefault="00BE6E1E" w:rsidP="00D72925">
            <w:pPr>
              <w:pStyle w:val="Default"/>
              <w:tabs>
                <w:tab w:val="left" w:pos="284"/>
              </w:tabs>
              <w:jc w:val="both"/>
              <w:rPr>
                <w:b/>
                <w:color w:val="auto"/>
                <w:sz w:val="22"/>
                <w:szCs w:val="22"/>
                <w:lang w:val="hr-HR"/>
              </w:rPr>
            </w:pPr>
            <w:r w:rsidRPr="00913317">
              <w:rPr>
                <w:b/>
                <w:color w:val="auto"/>
                <w:sz w:val="22"/>
                <w:szCs w:val="22"/>
                <w:lang w:val="hr-HR"/>
              </w:rPr>
              <w:t>Itrakonazol</w:t>
            </w:r>
          </w:p>
          <w:p w14:paraId="033FA22C" w14:textId="77777777" w:rsidR="00BE6E1E" w:rsidRPr="00913317" w:rsidRDefault="00BE6E1E" w:rsidP="00D72925">
            <w:pPr>
              <w:pStyle w:val="Default"/>
              <w:tabs>
                <w:tab w:val="left" w:pos="284"/>
              </w:tabs>
              <w:jc w:val="both"/>
              <w:rPr>
                <w:b/>
                <w:color w:val="auto"/>
                <w:sz w:val="22"/>
                <w:szCs w:val="22"/>
                <w:lang w:val="hr-HR"/>
              </w:rPr>
            </w:pPr>
            <w:r w:rsidRPr="00913317">
              <w:rPr>
                <w:b/>
                <w:color w:val="auto"/>
                <w:sz w:val="22"/>
                <w:szCs w:val="22"/>
                <w:lang w:val="hr-HR"/>
              </w:rPr>
              <w:t>(N=109)</w:t>
            </w:r>
          </w:p>
        </w:tc>
        <w:tc>
          <w:tcPr>
            <w:tcW w:w="1735" w:type="pct"/>
            <w:tcBorders>
              <w:bottom w:val="single" w:sz="4" w:space="0" w:color="000000"/>
            </w:tcBorders>
            <w:shd w:val="clear" w:color="auto" w:fill="EEECE1"/>
          </w:tcPr>
          <w:p w14:paraId="3B3D2A55" w14:textId="77777777" w:rsidR="006131C3" w:rsidRPr="00913317" w:rsidRDefault="00BE6E1E" w:rsidP="00D72925">
            <w:pPr>
              <w:pStyle w:val="Default"/>
              <w:jc w:val="both"/>
              <w:rPr>
                <w:b/>
                <w:color w:val="auto"/>
                <w:sz w:val="22"/>
                <w:szCs w:val="22"/>
                <w:lang w:val="hr-HR"/>
              </w:rPr>
            </w:pPr>
            <w:r w:rsidRPr="00913317">
              <w:rPr>
                <w:b/>
                <w:color w:val="auto"/>
                <w:sz w:val="22"/>
                <w:szCs w:val="22"/>
                <w:lang w:val="hr-HR"/>
              </w:rPr>
              <w:t>Razlika proporcija i 95% interval pouzdanosti (CI)</w:t>
            </w:r>
          </w:p>
        </w:tc>
      </w:tr>
      <w:tr w:rsidR="00935053" w:rsidRPr="00913317" w14:paraId="54B0A117" w14:textId="77777777" w:rsidTr="0054718D">
        <w:tc>
          <w:tcPr>
            <w:tcW w:w="1582" w:type="pct"/>
          </w:tcPr>
          <w:p w14:paraId="3E6A0E6B"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Proboj IFI – 180. dan</w:t>
            </w:r>
          </w:p>
        </w:tc>
        <w:tc>
          <w:tcPr>
            <w:tcW w:w="867" w:type="pct"/>
          </w:tcPr>
          <w:p w14:paraId="05B7FC63"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1 (1,0%)</w:t>
            </w:r>
          </w:p>
        </w:tc>
        <w:tc>
          <w:tcPr>
            <w:tcW w:w="816" w:type="pct"/>
          </w:tcPr>
          <w:p w14:paraId="7E5A0973" w14:textId="64ED4ACB"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2 (1,8%)</w:t>
            </w:r>
          </w:p>
        </w:tc>
        <w:tc>
          <w:tcPr>
            <w:tcW w:w="1735" w:type="pct"/>
          </w:tcPr>
          <w:p w14:paraId="5F29766A" w14:textId="77777777" w:rsidR="00BE6E1E" w:rsidRPr="00913317" w:rsidRDefault="00BE6E1E" w:rsidP="00D72925">
            <w:pPr>
              <w:pStyle w:val="Paragraph"/>
              <w:tabs>
                <w:tab w:val="left" w:pos="284"/>
              </w:tabs>
              <w:spacing w:after="0"/>
              <w:jc w:val="both"/>
              <w:rPr>
                <w:sz w:val="22"/>
                <w:szCs w:val="22"/>
                <w:lang w:val="hr-HR"/>
              </w:rPr>
            </w:pPr>
            <w:r w:rsidRPr="00913317">
              <w:rPr>
                <w:sz w:val="22"/>
                <w:szCs w:val="22"/>
                <w:lang w:val="hr-HR"/>
              </w:rPr>
              <w:t>-0,8% (-4,0%; 2,4%) **</w:t>
            </w:r>
          </w:p>
        </w:tc>
      </w:tr>
      <w:tr w:rsidR="00935053" w:rsidRPr="00913317" w14:paraId="6BA5BAFB" w14:textId="77777777" w:rsidTr="0054718D">
        <w:tc>
          <w:tcPr>
            <w:tcW w:w="1582" w:type="pct"/>
            <w:tcBorders>
              <w:bottom w:val="single" w:sz="4" w:space="0" w:color="000000"/>
            </w:tcBorders>
          </w:tcPr>
          <w:p w14:paraId="1720CE5E" w14:textId="796010E5"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Usp</w:t>
            </w:r>
            <w:r w:rsidR="000858E4" w:rsidRPr="00913317">
              <w:rPr>
                <w:color w:val="auto"/>
                <w:sz w:val="22"/>
                <w:szCs w:val="22"/>
                <w:lang w:val="hr-HR"/>
              </w:rPr>
              <w:t>j</w:t>
            </w:r>
            <w:r w:rsidRPr="00913317">
              <w:rPr>
                <w:color w:val="auto"/>
                <w:sz w:val="22"/>
                <w:szCs w:val="22"/>
                <w:lang w:val="hr-HR"/>
              </w:rPr>
              <w:t>eh 180. dana*</w:t>
            </w:r>
          </w:p>
        </w:tc>
        <w:tc>
          <w:tcPr>
            <w:tcW w:w="867" w:type="pct"/>
            <w:tcBorders>
              <w:bottom w:val="single" w:sz="4" w:space="0" w:color="000000"/>
            </w:tcBorders>
          </w:tcPr>
          <w:p w14:paraId="6099ABE9"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55 (56,1%)</w:t>
            </w:r>
          </w:p>
        </w:tc>
        <w:tc>
          <w:tcPr>
            <w:tcW w:w="816" w:type="pct"/>
            <w:tcBorders>
              <w:bottom w:val="single" w:sz="4" w:space="0" w:color="000000"/>
            </w:tcBorders>
          </w:tcPr>
          <w:p w14:paraId="0264F997"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45 (41,3%)</w:t>
            </w:r>
          </w:p>
        </w:tc>
        <w:tc>
          <w:tcPr>
            <w:tcW w:w="1735" w:type="pct"/>
            <w:tcBorders>
              <w:bottom w:val="single" w:sz="4" w:space="0" w:color="000000"/>
            </w:tcBorders>
          </w:tcPr>
          <w:p w14:paraId="76C7D791" w14:textId="77777777" w:rsidR="00BE6E1E" w:rsidRPr="00913317" w:rsidRDefault="00BE6E1E" w:rsidP="00D72925">
            <w:pPr>
              <w:pStyle w:val="Paragraph"/>
              <w:widowControl w:val="0"/>
              <w:tabs>
                <w:tab w:val="left" w:pos="284"/>
              </w:tabs>
              <w:autoSpaceDE w:val="0"/>
              <w:autoSpaceDN w:val="0"/>
              <w:adjustRightInd w:val="0"/>
              <w:spacing w:after="0"/>
              <w:jc w:val="both"/>
              <w:rPr>
                <w:sz w:val="22"/>
                <w:szCs w:val="22"/>
                <w:lang w:val="hr-HR"/>
              </w:rPr>
            </w:pPr>
            <w:r w:rsidRPr="00913317">
              <w:rPr>
                <w:sz w:val="22"/>
                <w:szCs w:val="22"/>
                <w:lang w:val="hr-HR"/>
              </w:rPr>
              <w:t>14,7% (1,7%; 27,7%)***</w:t>
            </w:r>
          </w:p>
        </w:tc>
      </w:tr>
    </w:tbl>
    <w:p w14:paraId="50030FC4" w14:textId="3AA78700" w:rsidR="006131C3" w:rsidRPr="0054718D" w:rsidRDefault="003256B9" w:rsidP="00D72925">
      <w:pPr>
        <w:pStyle w:val="Default"/>
        <w:jc w:val="both"/>
        <w:rPr>
          <w:color w:val="auto"/>
          <w:sz w:val="20"/>
          <w:szCs w:val="22"/>
          <w:lang w:val="hr-HR"/>
        </w:rPr>
      </w:pPr>
      <w:r w:rsidRPr="0054718D">
        <w:rPr>
          <w:color w:val="auto"/>
          <w:sz w:val="20"/>
          <w:szCs w:val="22"/>
          <w:lang w:val="hr-HR"/>
        </w:rPr>
        <w:t xml:space="preserve">* Primarni </w:t>
      </w:r>
      <w:r w:rsidRPr="0054718D">
        <w:rPr>
          <w:bCs/>
          <w:color w:val="auto"/>
          <w:sz w:val="20"/>
          <w:szCs w:val="22"/>
          <w:lang w:val="hr-HR"/>
        </w:rPr>
        <w:t>parametar praćenja ishoda</w:t>
      </w:r>
      <w:r w:rsidRPr="0054718D">
        <w:rPr>
          <w:color w:val="auto"/>
          <w:sz w:val="20"/>
          <w:szCs w:val="22"/>
          <w:lang w:val="hr-HR"/>
        </w:rPr>
        <w:t xml:space="preserve"> studije</w:t>
      </w:r>
    </w:p>
    <w:p w14:paraId="2080B14A" w14:textId="237D6C6C" w:rsidR="006131C3" w:rsidRPr="0054718D" w:rsidRDefault="003256B9" w:rsidP="00D72925">
      <w:pPr>
        <w:pStyle w:val="Default"/>
        <w:jc w:val="both"/>
        <w:rPr>
          <w:color w:val="auto"/>
          <w:sz w:val="20"/>
          <w:szCs w:val="22"/>
          <w:lang w:val="hr-HR"/>
        </w:rPr>
      </w:pPr>
      <w:r w:rsidRPr="0054718D">
        <w:rPr>
          <w:color w:val="auto"/>
          <w:sz w:val="20"/>
          <w:szCs w:val="22"/>
          <w:lang w:val="hr-HR"/>
        </w:rPr>
        <w:t xml:space="preserve">** </w:t>
      </w:r>
      <w:r w:rsidRPr="0054718D">
        <w:rPr>
          <w:color w:val="auto"/>
          <w:spacing w:val="-1"/>
          <w:sz w:val="20"/>
          <w:szCs w:val="22"/>
          <w:lang w:val="hr-HR"/>
        </w:rPr>
        <w:t>U</w:t>
      </w:r>
      <w:r w:rsidRPr="0054718D">
        <w:rPr>
          <w:color w:val="auto"/>
          <w:sz w:val="20"/>
          <w:szCs w:val="22"/>
          <w:lang w:val="hr-HR"/>
        </w:rPr>
        <w:t>z</w:t>
      </w:r>
      <w:r w:rsidRPr="0054718D">
        <w:rPr>
          <w:color w:val="auto"/>
          <w:spacing w:val="7"/>
          <w:sz w:val="20"/>
          <w:szCs w:val="22"/>
          <w:lang w:val="hr-HR"/>
        </w:rPr>
        <w:t xml:space="preserve"> </w:t>
      </w:r>
      <w:r w:rsidR="004D45E7" w:rsidRPr="0054718D">
        <w:rPr>
          <w:color w:val="auto"/>
          <w:spacing w:val="-1"/>
          <w:sz w:val="20"/>
          <w:szCs w:val="22"/>
          <w:lang w:val="hr-HR"/>
        </w:rPr>
        <w:t>primjen</w:t>
      </w:r>
      <w:r w:rsidRPr="0054718D">
        <w:rPr>
          <w:color w:val="auto"/>
          <w:sz w:val="20"/>
          <w:szCs w:val="22"/>
          <w:lang w:val="hr-HR"/>
        </w:rPr>
        <w:t>u</w:t>
      </w:r>
      <w:r w:rsidRPr="0054718D">
        <w:rPr>
          <w:color w:val="auto"/>
          <w:spacing w:val="21"/>
          <w:sz w:val="20"/>
          <w:szCs w:val="22"/>
          <w:lang w:val="hr-HR"/>
        </w:rPr>
        <w:t xml:space="preserve"> </w:t>
      </w:r>
      <w:r w:rsidRPr="0054718D">
        <w:rPr>
          <w:color w:val="auto"/>
          <w:sz w:val="20"/>
          <w:szCs w:val="22"/>
          <w:lang w:val="hr-HR"/>
        </w:rPr>
        <w:t>granice</w:t>
      </w:r>
      <w:r w:rsidRPr="0054718D">
        <w:rPr>
          <w:color w:val="auto"/>
          <w:spacing w:val="19"/>
          <w:sz w:val="20"/>
          <w:szCs w:val="22"/>
          <w:lang w:val="hr-HR"/>
        </w:rPr>
        <w:t xml:space="preserve"> </w:t>
      </w:r>
      <w:r w:rsidRPr="0054718D">
        <w:rPr>
          <w:color w:val="auto"/>
          <w:sz w:val="20"/>
          <w:szCs w:val="22"/>
          <w:lang w:val="hr-HR"/>
        </w:rPr>
        <w:t xml:space="preserve">od 5%, pokazana je neinferiornost </w:t>
      </w:r>
    </w:p>
    <w:p w14:paraId="041E2A9E" w14:textId="4CAF18DD" w:rsidR="006131C3" w:rsidRPr="0054718D" w:rsidRDefault="003256B9" w:rsidP="00D72925">
      <w:pPr>
        <w:pStyle w:val="Default"/>
        <w:jc w:val="both"/>
        <w:rPr>
          <w:color w:val="auto"/>
          <w:sz w:val="20"/>
          <w:szCs w:val="22"/>
          <w:lang w:val="hr-HR"/>
        </w:rPr>
      </w:pPr>
      <w:r w:rsidRPr="0054718D">
        <w:rPr>
          <w:color w:val="auto"/>
          <w:sz w:val="20"/>
          <w:szCs w:val="22"/>
          <w:lang w:val="hr-HR"/>
        </w:rPr>
        <w:t>*** Razlika proporcija, 95% CI dobijena nakon prilagođavanja za randomizaciju</w:t>
      </w:r>
    </w:p>
    <w:p w14:paraId="1455B4DC" w14:textId="77777777" w:rsidR="006131C3" w:rsidRPr="00913317" w:rsidRDefault="006131C3" w:rsidP="00D72925">
      <w:pPr>
        <w:rPr>
          <w:b/>
          <w:color w:val="FF0000"/>
          <w:szCs w:val="22"/>
          <w:lang w:val="hr-HR"/>
        </w:rPr>
      </w:pPr>
    </w:p>
    <w:p w14:paraId="37081E02" w14:textId="42106B82" w:rsidR="004E431F" w:rsidRPr="00913317" w:rsidRDefault="004E431F" w:rsidP="00D72925">
      <w:pPr>
        <w:ind w:right="-20"/>
        <w:rPr>
          <w:szCs w:val="22"/>
          <w:lang w:val="hr-HR"/>
        </w:rPr>
      </w:pPr>
      <w:r w:rsidRPr="00913317">
        <w:rPr>
          <w:b/>
          <w:bCs/>
          <w:szCs w:val="22"/>
          <w:lang w:val="hr-HR"/>
        </w:rPr>
        <w:t>Mijeloablativni</w:t>
      </w:r>
      <w:r w:rsidRPr="00913317">
        <w:rPr>
          <w:b/>
          <w:bCs/>
          <w:spacing w:val="41"/>
          <w:szCs w:val="22"/>
          <w:lang w:val="hr-HR"/>
        </w:rPr>
        <w:t xml:space="preserve"> </w:t>
      </w:r>
      <w:r w:rsidRPr="00913317">
        <w:rPr>
          <w:b/>
          <w:bCs/>
          <w:szCs w:val="22"/>
          <w:lang w:val="hr-HR"/>
        </w:rPr>
        <w:t>postupci</w:t>
      </w:r>
      <w:r w:rsidRPr="00913317">
        <w:rPr>
          <w:b/>
          <w:bCs/>
          <w:spacing w:val="24"/>
          <w:szCs w:val="22"/>
          <w:lang w:val="hr-HR"/>
        </w:rPr>
        <w:t xml:space="preserve"> </w:t>
      </w:r>
      <w:r w:rsidRPr="00913317">
        <w:rPr>
          <w:b/>
          <w:bCs/>
          <w:w w:val="103"/>
          <w:szCs w:val="22"/>
          <w:lang w:val="hr-HR"/>
        </w:rPr>
        <w:t>l</w:t>
      </w:r>
      <w:r w:rsidR="005453B7" w:rsidRPr="00913317">
        <w:rPr>
          <w:b/>
          <w:bCs/>
          <w:w w:val="103"/>
          <w:szCs w:val="22"/>
          <w:lang w:val="hr-HR"/>
        </w:rPr>
        <w:t>ij</w:t>
      </w:r>
      <w:r w:rsidRPr="00913317">
        <w:rPr>
          <w:b/>
          <w:bCs/>
          <w:spacing w:val="-7"/>
          <w:w w:val="103"/>
          <w:szCs w:val="22"/>
          <w:lang w:val="hr-HR"/>
        </w:rPr>
        <w:t>e</w:t>
      </w:r>
      <w:r w:rsidRPr="00913317">
        <w:rPr>
          <w:b/>
          <w:bCs/>
          <w:spacing w:val="-1"/>
          <w:w w:val="103"/>
          <w:szCs w:val="22"/>
          <w:lang w:val="hr-HR"/>
        </w:rPr>
        <w:t>č</w:t>
      </w:r>
      <w:r w:rsidRPr="00913317">
        <w:rPr>
          <w:b/>
          <w:bCs/>
          <w:spacing w:val="1"/>
          <w:w w:val="103"/>
          <w:szCs w:val="22"/>
          <w:lang w:val="hr-HR"/>
        </w:rPr>
        <w:t>enja</w:t>
      </w:r>
    </w:p>
    <w:p w14:paraId="4D741482" w14:textId="77777777" w:rsidR="006131C3" w:rsidRPr="00913317" w:rsidRDefault="006131C3" w:rsidP="00D72925">
      <w:pPr>
        <w:rPr>
          <w:b/>
          <w:szCs w:val="22"/>
          <w:lang w:val="hr-HR"/>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935053" w:rsidRPr="00913317" w14:paraId="20F46585" w14:textId="77777777" w:rsidTr="00280EB1">
        <w:tc>
          <w:tcPr>
            <w:tcW w:w="2790" w:type="dxa"/>
            <w:tcBorders>
              <w:top w:val="single" w:sz="4" w:space="0" w:color="auto"/>
            </w:tcBorders>
            <w:shd w:val="clear" w:color="auto" w:fill="EEECE1"/>
          </w:tcPr>
          <w:p w14:paraId="79439AA3" w14:textId="2F3C9381" w:rsidR="00BE6E1E" w:rsidRPr="00913317" w:rsidRDefault="003256B9" w:rsidP="00D72925">
            <w:pPr>
              <w:pStyle w:val="Default"/>
              <w:tabs>
                <w:tab w:val="left" w:pos="284"/>
              </w:tabs>
              <w:jc w:val="both"/>
              <w:rPr>
                <w:b/>
                <w:color w:val="auto"/>
                <w:sz w:val="22"/>
                <w:szCs w:val="22"/>
                <w:lang w:val="hr-HR"/>
              </w:rPr>
            </w:pPr>
            <w:r w:rsidRPr="00913317">
              <w:rPr>
                <w:b/>
                <w:bCs/>
                <w:color w:val="auto"/>
                <w:sz w:val="22"/>
                <w:szCs w:val="22"/>
                <w:lang w:val="hr-HR"/>
              </w:rPr>
              <w:t xml:space="preserve">Parametri praćenja ishoda </w:t>
            </w:r>
            <w:r w:rsidR="00C7273D" w:rsidRPr="00913317">
              <w:rPr>
                <w:b/>
                <w:color w:val="auto"/>
                <w:sz w:val="22"/>
                <w:szCs w:val="22"/>
                <w:lang w:val="hr-HR"/>
              </w:rPr>
              <w:t>studije</w:t>
            </w:r>
          </w:p>
        </w:tc>
        <w:tc>
          <w:tcPr>
            <w:tcW w:w="1530" w:type="dxa"/>
            <w:tcBorders>
              <w:top w:val="single" w:sz="4" w:space="0" w:color="auto"/>
            </w:tcBorders>
            <w:shd w:val="clear" w:color="auto" w:fill="EEECE1"/>
          </w:tcPr>
          <w:p w14:paraId="31905022" w14:textId="5A925609" w:rsidR="00BE6E1E" w:rsidRPr="00913317" w:rsidRDefault="00BE6E1E" w:rsidP="00D72925">
            <w:pPr>
              <w:pStyle w:val="Default"/>
              <w:tabs>
                <w:tab w:val="left" w:pos="284"/>
              </w:tabs>
              <w:jc w:val="both"/>
              <w:rPr>
                <w:b/>
                <w:color w:val="auto"/>
                <w:sz w:val="22"/>
                <w:szCs w:val="22"/>
                <w:lang w:val="hr-HR"/>
              </w:rPr>
            </w:pPr>
            <w:r w:rsidRPr="00913317">
              <w:rPr>
                <w:b/>
                <w:color w:val="auto"/>
                <w:sz w:val="22"/>
                <w:szCs w:val="22"/>
                <w:lang w:val="hr-HR"/>
              </w:rPr>
              <w:t>Vorikonazol</w:t>
            </w:r>
          </w:p>
          <w:p w14:paraId="085EF801" w14:textId="3AFB7082" w:rsidR="00BE6E1E" w:rsidRPr="00913317" w:rsidRDefault="00BE6E1E" w:rsidP="00D72925">
            <w:pPr>
              <w:pStyle w:val="Default"/>
              <w:tabs>
                <w:tab w:val="left" w:pos="284"/>
              </w:tabs>
              <w:jc w:val="both"/>
              <w:rPr>
                <w:b/>
                <w:color w:val="auto"/>
                <w:sz w:val="22"/>
                <w:szCs w:val="22"/>
                <w:lang w:val="hr-HR"/>
              </w:rPr>
            </w:pPr>
            <w:r w:rsidRPr="00913317">
              <w:rPr>
                <w:b/>
                <w:color w:val="auto"/>
                <w:sz w:val="22"/>
                <w:szCs w:val="22"/>
                <w:lang w:val="hr-HR"/>
              </w:rPr>
              <w:t>(N=125)</w:t>
            </w:r>
          </w:p>
        </w:tc>
        <w:tc>
          <w:tcPr>
            <w:tcW w:w="1440" w:type="dxa"/>
            <w:tcBorders>
              <w:top w:val="single" w:sz="4" w:space="0" w:color="auto"/>
            </w:tcBorders>
            <w:shd w:val="clear" w:color="auto" w:fill="EEECE1"/>
          </w:tcPr>
          <w:p w14:paraId="3E5CF510" w14:textId="77777777" w:rsidR="00BE6E1E" w:rsidRPr="00913317" w:rsidRDefault="00BE6E1E" w:rsidP="00D72925">
            <w:pPr>
              <w:pStyle w:val="Default"/>
              <w:tabs>
                <w:tab w:val="left" w:pos="284"/>
              </w:tabs>
              <w:jc w:val="both"/>
              <w:rPr>
                <w:b/>
                <w:color w:val="auto"/>
                <w:sz w:val="22"/>
                <w:szCs w:val="22"/>
                <w:lang w:val="hr-HR"/>
              </w:rPr>
            </w:pPr>
            <w:r w:rsidRPr="00913317">
              <w:rPr>
                <w:b/>
                <w:color w:val="auto"/>
                <w:sz w:val="22"/>
                <w:szCs w:val="22"/>
                <w:lang w:val="hr-HR"/>
              </w:rPr>
              <w:t>Itrakonazol</w:t>
            </w:r>
          </w:p>
          <w:p w14:paraId="0F323138" w14:textId="77777777" w:rsidR="00BE6E1E" w:rsidRPr="00913317" w:rsidRDefault="00BE6E1E" w:rsidP="00D72925">
            <w:pPr>
              <w:pStyle w:val="Default"/>
              <w:tabs>
                <w:tab w:val="left" w:pos="284"/>
              </w:tabs>
              <w:jc w:val="both"/>
              <w:rPr>
                <w:b/>
                <w:color w:val="auto"/>
                <w:sz w:val="22"/>
                <w:szCs w:val="22"/>
                <w:lang w:val="hr-HR"/>
              </w:rPr>
            </w:pPr>
            <w:r w:rsidRPr="00913317">
              <w:rPr>
                <w:b/>
                <w:color w:val="auto"/>
                <w:sz w:val="22"/>
                <w:szCs w:val="22"/>
                <w:lang w:val="hr-HR"/>
              </w:rPr>
              <w:t>(N=143)</w:t>
            </w:r>
          </w:p>
        </w:tc>
        <w:tc>
          <w:tcPr>
            <w:tcW w:w="3060" w:type="dxa"/>
            <w:tcBorders>
              <w:top w:val="single" w:sz="4" w:space="0" w:color="auto"/>
            </w:tcBorders>
            <w:shd w:val="clear" w:color="auto" w:fill="EEECE1"/>
          </w:tcPr>
          <w:p w14:paraId="1396F2FC" w14:textId="77777777" w:rsidR="006131C3" w:rsidRPr="00913317" w:rsidRDefault="00BE6E1E" w:rsidP="00D72925">
            <w:pPr>
              <w:pStyle w:val="Default"/>
              <w:jc w:val="both"/>
              <w:rPr>
                <w:b/>
                <w:color w:val="auto"/>
                <w:sz w:val="22"/>
                <w:szCs w:val="22"/>
                <w:lang w:val="hr-HR"/>
              </w:rPr>
            </w:pPr>
            <w:r w:rsidRPr="00913317">
              <w:rPr>
                <w:b/>
                <w:color w:val="auto"/>
                <w:sz w:val="22"/>
                <w:szCs w:val="22"/>
                <w:lang w:val="hr-HR"/>
              </w:rPr>
              <w:t>Razlika proporcija i 95% interval pouzdanosti (CI)</w:t>
            </w:r>
          </w:p>
        </w:tc>
      </w:tr>
      <w:tr w:rsidR="00935053" w:rsidRPr="00913317" w14:paraId="46E5DE05" w14:textId="77777777" w:rsidTr="00280EB1">
        <w:tc>
          <w:tcPr>
            <w:tcW w:w="2790" w:type="dxa"/>
          </w:tcPr>
          <w:p w14:paraId="5AE76D17" w14:textId="77777777" w:rsidR="00BE6E1E" w:rsidRPr="00913317" w:rsidRDefault="004E431F" w:rsidP="00D72925">
            <w:pPr>
              <w:pStyle w:val="Default"/>
              <w:tabs>
                <w:tab w:val="left" w:pos="284"/>
              </w:tabs>
              <w:jc w:val="both"/>
              <w:rPr>
                <w:color w:val="auto"/>
                <w:sz w:val="22"/>
                <w:szCs w:val="22"/>
                <w:lang w:val="hr-HR"/>
              </w:rPr>
            </w:pPr>
            <w:r w:rsidRPr="00913317">
              <w:rPr>
                <w:color w:val="auto"/>
                <w:sz w:val="22"/>
                <w:szCs w:val="22"/>
                <w:lang w:val="hr-HR"/>
              </w:rPr>
              <w:t>Proboj</w:t>
            </w:r>
            <w:r w:rsidRPr="00913317" w:rsidDel="004E431F">
              <w:rPr>
                <w:color w:val="auto"/>
                <w:sz w:val="22"/>
                <w:szCs w:val="22"/>
                <w:lang w:val="hr-HR"/>
              </w:rPr>
              <w:t xml:space="preserve"> </w:t>
            </w:r>
            <w:r w:rsidR="00BE6E1E" w:rsidRPr="00913317">
              <w:rPr>
                <w:color w:val="auto"/>
                <w:sz w:val="22"/>
                <w:szCs w:val="22"/>
                <w:lang w:val="hr-HR"/>
              </w:rPr>
              <w:t>IFI – 180. dan</w:t>
            </w:r>
          </w:p>
        </w:tc>
        <w:tc>
          <w:tcPr>
            <w:tcW w:w="1530" w:type="dxa"/>
          </w:tcPr>
          <w:p w14:paraId="7B50FA05"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2 (1,6%)</w:t>
            </w:r>
          </w:p>
        </w:tc>
        <w:tc>
          <w:tcPr>
            <w:tcW w:w="1440" w:type="dxa"/>
          </w:tcPr>
          <w:p w14:paraId="6C949CE2" w14:textId="5B1811E1"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3 (2,1%)</w:t>
            </w:r>
          </w:p>
        </w:tc>
        <w:tc>
          <w:tcPr>
            <w:tcW w:w="3060" w:type="dxa"/>
          </w:tcPr>
          <w:p w14:paraId="1C5368BD" w14:textId="77777777" w:rsidR="00BE6E1E" w:rsidRPr="00913317" w:rsidRDefault="00BE6E1E" w:rsidP="00D72925">
            <w:pPr>
              <w:pStyle w:val="Paragraph"/>
              <w:tabs>
                <w:tab w:val="left" w:pos="284"/>
              </w:tabs>
              <w:spacing w:after="0"/>
              <w:jc w:val="both"/>
              <w:rPr>
                <w:sz w:val="22"/>
                <w:szCs w:val="22"/>
                <w:lang w:val="hr-HR"/>
              </w:rPr>
            </w:pPr>
            <w:r w:rsidRPr="00913317">
              <w:rPr>
                <w:sz w:val="22"/>
                <w:szCs w:val="22"/>
                <w:lang w:val="hr-HR"/>
              </w:rPr>
              <w:t>-0,5% (-3,7%; 2,7%) **</w:t>
            </w:r>
          </w:p>
        </w:tc>
      </w:tr>
      <w:tr w:rsidR="00935053" w:rsidRPr="00913317" w14:paraId="25403156" w14:textId="77777777" w:rsidTr="00280EB1">
        <w:tc>
          <w:tcPr>
            <w:tcW w:w="2790" w:type="dxa"/>
          </w:tcPr>
          <w:p w14:paraId="7B834AF7" w14:textId="53D3944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Usp</w:t>
            </w:r>
            <w:r w:rsidR="000858E4" w:rsidRPr="00913317">
              <w:rPr>
                <w:color w:val="auto"/>
                <w:sz w:val="22"/>
                <w:szCs w:val="22"/>
                <w:lang w:val="hr-HR"/>
              </w:rPr>
              <w:t>j</w:t>
            </w:r>
            <w:r w:rsidRPr="00913317">
              <w:rPr>
                <w:color w:val="auto"/>
                <w:sz w:val="22"/>
                <w:szCs w:val="22"/>
                <w:lang w:val="hr-HR"/>
              </w:rPr>
              <w:t>eh 180. dana*</w:t>
            </w:r>
          </w:p>
        </w:tc>
        <w:tc>
          <w:tcPr>
            <w:tcW w:w="1530" w:type="dxa"/>
          </w:tcPr>
          <w:p w14:paraId="76DFEE2C"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70 (56,0%)</w:t>
            </w:r>
          </w:p>
        </w:tc>
        <w:tc>
          <w:tcPr>
            <w:tcW w:w="1440" w:type="dxa"/>
          </w:tcPr>
          <w:p w14:paraId="07C10559" w14:textId="77777777" w:rsidR="00BE6E1E" w:rsidRPr="00913317" w:rsidRDefault="00BE6E1E" w:rsidP="00D72925">
            <w:pPr>
              <w:pStyle w:val="Default"/>
              <w:tabs>
                <w:tab w:val="left" w:pos="284"/>
              </w:tabs>
              <w:jc w:val="both"/>
              <w:rPr>
                <w:color w:val="auto"/>
                <w:sz w:val="22"/>
                <w:szCs w:val="22"/>
                <w:lang w:val="hr-HR"/>
              </w:rPr>
            </w:pPr>
            <w:r w:rsidRPr="00913317">
              <w:rPr>
                <w:color w:val="auto"/>
                <w:sz w:val="22"/>
                <w:szCs w:val="22"/>
                <w:lang w:val="hr-HR"/>
              </w:rPr>
              <w:t>53 (37,1%)</w:t>
            </w:r>
          </w:p>
        </w:tc>
        <w:tc>
          <w:tcPr>
            <w:tcW w:w="3060" w:type="dxa"/>
          </w:tcPr>
          <w:p w14:paraId="12F6E873" w14:textId="77777777" w:rsidR="00BE6E1E" w:rsidRPr="00913317" w:rsidRDefault="00BE6E1E" w:rsidP="00D72925">
            <w:pPr>
              <w:pStyle w:val="Paragraph"/>
              <w:tabs>
                <w:tab w:val="left" w:pos="284"/>
              </w:tabs>
              <w:spacing w:after="0"/>
              <w:jc w:val="both"/>
              <w:rPr>
                <w:sz w:val="22"/>
                <w:szCs w:val="22"/>
                <w:lang w:val="hr-HR"/>
              </w:rPr>
            </w:pPr>
            <w:r w:rsidRPr="00913317">
              <w:rPr>
                <w:sz w:val="22"/>
                <w:szCs w:val="22"/>
                <w:lang w:val="hr-HR"/>
              </w:rPr>
              <w:t>20,1% (8,5%; 31,7%)***</w:t>
            </w:r>
          </w:p>
        </w:tc>
      </w:tr>
    </w:tbl>
    <w:p w14:paraId="2AB17481" w14:textId="41F39B3F" w:rsidR="006131C3" w:rsidRPr="0054718D" w:rsidRDefault="003256B9" w:rsidP="00D72925">
      <w:pPr>
        <w:pStyle w:val="Default"/>
        <w:jc w:val="both"/>
        <w:rPr>
          <w:color w:val="auto"/>
          <w:sz w:val="20"/>
          <w:szCs w:val="22"/>
          <w:lang w:val="hr-HR"/>
        </w:rPr>
      </w:pPr>
      <w:r w:rsidRPr="0054718D">
        <w:rPr>
          <w:color w:val="auto"/>
          <w:sz w:val="20"/>
          <w:szCs w:val="22"/>
          <w:lang w:val="hr-HR"/>
        </w:rPr>
        <w:t xml:space="preserve">* Primarni </w:t>
      </w:r>
      <w:r w:rsidRPr="0054718D">
        <w:rPr>
          <w:bCs/>
          <w:color w:val="auto"/>
          <w:sz w:val="20"/>
          <w:szCs w:val="22"/>
          <w:lang w:val="hr-HR"/>
        </w:rPr>
        <w:t>parametar praćenja ishoda</w:t>
      </w:r>
      <w:r w:rsidRPr="0054718D">
        <w:rPr>
          <w:color w:val="auto"/>
          <w:sz w:val="20"/>
          <w:szCs w:val="22"/>
          <w:lang w:val="hr-HR"/>
        </w:rPr>
        <w:t xml:space="preserve"> studije</w:t>
      </w:r>
    </w:p>
    <w:p w14:paraId="74CF3E8B" w14:textId="4D83E2F2" w:rsidR="006131C3" w:rsidRPr="0054718D" w:rsidRDefault="003256B9" w:rsidP="00D72925">
      <w:pPr>
        <w:pStyle w:val="Default"/>
        <w:jc w:val="both"/>
        <w:rPr>
          <w:color w:val="auto"/>
          <w:sz w:val="20"/>
          <w:szCs w:val="22"/>
          <w:lang w:val="hr-HR"/>
        </w:rPr>
      </w:pPr>
      <w:r w:rsidRPr="0054718D">
        <w:rPr>
          <w:color w:val="auto"/>
          <w:sz w:val="20"/>
          <w:szCs w:val="22"/>
          <w:lang w:val="hr-HR"/>
        </w:rPr>
        <w:t xml:space="preserve">** </w:t>
      </w:r>
      <w:r w:rsidR="00502F1B" w:rsidRPr="0054718D">
        <w:rPr>
          <w:color w:val="auto"/>
          <w:spacing w:val="-1"/>
          <w:sz w:val="20"/>
          <w:szCs w:val="22"/>
          <w:lang w:val="hr-HR"/>
        </w:rPr>
        <w:t>U</w:t>
      </w:r>
      <w:r w:rsidR="00502F1B" w:rsidRPr="0054718D">
        <w:rPr>
          <w:color w:val="auto"/>
          <w:sz w:val="20"/>
          <w:szCs w:val="22"/>
          <w:lang w:val="hr-HR"/>
        </w:rPr>
        <w:t>z</w:t>
      </w:r>
      <w:r w:rsidR="00502F1B" w:rsidRPr="0054718D">
        <w:rPr>
          <w:color w:val="auto"/>
          <w:spacing w:val="7"/>
          <w:sz w:val="20"/>
          <w:szCs w:val="22"/>
          <w:lang w:val="hr-HR"/>
        </w:rPr>
        <w:t xml:space="preserve"> </w:t>
      </w:r>
      <w:r w:rsidR="004D45E7" w:rsidRPr="0054718D">
        <w:rPr>
          <w:color w:val="auto"/>
          <w:spacing w:val="-1"/>
          <w:sz w:val="20"/>
          <w:szCs w:val="22"/>
          <w:lang w:val="hr-HR"/>
        </w:rPr>
        <w:t>primjen</w:t>
      </w:r>
      <w:r w:rsidR="00502F1B" w:rsidRPr="0054718D">
        <w:rPr>
          <w:color w:val="auto"/>
          <w:sz w:val="20"/>
          <w:szCs w:val="22"/>
          <w:lang w:val="hr-HR"/>
        </w:rPr>
        <w:t>u</w:t>
      </w:r>
      <w:r w:rsidR="00502F1B" w:rsidRPr="0054718D">
        <w:rPr>
          <w:color w:val="auto"/>
          <w:spacing w:val="21"/>
          <w:sz w:val="20"/>
          <w:szCs w:val="22"/>
          <w:lang w:val="hr-HR"/>
        </w:rPr>
        <w:t xml:space="preserve"> </w:t>
      </w:r>
      <w:r w:rsidR="00502F1B" w:rsidRPr="0054718D">
        <w:rPr>
          <w:color w:val="auto"/>
          <w:sz w:val="20"/>
          <w:szCs w:val="22"/>
          <w:lang w:val="hr-HR"/>
        </w:rPr>
        <w:t>granice</w:t>
      </w:r>
      <w:r w:rsidRPr="0054718D">
        <w:rPr>
          <w:color w:val="auto"/>
          <w:spacing w:val="19"/>
          <w:sz w:val="20"/>
          <w:szCs w:val="22"/>
          <w:lang w:val="hr-HR"/>
        </w:rPr>
        <w:t xml:space="preserve"> </w:t>
      </w:r>
      <w:r w:rsidRPr="0054718D">
        <w:rPr>
          <w:color w:val="auto"/>
          <w:sz w:val="20"/>
          <w:szCs w:val="22"/>
          <w:lang w:val="hr-HR"/>
        </w:rPr>
        <w:t xml:space="preserve">od 5%, pokazana je neinferiornost </w:t>
      </w:r>
    </w:p>
    <w:p w14:paraId="4D9F57DA" w14:textId="0941971D" w:rsidR="006131C3" w:rsidRPr="0054718D" w:rsidRDefault="003256B9" w:rsidP="00D72925">
      <w:pPr>
        <w:pStyle w:val="Default"/>
        <w:jc w:val="both"/>
        <w:rPr>
          <w:color w:val="auto"/>
          <w:sz w:val="20"/>
          <w:szCs w:val="22"/>
          <w:lang w:val="hr-HR"/>
        </w:rPr>
      </w:pPr>
      <w:r w:rsidRPr="0054718D">
        <w:rPr>
          <w:color w:val="auto"/>
          <w:sz w:val="20"/>
          <w:szCs w:val="22"/>
          <w:lang w:val="hr-HR"/>
        </w:rPr>
        <w:t>*** Razlika proporcija, 95% CI dobijena nakon prilagođavanja za randomizaciju</w:t>
      </w:r>
    </w:p>
    <w:p w14:paraId="74FA1BB0" w14:textId="77777777" w:rsidR="006131C3" w:rsidRPr="00913317" w:rsidRDefault="006131C3" w:rsidP="00D72925">
      <w:pPr>
        <w:rPr>
          <w:bCs/>
          <w:szCs w:val="22"/>
          <w:u w:val="single"/>
          <w:lang w:val="hr-HR"/>
        </w:rPr>
      </w:pPr>
    </w:p>
    <w:p w14:paraId="3A051271" w14:textId="77777777" w:rsidR="006131C3" w:rsidRPr="00913317" w:rsidRDefault="00BE6E1E" w:rsidP="00D72925">
      <w:pPr>
        <w:rPr>
          <w:szCs w:val="22"/>
          <w:u w:val="single"/>
          <w:lang w:val="hr-HR"/>
        </w:rPr>
      </w:pPr>
      <w:r w:rsidRPr="00913317">
        <w:rPr>
          <w:bCs/>
          <w:szCs w:val="22"/>
          <w:u w:val="single"/>
          <w:lang w:val="hr-HR"/>
        </w:rPr>
        <w:t xml:space="preserve">Sekundarna profilaksa </w:t>
      </w:r>
      <w:r w:rsidRPr="00913317">
        <w:rPr>
          <w:szCs w:val="22"/>
          <w:u w:val="single"/>
          <w:lang w:val="hr-HR"/>
        </w:rPr>
        <w:t xml:space="preserve">invazivnih gljivičnih infekcija </w:t>
      </w:r>
      <w:r w:rsidRPr="00913317">
        <w:rPr>
          <w:bCs/>
          <w:szCs w:val="22"/>
          <w:u w:val="single"/>
          <w:lang w:val="hr-HR"/>
        </w:rPr>
        <w:t xml:space="preserve">– efikasnost kod primalaca </w:t>
      </w:r>
      <w:r w:rsidRPr="00913317">
        <w:rPr>
          <w:szCs w:val="22"/>
          <w:u w:val="single"/>
          <w:lang w:val="hr-HR"/>
        </w:rPr>
        <w:t xml:space="preserve">transplantata hematopoetskih matičnih ćelija </w:t>
      </w:r>
      <w:r w:rsidRPr="00913317">
        <w:rPr>
          <w:bCs/>
          <w:szCs w:val="22"/>
          <w:u w:val="single"/>
          <w:lang w:val="hr-HR"/>
        </w:rPr>
        <w:t xml:space="preserve">sa prethodno potvrđenom ili suspektnom </w:t>
      </w:r>
      <w:r w:rsidRPr="00913317">
        <w:rPr>
          <w:szCs w:val="22"/>
          <w:u w:val="single"/>
          <w:lang w:val="hr-HR"/>
        </w:rPr>
        <w:t>invazivnom gljivičnom infekcijom</w:t>
      </w:r>
    </w:p>
    <w:p w14:paraId="6FA15B47" w14:textId="77777777" w:rsidR="006131C3" w:rsidRPr="00913317" w:rsidRDefault="006131C3" w:rsidP="00D72925">
      <w:pPr>
        <w:pStyle w:val="Default"/>
        <w:jc w:val="both"/>
        <w:rPr>
          <w:bCs/>
          <w:color w:val="auto"/>
          <w:sz w:val="22"/>
          <w:szCs w:val="22"/>
          <w:u w:val="single"/>
          <w:lang w:val="hr-HR"/>
        </w:rPr>
      </w:pPr>
    </w:p>
    <w:p w14:paraId="1C37B805" w14:textId="78FCFEE8" w:rsidR="006131C3" w:rsidRPr="00913317" w:rsidRDefault="004D45E7" w:rsidP="00D72925">
      <w:pPr>
        <w:rPr>
          <w:szCs w:val="22"/>
          <w:lang w:val="hr-HR"/>
        </w:rPr>
      </w:pPr>
      <w:r w:rsidRPr="00913317">
        <w:rPr>
          <w:szCs w:val="22"/>
          <w:lang w:val="hr-HR"/>
        </w:rPr>
        <w:t>Primjen</w:t>
      </w:r>
      <w:r w:rsidR="00BE6E1E" w:rsidRPr="00913317">
        <w:rPr>
          <w:szCs w:val="22"/>
          <w:lang w:val="hr-HR"/>
        </w:rPr>
        <w:t>a vorikonazola u sekundarnoj profilaksi ispitivana je u otvorenoj, nekomparativnoj, multicentričnoj studiji kod odraslih primalaca alogenog transplantata hematopoetskih matičnih ćelija s</w:t>
      </w:r>
      <w:r w:rsidR="00BE6E1E" w:rsidRPr="00913317">
        <w:rPr>
          <w:bCs/>
          <w:szCs w:val="22"/>
          <w:lang w:val="hr-HR"/>
        </w:rPr>
        <w:t xml:space="preserve">a prethodno potvrđenom ili suspektnom </w:t>
      </w:r>
      <w:r w:rsidR="00BE6E1E" w:rsidRPr="00913317">
        <w:rPr>
          <w:szCs w:val="22"/>
          <w:lang w:val="hr-HR"/>
        </w:rPr>
        <w:t xml:space="preserve">invazivnom gljivičnom infekcijom. Primarni </w:t>
      </w:r>
      <w:r w:rsidR="00502F1B" w:rsidRPr="00913317">
        <w:rPr>
          <w:szCs w:val="22"/>
          <w:lang w:val="hr-HR"/>
        </w:rPr>
        <w:t xml:space="preserve">parameter praćenja </w:t>
      </w:r>
      <w:r w:rsidR="00BE6E1E" w:rsidRPr="00913317">
        <w:rPr>
          <w:szCs w:val="22"/>
          <w:lang w:val="hr-HR"/>
        </w:rPr>
        <w:t>ishod</w:t>
      </w:r>
      <w:r w:rsidR="00502F1B" w:rsidRPr="00913317">
        <w:rPr>
          <w:szCs w:val="22"/>
          <w:lang w:val="hr-HR"/>
        </w:rPr>
        <w:t>a</w:t>
      </w:r>
      <w:r w:rsidR="00BE6E1E" w:rsidRPr="00913317">
        <w:rPr>
          <w:szCs w:val="22"/>
          <w:lang w:val="hr-HR"/>
        </w:rPr>
        <w:t xml:space="preserve"> je stopa pojave </w:t>
      </w:r>
      <w:r w:rsidR="00BE6E1E" w:rsidRPr="00913317">
        <w:rPr>
          <w:bCs/>
          <w:szCs w:val="22"/>
          <w:lang w:val="hr-HR"/>
        </w:rPr>
        <w:t>potvrđene ili suspektne</w:t>
      </w:r>
      <w:r w:rsidR="00502F1B" w:rsidRPr="00913317">
        <w:rPr>
          <w:bCs/>
          <w:szCs w:val="22"/>
          <w:lang w:val="hr-HR"/>
        </w:rPr>
        <w:t xml:space="preserve"> </w:t>
      </w:r>
      <w:r w:rsidR="00BE6E1E" w:rsidRPr="00913317">
        <w:rPr>
          <w:szCs w:val="22"/>
          <w:lang w:val="hr-HR"/>
        </w:rPr>
        <w:t xml:space="preserve">invazivne gljivične infekcije tokom prve godine nakon transplantacije hematopoetskih matičnih ćelija. Modifikovanu </w:t>
      </w:r>
      <w:r w:rsidR="00BE6E1E" w:rsidRPr="00913317">
        <w:rPr>
          <w:i/>
          <w:szCs w:val="22"/>
          <w:lang w:val="hr-HR"/>
        </w:rPr>
        <w:t>intent-to-treat</w:t>
      </w:r>
      <w:r w:rsidR="00BE6E1E" w:rsidRPr="00913317">
        <w:rPr>
          <w:szCs w:val="22"/>
          <w:lang w:val="hr-HR"/>
        </w:rPr>
        <w:t xml:space="preserve"> (MITT) grupu činilo je 40</w:t>
      </w:r>
      <w:r w:rsidR="00F648C7" w:rsidRPr="00913317">
        <w:rPr>
          <w:szCs w:val="22"/>
          <w:lang w:val="hr-HR"/>
        </w:rPr>
        <w:t> </w:t>
      </w:r>
      <w:r w:rsidR="00BE6E1E" w:rsidRPr="00913317">
        <w:rPr>
          <w:szCs w:val="22"/>
          <w:lang w:val="hr-HR"/>
        </w:rPr>
        <w:t>pacijenata sa prethodnom invazivnom gljivičnom infekcijom, uključujući 31 pacijenta sa aspergilozom, 5 pacijenata sa kandidijazom i 4 pacijenta sa drugim tipom invazivne gljivične infekcije. Pros</w:t>
      </w:r>
      <w:r w:rsidR="002E7C46" w:rsidRPr="00913317">
        <w:rPr>
          <w:szCs w:val="22"/>
          <w:lang w:val="hr-HR"/>
        </w:rPr>
        <w:t>j</w:t>
      </w:r>
      <w:r w:rsidR="00BE6E1E" w:rsidRPr="00913317">
        <w:rPr>
          <w:szCs w:val="22"/>
          <w:lang w:val="hr-HR"/>
        </w:rPr>
        <w:t xml:space="preserve">ečno trajanje profilakse ispitivanim </w:t>
      </w:r>
      <w:r w:rsidRPr="00913317">
        <w:rPr>
          <w:szCs w:val="22"/>
          <w:lang w:val="hr-HR"/>
        </w:rPr>
        <w:t>lijek</w:t>
      </w:r>
      <w:r w:rsidR="00BE6E1E" w:rsidRPr="00913317">
        <w:rPr>
          <w:szCs w:val="22"/>
          <w:lang w:val="hr-HR"/>
        </w:rPr>
        <w:t>om iznosilo je 95,5 dana u MITT grupi.</w:t>
      </w:r>
    </w:p>
    <w:p w14:paraId="209B49A5" w14:textId="77777777" w:rsidR="006131C3" w:rsidRPr="00913317" w:rsidRDefault="006131C3" w:rsidP="00D72925">
      <w:pPr>
        <w:rPr>
          <w:szCs w:val="22"/>
          <w:lang w:val="hr-HR"/>
        </w:rPr>
      </w:pPr>
    </w:p>
    <w:p w14:paraId="006510C4" w14:textId="2FA5F292" w:rsidR="006131C3" w:rsidRPr="00913317" w:rsidRDefault="00BE6E1E" w:rsidP="00D72925">
      <w:pPr>
        <w:rPr>
          <w:szCs w:val="22"/>
          <w:lang w:val="hr-HR"/>
        </w:rPr>
      </w:pPr>
      <w:r w:rsidRPr="00913317">
        <w:rPr>
          <w:szCs w:val="22"/>
          <w:lang w:val="hr-HR"/>
        </w:rPr>
        <w:t xml:space="preserve">Kod 7,5% pacijenata (3/40) razvila se </w:t>
      </w:r>
      <w:r w:rsidRPr="00913317">
        <w:rPr>
          <w:bCs/>
          <w:szCs w:val="22"/>
          <w:lang w:val="hr-HR"/>
        </w:rPr>
        <w:t>potvrđena ili suspektna</w:t>
      </w:r>
      <w:r w:rsidR="00125651" w:rsidRPr="00913317">
        <w:rPr>
          <w:bCs/>
          <w:szCs w:val="22"/>
          <w:lang w:val="hr-HR"/>
        </w:rPr>
        <w:t xml:space="preserve"> </w:t>
      </w:r>
      <w:r w:rsidRPr="00913317">
        <w:rPr>
          <w:szCs w:val="22"/>
          <w:lang w:val="hr-HR"/>
        </w:rPr>
        <w:t>invazivna gljivična infekcija tokom prve godine nakon transplantacije hematopoetskih matičnih ćelija, uključujući jedan slučaj kandidemije, jedan slučaj scedosporioze (oba slučaja predstavljala su relaps prethodne invazivne gljivične infekcije) i jedan slučaj zigomikoze. Stopa preživljavanja 180. dana iznosila je 80,0% (32/40), a prve godine 70,0% (28/40).</w:t>
      </w:r>
    </w:p>
    <w:p w14:paraId="4040F02B" w14:textId="77777777" w:rsidR="006131C3" w:rsidRPr="00913317" w:rsidRDefault="00BE6E1E" w:rsidP="00D72925">
      <w:pPr>
        <w:rPr>
          <w:szCs w:val="22"/>
          <w:lang w:val="hr-HR"/>
        </w:rPr>
      </w:pPr>
      <w:r w:rsidRPr="00913317">
        <w:rPr>
          <w:szCs w:val="22"/>
          <w:u w:val="single"/>
          <w:lang w:val="hr-HR"/>
        </w:rPr>
        <w:t>Trajanje terapije</w:t>
      </w:r>
    </w:p>
    <w:p w14:paraId="164A679C" w14:textId="1CCBF01C" w:rsidR="006131C3" w:rsidRPr="00913317" w:rsidRDefault="00BE6E1E" w:rsidP="00D72925">
      <w:pPr>
        <w:rPr>
          <w:szCs w:val="22"/>
          <w:lang w:val="hr-HR"/>
        </w:rPr>
      </w:pPr>
      <w:r w:rsidRPr="00913317">
        <w:rPr>
          <w:szCs w:val="22"/>
          <w:lang w:val="hr-HR"/>
        </w:rPr>
        <w:t>U kliničkim studijama, 705 pacijenata l</w:t>
      </w:r>
      <w:r w:rsidR="005453B7" w:rsidRPr="00913317">
        <w:rPr>
          <w:szCs w:val="22"/>
          <w:lang w:val="hr-HR"/>
        </w:rPr>
        <w:t>ij</w:t>
      </w:r>
      <w:r w:rsidRPr="00913317">
        <w:rPr>
          <w:szCs w:val="22"/>
          <w:lang w:val="hr-HR"/>
        </w:rPr>
        <w:t>ečeno je vorikonazolom duže od 12 ned</w:t>
      </w:r>
      <w:r w:rsidR="000858E4" w:rsidRPr="00913317">
        <w:rPr>
          <w:szCs w:val="22"/>
          <w:lang w:val="hr-HR"/>
        </w:rPr>
        <w:t>j</w:t>
      </w:r>
      <w:r w:rsidRPr="00913317">
        <w:rPr>
          <w:szCs w:val="22"/>
          <w:lang w:val="hr-HR"/>
        </w:rPr>
        <w:t>elja, a 164</w:t>
      </w:r>
      <w:r w:rsidR="00F648C7" w:rsidRPr="00913317">
        <w:rPr>
          <w:szCs w:val="22"/>
          <w:lang w:val="hr-HR"/>
        </w:rPr>
        <w:t> </w:t>
      </w:r>
      <w:r w:rsidRPr="00913317">
        <w:rPr>
          <w:szCs w:val="22"/>
          <w:lang w:val="hr-HR"/>
        </w:rPr>
        <w:t>pacijenata primalo je vorikonazol i duže od 6 me</w:t>
      </w:r>
      <w:r w:rsidR="000858E4" w:rsidRPr="00913317">
        <w:rPr>
          <w:szCs w:val="22"/>
          <w:lang w:val="hr-HR"/>
        </w:rPr>
        <w:t>j</w:t>
      </w:r>
      <w:r w:rsidRPr="00913317">
        <w:rPr>
          <w:szCs w:val="22"/>
          <w:lang w:val="hr-HR"/>
        </w:rPr>
        <w:t xml:space="preserve">seci. </w:t>
      </w:r>
    </w:p>
    <w:p w14:paraId="3F758032" w14:textId="77777777" w:rsidR="00AE064D" w:rsidRPr="00913317" w:rsidRDefault="00AE064D" w:rsidP="00D72925">
      <w:pPr>
        <w:pStyle w:val="Default"/>
        <w:jc w:val="both"/>
        <w:rPr>
          <w:color w:val="auto"/>
          <w:sz w:val="22"/>
          <w:szCs w:val="22"/>
          <w:lang w:val="hr-HR"/>
        </w:rPr>
      </w:pPr>
    </w:p>
    <w:p w14:paraId="19C3E4AB" w14:textId="77777777" w:rsidR="00AE064D" w:rsidRPr="00913317" w:rsidRDefault="00AE064D" w:rsidP="00D72925">
      <w:pPr>
        <w:pStyle w:val="Default"/>
        <w:jc w:val="both"/>
        <w:rPr>
          <w:color w:val="auto"/>
          <w:sz w:val="22"/>
          <w:szCs w:val="22"/>
          <w:u w:val="single"/>
          <w:lang w:val="hr-HR"/>
        </w:rPr>
      </w:pPr>
      <w:r w:rsidRPr="00913317">
        <w:rPr>
          <w:color w:val="auto"/>
          <w:sz w:val="22"/>
          <w:szCs w:val="22"/>
          <w:u w:val="single"/>
          <w:lang w:val="hr-HR"/>
        </w:rPr>
        <w:lastRenderedPageBreak/>
        <w:t>Pedijatrijska populacija</w:t>
      </w:r>
    </w:p>
    <w:p w14:paraId="0B283A2F" w14:textId="25BD9E10" w:rsidR="006131C3" w:rsidRDefault="00BE6E1E" w:rsidP="00D72925">
      <w:pPr>
        <w:pStyle w:val="Header"/>
        <w:tabs>
          <w:tab w:val="clear" w:pos="4536"/>
          <w:tab w:val="clear" w:pos="9072"/>
          <w:tab w:val="left" w:pos="284"/>
        </w:tabs>
        <w:rPr>
          <w:szCs w:val="22"/>
          <w:lang w:val="hr-HR"/>
        </w:rPr>
      </w:pPr>
      <w:r w:rsidRPr="00913317">
        <w:rPr>
          <w:szCs w:val="22"/>
          <w:lang w:val="hr-HR"/>
        </w:rPr>
        <w:t>Pedeset tri pedijatrijska pacijenta uzrasta od 2 do &lt; 18 godina je l</w:t>
      </w:r>
      <w:r w:rsidR="005453B7" w:rsidRPr="00913317">
        <w:rPr>
          <w:szCs w:val="22"/>
          <w:lang w:val="hr-HR"/>
        </w:rPr>
        <w:t>ij</w:t>
      </w:r>
      <w:r w:rsidRPr="00913317">
        <w:rPr>
          <w:szCs w:val="22"/>
          <w:lang w:val="hr-HR"/>
        </w:rPr>
        <w:t>ečeno vorikonazolom u dv</w:t>
      </w:r>
      <w:r w:rsidR="00931447" w:rsidRPr="00913317">
        <w:rPr>
          <w:szCs w:val="22"/>
          <w:lang w:val="hr-HR"/>
        </w:rPr>
        <w:t>ij</w:t>
      </w:r>
      <w:r w:rsidRPr="00913317">
        <w:rPr>
          <w:szCs w:val="22"/>
          <w:lang w:val="hr-HR"/>
        </w:rPr>
        <w:t>e prospektivne, otvorene, nekomparativne, multicentrične kliničke studije. Jedna studija je obuhvatila 31 pacijenta sa mogućom, dokazanom ili v</w:t>
      </w:r>
      <w:r w:rsidR="00931447" w:rsidRPr="00913317">
        <w:rPr>
          <w:szCs w:val="22"/>
          <w:lang w:val="hr-HR"/>
        </w:rPr>
        <w:t>j</w:t>
      </w:r>
      <w:r w:rsidRPr="00913317">
        <w:rPr>
          <w:szCs w:val="22"/>
          <w:lang w:val="hr-HR"/>
        </w:rPr>
        <w:t>erovatnom invazivnom aspergilozom (IA) od kojih je 14 imalo dokazanu ili v</w:t>
      </w:r>
      <w:r w:rsidR="00931447" w:rsidRPr="00913317">
        <w:rPr>
          <w:szCs w:val="22"/>
          <w:lang w:val="hr-HR"/>
        </w:rPr>
        <w:t>j</w:t>
      </w:r>
      <w:r w:rsidRPr="00913317">
        <w:rPr>
          <w:szCs w:val="22"/>
          <w:lang w:val="hr-HR"/>
        </w:rPr>
        <w:t xml:space="preserve">erovatnu IA i bilo je uključeno u MITT analizu efikasnosti. Druga studija je obuhvatila 22 pacijenta sa invazivnom kandidijazom uključujući i kandidemiju (ICC) i ezofagealnu kandidijazu (EC) koje su </w:t>
      </w:r>
      <w:r w:rsidR="00D85AC5" w:rsidRPr="00913317">
        <w:rPr>
          <w:szCs w:val="22"/>
          <w:lang w:val="hr-HR"/>
        </w:rPr>
        <w:t>zahtijeva</w:t>
      </w:r>
      <w:r w:rsidRPr="00913317">
        <w:rPr>
          <w:szCs w:val="22"/>
          <w:lang w:val="hr-HR"/>
        </w:rPr>
        <w:t xml:space="preserve">le ili primarnu ili </w:t>
      </w:r>
      <w:r w:rsidRPr="00913317">
        <w:rPr>
          <w:i/>
          <w:szCs w:val="22"/>
          <w:lang w:val="hr-HR"/>
        </w:rPr>
        <w:t>salvage</w:t>
      </w:r>
      <w:r w:rsidRPr="00913317">
        <w:rPr>
          <w:szCs w:val="22"/>
          <w:lang w:val="hr-HR"/>
        </w:rPr>
        <w:t xml:space="preserve"> terapiju (terapija koja se </w:t>
      </w:r>
      <w:r w:rsidR="004D45E7" w:rsidRPr="00913317">
        <w:rPr>
          <w:szCs w:val="22"/>
          <w:lang w:val="hr-HR"/>
        </w:rPr>
        <w:t>primjen</w:t>
      </w:r>
      <w:r w:rsidRPr="00913317">
        <w:rPr>
          <w:szCs w:val="22"/>
          <w:lang w:val="hr-HR"/>
        </w:rPr>
        <w:t>juje kad pacijent ne odgovori na primarnu terapiju), od kojih je 17 pacijenata bilo uključeno u MITT analizu efikasnosti</w:t>
      </w:r>
      <w:r w:rsidR="004A07C2" w:rsidRPr="00913317">
        <w:rPr>
          <w:szCs w:val="22"/>
          <w:lang w:val="hr-HR"/>
        </w:rPr>
        <w:t>. </w:t>
      </w:r>
      <w:r w:rsidRPr="00913317">
        <w:rPr>
          <w:szCs w:val="22"/>
          <w:lang w:val="hr-HR"/>
        </w:rPr>
        <w:t>Za pacijente sa IA ukupna stopa globalnog odgovora nakon 6</w:t>
      </w:r>
      <w:r w:rsidR="00F648C7" w:rsidRPr="00913317">
        <w:rPr>
          <w:szCs w:val="22"/>
          <w:lang w:val="hr-HR"/>
        </w:rPr>
        <w:t> </w:t>
      </w:r>
      <w:r w:rsidRPr="00913317">
        <w:rPr>
          <w:szCs w:val="22"/>
          <w:lang w:val="hr-HR"/>
        </w:rPr>
        <w:t>ned</w:t>
      </w:r>
      <w:r w:rsidR="00BF1805" w:rsidRPr="00913317">
        <w:rPr>
          <w:szCs w:val="22"/>
          <w:lang w:val="hr-HR"/>
        </w:rPr>
        <w:t>j</w:t>
      </w:r>
      <w:r w:rsidRPr="00913317">
        <w:rPr>
          <w:szCs w:val="22"/>
          <w:lang w:val="hr-HR"/>
        </w:rPr>
        <w:t xml:space="preserve">elja je bila 64,3% (9/14), stopa globalnog odgovora za pacijente uzrasta od 2 do &lt; 12 godina je bila 40% (2/5), a za pacijente uzrasta od </w:t>
      </w:r>
      <w:r w:rsidRPr="00913317">
        <w:rPr>
          <w:iCs/>
          <w:szCs w:val="22"/>
          <w:lang w:val="hr-HR"/>
        </w:rPr>
        <w:t xml:space="preserve">12 </w:t>
      </w:r>
      <w:r w:rsidRPr="00913317">
        <w:rPr>
          <w:szCs w:val="22"/>
          <w:lang w:val="hr-HR"/>
        </w:rPr>
        <w:t>do</w:t>
      </w:r>
      <w:r w:rsidRPr="00913317">
        <w:rPr>
          <w:iCs/>
          <w:szCs w:val="22"/>
          <w:lang w:val="hr-HR"/>
        </w:rPr>
        <w:t xml:space="preserve"> &lt; 18</w:t>
      </w:r>
      <w:r w:rsidRPr="00913317">
        <w:rPr>
          <w:szCs w:val="22"/>
          <w:lang w:val="hr-HR"/>
        </w:rPr>
        <w:t xml:space="preserve"> godina je bila 77,8% (7/9). Stopa globalnog odgovora na kraju terapije za pacijente sa ICC je bila 85,7% (6/7), a za pacijente sa EC je bila 70% (7/10). Ukupna stopa globalnog odgovora </w:t>
      </w:r>
      <w:r w:rsidR="00B92CF9" w:rsidRPr="00913317">
        <w:rPr>
          <w:szCs w:val="22"/>
          <w:lang w:val="hr-HR"/>
        </w:rPr>
        <w:t xml:space="preserve">(ICC i EC zajedno) </w:t>
      </w:r>
      <w:r w:rsidRPr="00913317">
        <w:rPr>
          <w:szCs w:val="22"/>
          <w:lang w:val="hr-HR"/>
        </w:rPr>
        <w:t>za pacijente uzrasta 2 do &lt; 12 godina je bila 88,9% (8/9), a za pacijente uzrasta 12 do &lt; 18</w:t>
      </w:r>
      <w:r w:rsidR="00F648C7" w:rsidRPr="00913317">
        <w:rPr>
          <w:szCs w:val="22"/>
          <w:lang w:val="pt-BR"/>
        </w:rPr>
        <w:t> </w:t>
      </w:r>
      <w:r w:rsidRPr="00913317">
        <w:rPr>
          <w:szCs w:val="22"/>
          <w:lang w:val="hr-HR"/>
        </w:rPr>
        <w:t>godina je bila 62,5% (5/8).</w:t>
      </w:r>
    </w:p>
    <w:p w14:paraId="76659F94" w14:textId="77777777" w:rsidR="0054718D" w:rsidRPr="00913317" w:rsidRDefault="0054718D" w:rsidP="00D72925">
      <w:pPr>
        <w:pStyle w:val="Header"/>
        <w:tabs>
          <w:tab w:val="clear" w:pos="4536"/>
          <w:tab w:val="clear" w:pos="9072"/>
          <w:tab w:val="left" w:pos="284"/>
        </w:tabs>
        <w:rPr>
          <w:szCs w:val="22"/>
          <w:lang w:val="hr-HR"/>
        </w:rPr>
      </w:pPr>
    </w:p>
    <w:p w14:paraId="214CCA2F" w14:textId="77777777" w:rsidR="006131C3" w:rsidRPr="00913317" w:rsidRDefault="00BE6E1E" w:rsidP="00D72925">
      <w:pPr>
        <w:rPr>
          <w:szCs w:val="22"/>
          <w:u w:val="single"/>
          <w:lang w:val="hr-HR"/>
        </w:rPr>
      </w:pPr>
      <w:r w:rsidRPr="00913317">
        <w:rPr>
          <w:szCs w:val="22"/>
          <w:u w:val="single"/>
          <w:lang w:val="hr-HR"/>
        </w:rPr>
        <w:t>Kliničke studije u kojima je ispitivan QTc interval</w:t>
      </w:r>
    </w:p>
    <w:p w14:paraId="1D853C5E" w14:textId="017A16FD" w:rsidR="006131C3" w:rsidRPr="00913317" w:rsidRDefault="00BE6E1E" w:rsidP="00D72925">
      <w:pPr>
        <w:rPr>
          <w:szCs w:val="22"/>
          <w:lang w:val="hr-HR"/>
        </w:rPr>
      </w:pPr>
      <w:r w:rsidRPr="00913317">
        <w:rPr>
          <w:spacing w:val="-2"/>
          <w:szCs w:val="22"/>
          <w:lang w:val="hr-HR"/>
        </w:rPr>
        <w:t>U placebo-kontrolisanoj, randomizovanoj, ukrštenoj studiji sa pojedinačnom dozom, na zdravim dobrovoljcima, ispitivani su efekti tri oralne doze vorikonazola i ketokonazola na QTc interval</w:t>
      </w:r>
      <w:r w:rsidR="00D46AD2" w:rsidRPr="00913317">
        <w:rPr>
          <w:szCs w:val="22"/>
          <w:lang w:val="hr-HR"/>
        </w:rPr>
        <w:t xml:space="preserve"> </w:t>
      </w:r>
      <w:r w:rsidR="00E82099" w:rsidRPr="00913317">
        <w:rPr>
          <w:szCs w:val="22"/>
          <w:lang w:val="hr-HR"/>
        </w:rPr>
        <w:t>P</w:t>
      </w:r>
      <w:r w:rsidR="00D46AD2" w:rsidRPr="00913317">
        <w:rPr>
          <w:szCs w:val="22"/>
          <w:lang w:val="hr-HR"/>
        </w:rPr>
        <w:t>ros</w:t>
      </w:r>
      <w:r w:rsidR="002E7C46" w:rsidRPr="00913317">
        <w:rPr>
          <w:szCs w:val="22"/>
          <w:lang w:val="hr-HR"/>
        </w:rPr>
        <w:t>j</w:t>
      </w:r>
      <w:r w:rsidR="00D46AD2" w:rsidRPr="00913317">
        <w:rPr>
          <w:szCs w:val="22"/>
          <w:lang w:val="hr-HR"/>
        </w:rPr>
        <w:t xml:space="preserve">ečno maksimalno produženje QTc intervala </w:t>
      </w:r>
      <w:r w:rsidR="00E82099" w:rsidRPr="00913317">
        <w:rPr>
          <w:szCs w:val="22"/>
          <w:lang w:val="hr-HR"/>
        </w:rPr>
        <w:t xml:space="preserve">(korigovano za placebo) </w:t>
      </w:r>
      <w:r w:rsidR="00D46AD2" w:rsidRPr="00913317">
        <w:rPr>
          <w:szCs w:val="22"/>
          <w:lang w:val="hr-HR"/>
        </w:rPr>
        <w:t xml:space="preserve">u odnosu na početne </w:t>
      </w:r>
      <w:r w:rsidR="004D45E7" w:rsidRPr="00913317">
        <w:rPr>
          <w:szCs w:val="22"/>
          <w:lang w:val="hr-HR"/>
        </w:rPr>
        <w:t>vrijedno</w:t>
      </w:r>
      <w:r w:rsidR="00D46AD2" w:rsidRPr="00913317">
        <w:rPr>
          <w:szCs w:val="22"/>
          <w:lang w:val="hr-HR"/>
        </w:rPr>
        <w:t>sti je iznosilo 5,1</w:t>
      </w:r>
      <w:r w:rsidR="00E82099" w:rsidRPr="00913317">
        <w:rPr>
          <w:szCs w:val="22"/>
          <w:lang w:val="hr-HR"/>
        </w:rPr>
        <w:t xml:space="preserve"> </w:t>
      </w:r>
      <w:r w:rsidR="00D46AD2" w:rsidRPr="00913317">
        <w:rPr>
          <w:szCs w:val="22"/>
          <w:lang w:val="hr-HR"/>
        </w:rPr>
        <w:t xml:space="preserve">milisekunde kod </w:t>
      </w:r>
      <w:r w:rsidR="004D45E7" w:rsidRPr="00913317">
        <w:rPr>
          <w:szCs w:val="22"/>
          <w:lang w:val="hr-HR"/>
        </w:rPr>
        <w:t>primjen</w:t>
      </w:r>
      <w:r w:rsidR="00D46AD2" w:rsidRPr="00913317">
        <w:rPr>
          <w:szCs w:val="22"/>
          <w:lang w:val="hr-HR"/>
        </w:rPr>
        <w:t xml:space="preserve">e doze vorikonazola od 800 mg, 4,8 milisekundi kod </w:t>
      </w:r>
      <w:r w:rsidR="004D45E7" w:rsidRPr="00913317">
        <w:rPr>
          <w:szCs w:val="22"/>
          <w:lang w:val="hr-HR"/>
        </w:rPr>
        <w:t>primjen</w:t>
      </w:r>
      <w:r w:rsidR="00D46AD2" w:rsidRPr="00913317">
        <w:rPr>
          <w:szCs w:val="22"/>
          <w:lang w:val="hr-HR"/>
        </w:rPr>
        <w:t>e doze od 1200 mg i 8,2</w:t>
      </w:r>
      <w:r w:rsidR="00E82099" w:rsidRPr="00913317">
        <w:rPr>
          <w:spacing w:val="-2"/>
          <w:szCs w:val="22"/>
          <w:lang w:val="hr-HR"/>
        </w:rPr>
        <w:t xml:space="preserve"> </w:t>
      </w:r>
      <w:r w:rsidR="00D46AD2" w:rsidRPr="00913317">
        <w:rPr>
          <w:szCs w:val="22"/>
          <w:lang w:val="hr-HR"/>
        </w:rPr>
        <w:t xml:space="preserve">milisekunde kod </w:t>
      </w:r>
      <w:r w:rsidR="004D45E7" w:rsidRPr="00913317">
        <w:rPr>
          <w:szCs w:val="22"/>
          <w:lang w:val="hr-HR"/>
        </w:rPr>
        <w:t>primjen</w:t>
      </w:r>
      <w:r w:rsidR="00D46AD2" w:rsidRPr="00913317">
        <w:rPr>
          <w:szCs w:val="22"/>
          <w:lang w:val="hr-HR"/>
        </w:rPr>
        <w:t xml:space="preserve">e doze od 1600 mg, dok je kod </w:t>
      </w:r>
      <w:r w:rsidR="004D45E7" w:rsidRPr="00913317">
        <w:rPr>
          <w:szCs w:val="22"/>
          <w:lang w:val="hr-HR"/>
        </w:rPr>
        <w:t>primjen</w:t>
      </w:r>
      <w:r w:rsidR="00D46AD2" w:rsidRPr="00913317">
        <w:rPr>
          <w:szCs w:val="22"/>
          <w:lang w:val="hr-HR"/>
        </w:rPr>
        <w:t>e ketokonazola u dozi od 800 mg</w:t>
      </w:r>
      <w:r w:rsidR="00E82099" w:rsidRPr="00913317">
        <w:rPr>
          <w:szCs w:val="22"/>
          <w:lang w:val="hr-HR"/>
        </w:rPr>
        <w:t xml:space="preserve"> </w:t>
      </w:r>
      <w:r w:rsidR="00D46AD2" w:rsidRPr="00913317">
        <w:rPr>
          <w:szCs w:val="22"/>
          <w:lang w:val="hr-HR"/>
        </w:rPr>
        <w:t>produženje</w:t>
      </w:r>
      <w:r w:rsidR="00E82099" w:rsidRPr="00913317">
        <w:rPr>
          <w:szCs w:val="22"/>
          <w:lang w:val="hr-HR"/>
        </w:rPr>
        <w:t xml:space="preserve"> </w:t>
      </w:r>
      <w:r w:rsidR="00D46AD2" w:rsidRPr="00913317">
        <w:rPr>
          <w:szCs w:val="22"/>
          <w:lang w:val="hr-HR"/>
        </w:rPr>
        <w:t>iznosilo 7,0 milisekundi.</w:t>
      </w:r>
      <w:r w:rsidR="00E82099" w:rsidRPr="00913317">
        <w:rPr>
          <w:szCs w:val="22"/>
          <w:lang w:val="hr-HR"/>
        </w:rPr>
        <w:t xml:space="preserve"> </w:t>
      </w:r>
      <w:r w:rsidRPr="00913317">
        <w:rPr>
          <w:spacing w:val="-2"/>
          <w:szCs w:val="22"/>
          <w:lang w:val="hr-HR"/>
        </w:rPr>
        <w:t>Nijedan ispitanik u ob</w:t>
      </w:r>
      <w:r w:rsidR="00F12E46" w:rsidRPr="00913317">
        <w:rPr>
          <w:spacing w:val="-2"/>
          <w:szCs w:val="22"/>
          <w:lang w:val="hr-HR"/>
        </w:rPr>
        <w:t>i</w:t>
      </w:r>
      <w:r w:rsidR="00BD3589" w:rsidRPr="00913317">
        <w:rPr>
          <w:spacing w:val="-2"/>
          <w:szCs w:val="22"/>
          <w:lang w:val="hr-HR"/>
        </w:rPr>
        <w:t>j</w:t>
      </w:r>
      <w:r w:rsidRPr="00913317">
        <w:rPr>
          <w:spacing w:val="-2"/>
          <w:szCs w:val="22"/>
          <w:lang w:val="hr-HR"/>
        </w:rPr>
        <w:t xml:space="preserve">e grupe nije imao produženje QTc ≥ 60 </w:t>
      </w:r>
      <w:r w:rsidR="00A567C9" w:rsidRPr="00913317">
        <w:rPr>
          <w:spacing w:val="-2"/>
          <w:szCs w:val="22"/>
          <w:lang w:val="hr-HR"/>
        </w:rPr>
        <w:t>milisekundi</w:t>
      </w:r>
      <w:r w:rsidRPr="00913317">
        <w:rPr>
          <w:spacing w:val="-2"/>
          <w:szCs w:val="22"/>
          <w:lang w:val="hr-HR"/>
        </w:rPr>
        <w:t xml:space="preserve"> u odnosu na početne </w:t>
      </w:r>
      <w:r w:rsidR="004D45E7" w:rsidRPr="00913317">
        <w:rPr>
          <w:spacing w:val="-2"/>
          <w:szCs w:val="22"/>
          <w:lang w:val="hr-HR"/>
        </w:rPr>
        <w:t>vrijedno</w:t>
      </w:r>
      <w:r w:rsidRPr="00913317">
        <w:rPr>
          <w:spacing w:val="-2"/>
          <w:szCs w:val="22"/>
          <w:lang w:val="hr-HR"/>
        </w:rPr>
        <w:t xml:space="preserve">sti. Takođe, nijedan ispitanik nije imao produženje QTc intervala preko potencijalno klinički značajne granične </w:t>
      </w:r>
      <w:r w:rsidR="004D45E7" w:rsidRPr="00913317">
        <w:rPr>
          <w:spacing w:val="-2"/>
          <w:szCs w:val="22"/>
          <w:lang w:val="hr-HR"/>
        </w:rPr>
        <w:t>vrijedno</w:t>
      </w:r>
      <w:r w:rsidRPr="00913317">
        <w:rPr>
          <w:spacing w:val="-2"/>
          <w:szCs w:val="22"/>
          <w:lang w:val="hr-HR"/>
        </w:rPr>
        <w:t xml:space="preserve">sti od 500 </w:t>
      </w:r>
      <w:r w:rsidR="00A567C9" w:rsidRPr="00913317">
        <w:rPr>
          <w:spacing w:val="-2"/>
          <w:szCs w:val="22"/>
          <w:lang w:val="hr-HR"/>
        </w:rPr>
        <w:t>milisekundi</w:t>
      </w:r>
      <w:r w:rsidRPr="00913317">
        <w:rPr>
          <w:szCs w:val="22"/>
          <w:lang w:val="hr-HR"/>
        </w:rPr>
        <w:t>.</w:t>
      </w:r>
    </w:p>
    <w:p w14:paraId="1B6992C8" w14:textId="77777777" w:rsidR="006131C3" w:rsidRPr="00913317" w:rsidRDefault="006131C3" w:rsidP="00D72925">
      <w:pPr>
        <w:rPr>
          <w:color w:val="FF0000"/>
          <w:szCs w:val="22"/>
          <w:lang w:val="hr-HR"/>
        </w:rPr>
      </w:pPr>
    </w:p>
    <w:p w14:paraId="3C30B1B6" w14:textId="5BF0056A" w:rsidR="006131C3" w:rsidRPr="00913317" w:rsidRDefault="00CE09F3" w:rsidP="00D72925">
      <w:pPr>
        <w:rPr>
          <w:b/>
          <w:bCs/>
          <w:color w:val="FF0000"/>
          <w:szCs w:val="22"/>
          <w:lang w:val="hr-HR"/>
        </w:rPr>
      </w:pPr>
      <w:r w:rsidRPr="00913317">
        <w:rPr>
          <w:b/>
          <w:bCs/>
          <w:szCs w:val="22"/>
          <w:lang w:val="hr-HR"/>
        </w:rPr>
        <w:t>5.2</w:t>
      </w:r>
      <w:r w:rsidR="006D04E3" w:rsidRPr="00913317">
        <w:rPr>
          <w:b/>
          <w:bCs/>
          <w:szCs w:val="22"/>
          <w:lang w:val="hr-HR"/>
        </w:rPr>
        <w:t>.</w:t>
      </w:r>
      <w:r w:rsidR="006D04E3" w:rsidRPr="00913317">
        <w:rPr>
          <w:b/>
          <w:bCs/>
          <w:szCs w:val="22"/>
          <w:lang w:val="hr-HR"/>
        </w:rPr>
        <w:tab/>
      </w:r>
      <w:r w:rsidRPr="00913317">
        <w:rPr>
          <w:b/>
          <w:bCs/>
          <w:szCs w:val="22"/>
          <w:lang w:val="hr-HR"/>
        </w:rPr>
        <w:t>Farmakokinetički podaci</w:t>
      </w:r>
    </w:p>
    <w:p w14:paraId="331E6FA8" w14:textId="77777777" w:rsidR="006131C3" w:rsidRPr="00913317" w:rsidRDefault="006131C3" w:rsidP="00D72925">
      <w:pPr>
        <w:rPr>
          <w:color w:val="FF0000"/>
          <w:szCs w:val="22"/>
          <w:u w:val="single"/>
          <w:lang w:val="hr-HR"/>
        </w:rPr>
      </w:pPr>
    </w:p>
    <w:p w14:paraId="31AE4005" w14:textId="77777777" w:rsidR="006131C3" w:rsidRPr="00913317" w:rsidRDefault="00BE6E1E" w:rsidP="00D72925">
      <w:pPr>
        <w:rPr>
          <w:szCs w:val="22"/>
          <w:u w:val="single"/>
          <w:lang w:val="hr-HR"/>
        </w:rPr>
      </w:pPr>
      <w:r w:rsidRPr="00913317">
        <w:rPr>
          <w:szCs w:val="22"/>
          <w:u w:val="single"/>
          <w:lang w:val="hr-HR"/>
        </w:rPr>
        <w:t xml:space="preserve">Opšte farmakokinetičke osobine </w:t>
      </w:r>
    </w:p>
    <w:p w14:paraId="04DADE4E" w14:textId="291FBB12" w:rsidR="006131C3" w:rsidRPr="00913317" w:rsidRDefault="00BE6E1E" w:rsidP="00D72925">
      <w:pPr>
        <w:rPr>
          <w:szCs w:val="22"/>
          <w:lang w:val="hr-HR"/>
        </w:rPr>
      </w:pPr>
      <w:r w:rsidRPr="00913317">
        <w:rPr>
          <w:szCs w:val="22"/>
          <w:lang w:val="hr-HR"/>
        </w:rPr>
        <w:t>Farmako</w:t>
      </w:r>
      <w:r w:rsidR="00E82099" w:rsidRPr="00913317">
        <w:rPr>
          <w:szCs w:val="22"/>
          <w:lang w:val="hr-HR"/>
        </w:rPr>
        <w:t>ki</w:t>
      </w:r>
      <w:r w:rsidRPr="00913317">
        <w:rPr>
          <w:szCs w:val="22"/>
          <w:lang w:val="hr-HR"/>
        </w:rPr>
        <w:t xml:space="preserve">netika vorikonazola definisana je </w:t>
      </w:r>
      <w:r w:rsidR="00D061E1" w:rsidRPr="00913317">
        <w:rPr>
          <w:szCs w:val="22"/>
          <w:lang w:val="hr-HR"/>
        </w:rPr>
        <w:t xml:space="preserve">kod </w:t>
      </w:r>
      <w:r w:rsidRPr="00913317">
        <w:rPr>
          <w:szCs w:val="22"/>
          <w:lang w:val="hr-HR"/>
        </w:rPr>
        <w:t>zdravi</w:t>
      </w:r>
      <w:r w:rsidR="00D061E1" w:rsidRPr="00913317">
        <w:rPr>
          <w:szCs w:val="22"/>
          <w:lang w:val="hr-HR"/>
        </w:rPr>
        <w:t>h</w:t>
      </w:r>
      <w:r w:rsidRPr="00913317">
        <w:rPr>
          <w:szCs w:val="22"/>
          <w:lang w:val="hr-HR"/>
        </w:rPr>
        <w:t xml:space="preserve"> ispitani</w:t>
      </w:r>
      <w:r w:rsidR="00D061E1" w:rsidRPr="00913317">
        <w:rPr>
          <w:szCs w:val="22"/>
          <w:lang w:val="hr-HR"/>
        </w:rPr>
        <w:t>ka</w:t>
      </w:r>
      <w:r w:rsidRPr="00913317">
        <w:rPr>
          <w:szCs w:val="22"/>
          <w:lang w:val="hr-HR"/>
        </w:rPr>
        <w:t xml:space="preserve">, </w:t>
      </w:r>
      <w:r w:rsidR="002A45A4" w:rsidRPr="00913317">
        <w:rPr>
          <w:szCs w:val="22"/>
          <w:lang w:val="hr-HR"/>
        </w:rPr>
        <w:t xml:space="preserve">kod </w:t>
      </w:r>
      <w:r w:rsidR="00D061E1" w:rsidRPr="00913317">
        <w:rPr>
          <w:szCs w:val="22"/>
          <w:lang w:val="hr-HR"/>
        </w:rPr>
        <w:t>posebni</w:t>
      </w:r>
      <w:r w:rsidR="002A45A4" w:rsidRPr="00913317">
        <w:rPr>
          <w:szCs w:val="22"/>
          <w:lang w:val="hr-HR"/>
        </w:rPr>
        <w:t>h</w:t>
      </w:r>
      <w:r w:rsidRPr="00913317">
        <w:rPr>
          <w:szCs w:val="22"/>
          <w:lang w:val="hr-HR"/>
        </w:rPr>
        <w:t xml:space="preserve"> populacija i </w:t>
      </w:r>
      <w:r w:rsidR="002A45A4" w:rsidRPr="00913317">
        <w:rPr>
          <w:szCs w:val="22"/>
          <w:lang w:val="hr-HR"/>
        </w:rPr>
        <w:t>kod</w:t>
      </w:r>
      <w:r w:rsidRPr="00913317">
        <w:rPr>
          <w:szCs w:val="22"/>
          <w:lang w:val="hr-HR"/>
        </w:rPr>
        <w:t xml:space="preserve"> pacijen</w:t>
      </w:r>
      <w:r w:rsidR="002A45A4" w:rsidRPr="00913317">
        <w:rPr>
          <w:szCs w:val="22"/>
          <w:lang w:val="hr-HR"/>
        </w:rPr>
        <w:t>ata</w:t>
      </w:r>
      <w:r w:rsidRPr="00913317">
        <w:rPr>
          <w:szCs w:val="22"/>
          <w:lang w:val="hr-HR"/>
        </w:rPr>
        <w:t xml:space="preserve">. Farmakokinetički parametri koji pokazuju brzu i konzistentnu resorpciju, akumulaciju i nelinearnu farmakokinetiku, dobijeni pri oralnoj </w:t>
      </w:r>
      <w:r w:rsidR="004D45E7" w:rsidRPr="00913317">
        <w:rPr>
          <w:szCs w:val="22"/>
          <w:lang w:val="hr-HR"/>
        </w:rPr>
        <w:t>primjen</w:t>
      </w:r>
      <w:r w:rsidRPr="00913317">
        <w:rPr>
          <w:szCs w:val="22"/>
          <w:lang w:val="hr-HR"/>
        </w:rPr>
        <w:t xml:space="preserve">i 200 </w:t>
      </w:r>
      <w:r w:rsidR="00B043CD" w:rsidRPr="00913317">
        <w:rPr>
          <w:szCs w:val="22"/>
          <w:lang w:val="hr-HR"/>
        </w:rPr>
        <w:t xml:space="preserve">mg </w:t>
      </w:r>
      <w:r w:rsidRPr="00913317">
        <w:rPr>
          <w:szCs w:val="22"/>
          <w:lang w:val="hr-HR"/>
        </w:rPr>
        <w:t>ili 300 mg vorikonazola, dva puta dnevno, tokom 14 dana, na pacijentima sa rizikom od aspergiloze (uglavnom pacijenti sa malignim neoplazmama limf</w:t>
      </w:r>
      <w:r w:rsidR="00D061E1" w:rsidRPr="00913317">
        <w:rPr>
          <w:szCs w:val="22"/>
          <w:lang w:val="hr-HR"/>
        </w:rPr>
        <w:t xml:space="preserve">atičnog </w:t>
      </w:r>
      <w:r w:rsidRPr="00913317">
        <w:rPr>
          <w:szCs w:val="22"/>
          <w:lang w:val="hr-HR"/>
        </w:rPr>
        <w:t xml:space="preserve">ili hematopoetskog tkiva) u saglasnosti su sa podacima </w:t>
      </w:r>
      <w:r w:rsidR="00CC0D87" w:rsidRPr="00913317">
        <w:rPr>
          <w:szCs w:val="22"/>
          <w:lang w:val="hr-HR"/>
        </w:rPr>
        <w:t xml:space="preserve">koji su </w:t>
      </w:r>
      <w:r w:rsidR="003204CC" w:rsidRPr="00913317">
        <w:rPr>
          <w:szCs w:val="22"/>
          <w:lang w:val="hr-HR"/>
        </w:rPr>
        <w:t>zabilje</w:t>
      </w:r>
      <w:r w:rsidR="00CC0D87" w:rsidRPr="00913317">
        <w:rPr>
          <w:szCs w:val="22"/>
          <w:lang w:val="hr-HR"/>
        </w:rPr>
        <w:t>ženi kod</w:t>
      </w:r>
      <w:r w:rsidRPr="00913317">
        <w:rPr>
          <w:szCs w:val="22"/>
          <w:lang w:val="hr-HR"/>
        </w:rPr>
        <w:t xml:space="preserve"> zdravi</w:t>
      </w:r>
      <w:r w:rsidR="00CC0D87" w:rsidRPr="00913317">
        <w:rPr>
          <w:szCs w:val="22"/>
          <w:lang w:val="hr-HR"/>
        </w:rPr>
        <w:t>h</w:t>
      </w:r>
      <w:r w:rsidRPr="00913317">
        <w:rPr>
          <w:szCs w:val="22"/>
          <w:lang w:val="hr-HR"/>
        </w:rPr>
        <w:t xml:space="preserve"> ispitani</w:t>
      </w:r>
      <w:r w:rsidR="00CC0D87" w:rsidRPr="00913317">
        <w:rPr>
          <w:szCs w:val="22"/>
          <w:lang w:val="hr-HR"/>
        </w:rPr>
        <w:t>ka</w:t>
      </w:r>
      <w:r w:rsidRPr="00913317">
        <w:rPr>
          <w:szCs w:val="22"/>
          <w:lang w:val="hr-HR"/>
        </w:rPr>
        <w:t xml:space="preserve">. </w:t>
      </w:r>
    </w:p>
    <w:p w14:paraId="5B8F0BAF" w14:textId="3C1D727E" w:rsidR="006131C3" w:rsidRPr="00913317" w:rsidRDefault="00BE6E1E" w:rsidP="00D72925">
      <w:pPr>
        <w:pStyle w:val="Paragraph"/>
        <w:spacing w:after="0"/>
        <w:jc w:val="both"/>
        <w:rPr>
          <w:sz w:val="22"/>
          <w:szCs w:val="22"/>
          <w:lang w:val="hr-HR"/>
        </w:rPr>
      </w:pPr>
      <w:r w:rsidRPr="00913317">
        <w:rPr>
          <w:sz w:val="22"/>
          <w:szCs w:val="22"/>
          <w:lang w:val="hr-HR"/>
        </w:rPr>
        <w:t xml:space="preserve">Farmakokinetika vorikonazola je nelinearna zbog saturacije njegovog metabolizma. Sa porastom doze dolazi do više nego proporcionalnog povećanja izloženosti </w:t>
      </w:r>
      <w:r w:rsidR="004D45E7" w:rsidRPr="00913317">
        <w:rPr>
          <w:sz w:val="22"/>
          <w:szCs w:val="22"/>
          <w:lang w:val="hr-HR"/>
        </w:rPr>
        <w:t>lijek</w:t>
      </w:r>
      <w:r w:rsidRPr="00913317">
        <w:rPr>
          <w:sz w:val="22"/>
          <w:szCs w:val="22"/>
          <w:lang w:val="hr-HR"/>
        </w:rPr>
        <w:t>u. Izračunato je da u pros</w:t>
      </w:r>
      <w:r w:rsidR="002E7C46" w:rsidRPr="00913317">
        <w:rPr>
          <w:sz w:val="22"/>
          <w:szCs w:val="22"/>
          <w:lang w:val="hr-HR"/>
        </w:rPr>
        <w:t>j</w:t>
      </w:r>
      <w:r w:rsidRPr="00913317">
        <w:rPr>
          <w:sz w:val="22"/>
          <w:szCs w:val="22"/>
          <w:lang w:val="hr-HR"/>
        </w:rPr>
        <w:t xml:space="preserve">eku povećanje oralne doze sa 200 mg dva puta dnevno na 300 mg dva puta dnevno, dovodi do 2,5 puta veće izloženosti (PIKτ). </w:t>
      </w:r>
    </w:p>
    <w:p w14:paraId="19C01F01" w14:textId="7441921A" w:rsidR="006131C3" w:rsidRPr="00913317" w:rsidRDefault="004D45E7" w:rsidP="00D72925">
      <w:pPr>
        <w:pStyle w:val="Paragraph"/>
        <w:spacing w:after="0"/>
        <w:jc w:val="both"/>
        <w:rPr>
          <w:sz w:val="22"/>
          <w:szCs w:val="22"/>
          <w:lang w:val="hr-HR"/>
        </w:rPr>
      </w:pPr>
      <w:r w:rsidRPr="00913317">
        <w:rPr>
          <w:sz w:val="22"/>
          <w:szCs w:val="22"/>
          <w:lang w:val="hr-HR"/>
        </w:rPr>
        <w:t>Primjen</w:t>
      </w:r>
      <w:r w:rsidR="00BE6E1E" w:rsidRPr="00913317">
        <w:rPr>
          <w:sz w:val="22"/>
          <w:szCs w:val="22"/>
          <w:lang w:val="hr-HR"/>
        </w:rPr>
        <w:t>om oralne doze održavanja od 200 mg (ili 100 mg za pacijente sa t</w:t>
      </w:r>
      <w:r w:rsidR="008E118C" w:rsidRPr="00913317">
        <w:rPr>
          <w:sz w:val="22"/>
          <w:szCs w:val="22"/>
          <w:lang w:val="hr-HR"/>
        </w:rPr>
        <w:t>j</w:t>
      </w:r>
      <w:r w:rsidR="00BE6E1E" w:rsidRPr="00913317">
        <w:rPr>
          <w:sz w:val="22"/>
          <w:szCs w:val="22"/>
          <w:lang w:val="hr-HR"/>
        </w:rPr>
        <w:t>elesnom masom &lt; od 40</w:t>
      </w:r>
      <w:r w:rsidR="00F648C7" w:rsidRPr="00913317">
        <w:rPr>
          <w:sz w:val="22"/>
          <w:szCs w:val="22"/>
          <w:lang w:val="hr-HR"/>
        </w:rPr>
        <w:t> </w:t>
      </w:r>
      <w:r w:rsidR="00BE6E1E" w:rsidRPr="00913317">
        <w:rPr>
          <w:sz w:val="22"/>
          <w:szCs w:val="22"/>
          <w:lang w:val="hr-HR"/>
        </w:rPr>
        <w:t>kg) obezb</w:t>
      </w:r>
      <w:r w:rsidR="008E118C" w:rsidRPr="00913317">
        <w:rPr>
          <w:sz w:val="22"/>
          <w:szCs w:val="22"/>
          <w:lang w:val="hr-HR"/>
        </w:rPr>
        <w:t>j</w:t>
      </w:r>
      <w:r w:rsidR="00BE6E1E" w:rsidRPr="00913317">
        <w:rPr>
          <w:sz w:val="22"/>
          <w:szCs w:val="22"/>
          <w:lang w:val="hr-HR"/>
        </w:rPr>
        <w:t>eđuje se izloženost vorikonazolu slična onoj koja se dobija posl</w:t>
      </w:r>
      <w:r w:rsidR="00F12E46" w:rsidRPr="00913317">
        <w:rPr>
          <w:sz w:val="22"/>
          <w:szCs w:val="22"/>
          <w:lang w:val="hr-HR"/>
        </w:rPr>
        <w:t>ij</w:t>
      </w:r>
      <w:r w:rsidR="00BE6E1E" w:rsidRPr="00913317">
        <w:rPr>
          <w:sz w:val="22"/>
          <w:szCs w:val="22"/>
          <w:lang w:val="hr-HR"/>
        </w:rPr>
        <w:t xml:space="preserve">e </w:t>
      </w:r>
      <w:r w:rsidRPr="00913317">
        <w:rPr>
          <w:sz w:val="22"/>
          <w:szCs w:val="22"/>
          <w:lang w:val="hr-HR"/>
        </w:rPr>
        <w:t>primjen</w:t>
      </w:r>
      <w:r w:rsidR="00BE6E1E" w:rsidRPr="00913317">
        <w:rPr>
          <w:sz w:val="22"/>
          <w:szCs w:val="22"/>
          <w:lang w:val="hr-HR"/>
        </w:rPr>
        <w:t>e intravenske doze od 3</w:t>
      </w:r>
      <w:r w:rsidR="00FC0D51" w:rsidRPr="00913317">
        <w:rPr>
          <w:sz w:val="22"/>
          <w:szCs w:val="22"/>
          <w:lang w:val="hr-HR"/>
        </w:rPr>
        <w:t> </w:t>
      </w:r>
      <w:r w:rsidR="00BE6E1E" w:rsidRPr="00913317">
        <w:rPr>
          <w:sz w:val="22"/>
          <w:szCs w:val="22"/>
          <w:lang w:val="hr-HR"/>
        </w:rPr>
        <w:t>mg/kg. A oralnom dozom održavanja od 300 mg (ili 150 mg za pacijente sa t</w:t>
      </w:r>
      <w:r w:rsidR="008E118C" w:rsidRPr="00913317">
        <w:rPr>
          <w:sz w:val="22"/>
          <w:szCs w:val="22"/>
          <w:lang w:val="hr-HR"/>
        </w:rPr>
        <w:t>j</w:t>
      </w:r>
      <w:r w:rsidR="00BE6E1E" w:rsidRPr="00913317">
        <w:rPr>
          <w:sz w:val="22"/>
          <w:szCs w:val="22"/>
          <w:lang w:val="hr-HR"/>
        </w:rPr>
        <w:t>elesnom masom &lt; od 40</w:t>
      </w:r>
      <w:r w:rsidR="00F648C7" w:rsidRPr="00913317">
        <w:rPr>
          <w:sz w:val="22"/>
          <w:szCs w:val="22"/>
          <w:lang w:val="hr-HR"/>
        </w:rPr>
        <w:t> </w:t>
      </w:r>
      <w:r w:rsidR="00BE6E1E" w:rsidRPr="00913317">
        <w:rPr>
          <w:sz w:val="22"/>
          <w:szCs w:val="22"/>
          <w:lang w:val="hr-HR"/>
        </w:rPr>
        <w:t>kg) obezb</w:t>
      </w:r>
      <w:r w:rsidR="008E118C" w:rsidRPr="00913317">
        <w:rPr>
          <w:sz w:val="22"/>
          <w:szCs w:val="22"/>
          <w:lang w:val="hr-HR"/>
        </w:rPr>
        <w:t>j</w:t>
      </w:r>
      <w:r w:rsidR="00BE6E1E" w:rsidRPr="00913317">
        <w:rPr>
          <w:sz w:val="22"/>
          <w:szCs w:val="22"/>
          <w:lang w:val="hr-HR"/>
        </w:rPr>
        <w:t>eđuje se izloženost vorikonazolu slična onoj koja se dobija posl</w:t>
      </w:r>
      <w:r w:rsidR="00F12E46" w:rsidRPr="00913317">
        <w:rPr>
          <w:sz w:val="22"/>
          <w:szCs w:val="22"/>
          <w:lang w:val="hr-HR"/>
        </w:rPr>
        <w:t>ij</w:t>
      </w:r>
      <w:r w:rsidR="00BE6E1E" w:rsidRPr="00913317">
        <w:rPr>
          <w:sz w:val="22"/>
          <w:szCs w:val="22"/>
          <w:lang w:val="hr-HR"/>
        </w:rPr>
        <w:t xml:space="preserve">e </w:t>
      </w:r>
      <w:r w:rsidRPr="00913317">
        <w:rPr>
          <w:sz w:val="22"/>
          <w:szCs w:val="22"/>
          <w:lang w:val="hr-HR"/>
        </w:rPr>
        <w:t>primjen</w:t>
      </w:r>
      <w:r w:rsidR="00BE6E1E" w:rsidRPr="00913317">
        <w:rPr>
          <w:sz w:val="22"/>
          <w:szCs w:val="22"/>
          <w:lang w:val="hr-HR"/>
        </w:rPr>
        <w:t>e intravenske doze od 4</w:t>
      </w:r>
      <w:r w:rsidR="00FC0D51" w:rsidRPr="00913317">
        <w:rPr>
          <w:sz w:val="22"/>
          <w:szCs w:val="22"/>
          <w:lang w:val="hr-HR"/>
        </w:rPr>
        <w:t> </w:t>
      </w:r>
      <w:r w:rsidR="00BE6E1E" w:rsidRPr="00913317">
        <w:rPr>
          <w:sz w:val="22"/>
          <w:szCs w:val="22"/>
          <w:lang w:val="hr-HR"/>
        </w:rPr>
        <w:t xml:space="preserve">mg/kg. </w:t>
      </w:r>
      <w:r w:rsidR="00C7273D" w:rsidRPr="00913317">
        <w:rPr>
          <w:sz w:val="22"/>
          <w:szCs w:val="22"/>
          <w:lang w:val="hr-HR"/>
        </w:rPr>
        <w:t xml:space="preserve">Kada se </w:t>
      </w:r>
      <w:r w:rsidRPr="00913317">
        <w:rPr>
          <w:sz w:val="22"/>
          <w:szCs w:val="22"/>
          <w:lang w:val="hr-HR"/>
        </w:rPr>
        <w:t>prim</w:t>
      </w:r>
      <w:r w:rsidR="008E118C" w:rsidRPr="00913317">
        <w:rPr>
          <w:sz w:val="22"/>
          <w:szCs w:val="22"/>
          <w:lang w:val="hr-HR"/>
        </w:rPr>
        <w:t>i</w:t>
      </w:r>
      <w:r w:rsidRPr="00913317">
        <w:rPr>
          <w:sz w:val="22"/>
          <w:szCs w:val="22"/>
          <w:lang w:val="hr-HR"/>
        </w:rPr>
        <w:t>jen</w:t>
      </w:r>
      <w:r w:rsidR="00C7273D" w:rsidRPr="00913317">
        <w:rPr>
          <w:sz w:val="22"/>
          <w:szCs w:val="22"/>
          <w:lang w:val="hr-HR"/>
        </w:rPr>
        <w:t>i preporučen intravenski ili oralni udarni režim doziranja</w:t>
      </w:r>
      <w:r w:rsidR="003256B9" w:rsidRPr="00913317">
        <w:rPr>
          <w:sz w:val="22"/>
          <w:szCs w:val="22"/>
          <w:lang w:val="hr-HR"/>
        </w:rPr>
        <w:t>,</w:t>
      </w:r>
      <w:r w:rsidR="00C7273D" w:rsidRPr="00913317">
        <w:rPr>
          <w:sz w:val="22"/>
          <w:szCs w:val="22"/>
          <w:lang w:val="hr-HR"/>
        </w:rPr>
        <w:t xml:space="preserve"> </w:t>
      </w:r>
      <w:r w:rsidR="003256B9" w:rsidRPr="00913317">
        <w:rPr>
          <w:sz w:val="22"/>
          <w:szCs w:val="22"/>
          <w:lang w:val="hr-HR"/>
        </w:rPr>
        <w:t xml:space="preserve">koncentracije u plazmi približne koncentracijama u stanju </w:t>
      </w:r>
      <w:r w:rsidR="00C7273D" w:rsidRPr="00913317">
        <w:rPr>
          <w:sz w:val="22"/>
          <w:szCs w:val="22"/>
          <w:lang w:val="hr-HR"/>
        </w:rPr>
        <w:t>ravnotež</w:t>
      </w:r>
      <w:r w:rsidR="003256B9" w:rsidRPr="00913317">
        <w:rPr>
          <w:sz w:val="22"/>
          <w:szCs w:val="22"/>
          <w:lang w:val="hr-HR"/>
        </w:rPr>
        <w:t>e</w:t>
      </w:r>
      <w:r w:rsidR="00C7273D" w:rsidRPr="00913317">
        <w:rPr>
          <w:sz w:val="22"/>
          <w:szCs w:val="22"/>
          <w:lang w:val="hr-HR"/>
        </w:rPr>
        <w:t xml:space="preserve"> postiž</w:t>
      </w:r>
      <w:r w:rsidR="003256B9" w:rsidRPr="00913317">
        <w:rPr>
          <w:sz w:val="22"/>
          <w:szCs w:val="22"/>
          <w:lang w:val="hr-HR"/>
        </w:rPr>
        <w:t>u</w:t>
      </w:r>
      <w:r w:rsidR="00C7273D" w:rsidRPr="00913317">
        <w:rPr>
          <w:sz w:val="22"/>
          <w:szCs w:val="22"/>
          <w:lang w:val="hr-HR"/>
        </w:rPr>
        <w:t xml:space="preserve"> se </w:t>
      </w:r>
      <w:r w:rsidR="003256B9" w:rsidRPr="00913317">
        <w:rPr>
          <w:sz w:val="22"/>
          <w:szCs w:val="22"/>
          <w:lang w:val="hr-HR"/>
        </w:rPr>
        <w:t xml:space="preserve">u prvih </w:t>
      </w:r>
      <w:r w:rsidR="00C7273D" w:rsidRPr="00913317">
        <w:rPr>
          <w:sz w:val="22"/>
          <w:szCs w:val="22"/>
          <w:lang w:val="hr-HR"/>
        </w:rPr>
        <w:t>24</w:t>
      </w:r>
      <w:r w:rsidR="00F648C7" w:rsidRPr="00913317">
        <w:rPr>
          <w:sz w:val="22"/>
          <w:szCs w:val="22"/>
          <w:lang w:val="hr-HR"/>
        </w:rPr>
        <w:t> </w:t>
      </w:r>
      <w:r w:rsidR="00C7273D" w:rsidRPr="00913317">
        <w:rPr>
          <w:sz w:val="22"/>
          <w:szCs w:val="22"/>
          <w:lang w:val="hr-HR"/>
        </w:rPr>
        <w:t>sata</w:t>
      </w:r>
      <w:r w:rsidR="00CC0D87" w:rsidRPr="00913317">
        <w:rPr>
          <w:sz w:val="22"/>
          <w:szCs w:val="22"/>
          <w:lang w:val="hr-HR"/>
        </w:rPr>
        <w:t xml:space="preserve"> nakon </w:t>
      </w:r>
      <w:r w:rsidRPr="00913317">
        <w:rPr>
          <w:sz w:val="22"/>
          <w:szCs w:val="22"/>
          <w:lang w:val="hr-HR"/>
        </w:rPr>
        <w:t>primjen</w:t>
      </w:r>
      <w:r w:rsidR="00CC0D87" w:rsidRPr="00913317">
        <w:rPr>
          <w:sz w:val="22"/>
          <w:szCs w:val="22"/>
          <w:lang w:val="hr-HR"/>
        </w:rPr>
        <w:t>e doze</w:t>
      </w:r>
      <w:r w:rsidR="00BE6E1E" w:rsidRPr="00913317">
        <w:rPr>
          <w:sz w:val="22"/>
          <w:szCs w:val="22"/>
          <w:lang w:val="hr-HR"/>
        </w:rPr>
        <w:t xml:space="preserve">. Bez udarne doze, pri višestrukoj </w:t>
      </w:r>
      <w:r w:rsidRPr="00913317">
        <w:rPr>
          <w:sz w:val="22"/>
          <w:szCs w:val="22"/>
          <w:lang w:val="hr-HR"/>
        </w:rPr>
        <w:t>primjen</w:t>
      </w:r>
      <w:r w:rsidR="00BE6E1E" w:rsidRPr="00913317">
        <w:rPr>
          <w:sz w:val="22"/>
          <w:szCs w:val="22"/>
          <w:lang w:val="hr-HR"/>
        </w:rPr>
        <w:t xml:space="preserve">i dva puta dnevno, do akumulacije sa ravnotežnim koncentracijama vorikonazola u plazmi dolazi kod većine ispitanika </w:t>
      </w:r>
      <w:r w:rsidR="00C7273D" w:rsidRPr="00913317">
        <w:rPr>
          <w:sz w:val="22"/>
          <w:szCs w:val="22"/>
          <w:lang w:val="hr-HR"/>
        </w:rPr>
        <w:t>do šestog</w:t>
      </w:r>
      <w:r w:rsidR="00BE6E1E" w:rsidRPr="00913317">
        <w:rPr>
          <w:sz w:val="22"/>
          <w:szCs w:val="22"/>
          <w:lang w:val="hr-HR"/>
        </w:rPr>
        <w:t xml:space="preserve"> dana.</w:t>
      </w:r>
    </w:p>
    <w:p w14:paraId="7A722873" w14:textId="77777777" w:rsidR="00BE6E1E" w:rsidRPr="00913317" w:rsidRDefault="00BE6E1E" w:rsidP="00D72925">
      <w:pPr>
        <w:pStyle w:val="Default"/>
        <w:jc w:val="both"/>
        <w:rPr>
          <w:color w:val="FF0000"/>
          <w:sz w:val="22"/>
          <w:szCs w:val="22"/>
          <w:lang w:val="hr-HR"/>
        </w:rPr>
      </w:pPr>
    </w:p>
    <w:p w14:paraId="0886C1BC" w14:textId="77777777" w:rsidR="00D8713D" w:rsidRPr="00913317" w:rsidRDefault="00D8713D" w:rsidP="00D72925">
      <w:pPr>
        <w:pStyle w:val="Default"/>
        <w:jc w:val="both"/>
        <w:rPr>
          <w:color w:val="auto"/>
          <w:sz w:val="22"/>
          <w:szCs w:val="22"/>
          <w:u w:val="single"/>
          <w:lang w:val="hr-HR"/>
        </w:rPr>
      </w:pPr>
      <w:r w:rsidRPr="00913317">
        <w:rPr>
          <w:color w:val="auto"/>
          <w:sz w:val="22"/>
          <w:szCs w:val="22"/>
          <w:u w:val="single"/>
          <w:lang w:val="hr-HR"/>
        </w:rPr>
        <w:t>Resorpcija</w:t>
      </w:r>
    </w:p>
    <w:p w14:paraId="34C309D0" w14:textId="6CB36E60" w:rsidR="006131C3" w:rsidRPr="00913317" w:rsidRDefault="00BE6E1E" w:rsidP="00D72925">
      <w:pPr>
        <w:rPr>
          <w:szCs w:val="22"/>
          <w:lang w:val="hr-HR"/>
        </w:rPr>
      </w:pPr>
      <w:r w:rsidRPr="00913317">
        <w:rPr>
          <w:szCs w:val="22"/>
          <w:lang w:val="hr-HR"/>
        </w:rPr>
        <w:t>Vorikonazol se brzo i skoro kompletno resorbuje posl</w:t>
      </w:r>
      <w:r w:rsidR="00F12E46" w:rsidRPr="00913317">
        <w:rPr>
          <w:szCs w:val="22"/>
          <w:lang w:val="hr-HR"/>
        </w:rPr>
        <w:t>ij</w:t>
      </w:r>
      <w:r w:rsidRPr="00913317">
        <w:rPr>
          <w:szCs w:val="22"/>
          <w:lang w:val="hr-HR"/>
        </w:rPr>
        <w:t xml:space="preserve">e oralne </w:t>
      </w:r>
      <w:r w:rsidR="004D45E7" w:rsidRPr="00913317">
        <w:rPr>
          <w:szCs w:val="22"/>
          <w:lang w:val="hr-HR"/>
        </w:rPr>
        <w:t>primjen</w:t>
      </w:r>
      <w:r w:rsidRPr="00913317">
        <w:rPr>
          <w:szCs w:val="22"/>
          <w:lang w:val="hr-HR"/>
        </w:rPr>
        <w:t xml:space="preserve">e, a </w:t>
      </w:r>
      <w:r w:rsidR="003256B9" w:rsidRPr="00913317">
        <w:rPr>
          <w:szCs w:val="22"/>
          <w:lang w:val="hr-HR"/>
        </w:rPr>
        <w:t xml:space="preserve">maksimalne </w:t>
      </w:r>
      <w:r w:rsidRPr="00913317">
        <w:rPr>
          <w:szCs w:val="22"/>
          <w:lang w:val="hr-HR"/>
        </w:rPr>
        <w:t>koncentracije</w:t>
      </w:r>
      <w:r w:rsidR="00D061E1" w:rsidRPr="00913317">
        <w:rPr>
          <w:szCs w:val="22"/>
          <w:lang w:val="hr-HR"/>
        </w:rPr>
        <w:t xml:space="preserve"> u plazmi</w:t>
      </w:r>
      <w:r w:rsidRPr="00913317">
        <w:rPr>
          <w:szCs w:val="22"/>
          <w:lang w:val="hr-HR"/>
        </w:rPr>
        <w:t xml:space="preserve"> (C</w:t>
      </w:r>
      <w:r w:rsidRPr="00913317">
        <w:rPr>
          <w:szCs w:val="22"/>
          <w:vertAlign w:val="subscript"/>
          <w:lang w:val="hr-HR"/>
        </w:rPr>
        <w:t>max</w:t>
      </w:r>
      <w:r w:rsidRPr="00913317">
        <w:rPr>
          <w:szCs w:val="22"/>
          <w:lang w:val="hr-HR"/>
        </w:rPr>
        <w:t xml:space="preserve">) postižu se </w:t>
      </w:r>
      <w:r w:rsidR="00D061E1" w:rsidRPr="00913317">
        <w:rPr>
          <w:szCs w:val="22"/>
          <w:lang w:val="hr-HR"/>
        </w:rPr>
        <w:t xml:space="preserve">od </w:t>
      </w:r>
      <w:r w:rsidRPr="00913317">
        <w:rPr>
          <w:szCs w:val="22"/>
          <w:lang w:val="hr-HR"/>
        </w:rPr>
        <w:t xml:space="preserve">1 do 2 sata </w:t>
      </w:r>
      <w:r w:rsidR="00D46AD2" w:rsidRPr="00913317">
        <w:rPr>
          <w:szCs w:val="22"/>
          <w:lang w:val="hr-HR"/>
        </w:rPr>
        <w:t xml:space="preserve">nakon </w:t>
      </w:r>
      <w:r w:rsidR="004D45E7" w:rsidRPr="00913317">
        <w:rPr>
          <w:szCs w:val="22"/>
          <w:lang w:val="hr-HR"/>
        </w:rPr>
        <w:t>primjen</w:t>
      </w:r>
      <w:r w:rsidRPr="00913317">
        <w:rPr>
          <w:szCs w:val="22"/>
          <w:lang w:val="hr-HR"/>
        </w:rPr>
        <w:t xml:space="preserve">e </w:t>
      </w:r>
      <w:r w:rsidR="004D45E7" w:rsidRPr="00913317">
        <w:rPr>
          <w:szCs w:val="22"/>
          <w:lang w:val="hr-HR"/>
        </w:rPr>
        <w:t>lijek</w:t>
      </w:r>
      <w:r w:rsidRPr="00913317">
        <w:rPr>
          <w:szCs w:val="22"/>
          <w:lang w:val="hr-HR"/>
        </w:rPr>
        <w:t xml:space="preserve">a. </w:t>
      </w:r>
      <w:r w:rsidR="004D45E7" w:rsidRPr="00913317">
        <w:rPr>
          <w:szCs w:val="22"/>
          <w:lang w:val="hr-HR"/>
        </w:rPr>
        <w:t>Procjen</w:t>
      </w:r>
      <w:r w:rsidR="00930948" w:rsidRPr="00913317">
        <w:rPr>
          <w:szCs w:val="22"/>
          <w:lang w:val="hr-HR"/>
        </w:rPr>
        <w:t>juje se da a</w:t>
      </w:r>
      <w:r w:rsidRPr="00913317">
        <w:rPr>
          <w:szCs w:val="22"/>
          <w:lang w:val="hr-HR"/>
        </w:rPr>
        <w:t>psolutna bioraspoloživost vorikonazola posl</w:t>
      </w:r>
      <w:r w:rsidR="00F12E46" w:rsidRPr="00913317">
        <w:rPr>
          <w:szCs w:val="22"/>
          <w:lang w:val="hr-HR"/>
        </w:rPr>
        <w:t>ij</w:t>
      </w:r>
      <w:r w:rsidRPr="00913317">
        <w:rPr>
          <w:szCs w:val="22"/>
          <w:lang w:val="hr-HR"/>
        </w:rPr>
        <w:t xml:space="preserve">e oralne </w:t>
      </w:r>
      <w:r w:rsidR="004D45E7" w:rsidRPr="00913317">
        <w:rPr>
          <w:szCs w:val="22"/>
          <w:lang w:val="hr-HR"/>
        </w:rPr>
        <w:t>primjen</w:t>
      </w:r>
      <w:r w:rsidRPr="00913317">
        <w:rPr>
          <w:szCs w:val="22"/>
          <w:lang w:val="hr-HR"/>
        </w:rPr>
        <w:t xml:space="preserve">e </w:t>
      </w:r>
      <w:r w:rsidR="00930948" w:rsidRPr="00913317">
        <w:rPr>
          <w:szCs w:val="22"/>
          <w:lang w:val="hr-HR"/>
        </w:rPr>
        <w:t>iznosi</w:t>
      </w:r>
      <w:r w:rsidRPr="00913317">
        <w:rPr>
          <w:szCs w:val="22"/>
          <w:lang w:val="hr-HR"/>
        </w:rPr>
        <w:t xml:space="preserve"> 96%. Kada se višestruke doze vorikonazola </w:t>
      </w:r>
      <w:r w:rsidR="004D45E7" w:rsidRPr="00913317">
        <w:rPr>
          <w:szCs w:val="22"/>
          <w:lang w:val="hr-HR"/>
        </w:rPr>
        <w:t>primjen</w:t>
      </w:r>
      <w:r w:rsidRPr="00913317">
        <w:rPr>
          <w:szCs w:val="22"/>
          <w:lang w:val="hr-HR"/>
        </w:rPr>
        <w:t>e sa hranom koja je bogata mastima, C</w:t>
      </w:r>
      <w:r w:rsidRPr="00913317">
        <w:rPr>
          <w:szCs w:val="22"/>
          <w:vertAlign w:val="subscript"/>
          <w:lang w:val="hr-HR"/>
        </w:rPr>
        <w:t>max</w:t>
      </w:r>
      <w:r w:rsidRPr="00913317">
        <w:rPr>
          <w:szCs w:val="22"/>
          <w:lang w:val="hr-HR"/>
        </w:rPr>
        <w:t xml:space="preserve"> i PIKτ se smanjuju za 34% odnosno 24%, redom. Na resorpciju vorikonazola ne utiču prom</w:t>
      </w:r>
      <w:r w:rsidR="007A2550" w:rsidRPr="00913317">
        <w:rPr>
          <w:szCs w:val="22"/>
          <w:lang w:val="hr-HR"/>
        </w:rPr>
        <w:t>j</w:t>
      </w:r>
      <w:r w:rsidRPr="00913317">
        <w:rPr>
          <w:szCs w:val="22"/>
          <w:lang w:val="hr-HR"/>
        </w:rPr>
        <w:t xml:space="preserve">ene pH u želucu. </w:t>
      </w:r>
    </w:p>
    <w:p w14:paraId="395C3319" w14:textId="77777777" w:rsidR="00D8713D" w:rsidRPr="00913317" w:rsidRDefault="00D8713D" w:rsidP="00D72925">
      <w:pPr>
        <w:pStyle w:val="Default"/>
        <w:jc w:val="both"/>
        <w:rPr>
          <w:color w:val="auto"/>
          <w:sz w:val="22"/>
          <w:szCs w:val="22"/>
          <w:lang w:val="hr-HR"/>
        </w:rPr>
      </w:pPr>
    </w:p>
    <w:p w14:paraId="21212B50" w14:textId="77777777" w:rsidR="00D8713D" w:rsidRPr="00913317" w:rsidRDefault="00D8713D" w:rsidP="00D72925">
      <w:pPr>
        <w:pStyle w:val="Default"/>
        <w:jc w:val="both"/>
        <w:rPr>
          <w:color w:val="auto"/>
          <w:sz w:val="22"/>
          <w:szCs w:val="22"/>
          <w:u w:val="single"/>
          <w:lang w:val="hr-HR"/>
        </w:rPr>
      </w:pPr>
      <w:r w:rsidRPr="00913317">
        <w:rPr>
          <w:color w:val="auto"/>
          <w:sz w:val="22"/>
          <w:szCs w:val="22"/>
          <w:u w:val="single"/>
          <w:lang w:val="hr-HR"/>
        </w:rPr>
        <w:t>Distribucija</w:t>
      </w:r>
    </w:p>
    <w:p w14:paraId="10875EC0" w14:textId="06ADEE0F" w:rsidR="006131C3" w:rsidRPr="00913317" w:rsidRDefault="00BE6E1E" w:rsidP="00D72925">
      <w:pPr>
        <w:rPr>
          <w:szCs w:val="22"/>
          <w:lang w:val="hr-HR"/>
        </w:rPr>
      </w:pPr>
      <w:r w:rsidRPr="00913317">
        <w:rPr>
          <w:szCs w:val="22"/>
          <w:lang w:val="hr-HR"/>
        </w:rPr>
        <w:lastRenderedPageBreak/>
        <w:t>Volumen distribucije vorikonazola u</w:t>
      </w:r>
      <w:r w:rsidR="007A2550" w:rsidRPr="00913317">
        <w:rPr>
          <w:szCs w:val="22"/>
          <w:lang w:val="hr-HR"/>
        </w:rPr>
        <w:t xml:space="preserve"> ravnotežnom stanju iznosi 4,6 l</w:t>
      </w:r>
      <w:r w:rsidRPr="00913317">
        <w:rPr>
          <w:szCs w:val="22"/>
          <w:lang w:val="hr-HR"/>
        </w:rPr>
        <w:t xml:space="preserve">/kg, što ukazuje na </w:t>
      </w:r>
      <w:r w:rsidR="00EB46B0" w:rsidRPr="00913317">
        <w:rPr>
          <w:szCs w:val="22"/>
          <w:lang w:val="hr-HR"/>
        </w:rPr>
        <w:t>obimnu</w:t>
      </w:r>
      <w:r w:rsidRPr="00913317">
        <w:rPr>
          <w:szCs w:val="22"/>
          <w:lang w:val="hr-HR"/>
        </w:rPr>
        <w:t xml:space="preserve"> distribuciju u tkiva</w:t>
      </w:r>
      <w:r w:rsidR="00EB46B0" w:rsidRPr="00913317">
        <w:rPr>
          <w:szCs w:val="22"/>
          <w:lang w:val="hr-HR"/>
        </w:rPr>
        <w:t>.</w:t>
      </w:r>
      <w:r w:rsidR="00930948" w:rsidRPr="00913317">
        <w:rPr>
          <w:szCs w:val="22"/>
          <w:lang w:val="hr-HR"/>
        </w:rPr>
        <w:t xml:space="preserve"> </w:t>
      </w:r>
      <w:r w:rsidR="004D45E7" w:rsidRPr="00913317">
        <w:rPr>
          <w:szCs w:val="22"/>
          <w:lang w:val="hr-HR"/>
        </w:rPr>
        <w:t>Procjen</w:t>
      </w:r>
      <w:r w:rsidR="00930948" w:rsidRPr="00913317">
        <w:rPr>
          <w:szCs w:val="22"/>
          <w:lang w:val="hr-HR"/>
        </w:rPr>
        <w:t>juje se da je v</w:t>
      </w:r>
      <w:r w:rsidRPr="00913317">
        <w:rPr>
          <w:szCs w:val="22"/>
          <w:lang w:val="hr-HR"/>
        </w:rPr>
        <w:t xml:space="preserve">ezivanje za proteine plazme 58%. </w:t>
      </w:r>
    </w:p>
    <w:p w14:paraId="344AB88D" w14:textId="60F44E29" w:rsidR="006131C3" w:rsidRPr="00913317" w:rsidRDefault="00BE6E1E" w:rsidP="00D72925">
      <w:pPr>
        <w:rPr>
          <w:szCs w:val="22"/>
          <w:lang w:val="hr-HR"/>
        </w:rPr>
      </w:pPr>
      <w:r w:rsidRPr="00913317">
        <w:rPr>
          <w:szCs w:val="22"/>
          <w:lang w:val="hr-HR"/>
        </w:rPr>
        <w:t xml:space="preserve">Kod 8 pacijenata, koji su učestvovali u programu </w:t>
      </w:r>
      <w:r w:rsidR="004D45E7" w:rsidRPr="00913317">
        <w:rPr>
          <w:szCs w:val="22"/>
          <w:lang w:val="hr-HR"/>
        </w:rPr>
        <w:t>primjen</w:t>
      </w:r>
      <w:r w:rsidRPr="00913317">
        <w:rPr>
          <w:szCs w:val="22"/>
          <w:lang w:val="hr-HR"/>
        </w:rPr>
        <w:t xml:space="preserve">e </w:t>
      </w:r>
      <w:r w:rsidR="004D45E7" w:rsidRPr="00913317">
        <w:rPr>
          <w:szCs w:val="22"/>
          <w:lang w:val="hr-HR"/>
        </w:rPr>
        <w:t>lijek</w:t>
      </w:r>
      <w:r w:rsidRPr="00913317">
        <w:rPr>
          <w:szCs w:val="22"/>
          <w:lang w:val="hr-HR"/>
        </w:rPr>
        <w:t>a iz milosrđa</w:t>
      </w:r>
      <w:r w:rsidR="00EB46B0" w:rsidRPr="00913317">
        <w:rPr>
          <w:i/>
          <w:szCs w:val="22"/>
          <w:lang w:val="hr-HR"/>
        </w:rPr>
        <w:t xml:space="preserve"> (</w:t>
      </w:r>
      <w:r w:rsidR="003256B9" w:rsidRPr="00913317">
        <w:rPr>
          <w:szCs w:val="22"/>
          <w:lang w:val="hr-HR"/>
        </w:rPr>
        <w:t>engl.</w:t>
      </w:r>
      <w:r w:rsidR="00CC0D87" w:rsidRPr="00913317">
        <w:rPr>
          <w:i/>
          <w:szCs w:val="22"/>
          <w:lang w:val="hr-HR"/>
        </w:rPr>
        <w:t xml:space="preserve"> </w:t>
      </w:r>
      <w:r w:rsidR="00EB46B0" w:rsidRPr="00913317">
        <w:rPr>
          <w:i/>
          <w:szCs w:val="22"/>
          <w:lang w:val="hr-HR"/>
        </w:rPr>
        <w:t>compassionate use)</w:t>
      </w:r>
      <w:r w:rsidRPr="00913317">
        <w:rPr>
          <w:szCs w:val="22"/>
          <w:lang w:val="hr-HR"/>
        </w:rPr>
        <w:t xml:space="preserve"> u uzorcima cerebrospinalne tečnosti otkrivene su m</w:t>
      </w:r>
      <w:r w:rsidR="00F12E46" w:rsidRPr="00913317">
        <w:rPr>
          <w:szCs w:val="22"/>
          <w:lang w:val="hr-HR"/>
        </w:rPr>
        <w:t>j</w:t>
      </w:r>
      <w:r w:rsidRPr="00913317">
        <w:rPr>
          <w:szCs w:val="22"/>
          <w:lang w:val="hr-HR"/>
        </w:rPr>
        <w:t xml:space="preserve">erljive koncentracije vorikonazola. </w:t>
      </w:r>
    </w:p>
    <w:p w14:paraId="3196DA08" w14:textId="77777777" w:rsidR="00D8713D" w:rsidRPr="00913317" w:rsidRDefault="00D8713D" w:rsidP="00D72925">
      <w:pPr>
        <w:pStyle w:val="Default"/>
        <w:jc w:val="both"/>
        <w:rPr>
          <w:color w:val="FF0000"/>
          <w:sz w:val="22"/>
          <w:szCs w:val="22"/>
          <w:lang w:val="hr-HR"/>
        </w:rPr>
      </w:pPr>
    </w:p>
    <w:p w14:paraId="03373276" w14:textId="77777777" w:rsidR="00D8713D" w:rsidRPr="00913317" w:rsidRDefault="00D8713D" w:rsidP="00D72925">
      <w:pPr>
        <w:pStyle w:val="Default"/>
        <w:jc w:val="both"/>
        <w:rPr>
          <w:color w:val="auto"/>
          <w:sz w:val="22"/>
          <w:szCs w:val="22"/>
          <w:u w:val="single"/>
          <w:lang w:val="hr-HR"/>
        </w:rPr>
      </w:pPr>
      <w:r w:rsidRPr="00913317">
        <w:rPr>
          <w:color w:val="auto"/>
          <w:sz w:val="22"/>
          <w:szCs w:val="22"/>
          <w:u w:val="single"/>
          <w:lang w:val="hr-HR"/>
        </w:rPr>
        <w:t>Biotransformacija</w:t>
      </w:r>
    </w:p>
    <w:p w14:paraId="77978C44" w14:textId="77777777" w:rsidR="006131C3" w:rsidRPr="00913317" w:rsidRDefault="00BE6E1E" w:rsidP="00D72925">
      <w:pPr>
        <w:rPr>
          <w:szCs w:val="22"/>
          <w:lang w:val="hr-HR"/>
        </w:rPr>
      </w:pPr>
      <w:r w:rsidRPr="00913317">
        <w:rPr>
          <w:szCs w:val="22"/>
          <w:lang w:val="hr-HR"/>
        </w:rPr>
        <w:t xml:space="preserve">U </w:t>
      </w:r>
      <w:r w:rsidRPr="00913317">
        <w:rPr>
          <w:i/>
          <w:szCs w:val="22"/>
          <w:lang w:val="hr-HR"/>
        </w:rPr>
        <w:t xml:space="preserve">in vitro </w:t>
      </w:r>
      <w:r w:rsidRPr="00913317">
        <w:rPr>
          <w:szCs w:val="22"/>
          <w:lang w:val="hr-HR"/>
        </w:rPr>
        <w:t xml:space="preserve">studijama pokazano je da se vorikonazol metaboliše putem citohrom P450 izoenzima jetre CYP2C19, CYP2C9 i CYP3A4. </w:t>
      </w:r>
    </w:p>
    <w:p w14:paraId="0BECFDC7" w14:textId="77777777" w:rsidR="006131C3" w:rsidRPr="00913317" w:rsidRDefault="00BE6E1E" w:rsidP="00D72925">
      <w:pPr>
        <w:rPr>
          <w:szCs w:val="22"/>
          <w:lang w:val="hr-HR"/>
        </w:rPr>
      </w:pPr>
      <w:r w:rsidRPr="00913317">
        <w:rPr>
          <w:szCs w:val="22"/>
          <w:lang w:val="hr-HR"/>
        </w:rPr>
        <w:t>Postoje velike inter-individualne razlike u farmakokinetici vorikonazola.</w:t>
      </w:r>
    </w:p>
    <w:p w14:paraId="1DD06315" w14:textId="2C487DAF" w:rsidR="006131C3" w:rsidRPr="00913317" w:rsidRDefault="00BE6E1E" w:rsidP="00D72925">
      <w:pPr>
        <w:rPr>
          <w:szCs w:val="22"/>
          <w:lang w:val="hr-HR"/>
        </w:rPr>
      </w:pPr>
      <w:r w:rsidRPr="00913317">
        <w:rPr>
          <w:i/>
          <w:szCs w:val="22"/>
          <w:lang w:val="hr-HR"/>
        </w:rPr>
        <w:t>In vivo</w:t>
      </w:r>
      <w:r w:rsidRPr="00913317">
        <w:rPr>
          <w:szCs w:val="22"/>
          <w:lang w:val="hr-HR"/>
        </w:rPr>
        <w:t xml:space="preserve"> studije su pokazale da je CYP2C19 značajno uključen u metabolizam vorikonazola. Ovaj enzim pokazuje genetski polimorfizam. Na prim</w:t>
      </w:r>
      <w:r w:rsidR="000A59BB" w:rsidRPr="00913317">
        <w:rPr>
          <w:szCs w:val="22"/>
          <w:lang w:val="hr-HR"/>
        </w:rPr>
        <w:t>j</w:t>
      </w:r>
      <w:r w:rsidRPr="00913317">
        <w:rPr>
          <w:szCs w:val="22"/>
          <w:lang w:val="hr-HR"/>
        </w:rPr>
        <w:t>er, za 15-20% azijske populacije može se očekivati da su spori metabolizeri. Za populaciju b</w:t>
      </w:r>
      <w:r w:rsidR="007A2550" w:rsidRPr="00913317">
        <w:rPr>
          <w:szCs w:val="22"/>
          <w:lang w:val="hr-HR"/>
        </w:rPr>
        <w:t>ij</w:t>
      </w:r>
      <w:r w:rsidRPr="00913317">
        <w:rPr>
          <w:szCs w:val="22"/>
          <w:lang w:val="hr-HR"/>
        </w:rPr>
        <w:t>ele i crne rase prevalencija sporih metabolizera je od 3-5%. Studije sprovedene na populaciji zdravih ispitanika b</w:t>
      </w:r>
      <w:r w:rsidR="007A2550" w:rsidRPr="00913317">
        <w:rPr>
          <w:szCs w:val="22"/>
          <w:lang w:val="hr-HR"/>
        </w:rPr>
        <w:t>ij</w:t>
      </w:r>
      <w:r w:rsidRPr="00913317">
        <w:rPr>
          <w:szCs w:val="22"/>
          <w:lang w:val="hr-HR"/>
        </w:rPr>
        <w:t>ele rase i Japana pokazale su da spori metabolizeri imaju u pros</w:t>
      </w:r>
      <w:r w:rsidR="002E7C46" w:rsidRPr="00913317">
        <w:rPr>
          <w:szCs w:val="22"/>
          <w:lang w:val="hr-HR"/>
        </w:rPr>
        <w:t>j</w:t>
      </w:r>
      <w:r w:rsidRPr="00913317">
        <w:rPr>
          <w:szCs w:val="22"/>
          <w:lang w:val="hr-HR"/>
        </w:rPr>
        <w:t xml:space="preserve">eku 4-puta veću izloženost (PIKτ) vorikonazolu nego odgovarajući homozigotni brzi metabolizeri. Ispitanici koji su heterozigotni </w:t>
      </w:r>
      <w:r w:rsidR="00815C98" w:rsidRPr="00913317">
        <w:rPr>
          <w:szCs w:val="22"/>
          <w:lang w:val="hr-HR"/>
        </w:rPr>
        <w:t xml:space="preserve">brzi </w:t>
      </w:r>
      <w:r w:rsidRPr="00913317">
        <w:rPr>
          <w:szCs w:val="22"/>
          <w:lang w:val="hr-HR"/>
        </w:rPr>
        <w:t>metabolizeri imaju u pros</w:t>
      </w:r>
      <w:r w:rsidR="002E7C46" w:rsidRPr="00913317">
        <w:rPr>
          <w:szCs w:val="22"/>
          <w:lang w:val="hr-HR"/>
        </w:rPr>
        <w:t>j</w:t>
      </w:r>
      <w:r w:rsidRPr="00913317">
        <w:rPr>
          <w:szCs w:val="22"/>
          <w:lang w:val="hr-HR"/>
        </w:rPr>
        <w:t>eku 2-puta veći PIKτ</w:t>
      </w:r>
      <w:r w:rsidRPr="00913317" w:rsidDel="00BF24E4">
        <w:rPr>
          <w:szCs w:val="22"/>
          <w:lang w:val="hr-HR"/>
        </w:rPr>
        <w:t xml:space="preserve"> </w:t>
      </w:r>
      <w:r w:rsidRPr="00913317">
        <w:rPr>
          <w:szCs w:val="22"/>
          <w:lang w:val="hr-HR"/>
        </w:rPr>
        <w:t xml:space="preserve">vorikonazola u odnosu na odgovarajuće homozigotne </w:t>
      </w:r>
      <w:r w:rsidR="00815C98" w:rsidRPr="00913317">
        <w:rPr>
          <w:szCs w:val="22"/>
          <w:lang w:val="hr-HR"/>
        </w:rPr>
        <w:t xml:space="preserve">brze </w:t>
      </w:r>
      <w:r w:rsidRPr="00913317">
        <w:rPr>
          <w:szCs w:val="22"/>
          <w:lang w:val="hr-HR"/>
        </w:rPr>
        <w:t>metabolizere.</w:t>
      </w:r>
    </w:p>
    <w:p w14:paraId="5E75E169" w14:textId="02053B2C" w:rsidR="00BE6E1E" w:rsidRPr="00913317" w:rsidRDefault="00BE6E1E" w:rsidP="00D72925">
      <w:pPr>
        <w:pStyle w:val="Default"/>
        <w:jc w:val="both"/>
        <w:rPr>
          <w:color w:val="auto"/>
          <w:sz w:val="22"/>
          <w:szCs w:val="22"/>
          <w:lang w:val="hr-HR"/>
        </w:rPr>
      </w:pPr>
      <w:r w:rsidRPr="00913317">
        <w:rPr>
          <w:color w:val="auto"/>
          <w:sz w:val="22"/>
          <w:szCs w:val="22"/>
          <w:lang w:val="hr-HR"/>
        </w:rPr>
        <w:t>Glavni metabolit vorikonazola je N-oksid koji čini 72</w:t>
      </w:r>
      <w:r w:rsidR="007A2550" w:rsidRPr="00913317">
        <w:rPr>
          <w:color w:val="auto"/>
          <w:sz w:val="22"/>
          <w:szCs w:val="22"/>
          <w:lang w:val="hr-HR"/>
        </w:rPr>
        <w:t>% cirkulišućih, radioaktivno obi</w:t>
      </w:r>
      <w:r w:rsidRPr="00913317">
        <w:rPr>
          <w:color w:val="auto"/>
          <w:sz w:val="22"/>
          <w:szCs w:val="22"/>
          <w:lang w:val="hr-HR"/>
        </w:rPr>
        <w:t>l</w:t>
      </w:r>
      <w:r w:rsidR="007A2550" w:rsidRPr="00913317">
        <w:rPr>
          <w:color w:val="auto"/>
          <w:sz w:val="22"/>
          <w:szCs w:val="22"/>
          <w:lang w:val="hr-HR"/>
        </w:rPr>
        <w:t>j</w:t>
      </w:r>
      <w:r w:rsidRPr="00913317">
        <w:rPr>
          <w:color w:val="auto"/>
          <w:sz w:val="22"/>
          <w:szCs w:val="22"/>
          <w:lang w:val="hr-HR"/>
        </w:rPr>
        <w:t>eženih metabolita u plazmi. Ovaj metabolit ima minimalnu antigljivičnu aktivnost i ne doprinosi ukupnoj efikasnosti vorikonazola.</w:t>
      </w:r>
    </w:p>
    <w:p w14:paraId="6B556F9B" w14:textId="77777777" w:rsidR="00D8713D" w:rsidRPr="00913317" w:rsidRDefault="00D8713D" w:rsidP="00D72925">
      <w:pPr>
        <w:pStyle w:val="Default"/>
        <w:jc w:val="both"/>
        <w:rPr>
          <w:color w:val="auto"/>
          <w:sz w:val="22"/>
          <w:szCs w:val="22"/>
          <w:lang w:val="hr-HR"/>
        </w:rPr>
      </w:pPr>
      <w:r w:rsidRPr="00913317">
        <w:rPr>
          <w:color w:val="auto"/>
          <w:sz w:val="22"/>
          <w:szCs w:val="22"/>
          <w:lang w:val="hr-HR"/>
        </w:rPr>
        <w:t xml:space="preserve"> </w:t>
      </w:r>
    </w:p>
    <w:p w14:paraId="47A76DD1" w14:textId="77777777" w:rsidR="00D8713D" w:rsidRPr="00913317" w:rsidRDefault="00D8713D" w:rsidP="00D72925">
      <w:pPr>
        <w:pStyle w:val="Default"/>
        <w:keepNext/>
        <w:jc w:val="both"/>
        <w:rPr>
          <w:color w:val="auto"/>
          <w:sz w:val="22"/>
          <w:szCs w:val="22"/>
          <w:u w:val="single"/>
          <w:lang w:val="hr-HR"/>
        </w:rPr>
      </w:pPr>
      <w:r w:rsidRPr="00913317">
        <w:rPr>
          <w:color w:val="auto"/>
          <w:sz w:val="22"/>
          <w:szCs w:val="22"/>
          <w:u w:val="single"/>
          <w:lang w:val="hr-HR"/>
        </w:rPr>
        <w:t>Eliminacija</w:t>
      </w:r>
    </w:p>
    <w:p w14:paraId="7D2CC2F7" w14:textId="220C9E48" w:rsidR="006131C3" w:rsidRPr="00913317" w:rsidRDefault="00BE6E1E" w:rsidP="00D72925">
      <w:pPr>
        <w:rPr>
          <w:szCs w:val="22"/>
          <w:lang w:val="hr-HR"/>
        </w:rPr>
      </w:pPr>
      <w:r w:rsidRPr="00913317">
        <w:rPr>
          <w:szCs w:val="22"/>
          <w:lang w:val="hr-HR"/>
        </w:rPr>
        <w:t>Vorikonazol se elimin</w:t>
      </w:r>
      <w:r w:rsidR="000C0D10" w:rsidRPr="00913317">
        <w:rPr>
          <w:szCs w:val="22"/>
          <w:lang w:val="hr-HR"/>
        </w:rPr>
        <w:t>i</w:t>
      </w:r>
      <w:r w:rsidRPr="00913317">
        <w:rPr>
          <w:szCs w:val="22"/>
          <w:lang w:val="hr-HR"/>
        </w:rPr>
        <w:t>še putem metabolizma u jetri, a manje od 2% doze eliminiše se neprom</w:t>
      </w:r>
      <w:r w:rsidR="007A2550" w:rsidRPr="00913317">
        <w:rPr>
          <w:szCs w:val="22"/>
          <w:lang w:val="hr-HR"/>
        </w:rPr>
        <w:t>ij</w:t>
      </w:r>
      <w:r w:rsidRPr="00913317">
        <w:rPr>
          <w:szCs w:val="22"/>
          <w:lang w:val="hr-HR"/>
        </w:rPr>
        <w:t>enjeno urinom.</w:t>
      </w:r>
    </w:p>
    <w:p w14:paraId="394067FB" w14:textId="0EFCC68A" w:rsidR="006131C3" w:rsidRPr="00913317" w:rsidRDefault="00BE6E1E" w:rsidP="00D72925">
      <w:pPr>
        <w:rPr>
          <w:szCs w:val="22"/>
          <w:lang w:val="hr-HR"/>
        </w:rPr>
      </w:pPr>
      <w:r w:rsidRPr="00913317">
        <w:rPr>
          <w:szCs w:val="22"/>
          <w:lang w:val="hr-HR"/>
        </w:rPr>
        <w:t>Posl</w:t>
      </w:r>
      <w:r w:rsidR="00F12E46" w:rsidRPr="00913317">
        <w:rPr>
          <w:szCs w:val="22"/>
          <w:lang w:val="hr-HR"/>
        </w:rPr>
        <w:t>ij</w:t>
      </w:r>
      <w:r w:rsidRPr="00913317">
        <w:rPr>
          <w:szCs w:val="22"/>
          <w:lang w:val="hr-HR"/>
        </w:rPr>
        <w:t xml:space="preserve">e </w:t>
      </w:r>
      <w:r w:rsidR="004D45E7" w:rsidRPr="00913317">
        <w:rPr>
          <w:szCs w:val="22"/>
          <w:lang w:val="hr-HR"/>
        </w:rPr>
        <w:t>primjen</w:t>
      </w:r>
      <w:r w:rsidR="007A2550" w:rsidRPr="00913317">
        <w:rPr>
          <w:szCs w:val="22"/>
          <w:lang w:val="hr-HR"/>
        </w:rPr>
        <w:t>e radioaktivno obi</w:t>
      </w:r>
      <w:r w:rsidRPr="00913317">
        <w:rPr>
          <w:szCs w:val="22"/>
          <w:lang w:val="hr-HR"/>
        </w:rPr>
        <w:t>l</w:t>
      </w:r>
      <w:r w:rsidR="007A2550" w:rsidRPr="00913317">
        <w:rPr>
          <w:szCs w:val="22"/>
          <w:lang w:val="hr-HR"/>
        </w:rPr>
        <w:t>j</w:t>
      </w:r>
      <w:r w:rsidRPr="00913317">
        <w:rPr>
          <w:szCs w:val="22"/>
          <w:lang w:val="hr-HR"/>
        </w:rPr>
        <w:t>eženog vorikonazola, približno 80% radioaktivnosti pojavljuje se u urinu posl</w:t>
      </w:r>
      <w:r w:rsidR="00F12E46" w:rsidRPr="00913317">
        <w:rPr>
          <w:szCs w:val="22"/>
          <w:lang w:val="hr-HR"/>
        </w:rPr>
        <w:t>ij</w:t>
      </w:r>
      <w:r w:rsidRPr="00913317">
        <w:rPr>
          <w:szCs w:val="22"/>
          <w:lang w:val="hr-HR"/>
        </w:rPr>
        <w:t xml:space="preserve">e višestruke </w:t>
      </w:r>
      <w:r w:rsidR="004D45E7" w:rsidRPr="00913317">
        <w:rPr>
          <w:szCs w:val="22"/>
          <w:lang w:val="hr-HR"/>
        </w:rPr>
        <w:t>primjen</w:t>
      </w:r>
      <w:r w:rsidRPr="00913317">
        <w:rPr>
          <w:szCs w:val="22"/>
          <w:lang w:val="hr-HR"/>
        </w:rPr>
        <w:t>e intravenske doze, a 83% posl</w:t>
      </w:r>
      <w:r w:rsidR="00F12E46" w:rsidRPr="00913317">
        <w:rPr>
          <w:szCs w:val="22"/>
          <w:lang w:val="hr-HR"/>
        </w:rPr>
        <w:t>ij</w:t>
      </w:r>
      <w:r w:rsidRPr="00913317">
        <w:rPr>
          <w:szCs w:val="22"/>
          <w:lang w:val="hr-HR"/>
        </w:rPr>
        <w:t xml:space="preserve">e višestruke </w:t>
      </w:r>
      <w:r w:rsidR="004D45E7" w:rsidRPr="00913317">
        <w:rPr>
          <w:szCs w:val="22"/>
          <w:lang w:val="hr-HR"/>
        </w:rPr>
        <w:t>primjen</w:t>
      </w:r>
      <w:r w:rsidRPr="00913317">
        <w:rPr>
          <w:szCs w:val="22"/>
          <w:lang w:val="hr-HR"/>
        </w:rPr>
        <w:t>e oralne doze. Većina (&gt; 94%) ukupne radioaktivnosti se</w:t>
      </w:r>
      <w:r w:rsidR="001E7D2E" w:rsidRPr="00913317">
        <w:rPr>
          <w:szCs w:val="22"/>
          <w:lang w:val="hr-HR"/>
        </w:rPr>
        <w:t xml:space="preserve"> izlučuje</w:t>
      </w:r>
      <w:r w:rsidRPr="00913317">
        <w:rPr>
          <w:szCs w:val="22"/>
          <w:lang w:val="hr-HR"/>
        </w:rPr>
        <w:t xml:space="preserve"> urinom u toku prvih 96 sati i posl</w:t>
      </w:r>
      <w:r w:rsidR="00F12E46" w:rsidRPr="00913317">
        <w:rPr>
          <w:szCs w:val="22"/>
          <w:lang w:val="hr-HR"/>
        </w:rPr>
        <w:t>ij</w:t>
      </w:r>
      <w:r w:rsidRPr="00913317">
        <w:rPr>
          <w:szCs w:val="22"/>
          <w:lang w:val="hr-HR"/>
        </w:rPr>
        <w:t>e oralne i posl</w:t>
      </w:r>
      <w:r w:rsidR="00F12E46" w:rsidRPr="00913317">
        <w:rPr>
          <w:szCs w:val="22"/>
          <w:lang w:val="hr-HR"/>
        </w:rPr>
        <w:t>ij</w:t>
      </w:r>
      <w:r w:rsidRPr="00913317">
        <w:rPr>
          <w:szCs w:val="22"/>
          <w:lang w:val="hr-HR"/>
        </w:rPr>
        <w:t xml:space="preserve">e intravenske </w:t>
      </w:r>
      <w:r w:rsidR="004D45E7" w:rsidRPr="00913317">
        <w:rPr>
          <w:szCs w:val="22"/>
          <w:lang w:val="hr-HR"/>
        </w:rPr>
        <w:t>primjen</w:t>
      </w:r>
      <w:r w:rsidRPr="00913317">
        <w:rPr>
          <w:szCs w:val="22"/>
          <w:lang w:val="hr-HR"/>
        </w:rPr>
        <w:t xml:space="preserve">e </w:t>
      </w:r>
      <w:r w:rsidR="004D45E7" w:rsidRPr="00913317">
        <w:rPr>
          <w:szCs w:val="22"/>
          <w:lang w:val="hr-HR"/>
        </w:rPr>
        <w:t>lijek</w:t>
      </w:r>
      <w:r w:rsidRPr="00913317">
        <w:rPr>
          <w:szCs w:val="22"/>
          <w:lang w:val="hr-HR"/>
        </w:rPr>
        <w:t xml:space="preserve">a. </w:t>
      </w:r>
    </w:p>
    <w:p w14:paraId="76E1D163" w14:textId="5611AC6D" w:rsidR="006131C3" w:rsidRPr="00913317" w:rsidRDefault="00BE6E1E" w:rsidP="00D72925">
      <w:pPr>
        <w:rPr>
          <w:szCs w:val="22"/>
          <w:lang w:val="hr-HR"/>
        </w:rPr>
      </w:pPr>
      <w:r w:rsidRPr="00913317">
        <w:rPr>
          <w:szCs w:val="22"/>
          <w:lang w:val="hr-HR"/>
        </w:rPr>
        <w:t>Terminalno poluvr</w:t>
      </w:r>
      <w:r w:rsidR="00496DAD" w:rsidRPr="00913317">
        <w:rPr>
          <w:szCs w:val="22"/>
          <w:lang w:val="hr-HR"/>
        </w:rPr>
        <w:t>ij</w:t>
      </w:r>
      <w:r w:rsidRPr="00913317">
        <w:rPr>
          <w:szCs w:val="22"/>
          <w:lang w:val="hr-HR"/>
        </w:rPr>
        <w:t>eme eliminacije vorikonazola zavisi od doze i iznosi približno 6 sati za dozu od 200 mg (oraln</w:t>
      </w:r>
      <w:r w:rsidR="00C304A5" w:rsidRPr="00913317">
        <w:rPr>
          <w:szCs w:val="22"/>
          <w:lang w:val="hr-HR"/>
        </w:rPr>
        <w:t xml:space="preserve">a </w:t>
      </w:r>
      <w:r w:rsidR="004D45E7" w:rsidRPr="00913317">
        <w:rPr>
          <w:szCs w:val="22"/>
          <w:lang w:val="hr-HR"/>
        </w:rPr>
        <w:t>primjen</w:t>
      </w:r>
      <w:r w:rsidR="00C304A5" w:rsidRPr="00913317">
        <w:rPr>
          <w:szCs w:val="22"/>
          <w:lang w:val="hr-HR"/>
        </w:rPr>
        <w:t>a</w:t>
      </w:r>
      <w:r w:rsidRPr="00913317">
        <w:rPr>
          <w:szCs w:val="22"/>
          <w:lang w:val="hr-HR"/>
        </w:rPr>
        <w:t>). Zbog nelinearne farmakokinetike, terminalno poluvr</w:t>
      </w:r>
      <w:r w:rsidR="00496DAD" w:rsidRPr="00913317">
        <w:rPr>
          <w:szCs w:val="22"/>
          <w:lang w:val="hr-HR"/>
        </w:rPr>
        <w:t>ij</w:t>
      </w:r>
      <w:r w:rsidRPr="00913317">
        <w:rPr>
          <w:szCs w:val="22"/>
          <w:lang w:val="hr-HR"/>
        </w:rPr>
        <w:t xml:space="preserve">eme eliminacije nije dobar parametar za </w:t>
      </w:r>
      <w:r w:rsidR="003D28B9" w:rsidRPr="00913317">
        <w:rPr>
          <w:szCs w:val="22"/>
          <w:lang w:val="hr-HR"/>
        </w:rPr>
        <w:t xml:space="preserve">predviđanje </w:t>
      </w:r>
      <w:r w:rsidRPr="00913317">
        <w:rPr>
          <w:szCs w:val="22"/>
          <w:lang w:val="hr-HR"/>
        </w:rPr>
        <w:t xml:space="preserve">akumulacije ili eliminacije vorikonazola. </w:t>
      </w:r>
    </w:p>
    <w:p w14:paraId="502AAE90" w14:textId="77777777" w:rsidR="00B75384" w:rsidRPr="00913317" w:rsidRDefault="00B75384" w:rsidP="00D72925">
      <w:pPr>
        <w:pStyle w:val="Default"/>
        <w:jc w:val="both"/>
        <w:rPr>
          <w:color w:val="FF0000"/>
          <w:sz w:val="22"/>
          <w:szCs w:val="22"/>
          <w:u w:val="single"/>
          <w:lang w:val="hr-HR"/>
        </w:rPr>
      </w:pPr>
    </w:p>
    <w:p w14:paraId="10779DDC" w14:textId="5994EE34" w:rsidR="00BE6E1E" w:rsidRPr="00913317" w:rsidRDefault="00BE6E1E" w:rsidP="00D72925">
      <w:pPr>
        <w:pStyle w:val="Default"/>
        <w:jc w:val="both"/>
        <w:rPr>
          <w:color w:val="auto"/>
          <w:sz w:val="22"/>
          <w:szCs w:val="22"/>
          <w:u w:val="single"/>
          <w:lang w:val="hr-HR"/>
        </w:rPr>
      </w:pPr>
      <w:r w:rsidRPr="00913317">
        <w:rPr>
          <w:color w:val="auto"/>
          <w:sz w:val="22"/>
          <w:szCs w:val="22"/>
          <w:u w:val="single"/>
          <w:lang w:val="hr-HR"/>
        </w:rPr>
        <w:t xml:space="preserve">Farmakokinetika u </w:t>
      </w:r>
      <w:r w:rsidR="00D061E1" w:rsidRPr="00913317">
        <w:rPr>
          <w:color w:val="auto"/>
          <w:sz w:val="22"/>
          <w:szCs w:val="22"/>
          <w:u w:val="single"/>
          <w:lang w:val="hr-HR"/>
        </w:rPr>
        <w:t>posebnim</w:t>
      </w:r>
      <w:r w:rsidRPr="00913317">
        <w:rPr>
          <w:color w:val="auto"/>
          <w:sz w:val="22"/>
          <w:szCs w:val="22"/>
          <w:u w:val="single"/>
          <w:lang w:val="hr-HR"/>
        </w:rPr>
        <w:t xml:space="preserve"> populacijama pacijenata</w:t>
      </w:r>
    </w:p>
    <w:p w14:paraId="41831735" w14:textId="77777777" w:rsidR="006D04E3" w:rsidRPr="00913317" w:rsidRDefault="006D04E3" w:rsidP="00D72925">
      <w:pPr>
        <w:pStyle w:val="Default"/>
        <w:jc w:val="both"/>
        <w:rPr>
          <w:color w:val="auto"/>
          <w:sz w:val="22"/>
          <w:szCs w:val="22"/>
          <w:u w:val="single"/>
          <w:lang w:val="hr-HR"/>
        </w:rPr>
      </w:pPr>
    </w:p>
    <w:p w14:paraId="57EFC8B4" w14:textId="77777777" w:rsidR="006131C3" w:rsidRPr="00913317" w:rsidRDefault="00BE6E1E" w:rsidP="00D72925">
      <w:pPr>
        <w:rPr>
          <w:i/>
          <w:iCs/>
          <w:szCs w:val="22"/>
          <w:lang w:val="hr-HR"/>
        </w:rPr>
      </w:pPr>
      <w:r w:rsidRPr="00913317">
        <w:rPr>
          <w:i/>
          <w:iCs/>
          <w:szCs w:val="22"/>
          <w:lang w:val="hr-HR"/>
        </w:rPr>
        <w:t>Pol</w:t>
      </w:r>
    </w:p>
    <w:p w14:paraId="24F37BAE" w14:textId="67C93AA7" w:rsidR="006131C3" w:rsidRPr="00913317" w:rsidRDefault="00BE6E1E" w:rsidP="00D72925">
      <w:pPr>
        <w:rPr>
          <w:szCs w:val="22"/>
          <w:lang w:val="hr-HR"/>
        </w:rPr>
      </w:pPr>
      <w:r w:rsidRPr="00913317">
        <w:rPr>
          <w:szCs w:val="22"/>
          <w:lang w:val="hr-HR"/>
        </w:rPr>
        <w:t>U studiji višestruk</w:t>
      </w:r>
      <w:r w:rsidR="005269AA" w:rsidRPr="00913317">
        <w:rPr>
          <w:szCs w:val="22"/>
          <w:lang w:val="hr-HR"/>
        </w:rPr>
        <w:t xml:space="preserve">e </w:t>
      </w:r>
      <w:r w:rsidR="004D45E7" w:rsidRPr="00913317">
        <w:rPr>
          <w:szCs w:val="22"/>
          <w:lang w:val="hr-HR"/>
        </w:rPr>
        <w:t>primjen</w:t>
      </w:r>
      <w:r w:rsidR="005269AA" w:rsidRPr="00913317">
        <w:rPr>
          <w:szCs w:val="22"/>
          <w:lang w:val="hr-HR"/>
        </w:rPr>
        <w:t>e</w:t>
      </w:r>
      <w:r w:rsidRPr="00913317">
        <w:rPr>
          <w:szCs w:val="22"/>
          <w:lang w:val="hr-HR"/>
        </w:rPr>
        <w:t xml:space="preserve"> oralnih doza, </w:t>
      </w:r>
      <w:r w:rsidR="004D45E7" w:rsidRPr="00913317">
        <w:rPr>
          <w:szCs w:val="22"/>
          <w:lang w:val="hr-HR"/>
        </w:rPr>
        <w:t>vrijedno</w:t>
      </w:r>
      <w:r w:rsidR="00C304A5" w:rsidRPr="00913317">
        <w:rPr>
          <w:szCs w:val="22"/>
          <w:lang w:val="hr-HR"/>
        </w:rPr>
        <w:t xml:space="preserve">sti </w:t>
      </w:r>
      <w:r w:rsidRPr="00913317">
        <w:rPr>
          <w:szCs w:val="22"/>
          <w:lang w:val="hr-HR"/>
        </w:rPr>
        <w:t>C</w:t>
      </w:r>
      <w:r w:rsidRPr="00913317">
        <w:rPr>
          <w:szCs w:val="22"/>
          <w:vertAlign w:val="subscript"/>
          <w:lang w:val="hr-HR"/>
        </w:rPr>
        <w:t>max</w:t>
      </w:r>
      <w:r w:rsidRPr="00913317">
        <w:rPr>
          <w:szCs w:val="22"/>
          <w:lang w:val="hr-HR"/>
        </w:rPr>
        <w:t xml:space="preserve"> i PIKτ kod zdravih </w:t>
      </w:r>
      <w:r w:rsidR="006C3F92" w:rsidRPr="00913317">
        <w:rPr>
          <w:szCs w:val="22"/>
          <w:lang w:val="hr-HR"/>
        </w:rPr>
        <w:t>ml</w:t>
      </w:r>
      <w:r w:rsidRPr="00913317">
        <w:rPr>
          <w:szCs w:val="22"/>
          <w:lang w:val="hr-HR"/>
        </w:rPr>
        <w:t xml:space="preserve">ađih žena bile su 83% odnosno 113% veće, nego kod zdravih </w:t>
      </w:r>
      <w:r w:rsidR="006C3F92" w:rsidRPr="00913317">
        <w:rPr>
          <w:szCs w:val="22"/>
          <w:lang w:val="hr-HR"/>
        </w:rPr>
        <w:t>ml</w:t>
      </w:r>
      <w:r w:rsidRPr="00913317">
        <w:rPr>
          <w:szCs w:val="22"/>
          <w:lang w:val="hr-HR"/>
        </w:rPr>
        <w:t xml:space="preserve">ađih muškaraca (18-45 godina). U istoj studiji, nije bilo značajnih razlika u </w:t>
      </w:r>
      <w:r w:rsidR="004D45E7" w:rsidRPr="00913317">
        <w:rPr>
          <w:szCs w:val="22"/>
          <w:lang w:val="hr-HR"/>
        </w:rPr>
        <w:t>vrijedno</w:t>
      </w:r>
      <w:r w:rsidR="00C304A5" w:rsidRPr="00913317">
        <w:rPr>
          <w:szCs w:val="22"/>
          <w:lang w:val="hr-HR"/>
        </w:rPr>
        <w:t>sti</w:t>
      </w:r>
      <w:r w:rsidR="003B3ABF" w:rsidRPr="00913317">
        <w:rPr>
          <w:szCs w:val="22"/>
          <w:lang w:val="hr-HR"/>
        </w:rPr>
        <w:t>ma</w:t>
      </w:r>
      <w:r w:rsidR="00C304A5" w:rsidRPr="00913317">
        <w:rPr>
          <w:szCs w:val="22"/>
          <w:lang w:val="hr-HR"/>
        </w:rPr>
        <w:t xml:space="preserve"> </w:t>
      </w:r>
      <w:r w:rsidRPr="00913317">
        <w:rPr>
          <w:szCs w:val="22"/>
          <w:lang w:val="hr-HR"/>
        </w:rPr>
        <w:t>C</w:t>
      </w:r>
      <w:r w:rsidRPr="00913317">
        <w:rPr>
          <w:szCs w:val="22"/>
          <w:vertAlign w:val="subscript"/>
          <w:lang w:val="hr-HR"/>
        </w:rPr>
        <w:t>max</w:t>
      </w:r>
      <w:r w:rsidRPr="00913317">
        <w:rPr>
          <w:szCs w:val="22"/>
          <w:lang w:val="hr-HR"/>
        </w:rPr>
        <w:t xml:space="preserve"> i PIKτ između zdravih starijih muškaraca i zdravih starijih žena (≥ 65 godina).</w:t>
      </w:r>
    </w:p>
    <w:p w14:paraId="2BDC9755" w14:textId="51CB5923" w:rsidR="006131C3" w:rsidRPr="00913317" w:rsidRDefault="00BE6E1E" w:rsidP="00D72925">
      <w:pPr>
        <w:rPr>
          <w:szCs w:val="22"/>
          <w:lang w:val="hr-HR"/>
        </w:rPr>
      </w:pPr>
      <w:r w:rsidRPr="00913317">
        <w:rPr>
          <w:szCs w:val="22"/>
          <w:lang w:val="hr-HR"/>
        </w:rPr>
        <w:t>U kliničkom programu, nije bilo podešavanja doze u odnosu na pol.</w:t>
      </w:r>
      <w:r w:rsidR="00616881" w:rsidRPr="00913317">
        <w:rPr>
          <w:szCs w:val="22"/>
          <w:lang w:val="hr-HR"/>
        </w:rPr>
        <w:t xml:space="preserve"> </w:t>
      </w:r>
      <w:r w:rsidR="003204CC" w:rsidRPr="00913317">
        <w:rPr>
          <w:szCs w:val="22"/>
          <w:lang w:val="hr-HR"/>
        </w:rPr>
        <w:t>Bezbjedn</w:t>
      </w:r>
      <w:r w:rsidRPr="00913317">
        <w:rPr>
          <w:szCs w:val="22"/>
          <w:lang w:val="hr-HR"/>
        </w:rPr>
        <w:t>osni profil i plazma koncentracije bili su slični kod pacijenata muškog i ženskog pola. Zbog toga, nije potrebn</w:t>
      </w:r>
      <w:r w:rsidR="004C154C" w:rsidRPr="00913317">
        <w:rPr>
          <w:szCs w:val="22"/>
          <w:lang w:val="hr-HR"/>
        </w:rPr>
        <w:t>o</w:t>
      </w:r>
      <w:r w:rsidRPr="00913317">
        <w:rPr>
          <w:szCs w:val="22"/>
          <w:lang w:val="hr-HR"/>
        </w:rPr>
        <w:t xml:space="preserve"> podešavati dozu u zavisnosti od pola. </w:t>
      </w:r>
    </w:p>
    <w:p w14:paraId="48A6588B" w14:textId="77777777" w:rsidR="006131C3" w:rsidRPr="00913317" w:rsidRDefault="00BE6E1E" w:rsidP="00D72925">
      <w:pPr>
        <w:rPr>
          <w:i/>
          <w:iCs/>
          <w:szCs w:val="22"/>
          <w:lang w:val="hr-HR"/>
        </w:rPr>
      </w:pPr>
      <w:r w:rsidRPr="00913317">
        <w:rPr>
          <w:i/>
          <w:iCs/>
          <w:szCs w:val="22"/>
          <w:lang w:val="hr-HR"/>
        </w:rPr>
        <w:t>Stariji pacijenti</w:t>
      </w:r>
    </w:p>
    <w:p w14:paraId="309F9CF8" w14:textId="14433F68" w:rsidR="006131C3" w:rsidRPr="00913317" w:rsidRDefault="00BE6E1E" w:rsidP="00D72925">
      <w:pPr>
        <w:rPr>
          <w:szCs w:val="22"/>
          <w:lang w:val="hr-HR"/>
        </w:rPr>
      </w:pPr>
      <w:r w:rsidRPr="00913317">
        <w:rPr>
          <w:szCs w:val="22"/>
          <w:lang w:val="hr-HR"/>
        </w:rPr>
        <w:t>U studiji višestruk</w:t>
      </w:r>
      <w:r w:rsidR="0082501D" w:rsidRPr="00913317">
        <w:rPr>
          <w:szCs w:val="22"/>
          <w:lang w:val="hr-HR"/>
        </w:rPr>
        <w:t>e</w:t>
      </w:r>
      <w:r w:rsidRPr="00913317">
        <w:rPr>
          <w:szCs w:val="22"/>
          <w:lang w:val="hr-HR"/>
        </w:rPr>
        <w:t xml:space="preserve"> </w:t>
      </w:r>
      <w:r w:rsidR="004D45E7" w:rsidRPr="00913317">
        <w:rPr>
          <w:szCs w:val="22"/>
          <w:lang w:val="hr-HR"/>
        </w:rPr>
        <w:t>primjen</w:t>
      </w:r>
      <w:r w:rsidR="00CD71B9" w:rsidRPr="00913317">
        <w:rPr>
          <w:szCs w:val="22"/>
          <w:lang w:val="hr-HR"/>
        </w:rPr>
        <w:t>e</w:t>
      </w:r>
      <w:r w:rsidR="00AB0870" w:rsidRPr="00913317">
        <w:rPr>
          <w:szCs w:val="22"/>
          <w:lang w:val="hr-HR"/>
        </w:rPr>
        <w:t xml:space="preserve"> </w:t>
      </w:r>
      <w:r w:rsidRPr="00913317">
        <w:rPr>
          <w:szCs w:val="22"/>
          <w:lang w:val="hr-HR"/>
        </w:rPr>
        <w:t>oralnih doza C</w:t>
      </w:r>
      <w:r w:rsidRPr="00913317">
        <w:rPr>
          <w:szCs w:val="22"/>
          <w:vertAlign w:val="subscript"/>
          <w:lang w:val="hr-HR"/>
        </w:rPr>
        <w:t>max</w:t>
      </w:r>
      <w:r w:rsidRPr="00913317">
        <w:rPr>
          <w:szCs w:val="22"/>
          <w:lang w:val="hr-HR"/>
        </w:rPr>
        <w:t xml:space="preserve"> i PIKτ kod zdravih starijih muškaraca (≥ 65 godina) bile su 61% odnosno 86% veće, nego kod </w:t>
      </w:r>
      <w:r w:rsidR="006C3F92" w:rsidRPr="00913317">
        <w:rPr>
          <w:szCs w:val="22"/>
          <w:lang w:val="hr-HR"/>
        </w:rPr>
        <w:t>ml</w:t>
      </w:r>
      <w:r w:rsidRPr="00913317">
        <w:rPr>
          <w:szCs w:val="22"/>
          <w:lang w:val="hr-HR"/>
        </w:rPr>
        <w:t xml:space="preserve">ađih zdravih muškaraca (18-45 godina). Nije bilo značajne razlike u </w:t>
      </w:r>
      <w:r w:rsidR="004D45E7" w:rsidRPr="00913317">
        <w:rPr>
          <w:szCs w:val="22"/>
          <w:lang w:val="hr-HR"/>
        </w:rPr>
        <w:t>vrijedno</w:t>
      </w:r>
      <w:r w:rsidR="00C304A5" w:rsidRPr="00913317">
        <w:rPr>
          <w:szCs w:val="22"/>
          <w:lang w:val="hr-HR"/>
        </w:rPr>
        <w:t xml:space="preserve">stima </w:t>
      </w:r>
      <w:r w:rsidRPr="00913317">
        <w:rPr>
          <w:szCs w:val="22"/>
          <w:lang w:val="hr-HR"/>
        </w:rPr>
        <w:t>C</w:t>
      </w:r>
      <w:r w:rsidRPr="00913317">
        <w:rPr>
          <w:szCs w:val="22"/>
          <w:vertAlign w:val="subscript"/>
          <w:lang w:val="hr-HR"/>
        </w:rPr>
        <w:t>max</w:t>
      </w:r>
      <w:r w:rsidRPr="00913317">
        <w:rPr>
          <w:szCs w:val="22"/>
          <w:lang w:val="hr-HR"/>
        </w:rPr>
        <w:t xml:space="preserve"> i PIKτ kod zdravih starijih žena (≥ 65 godina) i zdravih </w:t>
      </w:r>
      <w:r w:rsidR="006C3F92" w:rsidRPr="00913317">
        <w:rPr>
          <w:szCs w:val="22"/>
          <w:lang w:val="hr-HR"/>
        </w:rPr>
        <w:t>ml</w:t>
      </w:r>
      <w:r w:rsidRPr="00913317">
        <w:rPr>
          <w:szCs w:val="22"/>
          <w:lang w:val="hr-HR"/>
        </w:rPr>
        <w:t>adih žena (18-45 godina).</w:t>
      </w:r>
    </w:p>
    <w:p w14:paraId="7655B314" w14:textId="629AB80A" w:rsidR="006131C3" w:rsidRPr="00913317" w:rsidRDefault="00BE6E1E" w:rsidP="00D72925">
      <w:pPr>
        <w:rPr>
          <w:szCs w:val="22"/>
          <w:u w:val="single"/>
          <w:lang w:val="hr-HR"/>
        </w:rPr>
      </w:pPr>
      <w:r w:rsidRPr="00913317">
        <w:rPr>
          <w:szCs w:val="22"/>
          <w:lang w:val="hr-HR"/>
        </w:rPr>
        <w:t xml:space="preserve">U terapijskim studijama nije vršeno podešavanje doze u zavisnosti od godina starosti. Uočena je povezanost između plazma koncentracije i godina starosti. </w:t>
      </w:r>
      <w:r w:rsidR="003204CC" w:rsidRPr="00913317">
        <w:rPr>
          <w:szCs w:val="22"/>
          <w:lang w:val="hr-HR"/>
        </w:rPr>
        <w:t>Bezbjedn</w:t>
      </w:r>
      <w:r w:rsidRPr="00913317">
        <w:rPr>
          <w:szCs w:val="22"/>
          <w:lang w:val="hr-HR"/>
        </w:rPr>
        <w:t xml:space="preserve">osni profil vorikonazola kod </w:t>
      </w:r>
      <w:r w:rsidR="006C3F92" w:rsidRPr="00913317">
        <w:rPr>
          <w:szCs w:val="22"/>
          <w:lang w:val="hr-HR"/>
        </w:rPr>
        <w:t>ml</w:t>
      </w:r>
      <w:r w:rsidRPr="00913317">
        <w:rPr>
          <w:szCs w:val="22"/>
          <w:lang w:val="hr-HR"/>
        </w:rPr>
        <w:t>ađih i starijih pacijenata bio je sličan, tako da nije potrebno podešavati dozu kod starijih pacijenata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4.2).</w:t>
      </w:r>
    </w:p>
    <w:p w14:paraId="50C3F010" w14:textId="77777777" w:rsidR="006131C3" w:rsidRPr="00913317" w:rsidRDefault="00BE6E1E" w:rsidP="00D72925">
      <w:pPr>
        <w:rPr>
          <w:i/>
          <w:iCs/>
          <w:szCs w:val="22"/>
          <w:lang w:val="hr-HR"/>
        </w:rPr>
      </w:pPr>
      <w:r w:rsidRPr="00913317">
        <w:rPr>
          <w:i/>
          <w:iCs/>
          <w:szCs w:val="22"/>
          <w:lang w:val="hr-HR"/>
        </w:rPr>
        <w:t>Pedijatrijska populacija</w:t>
      </w:r>
    </w:p>
    <w:p w14:paraId="07DD81F0" w14:textId="18F3D6BD" w:rsidR="006131C3" w:rsidRPr="00913317" w:rsidRDefault="00BE6E1E" w:rsidP="00D72925">
      <w:pPr>
        <w:pStyle w:val="CM55"/>
        <w:spacing w:after="0"/>
        <w:jc w:val="both"/>
        <w:rPr>
          <w:sz w:val="22"/>
          <w:szCs w:val="22"/>
          <w:lang w:val="hr-HR"/>
        </w:rPr>
      </w:pPr>
      <w:r w:rsidRPr="00913317">
        <w:rPr>
          <w:sz w:val="22"/>
          <w:szCs w:val="22"/>
          <w:lang w:val="hr-HR"/>
        </w:rPr>
        <w:t>Preporučene doze kod d</w:t>
      </w:r>
      <w:r w:rsidR="002E7C46" w:rsidRPr="00913317">
        <w:rPr>
          <w:sz w:val="22"/>
          <w:szCs w:val="22"/>
          <w:lang w:val="hr-HR"/>
        </w:rPr>
        <w:t>j</w:t>
      </w:r>
      <w:r w:rsidRPr="00913317">
        <w:rPr>
          <w:sz w:val="22"/>
          <w:szCs w:val="22"/>
          <w:lang w:val="hr-HR"/>
        </w:rPr>
        <w:t xml:space="preserve">ece i adolescenata određene su na osnovu populacione farmakokinetičke analize podataka </w:t>
      </w:r>
      <w:r w:rsidR="00D46AD2" w:rsidRPr="00913317">
        <w:rPr>
          <w:sz w:val="22"/>
          <w:szCs w:val="22"/>
          <w:lang w:val="hr-HR"/>
        </w:rPr>
        <w:t>prikupljenih kod</w:t>
      </w:r>
      <w:r w:rsidRPr="00913317">
        <w:rPr>
          <w:sz w:val="22"/>
          <w:szCs w:val="22"/>
          <w:lang w:val="hr-HR"/>
        </w:rPr>
        <w:t xml:space="preserve"> 112 imunokompromitovanih pedijatrijskih pacijenata uzrasta od 2 do &lt; 12 godina i 26 imunokompromitovanih adolescenata uzrasta od 12 do &lt; 17 godina. U tri pedijatrijske farmakokinetičke studije ispitivana je </w:t>
      </w:r>
      <w:r w:rsidR="004D45E7" w:rsidRPr="00913317">
        <w:rPr>
          <w:sz w:val="22"/>
          <w:szCs w:val="22"/>
          <w:lang w:val="hr-HR"/>
        </w:rPr>
        <w:t>primjen</w:t>
      </w:r>
      <w:r w:rsidRPr="00913317">
        <w:rPr>
          <w:sz w:val="22"/>
          <w:szCs w:val="22"/>
          <w:lang w:val="hr-HR"/>
        </w:rPr>
        <w:t xml:space="preserve">a višestrukih intravenskih doza od 3, 4, 6, 7 i 8 mg/kg dva puta dnevno i višestrukih oralnih doza (korišćen je prašak za oralnu suspenziju) od 4 mg/kg, 6 mg/kg i 200 mg dva puta dnevno. U jednoj farmakokinetičkoj studiji na adolescentima </w:t>
      </w:r>
      <w:r w:rsidRPr="00913317">
        <w:rPr>
          <w:sz w:val="22"/>
          <w:szCs w:val="22"/>
          <w:lang w:val="hr-HR"/>
        </w:rPr>
        <w:lastRenderedPageBreak/>
        <w:t xml:space="preserve">ispitivana je </w:t>
      </w:r>
      <w:r w:rsidR="004D45E7" w:rsidRPr="00913317">
        <w:rPr>
          <w:sz w:val="22"/>
          <w:szCs w:val="22"/>
          <w:lang w:val="hr-HR"/>
        </w:rPr>
        <w:t>primjen</w:t>
      </w:r>
      <w:r w:rsidRPr="00913317">
        <w:rPr>
          <w:sz w:val="22"/>
          <w:szCs w:val="22"/>
          <w:lang w:val="hr-HR"/>
        </w:rPr>
        <w:t>a intravenskih udarnih doza od 6 mg/kg dva puta dnevno prvog dana posl</w:t>
      </w:r>
      <w:r w:rsidR="00E60ABD" w:rsidRPr="00913317">
        <w:rPr>
          <w:sz w:val="22"/>
          <w:szCs w:val="22"/>
          <w:lang w:val="hr-HR"/>
        </w:rPr>
        <w:t>ij</w:t>
      </w:r>
      <w:r w:rsidRPr="00913317">
        <w:rPr>
          <w:sz w:val="22"/>
          <w:szCs w:val="22"/>
          <w:lang w:val="hr-HR"/>
        </w:rPr>
        <w:t>e kojih su usl</w:t>
      </w:r>
      <w:r w:rsidR="007A2550" w:rsidRPr="00913317">
        <w:rPr>
          <w:sz w:val="22"/>
          <w:szCs w:val="22"/>
          <w:lang w:val="hr-HR"/>
        </w:rPr>
        <w:t>ij</w:t>
      </w:r>
      <w:r w:rsidRPr="00913317">
        <w:rPr>
          <w:sz w:val="22"/>
          <w:szCs w:val="22"/>
          <w:lang w:val="hr-HR"/>
        </w:rPr>
        <w:t xml:space="preserve">edile intravenske doze od 4 mg/kg dva puta dnevno i </w:t>
      </w:r>
      <w:r w:rsidR="004D45E7" w:rsidRPr="00913317">
        <w:rPr>
          <w:sz w:val="22"/>
          <w:szCs w:val="22"/>
          <w:lang w:val="hr-HR"/>
        </w:rPr>
        <w:t>primjen</w:t>
      </w:r>
      <w:r w:rsidRPr="00913317">
        <w:rPr>
          <w:sz w:val="22"/>
          <w:szCs w:val="22"/>
          <w:lang w:val="hr-HR"/>
        </w:rPr>
        <w:t>a tableta od 300 mg dva puta dnevno. Uočena je veća interindividualna varijabilnost kod pedijatrijskih pacijenata u poređenju sa odraslim osobama.</w:t>
      </w:r>
    </w:p>
    <w:p w14:paraId="57CE8BC8" w14:textId="46D30832" w:rsidR="006131C3" w:rsidRPr="00913317" w:rsidRDefault="00BE6E1E" w:rsidP="00D72925">
      <w:pPr>
        <w:pStyle w:val="CM55"/>
        <w:spacing w:after="0"/>
        <w:jc w:val="both"/>
        <w:rPr>
          <w:sz w:val="22"/>
          <w:szCs w:val="22"/>
          <w:lang w:val="hr-HR"/>
        </w:rPr>
      </w:pPr>
      <w:r w:rsidRPr="00913317">
        <w:rPr>
          <w:sz w:val="22"/>
          <w:szCs w:val="22"/>
          <w:lang w:val="hr-HR"/>
        </w:rPr>
        <w:t>Poređenjem farmakokinetičkih podataka dobijenih na populaciji pedijatrijskih i odraslih pacijenata pokazano je da je očekivana ukupna izloženost (PIK</w:t>
      </w:r>
      <w:r w:rsidRPr="00913317">
        <w:rPr>
          <w:sz w:val="22"/>
          <w:szCs w:val="22"/>
          <w:vertAlign w:val="subscript"/>
          <w:lang w:val="hr-HR"/>
        </w:rPr>
        <w:sym w:font="Symbol" w:char="F074"/>
      </w:r>
      <w:r w:rsidRPr="00913317">
        <w:rPr>
          <w:sz w:val="22"/>
          <w:szCs w:val="22"/>
          <w:lang w:val="hr-HR"/>
        </w:rPr>
        <w:t>) kod d</w:t>
      </w:r>
      <w:r w:rsidR="002E7C46" w:rsidRPr="00913317">
        <w:rPr>
          <w:sz w:val="22"/>
          <w:szCs w:val="22"/>
          <w:lang w:val="hr-HR"/>
        </w:rPr>
        <w:t>j</w:t>
      </w:r>
      <w:r w:rsidRPr="00913317">
        <w:rPr>
          <w:sz w:val="22"/>
          <w:szCs w:val="22"/>
          <w:lang w:val="hr-HR"/>
        </w:rPr>
        <w:t>ece posl</w:t>
      </w:r>
      <w:r w:rsidR="00E60ABD" w:rsidRPr="008C59C8">
        <w:rPr>
          <w:sz w:val="22"/>
          <w:szCs w:val="22"/>
          <w:lang w:val="hr-HR"/>
        </w:rPr>
        <w:t>ij</w:t>
      </w:r>
      <w:r w:rsidRPr="003307B5">
        <w:rPr>
          <w:sz w:val="22"/>
          <w:szCs w:val="22"/>
          <w:lang w:val="hr-HR"/>
        </w:rPr>
        <w:t xml:space="preserve">e </w:t>
      </w:r>
      <w:r w:rsidR="004D45E7" w:rsidRPr="009C1794">
        <w:rPr>
          <w:sz w:val="22"/>
          <w:szCs w:val="22"/>
          <w:lang w:val="hr-HR"/>
        </w:rPr>
        <w:t>primjen</w:t>
      </w:r>
      <w:r w:rsidRPr="001D27D4">
        <w:rPr>
          <w:sz w:val="22"/>
          <w:szCs w:val="22"/>
          <w:lang w:val="hr-HR"/>
        </w:rPr>
        <w:t xml:space="preserve">e intravenske udarne doze od 9 mg/kg bila slična sa </w:t>
      </w:r>
      <w:r w:rsidR="004D45E7" w:rsidRPr="00913317">
        <w:rPr>
          <w:sz w:val="22"/>
          <w:szCs w:val="22"/>
          <w:lang w:val="hr-HR"/>
        </w:rPr>
        <w:t>vrijedno</w:t>
      </w:r>
      <w:r w:rsidR="00343CDA" w:rsidRPr="00913317">
        <w:rPr>
          <w:sz w:val="22"/>
          <w:szCs w:val="22"/>
          <w:lang w:val="hr-HR"/>
        </w:rPr>
        <w:t xml:space="preserve">stima </w:t>
      </w:r>
      <w:r w:rsidRPr="00913317">
        <w:rPr>
          <w:sz w:val="22"/>
          <w:szCs w:val="22"/>
          <w:lang w:val="hr-HR"/>
        </w:rPr>
        <w:t>PIK</w:t>
      </w:r>
      <w:r w:rsidRPr="00913317">
        <w:rPr>
          <w:sz w:val="22"/>
          <w:szCs w:val="22"/>
          <w:vertAlign w:val="subscript"/>
          <w:lang w:val="hr-HR"/>
        </w:rPr>
        <w:sym w:font="Symbol" w:char="F074"/>
      </w:r>
      <w:r w:rsidRPr="00913317">
        <w:rPr>
          <w:sz w:val="22"/>
          <w:szCs w:val="22"/>
          <w:lang w:val="hr-HR"/>
        </w:rPr>
        <w:t xml:space="preserve"> kod odraslih posl</w:t>
      </w:r>
      <w:r w:rsidR="00E60ABD" w:rsidRPr="00913317">
        <w:rPr>
          <w:sz w:val="22"/>
          <w:szCs w:val="22"/>
          <w:lang w:val="hr-HR"/>
        </w:rPr>
        <w:t>ij</w:t>
      </w:r>
      <w:r w:rsidRPr="00913317">
        <w:rPr>
          <w:sz w:val="22"/>
          <w:szCs w:val="22"/>
          <w:lang w:val="hr-HR"/>
        </w:rPr>
        <w:t>e intravenske udarne doze od 6 mg/kg. Očekivana ukupna izloženost kod d</w:t>
      </w:r>
      <w:r w:rsidR="002E7C46" w:rsidRPr="008C59C8">
        <w:rPr>
          <w:sz w:val="22"/>
          <w:szCs w:val="22"/>
          <w:lang w:val="hr-HR"/>
        </w:rPr>
        <w:t>j</w:t>
      </w:r>
      <w:r w:rsidRPr="003307B5">
        <w:rPr>
          <w:sz w:val="22"/>
          <w:szCs w:val="22"/>
          <w:lang w:val="hr-HR"/>
        </w:rPr>
        <w:t>ece posl</w:t>
      </w:r>
      <w:r w:rsidR="00E60ABD" w:rsidRPr="009C1794">
        <w:rPr>
          <w:sz w:val="22"/>
          <w:szCs w:val="22"/>
          <w:lang w:val="hr-HR"/>
        </w:rPr>
        <w:t>ij</w:t>
      </w:r>
      <w:r w:rsidRPr="001D27D4">
        <w:rPr>
          <w:sz w:val="22"/>
          <w:szCs w:val="22"/>
          <w:lang w:val="hr-HR"/>
        </w:rPr>
        <w:t xml:space="preserve">e </w:t>
      </w:r>
      <w:r w:rsidR="004D45E7" w:rsidRPr="001D27D4">
        <w:rPr>
          <w:sz w:val="22"/>
          <w:szCs w:val="22"/>
          <w:lang w:val="hr-HR"/>
        </w:rPr>
        <w:t>primjen</w:t>
      </w:r>
      <w:r w:rsidRPr="001D27D4">
        <w:rPr>
          <w:sz w:val="22"/>
          <w:szCs w:val="22"/>
          <w:lang w:val="hr-HR"/>
        </w:rPr>
        <w:t>e intravenskih doza održavanja od 4 i 8 mg/kg dva puta dnevno, bila je slična onoj koja je dobijena kod odraslih posl</w:t>
      </w:r>
      <w:r w:rsidR="00E60ABD" w:rsidRPr="00913317">
        <w:rPr>
          <w:sz w:val="22"/>
          <w:szCs w:val="22"/>
          <w:lang w:val="hr-HR"/>
        </w:rPr>
        <w:t>ij</w:t>
      </w:r>
      <w:r w:rsidRPr="00913317">
        <w:rPr>
          <w:sz w:val="22"/>
          <w:szCs w:val="22"/>
          <w:lang w:val="hr-HR"/>
        </w:rPr>
        <w:t>e intravenskih doza od 3 i 4 mg/kg, dva puta dnevno. Očekivana ukupna izloženost kod d</w:t>
      </w:r>
      <w:r w:rsidR="002E7C46" w:rsidRPr="00913317">
        <w:rPr>
          <w:sz w:val="22"/>
          <w:szCs w:val="22"/>
          <w:lang w:val="hr-HR"/>
        </w:rPr>
        <w:t>j</w:t>
      </w:r>
      <w:r w:rsidRPr="00913317">
        <w:rPr>
          <w:sz w:val="22"/>
          <w:szCs w:val="22"/>
          <w:lang w:val="hr-HR"/>
        </w:rPr>
        <w:t>ece posl</w:t>
      </w:r>
      <w:r w:rsidR="00E60ABD" w:rsidRPr="00913317">
        <w:rPr>
          <w:sz w:val="22"/>
          <w:szCs w:val="22"/>
          <w:lang w:val="hr-HR"/>
        </w:rPr>
        <w:t>ij</w:t>
      </w:r>
      <w:r w:rsidRPr="00913317">
        <w:rPr>
          <w:sz w:val="22"/>
          <w:szCs w:val="22"/>
          <w:lang w:val="hr-HR"/>
        </w:rPr>
        <w:t xml:space="preserve">e </w:t>
      </w:r>
      <w:r w:rsidR="004D45E7" w:rsidRPr="00913317">
        <w:rPr>
          <w:sz w:val="22"/>
          <w:szCs w:val="22"/>
          <w:lang w:val="hr-HR"/>
        </w:rPr>
        <w:t>primjen</w:t>
      </w:r>
      <w:r w:rsidRPr="00913317">
        <w:rPr>
          <w:sz w:val="22"/>
          <w:szCs w:val="22"/>
          <w:lang w:val="hr-HR"/>
        </w:rPr>
        <w:t>e oralne doze održavanja od 9 mg/kg (maksimalno 350 mg), dva puta dnevno, bila je slična onoj kod odraslih posl</w:t>
      </w:r>
      <w:r w:rsidR="00E60ABD" w:rsidRPr="00913317">
        <w:rPr>
          <w:sz w:val="22"/>
          <w:szCs w:val="22"/>
          <w:lang w:val="hr-HR"/>
        </w:rPr>
        <w:t>ij</w:t>
      </w:r>
      <w:r w:rsidRPr="00913317">
        <w:rPr>
          <w:sz w:val="22"/>
          <w:szCs w:val="22"/>
          <w:lang w:val="hr-HR"/>
        </w:rPr>
        <w:t xml:space="preserve">e </w:t>
      </w:r>
      <w:r w:rsidR="004D45E7" w:rsidRPr="00913317">
        <w:rPr>
          <w:sz w:val="22"/>
          <w:szCs w:val="22"/>
          <w:lang w:val="hr-HR"/>
        </w:rPr>
        <w:t>primjen</w:t>
      </w:r>
      <w:r w:rsidRPr="00913317">
        <w:rPr>
          <w:sz w:val="22"/>
          <w:szCs w:val="22"/>
          <w:lang w:val="hr-HR"/>
        </w:rPr>
        <w:t>e oralne doze od 200 mg dva puta dnevno. Sa intravenskom dozom od 8 mg/kg dobija se izloženost približno 2 puta veća od one koja se dobija sa oralnom dozom od 9 mg/kg.</w:t>
      </w:r>
    </w:p>
    <w:p w14:paraId="29D56F52" w14:textId="3C2C0E37" w:rsidR="006131C3" w:rsidRPr="00913317" w:rsidRDefault="00BE6E1E" w:rsidP="00D72925">
      <w:pPr>
        <w:pStyle w:val="CM55"/>
        <w:spacing w:after="0"/>
        <w:jc w:val="both"/>
        <w:rPr>
          <w:sz w:val="22"/>
          <w:szCs w:val="22"/>
          <w:lang w:val="hr-HR"/>
        </w:rPr>
      </w:pPr>
      <w:r w:rsidRPr="00913317">
        <w:rPr>
          <w:sz w:val="22"/>
          <w:szCs w:val="22"/>
          <w:lang w:val="hr-HR"/>
        </w:rPr>
        <w:t>Veća intravenska doza održavanja kod pedijatrijskih pacijenata u odnosu na odrasle ukazuje da pedijatrijski pacijenti raspolažu većim kapacitetima za eliminaciju vorikonazola u odnosu na odrasle zbog veće mase jetre u odnosu na t</w:t>
      </w:r>
      <w:r w:rsidR="007A2550" w:rsidRPr="00913317">
        <w:rPr>
          <w:sz w:val="22"/>
          <w:szCs w:val="22"/>
          <w:lang w:val="hr-HR"/>
        </w:rPr>
        <w:t>j</w:t>
      </w:r>
      <w:r w:rsidRPr="00913317">
        <w:rPr>
          <w:sz w:val="22"/>
          <w:szCs w:val="22"/>
          <w:lang w:val="hr-HR"/>
        </w:rPr>
        <w:t>elesnu masu. Međutim, kod pedijatrijskih pacijenata sa malapsorpcijom i veoma malom t</w:t>
      </w:r>
      <w:r w:rsidR="007A2550" w:rsidRPr="00913317">
        <w:rPr>
          <w:sz w:val="22"/>
          <w:szCs w:val="22"/>
          <w:lang w:val="hr-HR"/>
        </w:rPr>
        <w:t>j</w:t>
      </w:r>
      <w:r w:rsidRPr="00913317">
        <w:rPr>
          <w:sz w:val="22"/>
          <w:szCs w:val="22"/>
          <w:lang w:val="hr-HR"/>
        </w:rPr>
        <w:t xml:space="preserve">elesnom masom za dati uzrast, oralna bioraspoloživost može biti ograničena. U tom slučaju preporučuje se intravenska </w:t>
      </w:r>
      <w:r w:rsidR="004D45E7" w:rsidRPr="00913317">
        <w:rPr>
          <w:sz w:val="22"/>
          <w:szCs w:val="22"/>
          <w:lang w:val="hr-HR"/>
        </w:rPr>
        <w:t>primjen</w:t>
      </w:r>
      <w:r w:rsidRPr="00913317">
        <w:rPr>
          <w:sz w:val="22"/>
          <w:szCs w:val="22"/>
          <w:lang w:val="hr-HR"/>
        </w:rPr>
        <w:t xml:space="preserve">a vorikonazola. </w:t>
      </w:r>
    </w:p>
    <w:p w14:paraId="7C1C5355" w14:textId="0310A4C1" w:rsidR="006131C3" w:rsidRPr="00913317" w:rsidRDefault="00BE6E1E" w:rsidP="00D72925">
      <w:pPr>
        <w:pStyle w:val="Paragraph"/>
        <w:spacing w:after="0"/>
        <w:jc w:val="both"/>
        <w:rPr>
          <w:sz w:val="22"/>
          <w:szCs w:val="22"/>
          <w:lang w:val="hr-HR"/>
        </w:rPr>
      </w:pPr>
      <w:r w:rsidRPr="00913317">
        <w:rPr>
          <w:sz w:val="22"/>
          <w:szCs w:val="22"/>
          <w:lang w:val="hr-HR"/>
        </w:rPr>
        <w:t xml:space="preserve">Izloženost vorikonazolu kod većine adolescenata bila je slična kao kod odraslih pacijenata na istom režimu doziranja. Međutim, uočena je </w:t>
      </w:r>
      <w:r w:rsidR="00343CDA" w:rsidRPr="00913317">
        <w:rPr>
          <w:sz w:val="22"/>
          <w:szCs w:val="22"/>
          <w:lang w:val="hr-HR"/>
        </w:rPr>
        <w:t>manja</w:t>
      </w:r>
      <w:r w:rsidRPr="00913317">
        <w:rPr>
          <w:sz w:val="22"/>
          <w:szCs w:val="22"/>
          <w:lang w:val="hr-HR"/>
        </w:rPr>
        <w:t xml:space="preserve"> izloženost kod pojedinih </w:t>
      </w:r>
      <w:r w:rsidR="006C3F92" w:rsidRPr="00913317">
        <w:rPr>
          <w:sz w:val="22"/>
          <w:szCs w:val="22"/>
          <w:lang w:val="hr-HR"/>
        </w:rPr>
        <w:t>ml</w:t>
      </w:r>
      <w:r w:rsidRPr="00913317">
        <w:rPr>
          <w:sz w:val="22"/>
          <w:szCs w:val="22"/>
          <w:lang w:val="hr-HR"/>
        </w:rPr>
        <w:t xml:space="preserve">ađih adolescenata sa </w:t>
      </w:r>
      <w:r w:rsidR="00343CDA" w:rsidRPr="00913317">
        <w:rPr>
          <w:sz w:val="22"/>
          <w:szCs w:val="22"/>
          <w:lang w:val="hr-HR"/>
        </w:rPr>
        <w:t>ma</w:t>
      </w:r>
      <w:r w:rsidR="002A45A4" w:rsidRPr="00913317">
        <w:rPr>
          <w:sz w:val="22"/>
          <w:szCs w:val="22"/>
          <w:lang w:val="hr-HR"/>
        </w:rPr>
        <w:t>l</w:t>
      </w:r>
      <w:r w:rsidR="00343CDA" w:rsidRPr="00913317">
        <w:rPr>
          <w:sz w:val="22"/>
          <w:szCs w:val="22"/>
          <w:lang w:val="hr-HR"/>
        </w:rPr>
        <w:t>om</w:t>
      </w:r>
      <w:r w:rsidRPr="00913317">
        <w:rPr>
          <w:sz w:val="22"/>
          <w:szCs w:val="22"/>
          <w:lang w:val="hr-HR"/>
        </w:rPr>
        <w:t xml:space="preserve"> t</w:t>
      </w:r>
      <w:r w:rsidR="007A2550" w:rsidRPr="00913317">
        <w:rPr>
          <w:sz w:val="22"/>
          <w:szCs w:val="22"/>
          <w:lang w:val="hr-HR"/>
        </w:rPr>
        <w:t>j</w:t>
      </w:r>
      <w:r w:rsidRPr="00913317">
        <w:rPr>
          <w:sz w:val="22"/>
          <w:szCs w:val="22"/>
          <w:lang w:val="hr-HR"/>
        </w:rPr>
        <w:t>elesnom masom u odnosu na odrasle. Postoji v</w:t>
      </w:r>
      <w:r w:rsidR="007A2550" w:rsidRPr="00913317">
        <w:rPr>
          <w:sz w:val="22"/>
          <w:szCs w:val="22"/>
          <w:lang w:val="hr-HR"/>
        </w:rPr>
        <w:t>j</w:t>
      </w:r>
      <w:r w:rsidRPr="00913317">
        <w:rPr>
          <w:sz w:val="22"/>
          <w:szCs w:val="22"/>
          <w:lang w:val="hr-HR"/>
        </w:rPr>
        <w:t>erovatnoća da je metabolizam vorikonazola kod ovih ispitanika sličniji metabolizmu kod d</w:t>
      </w:r>
      <w:r w:rsidR="002E7C46" w:rsidRPr="00913317">
        <w:rPr>
          <w:sz w:val="22"/>
          <w:szCs w:val="22"/>
          <w:lang w:val="hr-HR"/>
        </w:rPr>
        <w:t>j</w:t>
      </w:r>
      <w:r w:rsidRPr="00913317">
        <w:rPr>
          <w:sz w:val="22"/>
          <w:szCs w:val="22"/>
          <w:lang w:val="hr-HR"/>
        </w:rPr>
        <w:t>ece nego kod adolesceata/odraslih. Na osnovu populacione farmakokinetičke analize preporučuje se da adolescenti od 12 do 14 godina sa t</w:t>
      </w:r>
      <w:r w:rsidR="007A2550" w:rsidRPr="00913317">
        <w:rPr>
          <w:sz w:val="22"/>
          <w:szCs w:val="22"/>
          <w:lang w:val="hr-HR"/>
        </w:rPr>
        <w:t>j</w:t>
      </w:r>
      <w:r w:rsidRPr="00913317">
        <w:rPr>
          <w:sz w:val="22"/>
          <w:szCs w:val="22"/>
          <w:lang w:val="hr-HR"/>
        </w:rPr>
        <w:t>elesnom masom manjom od 50 kg primaju doze za d</w:t>
      </w:r>
      <w:r w:rsidR="002E7C46" w:rsidRPr="00913317">
        <w:rPr>
          <w:sz w:val="22"/>
          <w:szCs w:val="22"/>
          <w:lang w:val="hr-HR"/>
        </w:rPr>
        <w:t>j</w:t>
      </w:r>
      <w:r w:rsidRPr="00913317">
        <w:rPr>
          <w:sz w:val="22"/>
          <w:szCs w:val="22"/>
          <w:lang w:val="hr-HR"/>
        </w:rPr>
        <w:t>ecu (</w:t>
      </w:r>
      <w:r w:rsidR="004D45E7" w:rsidRPr="00913317">
        <w:rPr>
          <w:sz w:val="22"/>
          <w:szCs w:val="22"/>
          <w:lang w:val="hr-HR"/>
        </w:rPr>
        <w:t xml:space="preserve">vidjeti </w:t>
      </w:r>
      <w:r w:rsidR="00954637" w:rsidRPr="00913317">
        <w:rPr>
          <w:sz w:val="22"/>
          <w:szCs w:val="22"/>
          <w:lang w:val="hr-HR"/>
        </w:rPr>
        <w:t xml:space="preserve">dio </w:t>
      </w:r>
      <w:r w:rsidRPr="00913317">
        <w:rPr>
          <w:sz w:val="22"/>
          <w:szCs w:val="22"/>
          <w:lang w:val="hr-HR"/>
        </w:rPr>
        <w:t xml:space="preserve"> 4.2). </w:t>
      </w:r>
    </w:p>
    <w:p w14:paraId="65B5ED12" w14:textId="77777777" w:rsidR="006131C3" w:rsidRPr="00913317" w:rsidRDefault="00BE6E1E" w:rsidP="00D72925">
      <w:pPr>
        <w:rPr>
          <w:i/>
          <w:iCs/>
          <w:szCs w:val="22"/>
          <w:lang w:val="hr-HR"/>
        </w:rPr>
      </w:pPr>
      <w:r w:rsidRPr="00913317">
        <w:rPr>
          <w:i/>
          <w:iCs/>
          <w:szCs w:val="22"/>
          <w:lang w:val="hr-HR"/>
        </w:rPr>
        <w:t>Oštećenje funkcije bubrega</w:t>
      </w:r>
    </w:p>
    <w:p w14:paraId="0F54BBDC" w14:textId="28EE3FC8" w:rsidR="006131C3" w:rsidRPr="00913317" w:rsidRDefault="00BE6E1E" w:rsidP="00D72925">
      <w:pPr>
        <w:rPr>
          <w:szCs w:val="22"/>
          <w:lang w:val="hr-HR"/>
        </w:rPr>
      </w:pPr>
      <w:r w:rsidRPr="00913317">
        <w:rPr>
          <w:szCs w:val="22"/>
          <w:lang w:val="hr-HR"/>
        </w:rPr>
        <w:t xml:space="preserve">Kod pacijenata sa </w:t>
      </w:r>
      <w:r w:rsidR="00D85AC5" w:rsidRPr="00913317">
        <w:rPr>
          <w:szCs w:val="22"/>
          <w:lang w:val="hr-HR"/>
        </w:rPr>
        <w:t>umjere</w:t>
      </w:r>
      <w:r w:rsidRPr="00913317">
        <w:rPr>
          <w:szCs w:val="22"/>
          <w:lang w:val="hr-HR"/>
        </w:rPr>
        <w:t>nim do teškim oštećenjem funkcije bubrega</w:t>
      </w:r>
      <w:r w:rsidR="005453B7" w:rsidRPr="00913317">
        <w:rPr>
          <w:szCs w:val="22"/>
          <w:lang w:val="hr-HR"/>
        </w:rPr>
        <w:t xml:space="preserve"> (serumski kreatinin &gt; 2,5 mg/dl</w:t>
      </w:r>
      <w:r w:rsidRPr="00913317">
        <w:rPr>
          <w:szCs w:val="22"/>
          <w:lang w:val="hr-HR"/>
        </w:rPr>
        <w:t>), dolazi do kumulacije intravenskog vehikuluma, SBECD (</w:t>
      </w:r>
      <w:r w:rsidR="004D45E7" w:rsidRPr="00913317">
        <w:rPr>
          <w:szCs w:val="22"/>
          <w:lang w:val="hr-HR"/>
        </w:rPr>
        <w:t xml:space="preserve">vidjeti </w:t>
      </w:r>
      <w:r w:rsidR="00954637" w:rsidRPr="00913317">
        <w:rPr>
          <w:szCs w:val="22"/>
          <w:lang w:val="hr-HR"/>
        </w:rPr>
        <w:t xml:space="preserve">djelove </w:t>
      </w:r>
      <w:r w:rsidRPr="00913317">
        <w:rPr>
          <w:szCs w:val="22"/>
          <w:lang w:val="hr-HR"/>
        </w:rPr>
        <w:t>4.2 i 4.4).</w:t>
      </w:r>
    </w:p>
    <w:p w14:paraId="40B7A51D" w14:textId="77777777" w:rsidR="006131C3" w:rsidRPr="00913317" w:rsidRDefault="00BE6E1E" w:rsidP="00D72925">
      <w:pPr>
        <w:rPr>
          <w:i/>
          <w:iCs/>
          <w:szCs w:val="22"/>
          <w:lang w:val="hr-HR"/>
        </w:rPr>
      </w:pPr>
      <w:r w:rsidRPr="00913317">
        <w:rPr>
          <w:i/>
          <w:iCs/>
          <w:szCs w:val="22"/>
          <w:lang w:val="hr-HR"/>
        </w:rPr>
        <w:t>Oštećenje funkcije jetre</w:t>
      </w:r>
    </w:p>
    <w:p w14:paraId="101BEA77" w14:textId="5711986C" w:rsidR="006D04E3" w:rsidRPr="00913317" w:rsidRDefault="00BE6E1E" w:rsidP="00D72925">
      <w:pPr>
        <w:rPr>
          <w:szCs w:val="22"/>
          <w:lang w:val="hr-HR"/>
        </w:rPr>
      </w:pPr>
      <w:r w:rsidRPr="00913317">
        <w:rPr>
          <w:szCs w:val="22"/>
          <w:lang w:val="hr-HR"/>
        </w:rPr>
        <w:t xml:space="preserve">Posle pojedinačne oralne doze (200 mg), </w:t>
      </w:r>
      <w:r w:rsidR="004D45E7" w:rsidRPr="00913317">
        <w:rPr>
          <w:szCs w:val="22"/>
          <w:lang w:val="hr-HR"/>
        </w:rPr>
        <w:t>vrijedno</w:t>
      </w:r>
      <w:r w:rsidR="00343CDA" w:rsidRPr="00913317">
        <w:rPr>
          <w:szCs w:val="22"/>
          <w:lang w:val="hr-HR"/>
        </w:rPr>
        <w:t xml:space="preserve">st </w:t>
      </w:r>
      <w:r w:rsidRPr="00913317">
        <w:rPr>
          <w:szCs w:val="22"/>
          <w:lang w:val="hr-HR"/>
        </w:rPr>
        <w:t xml:space="preserve">PIK je 233% veća kod ispitanika sa blagom do </w:t>
      </w:r>
      <w:r w:rsidR="00D85AC5" w:rsidRPr="00913317">
        <w:rPr>
          <w:szCs w:val="22"/>
          <w:lang w:val="hr-HR"/>
        </w:rPr>
        <w:t>umjere</w:t>
      </w:r>
      <w:r w:rsidRPr="00913317">
        <w:rPr>
          <w:szCs w:val="22"/>
          <w:lang w:val="hr-HR"/>
        </w:rPr>
        <w:t>nom cirozom jetre (</w:t>
      </w:r>
      <w:r w:rsidRPr="00913317">
        <w:rPr>
          <w:i/>
          <w:szCs w:val="22"/>
          <w:lang w:val="hr-HR"/>
        </w:rPr>
        <w:t>Child-Pugh</w:t>
      </w:r>
      <w:r w:rsidRPr="00913317">
        <w:rPr>
          <w:szCs w:val="22"/>
          <w:lang w:val="hr-HR"/>
        </w:rPr>
        <w:t xml:space="preserve"> A i B) u poređenju sa ispitanicima sa normalnom funkcijom jetre. Oštećenje funkcije jetre ne utiče na vezivanje vorikonazola za proteine plazme. </w:t>
      </w:r>
    </w:p>
    <w:p w14:paraId="7C693B52" w14:textId="0D7048F4" w:rsidR="006131C3" w:rsidRPr="00913317" w:rsidRDefault="00BE6E1E" w:rsidP="00D72925">
      <w:pPr>
        <w:rPr>
          <w:szCs w:val="22"/>
          <w:lang w:val="hr-HR"/>
        </w:rPr>
      </w:pPr>
      <w:r w:rsidRPr="00913317">
        <w:rPr>
          <w:szCs w:val="22"/>
          <w:lang w:val="hr-HR"/>
        </w:rPr>
        <w:t xml:space="preserve">U studiji višestruke </w:t>
      </w:r>
      <w:r w:rsidR="004D45E7" w:rsidRPr="00913317">
        <w:rPr>
          <w:szCs w:val="22"/>
          <w:lang w:val="hr-HR"/>
        </w:rPr>
        <w:t>primjen</w:t>
      </w:r>
      <w:r w:rsidRPr="00913317">
        <w:rPr>
          <w:szCs w:val="22"/>
          <w:lang w:val="hr-HR"/>
        </w:rPr>
        <w:t xml:space="preserve">e </w:t>
      </w:r>
      <w:r w:rsidR="00CD71B9" w:rsidRPr="00913317">
        <w:rPr>
          <w:szCs w:val="22"/>
          <w:lang w:val="hr-HR"/>
        </w:rPr>
        <w:t xml:space="preserve">oralnih doza </w:t>
      </w:r>
      <w:r w:rsidRPr="00913317">
        <w:rPr>
          <w:szCs w:val="22"/>
          <w:lang w:val="hr-HR"/>
        </w:rPr>
        <w:t xml:space="preserve">vorikonazola, </w:t>
      </w:r>
      <w:r w:rsidR="004D45E7" w:rsidRPr="00913317">
        <w:rPr>
          <w:szCs w:val="22"/>
          <w:lang w:val="hr-HR"/>
        </w:rPr>
        <w:t>vrijedno</w:t>
      </w:r>
      <w:r w:rsidR="00343CDA" w:rsidRPr="00913317">
        <w:rPr>
          <w:szCs w:val="22"/>
          <w:lang w:val="hr-HR"/>
        </w:rPr>
        <w:t xml:space="preserve">st </w:t>
      </w:r>
      <w:r w:rsidRPr="00913317">
        <w:rPr>
          <w:szCs w:val="22"/>
          <w:lang w:val="hr-HR"/>
        </w:rPr>
        <w:t xml:space="preserve">PIKτ je bila slična kod ispitanika sa </w:t>
      </w:r>
      <w:r w:rsidR="00D85AC5" w:rsidRPr="00913317">
        <w:rPr>
          <w:szCs w:val="22"/>
          <w:lang w:val="hr-HR"/>
        </w:rPr>
        <w:t>umjere</w:t>
      </w:r>
      <w:r w:rsidRPr="00913317">
        <w:rPr>
          <w:szCs w:val="22"/>
          <w:lang w:val="hr-HR"/>
        </w:rPr>
        <w:t>nom cirozom jetre (</w:t>
      </w:r>
      <w:r w:rsidRPr="00913317">
        <w:rPr>
          <w:i/>
          <w:szCs w:val="22"/>
          <w:lang w:val="hr-HR"/>
        </w:rPr>
        <w:t>Child-Pugh</w:t>
      </w:r>
      <w:r w:rsidR="00F648C7" w:rsidRPr="00913317">
        <w:rPr>
          <w:szCs w:val="22"/>
          <w:lang w:val="hr-HR"/>
        </w:rPr>
        <w:t> </w:t>
      </w:r>
      <w:r w:rsidRPr="00913317">
        <w:rPr>
          <w:szCs w:val="22"/>
          <w:lang w:val="hr-HR"/>
        </w:rPr>
        <w:t xml:space="preserve">B) koji su dobijali dozu održavanja od 100 mg, dva puta dnevno i ispitanika sa normalnom funkcijom jetre koji su dobijali </w:t>
      </w:r>
      <w:r w:rsidR="00343CDA" w:rsidRPr="00913317">
        <w:rPr>
          <w:szCs w:val="22"/>
          <w:lang w:val="hr-HR"/>
        </w:rPr>
        <w:t xml:space="preserve">dozu od </w:t>
      </w:r>
      <w:r w:rsidRPr="00913317">
        <w:rPr>
          <w:szCs w:val="22"/>
          <w:lang w:val="hr-HR"/>
        </w:rPr>
        <w:t>200 mg, dva puta dnevno. Farmakokinetički podaci za pacijente sa teškom cirozom jetre (</w:t>
      </w:r>
      <w:r w:rsidRPr="00913317">
        <w:rPr>
          <w:i/>
          <w:szCs w:val="22"/>
          <w:lang w:val="hr-HR"/>
        </w:rPr>
        <w:t>Child-Pugh</w:t>
      </w:r>
      <w:r w:rsidR="00F648C7" w:rsidRPr="00913317">
        <w:rPr>
          <w:szCs w:val="22"/>
          <w:lang w:val="hr-HR"/>
        </w:rPr>
        <w:t> </w:t>
      </w:r>
      <w:r w:rsidRPr="00913317">
        <w:rPr>
          <w:szCs w:val="22"/>
          <w:lang w:val="hr-HR"/>
        </w:rPr>
        <w:t>C) ni</w:t>
      </w:r>
      <w:r w:rsidR="00EE350F" w:rsidRPr="00913317">
        <w:rPr>
          <w:szCs w:val="22"/>
          <w:lang w:val="hr-HR"/>
        </w:rPr>
        <w:t>je</w:t>
      </w:r>
      <w:r w:rsidRPr="00913317">
        <w:rPr>
          <w:szCs w:val="22"/>
          <w:lang w:val="hr-HR"/>
        </w:rPr>
        <w:t>su dostupni (</w:t>
      </w:r>
      <w:r w:rsidR="004D45E7" w:rsidRPr="00913317">
        <w:rPr>
          <w:szCs w:val="22"/>
          <w:lang w:val="hr-HR"/>
        </w:rPr>
        <w:t xml:space="preserve">vidjeti </w:t>
      </w:r>
      <w:r w:rsidR="00954637" w:rsidRPr="00913317">
        <w:rPr>
          <w:szCs w:val="22"/>
          <w:lang w:val="hr-HR"/>
        </w:rPr>
        <w:t xml:space="preserve">djelove </w:t>
      </w:r>
      <w:r w:rsidRPr="00913317">
        <w:rPr>
          <w:szCs w:val="22"/>
          <w:lang w:val="hr-HR"/>
        </w:rPr>
        <w:t>4.2 i 4.4).</w:t>
      </w:r>
    </w:p>
    <w:p w14:paraId="6C15BC96" w14:textId="77777777" w:rsidR="006131C3" w:rsidRPr="00913317" w:rsidRDefault="006131C3" w:rsidP="00D72925">
      <w:pPr>
        <w:rPr>
          <w:color w:val="FF0000"/>
          <w:szCs w:val="22"/>
          <w:lang w:val="hr-HR"/>
        </w:rPr>
      </w:pPr>
    </w:p>
    <w:p w14:paraId="18F0B3D1" w14:textId="0F3AB103" w:rsidR="006131C3" w:rsidRPr="00913317" w:rsidRDefault="00CE09F3" w:rsidP="00D72925">
      <w:pPr>
        <w:rPr>
          <w:b/>
          <w:bCs/>
          <w:szCs w:val="22"/>
          <w:lang w:val="hr-HR"/>
        </w:rPr>
      </w:pPr>
      <w:r w:rsidRPr="00913317">
        <w:rPr>
          <w:b/>
          <w:bCs/>
          <w:szCs w:val="22"/>
          <w:lang w:val="hr-HR"/>
        </w:rPr>
        <w:t>5.3</w:t>
      </w:r>
      <w:r w:rsidR="006D04E3" w:rsidRPr="00913317">
        <w:rPr>
          <w:b/>
          <w:bCs/>
          <w:szCs w:val="22"/>
          <w:lang w:val="hr-HR"/>
        </w:rPr>
        <w:t>.</w:t>
      </w:r>
      <w:r w:rsidR="006D04E3" w:rsidRPr="00913317">
        <w:rPr>
          <w:b/>
          <w:bCs/>
          <w:szCs w:val="22"/>
          <w:lang w:val="hr-HR"/>
        </w:rPr>
        <w:tab/>
      </w:r>
      <w:r w:rsidRPr="00913317">
        <w:rPr>
          <w:b/>
          <w:bCs/>
          <w:szCs w:val="22"/>
          <w:lang w:val="hr-HR"/>
        </w:rPr>
        <w:t>Pretkl</w:t>
      </w:r>
      <w:r w:rsidR="00096DB7" w:rsidRPr="00913317">
        <w:rPr>
          <w:b/>
          <w:bCs/>
          <w:szCs w:val="22"/>
          <w:lang w:val="hr-HR"/>
        </w:rPr>
        <w:t xml:space="preserve">inički podaci o bezbjednosti </w:t>
      </w:r>
    </w:p>
    <w:p w14:paraId="652F0D00" w14:textId="77777777" w:rsidR="006131C3" w:rsidRPr="00913317" w:rsidRDefault="006131C3" w:rsidP="00D72925">
      <w:pPr>
        <w:rPr>
          <w:color w:val="FF0000"/>
          <w:szCs w:val="22"/>
          <w:lang w:val="hr-HR"/>
        </w:rPr>
      </w:pPr>
    </w:p>
    <w:p w14:paraId="59129C0E" w14:textId="38EACC68" w:rsidR="006131C3" w:rsidRPr="00913317" w:rsidRDefault="00BE6E1E" w:rsidP="00D72925">
      <w:pPr>
        <w:rPr>
          <w:szCs w:val="22"/>
          <w:lang w:val="hr-HR"/>
        </w:rPr>
      </w:pPr>
      <w:r w:rsidRPr="00913317">
        <w:rPr>
          <w:szCs w:val="22"/>
          <w:lang w:val="hr-HR"/>
        </w:rPr>
        <w:t xml:space="preserve">Studije toksičnosti pri ponovljenom doziranju vorikonazola pokazale su da je jetra ciljni organ. Hepatotoksičnost se razvila pri koncentracijama u plazmi koje su slične onima koje se dobijaju sa terapijskim dozama kod ljudi, što je zajedničko sa drugim </w:t>
      </w:r>
      <w:r w:rsidR="003256B9" w:rsidRPr="00913317">
        <w:rPr>
          <w:szCs w:val="22"/>
          <w:lang w:val="hr-HR"/>
        </w:rPr>
        <w:t xml:space="preserve">antigljivičnim </w:t>
      </w:r>
      <w:r w:rsidR="004D45E7" w:rsidRPr="00913317">
        <w:rPr>
          <w:szCs w:val="22"/>
          <w:lang w:val="hr-HR"/>
        </w:rPr>
        <w:t>ljekov</w:t>
      </w:r>
      <w:r w:rsidR="003256B9" w:rsidRPr="00913317">
        <w:rPr>
          <w:szCs w:val="22"/>
          <w:lang w:val="hr-HR"/>
        </w:rPr>
        <w:t>ima</w:t>
      </w:r>
      <w:r w:rsidRPr="00913317">
        <w:rPr>
          <w:szCs w:val="22"/>
          <w:lang w:val="hr-HR"/>
        </w:rPr>
        <w:t>. Kod pacova, miševa i pasa, vorikonazol je takođe indukovao minimalne prom</w:t>
      </w:r>
      <w:r w:rsidR="007A2550" w:rsidRPr="00913317">
        <w:rPr>
          <w:szCs w:val="22"/>
          <w:lang w:val="hr-HR"/>
        </w:rPr>
        <w:t>j</w:t>
      </w:r>
      <w:r w:rsidRPr="00913317">
        <w:rPr>
          <w:szCs w:val="22"/>
          <w:lang w:val="hr-HR"/>
        </w:rPr>
        <w:t>ene na nadbubrežnoj žl</w:t>
      </w:r>
      <w:r w:rsidR="007A2550" w:rsidRPr="00913317">
        <w:rPr>
          <w:szCs w:val="22"/>
          <w:lang w:val="hr-HR"/>
        </w:rPr>
        <w:t>ij</w:t>
      </w:r>
      <w:r w:rsidRPr="00913317">
        <w:rPr>
          <w:szCs w:val="22"/>
          <w:lang w:val="hr-HR"/>
        </w:rPr>
        <w:t xml:space="preserve">ezdi. </w:t>
      </w:r>
      <w:r w:rsidR="003256B9" w:rsidRPr="00913317">
        <w:rPr>
          <w:szCs w:val="22"/>
          <w:lang w:val="hr-HR"/>
        </w:rPr>
        <w:t>Konvencionalne</w:t>
      </w:r>
      <w:r w:rsidRPr="00913317">
        <w:rPr>
          <w:szCs w:val="22"/>
          <w:lang w:val="hr-HR"/>
        </w:rPr>
        <w:t xml:space="preserve"> studije  </w:t>
      </w:r>
      <w:r w:rsidR="003204CC" w:rsidRPr="00913317">
        <w:rPr>
          <w:szCs w:val="22"/>
          <w:lang w:val="hr-HR"/>
        </w:rPr>
        <w:t>bezbjedn</w:t>
      </w:r>
      <w:r w:rsidR="00B77814" w:rsidRPr="00913317">
        <w:rPr>
          <w:szCs w:val="22"/>
          <w:lang w:val="hr-HR"/>
        </w:rPr>
        <w:t xml:space="preserve">osne farmakologije </w:t>
      </w:r>
      <w:r w:rsidR="004D45E7" w:rsidRPr="00913317">
        <w:rPr>
          <w:szCs w:val="22"/>
          <w:lang w:val="hr-HR"/>
        </w:rPr>
        <w:t>lijek</w:t>
      </w:r>
      <w:r w:rsidR="003256B9" w:rsidRPr="00913317">
        <w:rPr>
          <w:szCs w:val="22"/>
          <w:lang w:val="hr-HR"/>
        </w:rPr>
        <w:t>a</w:t>
      </w:r>
      <w:r w:rsidRPr="00913317">
        <w:rPr>
          <w:szCs w:val="22"/>
          <w:lang w:val="hr-HR"/>
        </w:rPr>
        <w:t>, genotoksičnosti ili ka</w:t>
      </w:r>
      <w:r w:rsidR="00D055D8" w:rsidRPr="00913317">
        <w:rPr>
          <w:szCs w:val="22"/>
          <w:lang w:val="hr-HR"/>
        </w:rPr>
        <w:t>rcino</w:t>
      </w:r>
      <w:r w:rsidRPr="00913317">
        <w:rPr>
          <w:szCs w:val="22"/>
          <w:lang w:val="hr-HR"/>
        </w:rPr>
        <w:t>gen</w:t>
      </w:r>
      <w:r w:rsidR="00D055D8" w:rsidRPr="00913317">
        <w:rPr>
          <w:szCs w:val="22"/>
          <w:lang w:val="hr-HR"/>
        </w:rPr>
        <w:t>og</w:t>
      </w:r>
      <w:r w:rsidRPr="00913317">
        <w:rPr>
          <w:szCs w:val="22"/>
          <w:lang w:val="hr-HR"/>
        </w:rPr>
        <w:t xml:space="preserve"> potencijala n</w:t>
      </w:r>
      <w:r w:rsidR="00B77814" w:rsidRPr="00913317">
        <w:rPr>
          <w:szCs w:val="22"/>
          <w:lang w:val="hr-HR"/>
        </w:rPr>
        <w:t xml:space="preserve">e ukazuju na </w:t>
      </w:r>
      <w:r w:rsidRPr="00913317">
        <w:rPr>
          <w:szCs w:val="22"/>
          <w:lang w:val="hr-HR"/>
        </w:rPr>
        <w:t>poseb</w:t>
      </w:r>
      <w:r w:rsidR="00B77814" w:rsidRPr="00913317">
        <w:rPr>
          <w:szCs w:val="22"/>
          <w:lang w:val="hr-HR"/>
        </w:rPr>
        <w:t>ne</w:t>
      </w:r>
      <w:r w:rsidRPr="00913317">
        <w:rPr>
          <w:szCs w:val="22"/>
          <w:lang w:val="hr-HR"/>
        </w:rPr>
        <w:t xml:space="preserve"> </w:t>
      </w:r>
      <w:r w:rsidR="00D055D8" w:rsidRPr="00913317">
        <w:rPr>
          <w:szCs w:val="22"/>
          <w:lang w:val="hr-HR"/>
        </w:rPr>
        <w:t>rizik</w:t>
      </w:r>
      <w:r w:rsidR="00B77814" w:rsidRPr="00913317">
        <w:rPr>
          <w:szCs w:val="22"/>
          <w:lang w:val="hr-HR"/>
        </w:rPr>
        <w:t xml:space="preserve">e pri </w:t>
      </w:r>
      <w:r w:rsidR="004D45E7" w:rsidRPr="00913317">
        <w:rPr>
          <w:szCs w:val="22"/>
          <w:lang w:val="hr-HR"/>
        </w:rPr>
        <w:t>primjen</w:t>
      </w:r>
      <w:r w:rsidR="00B77814" w:rsidRPr="00913317">
        <w:rPr>
          <w:szCs w:val="22"/>
          <w:lang w:val="hr-HR"/>
        </w:rPr>
        <w:t xml:space="preserve">i </w:t>
      </w:r>
      <w:r w:rsidR="004D45E7" w:rsidRPr="00913317">
        <w:rPr>
          <w:szCs w:val="22"/>
          <w:lang w:val="hr-HR"/>
        </w:rPr>
        <w:t>lijek</w:t>
      </w:r>
      <w:r w:rsidR="00B77814" w:rsidRPr="00913317">
        <w:rPr>
          <w:szCs w:val="22"/>
          <w:lang w:val="hr-HR"/>
        </w:rPr>
        <w:t>a kod</w:t>
      </w:r>
      <w:r w:rsidRPr="00913317">
        <w:rPr>
          <w:szCs w:val="22"/>
          <w:lang w:val="hr-HR"/>
        </w:rPr>
        <w:t xml:space="preserve"> ljud</w:t>
      </w:r>
      <w:r w:rsidR="00B77814" w:rsidRPr="00913317">
        <w:rPr>
          <w:szCs w:val="22"/>
          <w:lang w:val="hr-HR"/>
        </w:rPr>
        <w:t>i</w:t>
      </w:r>
      <w:r w:rsidRPr="00913317">
        <w:rPr>
          <w:szCs w:val="22"/>
          <w:lang w:val="hr-HR"/>
        </w:rPr>
        <w:t xml:space="preserve">. </w:t>
      </w:r>
    </w:p>
    <w:p w14:paraId="39F9A3DF" w14:textId="07C35304" w:rsidR="006131C3" w:rsidRPr="00913317" w:rsidRDefault="00BE6E1E" w:rsidP="00D72925">
      <w:pPr>
        <w:pStyle w:val="Header"/>
        <w:tabs>
          <w:tab w:val="clear" w:pos="4536"/>
          <w:tab w:val="clear" w:pos="9072"/>
          <w:tab w:val="left" w:pos="284"/>
        </w:tabs>
        <w:rPr>
          <w:szCs w:val="22"/>
          <w:lang w:val="hr-HR"/>
        </w:rPr>
      </w:pPr>
      <w:r w:rsidRPr="00913317">
        <w:rPr>
          <w:szCs w:val="22"/>
          <w:lang w:val="hr-HR"/>
        </w:rPr>
        <w:t xml:space="preserve">U </w:t>
      </w:r>
      <w:r w:rsidR="003256B9" w:rsidRPr="00913317">
        <w:rPr>
          <w:szCs w:val="22"/>
          <w:lang w:val="hr-HR"/>
        </w:rPr>
        <w:t xml:space="preserve">studijama </w:t>
      </w:r>
      <w:r w:rsidRPr="00913317">
        <w:rPr>
          <w:szCs w:val="22"/>
          <w:lang w:val="hr-HR"/>
        </w:rPr>
        <w:t xml:space="preserve">reproduktivne toksičnosti, pokazano je da je vorikonazol teratogen kod pacova i embriotoksičan kod kunića pri sistemskoj izloženosti koja je jednaka onoj koja se dobija kod ljudi pri terapijskim dozama </w:t>
      </w:r>
      <w:r w:rsidR="004D45E7" w:rsidRPr="00913317">
        <w:rPr>
          <w:szCs w:val="22"/>
          <w:lang w:val="hr-HR"/>
        </w:rPr>
        <w:t>lijek</w:t>
      </w:r>
      <w:r w:rsidRPr="00913317">
        <w:rPr>
          <w:szCs w:val="22"/>
          <w:lang w:val="hr-HR"/>
        </w:rPr>
        <w:t>a. U studijama ispitivanja toksičnosti na pre</w:t>
      </w:r>
      <w:r w:rsidR="00437474" w:rsidRPr="00913317">
        <w:rPr>
          <w:szCs w:val="22"/>
          <w:lang w:val="hr-HR"/>
        </w:rPr>
        <w:t>nataln</w:t>
      </w:r>
      <w:r w:rsidR="002A45A4" w:rsidRPr="00913317">
        <w:rPr>
          <w:szCs w:val="22"/>
          <w:lang w:val="hr-HR"/>
        </w:rPr>
        <w:t>i</w:t>
      </w:r>
      <w:r w:rsidRPr="00913317">
        <w:rPr>
          <w:szCs w:val="22"/>
          <w:lang w:val="hr-HR"/>
        </w:rPr>
        <w:t xml:space="preserve"> i postnatalni razvoj kod pacova pri koncentracijama u plazmi koje su </w:t>
      </w:r>
      <w:r w:rsidR="00437474" w:rsidRPr="00913317">
        <w:rPr>
          <w:szCs w:val="22"/>
          <w:lang w:val="hr-HR"/>
        </w:rPr>
        <w:t>manje</w:t>
      </w:r>
      <w:r w:rsidRPr="00913317">
        <w:rPr>
          <w:szCs w:val="22"/>
          <w:lang w:val="hr-HR"/>
        </w:rPr>
        <w:t xml:space="preserve"> od onih koje su dobijene </w:t>
      </w:r>
      <w:r w:rsidR="00437474" w:rsidRPr="00913317">
        <w:rPr>
          <w:szCs w:val="22"/>
          <w:lang w:val="hr-HR"/>
        </w:rPr>
        <w:t xml:space="preserve">kod </w:t>
      </w:r>
      <w:r w:rsidRPr="00913317">
        <w:rPr>
          <w:szCs w:val="22"/>
          <w:lang w:val="hr-HR"/>
        </w:rPr>
        <w:t>ljudi sa terapijskim dozama, vorikonazol je produžio trajanje gestacije i porođaja i prouzrokovao distociju sa posl</w:t>
      </w:r>
      <w:r w:rsidR="00E60ABD" w:rsidRPr="00913317">
        <w:rPr>
          <w:szCs w:val="22"/>
          <w:lang w:val="hr-HR"/>
        </w:rPr>
        <w:t>j</w:t>
      </w:r>
      <w:r w:rsidRPr="00913317">
        <w:rPr>
          <w:szCs w:val="22"/>
          <w:lang w:val="hr-HR"/>
        </w:rPr>
        <w:t xml:space="preserve">edičnim povećanjem mortaliteta majki i smanjenim perinatalnim preživljavanjem </w:t>
      </w:r>
      <w:r w:rsidR="006C3F92" w:rsidRPr="00913317">
        <w:rPr>
          <w:szCs w:val="22"/>
          <w:lang w:val="hr-HR"/>
        </w:rPr>
        <w:t>ml</w:t>
      </w:r>
      <w:r w:rsidR="003256B9" w:rsidRPr="00913317">
        <w:rPr>
          <w:szCs w:val="22"/>
          <w:lang w:val="hr-HR"/>
        </w:rPr>
        <w:t>adunčadi</w:t>
      </w:r>
      <w:r w:rsidRPr="00913317">
        <w:rPr>
          <w:szCs w:val="22"/>
          <w:lang w:val="hr-HR"/>
        </w:rPr>
        <w:t>. Efekti na porođaj v</w:t>
      </w:r>
      <w:r w:rsidR="007A2550" w:rsidRPr="00913317">
        <w:rPr>
          <w:szCs w:val="22"/>
          <w:lang w:val="hr-HR"/>
        </w:rPr>
        <w:t>j</w:t>
      </w:r>
      <w:r w:rsidRPr="00913317">
        <w:rPr>
          <w:szCs w:val="22"/>
          <w:lang w:val="hr-HR"/>
        </w:rPr>
        <w:t xml:space="preserve">erovatno su posredovani mehanizmima specifičnim za vrstu, uključujući smanjenje nivoa estradiola i u saglasnosti su sa onima koji su već otkriveni za </w:t>
      </w:r>
      <w:r w:rsidR="00437474" w:rsidRPr="00913317">
        <w:rPr>
          <w:szCs w:val="22"/>
          <w:lang w:val="hr-HR"/>
        </w:rPr>
        <w:t>ostale azol</w:t>
      </w:r>
      <w:r w:rsidR="00D061E1" w:rsidRPr="00913317">
        <w:rPr>
          <w:szCs w:val="22"/>
          <w:lang w:val="hr-HR"/>
        </w:rPr>
        <w:t>n</w:t>
      </w:r>
      <w:r w:rsidR="00437474" w:rsidRPr="00913317">
        <w:rPr>
          <w:szCs w:val="22"/>
          <w:lang w:val="hr-HR"/>
        </w:rPr>
        <w:t>e antimikotike</w:t>
      </w:r>
      <w:r w:rsidRPr="00913317">
        <w:rPr>
          <w:szCs w:val="22"/>
          <w:lang w:val="hr-HR"/>
        </w:rPr>
        <w:t xml:space="preserve">. </w:t>
      </w:r>
      <w:r w:rsidR="004D45E7" w:rsidRPr="00913317">
        <w:rPr>
          <w:szCs w:val="22"/>
          <w:lang w:val="hr-HR"/>
        </w:rPr>
        <w:t>Primjen</w:t>
      </w:r>
      <w:r w:rsidRPr="00913317">
        <w:rPr>
          <w:szCs w:val="22"/>
          <w:lang w:val="hr-HR"/>
        </w:rPr>
        <w:t xml:space="preserve">a vorikonazola nije izazvala poremećaj plodnosti kod mužjaka i ženki pacova pri </w:t>
      </w:r>
      <w:r w:rsidR="00437474" w:rsidRPr="00913317">
        <w:rPr>
          <w:szCs w:val="22"/>
          <w:lang w:val="hr-HR"/>
        </w:rPr>
        <w:t>izloženosti</w:t>
      </w:r>
      <w:r w:rsidRPr="00913317">
        <w:rPr>
          <w:szCs w:val="22"/>
          <w:lang w:val="hr-HR"/>
        </w:rPr>
        <w:t xml:space="preserve"> koje su slične onima koje se dobijaju kod ljudi pri </w:t>
      </w:r>
      <w:r w:rsidR="004D45E7" w:rsidRPr="00913317">
        <w:rPr>
          <w:szCs w:val="22"/>
          <w:lang w:val="hr-HR"/>
        </w:rPr>
        <w:t>primjen</w:t>
      </w:r>
      <w:r w:rsidRPr="00913317">
        <w:rPr>
          <w:szCs w:val="22"/>
          <w:lang w:val="hr-HR"/>
        </w:rPr>
        <w:t>i terapijskih doza.</w:t>
      </w:r>
    </w:p>
    <w:p w14:paraId="3910733C" w14:textId="6B547068" w:rsidR="006131C3" w:rsidRPr="00913317" w:rsidRDefault="00BE6E1E" w:rsidP="00D72925">
      <w:pPr>
        <w:rPr>
          <w:szCs w:val="22"/>
          <w:lang w:val="hr-HR"/>
        </w:rPr>
      </w:pPr>
      <w:r w:rsidRPr="00913317">
        <w:rPr>
          <w:szCs w:val="22"/>
          <w:lang w:val="hr-HR"/>
        </w:rPr>
        <w:t xml:space="preserve">Pretklinički podaci dobijeni u studijama toksičnosti pri ponovljenom doziranju pokazali su da su glavni efekti intravenskog vehikuluma, SBECD, vakuolizacija epitela urinarnog trakta i aktivacija </w:t>
      </w:r>
      <w:r w:rsidRPr="00913317">
        <w:rPr>
          <w:szCs w:val="22"/>
          <w:lang w:val="hr-HR"/>
        </w:rPr>
        <w:lastRenderedPageBreak/>
        <w:t>makrofaga u jetri i plućima. Pošto je rezultat GPMT testa (</w:t>
      </w:r>
      <w:r w:rsidRPr="00913317">
        <w:rPr>
          <w:i/>
          <w:szCs w:val="22"/>
          <w:lang w:val="hr-HR"/>
        </w:rPr>
        <w:t>guinea pig maximisation test</w:t>
      </w:r>
      <w:r w:rsidRPr="00913317">
        <w:rPr>
          <w:szCs w:val="22"/>
          <w:lang w:val="hr-HR"/>
        </w:rPr>
        <w:t xml:space="preserve">) bio pozitivan, </w:t>
      </w:r>
      <w:r w:rsidR="004D45E7" w:rsidRPr="00913317">
        <w:rPr>
          <w:szCs w:val="22"/>
          <w:lang w:val="hr-HR"/>
        </w:rPr>
        <w:t>ljek</w:t>
      </w:r>
      <w:r w:rsidRPr="00913317">
        <w:rPr>
          <w:szCs w:val="22"/>
          <w:lang w:val="hr-HR"/>
        </w:rPr>
        <w:t xml:space="preserve">ari koji propisuju ovaj </w:t>
      </w:r>
      <w:r w:rsidR="004D45E7" w:rsidRPr="00913317">
        <w:rPr>
          <w:szCs w:val="22"/>
          <w:lang w:val="hr-HR"/>
        </w:rPr>
        <w:t>lijek</w:t>
      </w:r>
      <w:r w:rsidRPr="00913317">
        <w:rPr>
          <w:szCs w:val="22"/>
          <w:lang w:val="hr-HR"/>
        </w:rPr>
        <w:t xml:space="preserve"> treba stalno da imaju na umu da intravenska formulacija </w:t>
      </w:r>
      <w:r w:rsidR="004D45E7" w:rsidRPr="00913317">
        <w:rPr>
          <w:szCs w:val="22"/>
          <w:lang w:val="hr-HR"/>
        </w:rPr>
        <w:t>lijek</w:t>
      </w:r>
      <w:r w:rsidR="003256B9" w:rsidRPr="00913317">
        <w:rPr>
          <w:szCs w:val="22"/>
          <w:lang w:val="hr-HR"/>
        </w:rPr>
        <w:t xml:space="preserve">a ima  potencijal da izazove reakciju </w:t>
      </w:r>
      <w:r w:rsidR="003204CC" w:rsidRPr="00913317">
        <w:rPr>
          <w:szCs w:val="22"/>
          <w:lang w:val="hr-HR"/>
        </w:rPr>
        <w:t>preosjetlj</w:t>
      </w:r>
      <w:r w:rsidR="003256B9" w:rsidRPr="00913317">
        <w:rPr>
          <w:szCs w:val="22"/>
          <w:lang w:val="hr-HR"/>
        </w:rPr>
        <w:t>ivosti. Standardne studije genotoksičnosti i reproduk</w:t>
      </w:r>
      <w:r w:rsidRPr="00913317">
        <w:rPr>
          <w:szCs w:val="22"/>
          <w:lang w:val="hr-HR"/>
        </w:rPr>
        <w:t>tivne toksičnosti sa ekscipijensom SBECD ni</w:t>
      </w:r>
      <w:r w:rsidR="00307C10" w:rsidRPr="00913317">
        <w:rPr>
          <w:szCs w:val="22"/>
          <w:lang w:val="hr-HR"/>
        </w:rPr>
        <w:t>je</w:t>
      </w:r>
      <w:r w:rsidRPr="00913317">
        <w:rPr>
          <w:szCs w:val="22"/>
          <w:lang w:val="hr-HR"/>
        </w:rPr>
        <w:t xml:space="preserve">su otkrile posebne </w:t>
      </w:r>
      <w:r w:rsidR="00346FBA" w:rsidRPr="00913317">
        <w:rPr>
          <w:szCs w:val="22"/>
          <w:lang w:val="hr-HR"/>
        </w:rPr>
        <w:t>rizike</w:t>
      </w:r>
      <w:r w:rsidRPr="00913317">
        <w:rPr>
          <w:szCs w:val="22"/>
          <w:lang w:val="hr-HR"/>
        </w:rPr>
        <w:t xml:space="preserve"> za ljude. Studije </w:t>
      </w:r>
      <w:r w:rsidR="00346FBA" w:rsidRPr="00913317">
        <w:rPr>
          <w:szCs w:val="22"/>
          <w:lang w:val="hr-HR"/>
        </w:rPr>
        <w:t>karcinogen</w:t>
      </w:r>
      <w:r w:rsidRPr="00913317">
        <w:rPr>
          <w:szCs w:val="22"/>
          <w:lang w:val="hr-HR"/>
        </w:rPr>
        <w:t>osti sa SBECD ni</w:t>
      </w:r>
      <w:r w:rsidR="00307C10" w:rsidRPr="00913317">
        <w:rPr>
          <w:szCs w:val="22"/>
          <w:lang w:val="hr-HR"/>
        </w:rPr>
        <w:t>je</w:t>
      </w:r>
      <w:r w:rsidRPr="00913317">
        <w:rPr>
          <w:szCs w:val="22"/>
          <w:lang w:val="hr-HR"/>
        </w:rPr>
        <w:t xml:space="preserve">su rađene. Nečistoća, prisutna u SBECD je alkilirajući mutageni agens, dokazano </w:t>
      </w:r>
      <w:r w:rsidR="00346FBA" w:rsidRPr="00913317">
        <w:rPr>
          <w:szCs w:val="22"/>
          <w:lang w:val="hr-HR"/>
        </w:rPr>
        <w:t xml:space="preserve">karcinogen </w:t>
      </w:r>
      <w:r w:rsidRPr="00913317">
        <w:rPr>
          <w:szCs w:val="22"/>
          <w:lang w:val="hr-HR"/>
        </w:rPr>
        <w:t xml:space="preserve">na glodarima. Ovu nečistoću treba smatrati </w:t>
      </w:r>
      <w:r w:rsidR="00346FBA" w:rsidRPr="00913317">
        <w:rPr>
          <w:szCs w:val="22"/>
          <w:lang w:val="hr-HR"/>
        </w:rPr>
        <w:t>kao supstancu sa karcinogenim potencijalom</w:t>
      </w:r>
      <w:r w:rsidRPr="00913317">
        <w:rPr>
          <w:szCs w:val="22"/>
          <w:lang w:val="hr-HR"/>
        </w:rPr>
        <w:t xml:space="preserve"> kod ljudi. U sv</w:t>
      </w:r>
      <w:r w:rsidR="007A2550" w:rsidRPr="00913317">
        <w:rPr>
          <w:szCs w:val="22"/>
          <w:lang w:val="hr-HR"/>
        </w:rPr>
        <w:t>j</w:t>
      </w:r>
      <w:r w:rsidRPr="00913317">
        <w:rPr>
          <w:szCs w:val="22"/>
          <w:lang w:val="hr-HR"/>
        </w:rPr>
        <w:t>etlu ovih podataka terapija intravenskom formulacijom ne sm</w:t>
      </w:r>
      <w:r w:rsidR="007A2550" w:rsidRPr="00913317">
        <w:rPr>
          <w:szCs w:val="22"/>
          <w:lang w:val="hr-HR"/>
        </w:rPr>
        <w:t>ij</w:t>
      </w:r>
      <w:r w:rsidRPr="00913317">
        <w:rPr>
          <w:szCs w:val="22"/>
          <w:lang w:val="hr-HR"/>
        </w:rPr>
        <w:t>e da traje duže od 6 m</w:t>
      </w:r>
      <w:r w:rsidR="00BF1805" w:rsidRPr="00913317">
        <w:rPr>
          <w:szCs w:val="22"/>
          <w:lang w:val="hr-HR"/>
        </w:rPr>
        <w:t>j</w:t>
      </w:r>
      <w:r w:rsidRPr="00913317">
        <w:rPr>
          <w:szCs w:val="22"/>
          <w:lang w:val="hr-HR"/>
        </w:rPr>
        <w:t>eseci.</w:t>
      </w:r>
    </w:p>
    <w:p w14:paraId="47219ABD" w14:textId="6ED29E3C" w:rsidR="006131C3" w:rsidRPr="00913317" w:rsidRDefault="006131C3" w:rsidP="00D72925">
      <w:pPr>
        <w:rPr>
          <w:color w:val="FF0000"/>
          <w:szCs w:val="22"/>
          <w:lang w:val="hr-HR"/>
        </w:rPr>
      </w:pPr>
    </w:p>
    <w:p w14:paraId="210D58FD" w14:textId="77777777" w:rsidR="00A71908" w:rsidRPr="00913317" w:rsidRDefault="00A71908" w:rsidP="00D72925">
      <w:pPr>
        <w:rPr>
          <w:color w:val="FF0000"/>
          <w:szCs w:val="22"/>
          <w:lang w:val="hr-HR"/>
        </w:rPr>
      </w:pPr>
    </w:p>
    <w:p w14:paraId="6F3A2B9C" w14:textId="59A580FA" w:rsidR="00CE09F3" w:rsidRPr="00913317" w:rsidRDefault="00CE09F3" w:rsidP="00D72925">
      <w:pPr>
        <w:pStyle w:val="NASLOV123"/>
        <w:spacing w:before="0" w:after="0"/>
        <w:jc w:val="both"/>
        <w:rPr>
          <w:lang w:val="hr-HR"/>
        </w:rPr>
      </w:pPr>
      <w:r w:rsidRPr="00913317">
        <w:rPr>
          <w:lang w:val="hr-HR"/>
        </w:rPr>
        <w:t>6</w:t>
      </w:r>
      <w:r w:rsidR="006D04E3" w:rsidRPr="00913317">
        <w:rPr>
          <w:lang w:val="hr-HR"/>
        </w:rPr>
        <w:t>.</w:t>
      </w:r>
      <w:r w:rsidR="006D04E3" w:rsidRPr="00913317">
        <w:rPr>
          <w:lang w:val="hr-HR"/>
        </w:rPr>
        <w:tab/>
      </w:r>
      <w:r w:rsidRPr="00913317">
        <w:rPr>
          <w:lang w:val="hr-HR"/>
        </w:rPr>
        <w:t>FARMACEUTSKI PODACI</w:t>
      </w:r>
    </w:p>
    <w:p w14:paraId="4760B422" w14:textId="77777777" w:rsidR="00A71908" w:rsidRPr="00913317" w:rsidRDefault="00A71908" w:rsidP="00D72925">
      <w:pPr>
        <w:rPr>
          <w:b/>
          <w:bCs/>
          <w:szCs w:val="22"/>
          <w:lang w:val="hr-HR"/>
        </w:rPr>
      </w:pPr>
    </w:p>
    <w:p w14:paraId="25A7EF8B" w14:textId="0916B66A" w:rsidR="006131C3" w:rsidRPr="00913317" w:rsidRDefault="00CE09F3" w:rsidP="00D72925">
      <w:pPr>
        <w:rPr>
          <w:b/>
          <w:bCs/>
          <w:szCs w:val="22"/>
          <w:lang w:val="hr-HR"/>
        </w:rPr>
      </w:pPr>
      <w:r w:rsidRPr="00913317">
        <w:rPr>
          <w:b/>
          <w:bCs/>
          <w:szCs w:val="22"/>
          <w:lang w:val="hr-HR"/>
        </w:rPr>
        <w:t>6.1</w:t>
      </w:r>
      <w:r w:rsidR="006D04E3" w:rsidRPr="00913317">
        <w:rPr>
          <w:b/>
          <w:bCs/>
          <w:szCs w:val="22"/>
          <w:lang w:val="hr-HR"/>
        </w:rPr>
        <w:t>.</w:t>
      </w:r>
      <w:r w:rsidR="006D04E3" w:rsidRPr="00913317">
        <w:rPr>
          <w:b/>
          <w:bCs/>
          <w:szCs w:val="22"/>
          <w:lang w:val="hr-HR"/>
        </w:rPr>
        <w:tab/>
      </w:r>
      <w:r w:rsidRPr="00913317">
        <w:rPr>
          <w:b/>
          <w:bCs/>
          <w:szCs w:val="22"/>
          <w:lang w:val="hr-HR"/>
        </w:rPr>
        <w:t>Lista pomoćnih supstanci</w:t>
      </w:r>
      <w:r w:rsidR="00096DB7" w:rsidRPr="00913317">
        <w:rPr>
          <w:b/>
          <w:bCs/>
          <w:szCs w:val="22"/>
          <w:lang w:val="hr-HR"/>
        </w:rPr>
        <w:t xml:space="preserve"> (ekscipijenasa)</w:t>
      </w:r>
    </w:p>
    <w:p w14:paraId="369D6251" w14:textId="77777777" w:rsidR="006131C3" w:rsidRPr="00913317" w:rsidRDefault="006131C3" w:rsidP="00D72925">
      <w:pPr>
        <w:rPr>
          <w:color w:val="FF0000"/>
          <w:szCs w:val="22"/>
          <w:lang w:val="hr-HR"/>
        </w:rPr>
      </w:pPr>
    </w:p>
    <w:p w14:paraId="4ED18774" w14:textId="77777777" w:rsidR="006131C3" w:rsidRPr="00913317" w:rsidRDefault="00BE6E1E" w:rsidP="00D72925">
      <w:pPr>
        <w:rPr>
          <w:szCs w:val="22"/>
          <w:lang w:val="hr-HR"/>
        </w:rPr>
      </w:pPr>
      <w:r w:rsidRPr="00913317">
        <w:rPr>
          <w:szCs w:val="22"/>
          <w:lang w:val="hr-HR"/>
        </w:rPr>
        <w:t>Sulfobutiletar-β-ciklodekstrin-natrijum (SBECD).</w:t>
      </w:r>
    </w:p>
    <w:p w14:paraId="574658A9" w14:textId="77777777" w:rsidR="006131C3" w:rsidRPr="00913317" w:rsidRDefault="006131C3" w:rsidP="00D72925">
      <w:pPr>
        <w:rPr>
          <w:szCs w:val="22"/>
          <w:lang w:val="hr-HR"/>
        </w:rPr>
      </w:pPr>
    </w:p>
    <w:p w14:paraId="40C43E56" w14:textId="77EBD88D" w:rsidR="006131C3" w:rsidRPr="00913317" w:rsidRDefault="00CE09F3" w:rsidP="00D72925">
      <w:pPr>
        <w:keepNext/>
        <w:rPr>
          <w:b/>
          <w:bCs/>
          <w:szCs w:val="22"/>
          <w:lang w:val="hr-HR"/>
        </w:rPr>
      </w:pPr>
      <w:r w:rsidRPr="00913317">
        <w:rPr>
          <w:b/>
          <w:bCs/>
          <w:szCs w:val="22"/>
          <w:lang w:val="hr-HR"/>
        </w:rPr>
        <w:t>6.2</w:t>
      </w:r>
      <w:r w:rsidR="006D04E3" w:rsidRPr="00913317">
        <w:rPr>
          <w:b/>
          <w:bCs/>
          <w:szCs w:val="22"/>
          <w:lang w:val="hr-HR"/>
        </w:rPr>
        <w:t>.</w:t>
      </w:r>
      <w:r w:rsidR="006D04E3" w:rsidRPr="00913317">
        <w:rPr>
          <w:b/>
          <w:bCs/>
          <w:szCs w:val="22"/>
          <w:lang w:val="hr-HR"/>
        </w:rPr>
        <w:tab/>
      </w:r>
      <w:r w:rsidRPr="00913317">
        <w:rPr>
          <w:b/>
          <w:bCs/>
          <w:szCs w:val="22"/>
          <w:lang w:val="hr-HR"/>
        </w:rPr>
        <w:t>Inkompatibilnost</w:t>
      </w:r>
      <w:r w:rsidR="00096DB7" w:rsidRPr="00913317">
        <w:rPr>
          <w:b/>
          <w:bCs/>
          <w:szCs w:val="22"/>
          <w:lang w:val="hr-HR"/>
        </w:rPr>
        <w:t>i</w:t>
      </w:r>
    </w:p>
    <w:p w14:paraId="2DDF80B3" w14:textId="77777777" w:rsidR="00A71908" w:rsidRPr="00913317" w:rsidRDefault="00A71908" w:rsidP="00D72925">
      <w:pPr>
        <w:keepNext/>
        <w:rPr>
          <w:b/>
          <w:bCs/>
          <w:szCs w:val="22"/>
          <w:lang w:val="hr-HR"/>
        </w:rPr>
      </w:pPr>
    </w:p>
    <w:p w14:paraId="43983525" w14:textId="0F487FFD" w:rsidR="006131C3" w:rsidRPr="00913317" w:rsidRDefault="003256B9" w:rsidP="00D72925">
      <w:pPr>
        <w:rPr>
          <w:szCs w:val="22"/>
          <w:lang w:val="hr-HR"/>
        </w:rPr>
      </w:pPr>
      <w:r w:rsidRPr="00913317">
        <w:rPr>
          <w:szCs w:val="22"/>
          <w:lang w:val="hr-HR"/>
        </w:rPr>
        <w:t xml:space="preserve">Infuzija </w:t>
      </w:r>
      <w:r w:rsidR="004D45E7" w:rsidRPr="00913317">
        <w:rPr>
          <w:szCs w:val="22"/>
          <w:lang w:val="hr-HR"/>
        </w:rPr>
        <w:t>lijek</w:t>
      </w:r>
      <w:r w:rsidRPr="00913317">
        <w:rPr>
          <w:szCs w:val="22"/>
          <w:lang w:val="hr-HR"/>
        </w:rPr>
        <w:t>a Vfend ne sm</w:t>
      </w:r>
      <w:r w:rsidR="007A2550" w:rsidRPr="00913317">
        <w:rPr>
          <w:szCs w:val="22"/>
          <w:lang w:val="hr-HR"/>
        </w:rPr>
        <w:t>ij</w:t>
      </w:r>
      <w:r w:rsidRPr="00913317">
        <w:rPr>
          <w:szCs w:val="22"/>
          <w:lang w:val="hr-HR"/>
        </w:rPr>
        <w:t>e da se daje preko iste linije ili kanile zajedno sa drugim intravenskim preparatima. Potrebno je prov</w:t>
      </w:r>
      <w:r w:rsidR="006C3F92" w:rsidRPr="00913317">
        <w:rPr>
          <w:szCs w:val="22"/>
          <w:lang w:val="hr-HR"/>
        </w:rPr>
        <w:t>j</w:t>
      </w:r>
      <w:r w:rsidRPr="00913317">
        <w:rPr>
          <w:szCs w:val="22"/>
          <w:lang w:val="hr-HR"/>
        </w:rPr>
        <w:t xml:space="preserve">eriti </w:t>
      </w:r>
      <w:r w:rsidR="002A45A4" w:rsidRPr="00913317">
        <w:rPr>
          <w:szCs w:val="22"/>
          <w:lang w:val="hr-HR"/>
        </w:rPr>
        <w:t>infuzionu kesu</w:t>
      </w:r>
      <w:r w:rsidRPr="00913317">
        <w:rPr>
          <w:szCs w:val="22"/>
          <w:lang w:val="hr-HR"/>
        </w:rPr>
        <w:t xml:space="preserve"> kako bi bili sigurni da je infuzija završena. Kada se infuzija </w:t>
      </w:r>
      <w:r w:rsidR="004D45E7" w:rsidRPr="00913317">
        <w:rPr>
          <w:szCs w:val="22"/>
          <w:lang w:val="hr-HR"/>
        </w:rPr>
        <w:t>lijek</w:t>
      </w:r>
      <w:r w:rsidRPr="00913317">
        <w:rPr>
          <w:szCs w:val="22"/>
          <w:lang w:val="hr-HR"/>
        </w:rPr>
        <w:t xml:space="preserve">a Vfend završi, ta linija može da se koristi za </w:t>
      </w:r>
      <w:r w:rsidR="004D45E7" w:rsidRPr="00913317">
        <w:rPr>
          <w:szCs w:val="22"/>
          <w:lang w:val="hr-HR"/>
        </w:rPr>
        <w:t>primjen</w:t>
      </w:r>
      <w:r w:rsidRPr="00913317">
        <w:rPr>
          <w:szCs w:val="22"/>
          <w:lang w:val="hr-HR"/>
        </w:rPr>
        <w:t>u drugih intravenskih preparata.</w:t>
      </w:r>
    </w:p>
    <w:p w14:paraId="413BA65B" w14:textId="77777777" w:rsidR="006131C3" w:rsidRPr="00913317" w:rsidRDefault="006131C3" w:rsidP="00D72925">
      <w:pPr>
        <w:rPr>
          <w:color w:val="FF0000"/>
          <w:szCs w:val="22"/>
          <w:u w:val="single"/>
          <w:lang w:val="hr-HR"/>
        </w:rPr>
      </w:pPr>
    </w:p>
    <w:p w14:paraId="2869C9B3" w14:textId="35825E1B" w:rsidR="006131C3" w:rsidRPr="00913317" w:rsidRDefault="003256B9" w:rsidP="00D72925">
      <w:pPr>
        <w:rPr>
          <w:szCs w:val="22"/>
          <w:u w:val="single"/>
          <w:lang w:val="hr-HR"/>
        </w:rPr>
      </w:pPr>
      <w:r w:rsidRPr="00913317">
        <w:rPr>
          <w:szCs w:val="22"/>
          <w:u w:val="single"/>
          <w:lang w:val="hr-HR"/>
        </w:rPr>
        <w:t xml:space="preserve">Produkti krvi i </w:t>
      </w:r>
      <w:r w:rsidR="005B6D30" w:rsidRPr="00913317">
        <w:rPr>
          <w:szCs w:val="22"/>
          <w:u w:val="single"/>
          <w:lang w:val="hr-HR"/>
        </w:rPr>
        <w:t xml:space="preserve">kratkotrajna </w:t>
      </w:r>
      <w:r w:rsidR="00BA4BF2" w:rsidRPr="00913317">
        <w:rPr>
          <w:szCs w:val="22"/>
          <w:u w:val="single"/>
          <w:lang w:val="hr-HR"/>
        </w:rPr>
        <w:t>infuzija koncentrovanih rastvora e</w:t>
      </w:r>
      <w:r w:rsidR="006C3F92" w:rsidRPr="00913317">
        <w:rPr>
          <w:szCs w:val="22"/>
          <w:u w:val="single"/>
          <w:lang w:val="hr-HR"/>
        </w:rPr>
        <w:t>l</w:t>
      </w:r>
      <w:r w:rsidR="004D45E7" w:rsidRPr="00913317">
        <w:rPr>
          <w:szCs w:val="22"/>
          <w:u w:val="single"/>
          <w:lang w:val="hr-HR"/>
        </w:rPr>
        <w:t>ek</w:t>
      </w:r>
      <w:r w:rsidR="00BA4BF2" w:rsidRPr="00913317">
        <w:rPr>
          <w:szCs w:val="22"/>
          <w:u w:val="single"/>
          <w:lang w:val="hr-HR"/>
        </w:rPr>
        <w:t>trolita</w:t>
      </w:r>
      <w:r w:rsidR="00097DA6" w:rsidRPr="00913317">
        <w:rPr>
          <w:szCs w:val="22"/>
          <w:u w:val="single"/>
          <w:lang w:val="hr-HR"/>
        </w:rPr>
        <w:t xml:space="preserve">:  </w:t>
      </w:r>
    </w:p>
    <w:p w14:paraId="7D6BAD4B" w14:textId="56FD9620" w:rsidR="006131C3" w:rsidRPr="00913317" w:rsidRDefault="003256B9" w:rsidP="00D72925">
      <w:pPr>
        <w:rPr>
          <w:szCs w:val="22"/>
          <w:lang w:val="hr-HR"/>
        </w:rPr>
      </w:pPr>
      <w:r w:rsidRPr="00913317">
        <w:rPr>
          <w:szCs w:val="22"/>
          <w:lang w:val="hr-HR"/>
        </w:rPr>
        <w:t>Poremećaje e</w:t>
      </w:r>
      <w:r w:rsidR="006C3F92" w:rsidRPr="00913317">
        <w:rPr>
          <w:szCs w:val="22"/>
          <w:lang w:val="hr-HR"/>
        </w:rPr>
        <w:t>l</w:t>
      </w:r>
      <w:r w:rsidR="004D45E7" w:rsidRPr="00913317">
        <w:rPr>
          <w:szCs w:val="22"/>
          <w:lang w:val="hr-HR"/>
        </w:rPr>
        <w:t>ek</w:t>
      </w:r>
      <w:r w:rsidRPr="00913317">
        <w:rPr>
          <w:szCs w:val="22"/>
          <w:lang w:val="hr-HR"/>
        </w:rPr>
        <w:t>trolita kao što su hipokalemija, hipomagnezemija i hipokalcemija treba korigovati pr</w:t>
      </w:r>
      <w:r w:rsidR="006C3F92" w:rsidRPr="00913317">
        <w:rPr>
          <w:szCs w:val="22"/>
          <w:lang w:val="hr-HR"/>
        </w:rPr>
        <w:t>ij</w:t>
      </w:r>
      <w:r w:rsidRPr="00913317">
        <w:rPr>
          <w:szCs w:val="22"/>
          <w:lang w:val="hr-HR"/>
        </w:rPr>
        <w:t>e početka terapije vorikonazolom (</w:t>
      </w:r>
      <w:r w:rsidR="004D45E7" w:rsidRPr="00913317">
        <w:rPr>
          <w:szCs w:val="22"/>
          <w:lang w:val="hr-HR"/>
        </w:rPr>
        <w:t xml:space="preserve">vidjeti </w:t>
      </w:r>
      <w:r w:rsidR="00954637" w:rsidRPr="00913317">
        <w:rPr>
          <w:szCs w:val="22"/>
          <w:lang w:val="hr-HR"/>
        </w:rPr>
        <w:t xml:space="preserve">djelove </w:t>
      </w:r>
      <w:r w:rsidRPr="00913317">
        <w:rPr>
          <w:szCs w:val="22"/>
          <w:lang w:val="hr-HR"/>
        </w:rPr>
        <w:t xml:space="preserve"> 4.2 i 4.4). </w:t>
      </w:r>
      <w:r w:rsidR="004D45E7" w:rsidRPr="00913317">
        <w:rPr>
          <w:szCs w:val="22"/>
          <w:lang w:val="hr-HR"/>
        </w:rPr>
        <w:t>Lijek</w:t>
      </w:r>
      <w:r w:rsidRPr="00913317">
        <w:rPr>
          <w:szCs w:val="22"/>
          <w:lang w:val="hr-HR"/>
        </w:rPr>
        <w:t xml:space="preserve"> Vfend ne sm</w:t>
      </w:r>
      <w:r w:rsidR="007A2550" w:rsidRPr="00913317">
        <w:rPr>
          <w:szCs w:val="22"/>
          <w:lang w:val="hr-HR"/>
        </w:rPr>
        <w:t>ij</w:t>
      </w:r>
      <w:r w:rsidRPr="00913317">
        <w:rPr>
          <w:szCs w:val="22"/>
          <w:lang w:val="hr-HR"/>
        </w:rPr>
        <w:t xml:space="preserve">e da se </w:t>
      </w:r>
      <w:r w:rsidR="004D45E7" w:rsidRPr="00913317">
        <w:rPr>
          <w:szCs w:val="22"/>
          <w:lang w:val="hr-HR"/>
        </w:rPr>
        <w:t>primjen</w:t>
      </w:r>
      <w:r w:rsidRPr="00913317">
        <w:rPr>
          <w:szCs w:val="22"/>
          <w:lang w:val="hr-HR"/>
        </w:rPr>
        <w:t>juje istovremeno sa bilo kojim produktom krvi ili bilo kojom kratkotrajnom infuzijom rastvora za nadoknadu e</w:t>
      </w:r>
      <w:r w:rsidR="006C3F92" w:rsidRPr="00913317">
        <w:rPr>
          <w:szCs w:val="22"/>
          <w:lang w:val="hr-HR"/>
        </w:rPr>
        <w:t>l</w:t>
      </w:r>
      <w:r w:rsidR="004D45E7" w:rsidRPr="00913317">
        <w:rPr>
          <w:szCs w:val="22"/>
          <w:lang w:val="hr-HR"/>
        </w:rPr>
        <w:t>ek</w:t>
      </w:r>
      <w:r w:rsidRPr="00913317">
        <w:rPr>
          <w:szCs w:val="22"/>
          <w:lang w:val="hr-HR"/>
        </w:rPr>
        <w:t>trolita, čak iako dv</w:t>
      </w:r>
      <w:r w:rsidR="006C3F92" w:rsidRPr="00913317">
        <w:rPr>
          <w:szCs w:val="22"/>
          <w:lang w:val="hr-HR"/>
        </w:rPr>
        <w:t>ij</w:t>
      </w:r>
      <w:r w:rsidRPr="00913317">
        <w:rPr>
          <w:szCs w:val="22"/>
          <w:lang w:val="hr-HR"/>
        </w:rPr>
        <w:t>e infuzije idu preko</w:t>
      </w:r>
      <w:r w:rsidR="00097DA6" w:rsidRPr="00913317">
        <w:rPr>
          <w:szCs w:val="22"/>
          <w:lang w:val="hr-HR"/>
        </w:rPr>
        <w:t xml:space="preserve"> odvojenih linija.</w:t>
      </w:r>
    </w:p>
    <w:p w14:paraId="26E40B36" w14:textId="77777777" w:rsidR="006131C3" w:rsidRPr="00913317" w:rsidRDefault="006131C3" w:rsidP="00D72925">
      <w:pPr>
        <w:rPr>
          <w:szCs w:val="22"/>
          <w:lang w:val="hr-HR"/>
        </w:rPr>
      </w:pPr>
    </w:p>
    <w:p w14:paraId="158EDEED" w14:textId="77777777" w:rsidR="006131C3" w:rsidRPr="00913317" w:rsidRDefault="00097DA6" w:rsidP="00D72925">
      <w:pPr>
        <w:rPr>
          <w:szCs w:val="22"/>
          <w:u w:val="single"/>
          <w:lang w:val="hr-HR"/>
        </w:rPr>
      </w:pPr>
      <w:r w:rsidRPr="00913317">
        <w:rPr>
          <w:szCs w:val="22"/>
          <w:u w:val="single"/>
          <w:lang w:val="hr-HR"/>
        </w:rPr>
        <w:t xml:space="preserve">Totalna parenteralna ishrana </w:t>
      </w:r>
    </w:p>
    <w:p w14:paraId="250AE871" w14:textId="5060C94C" w:rsidR="006131C3" w:rsidRPr="00913317" w:rsidRDefault="00097DA6" w:rsidP="00D72925">
      <w:pPr>
        <w:rPr>
          <w:szCs w:val="22"/>
          <w:lang w:val="hr-HR"/>
        </w:rPr>
      </w:pPr>
      <w:r w:rsidRPr="00913317">
        <w:rPr>
          <w:szCs w:val="22"/>
          <w:lang w:val="hr-HR"/>
        </w:rPr>
        <w:t xml:space="preserve">Totalna parenteralna ishrana (TPI) ne treba da se prekida kada se propiše </w:t>
      </w:r>
      <w:r w:rsidR="004D45E7" w:rsidRPr="00913317">
        <w:rPr>
          <w:szCs w:val="22"/>
          <w:lang w:val="hr-HR"/>
        </w:rPr>
        <w:t>lijek</w:t>
      </w:r>
      <w:r w:rsidR="009E7668" w:rsidRPr="00913317">
        <w:rPr>
          <w:szCs w:val="22"/>
          <w:lang w:val="hr-HR"/>
        </w:rPr>
        <w:t xml:space="preserve"> </w:t>
      </w:r>
      <w:r w:rsidRPr="00913317">
        <w:rPr>
          <w:szCs w:val="22"/>
          <w:lang w:val="hr-HR"/>
        </w:rPr>
        <w:t xml:space="preserve">Vfend, ali je potrebno da se za njenu infuziju koristi odvojena linija. Ako se </w:t>
      </w:r>
      <w:r w:rsidR="004D45E7" w:rsidRPr="00913317">
        <w:rPr>
          <w:szCs w:val="22"/>
          <w:lang w:val="hr-HR"/>
        </w:rPr>
        <w:t>primjen</w:t>
      </w:r>
      <w:r w:rsidRPr="00913317">
        <w:rPr>
          <w:szCs w:val="22"/>
          <w:lang w:val="hr-HR"/>
        </w:rPr>
        <w:t xml:space="preserve">juje kroz kateter sa višestrukim lumenom, za </w:t>
      </w:r>
      <w:r w:rsidR="004D45E7" w:rsidRPr="00913317">
        <w:rPr>
          <w:szCs w:val="22"/>
          <w:lang w:val="hr-HR"/>
        </w:rPr>
        <w:t>primjen</w:t>
      </w:r>
      <w:r w:rsidRPr="00913317">
        <w:rPr>
          <w:szCs w:val="22"/>
          <w:lang w:val="hr-HR"/>
        </w:rPr>
        <w:t xml:space="preserve">u TPI treba da se koristi </w:t>
      </w:r>
      <w:r w:rsidR="007D6823" w:rsidRPr="00913317">
        <w:rPr>
          <w:szCs w:val="22"/>
          <w:lang w:val="hr-HR"/>
        </w:rPr>
        <w:t>različit</w:t>
      </w:r>
      <w:r w:rsidRPr="00913317">
        <w:rPr>
          <w:szCs w:val="22"/>
          <w:lang w:val="hr-HR"/>
        </w:rPr>
        <w:t xml:space="preserve"> </w:t>
      </w:r>
      <w:r w:rsidR="007D6823" w:rsidRPr="00913317">
        <w:rPr>
          <w:szCs w:val="22"/>
          <w:lang w:val="hr-HR"/>
        </w:rPr>
        <w:t>port</w:t>
      </w:r>
      <w:r w:rsidRPr="00913317">
        <w:rPr>
          <w:szCs w:val="22"/>
          <w:lang w:val="hr-HR"/>
        </w:rPr>
        <w:t xml:space="preserve"> od onog koji se koristi za </w:t>
      </w:r>
      <w:r w:rsidR="004D45E7" w:rsidRPr="00913317">
        <w:rPr>
          <w:szCs w:val="22"/>
          <w:lang w:val="hr-HR"/>
        </w:rPr>
        <w:t>lijek</w:t>
      </w:r>
      <w:r w:rsidR="009E7668" w:rsidRPr="00913317">
        <w:rPr>
          <w:szCs w:val="22"/>
          <w:lang w:val="hr-HR"/>
        </w:rPr>
        <w:t xml:space="preserve"> </w:t>
      </w:r>
      <w:r w:rsidRPr="00913317">
        <w:rPr>
          <w:szCs w:val="22"/>
          <w:lang w:val="hr-HR"/>
        </w:rPr>
        <w:t xml:space="preserve">Vfend. </w:t>
      </w:r>
      <w:r w:rsidR="004D45E7" w:rsidRPr="00913317">
        <w:rPr>
          <w:szCs w:val="22"/>
          <w:lang w:val="hr-HR"/>
        </w:rPr>
        <w:t>Lijek</w:t>
      </w:r>
      <w:r w:rsidR="009E7668" w:rsidRPr="00913317">
        <w:rPr>
          <w:szCs w:val="22"/>
          <w:lang w:val="hr-HR"/>
        </w:rPr>
        <w:t xml:space="preserve"> </w:t>
      </w:r>
      <w:r w:rsidRPr="00913317">
        <w:rPr>
          <w:szCs w:val="22"/>
          <w:lang w:val="hr-HR"/>
        </w:rPr>
        <w:t>Vfend ne sm</w:t>
      </w:r>
      <w:r w:rsidR="007A2550" w:rsidRPr="00913317">
        <w:rPr>
          <w:szCs w:val="22"/>
          <w:lang w:val="hr-HR"/>
        </w:rPr>
        <w:t>ij</w:t>
      </w:r>
      <w:r w:rsidRPr="00913317">
        <w:rPr>
          <w:szCs w:val="22"/>
          <w:lang w:val="hr-HR"/>
        </w:rPr>
        <w:t>e da se razblažuje sa infuzijom</w:t>
      </w:r>
      <w:r w:rsidR="006C3F92" w:rsidRPr="00913317">
        <w:rPr>
          <w:szCs w:val="22"/>
          <w:lang w:val="hr-HR"/>
        </w:rPr>
        <w:t xml:space="preserve"> 4,2% natrijum </w:t>
      </w:r>
      <w:r w:rsidRPr="00913317">
        <w:rPr>
          <w:szCs w:val="22"/>
          <w:lang w:val="hr-HR"/>
        </w:rPr>
        <w:t>bikarbonata. Kompatibilnost sa drugim koncentracijama je nepoznata.</w:t>
      </w:r>
    </w:p>
    <w:p w14:paraId="2E83EF53" w14:textId="77777777" w:rsidR="006131C3" w:rsidRPr="00913317" w:rsidRDefault="006131C3" w:rsidP="00D72925">
      <w:pPr>
        <w:rPr>
          <w:szCs w:val="22"/>
          <w:lang w:val="hr-HR"/>
        </w:rPr>
      </w:pPr>
    </w:p>
    <w:p w14:paraId="16810671" w14:textId="5A5ED7F4" w:rsidR="005E2385" w:rsidRPr="00913317" w:rsidRDefault="005E2385" w:rsidP="00D72925">
      <w:pPr>
        <w:pStyle w:val="Default"/>
        <w:jc w:val="both"/>
        <w:rPr>
          <w:color w:val="auto"/>
          <w:sz w:val="22"/>
          <w:szCs w:val="22"/>
          <w:lang w:val="hr-HR"/>
        </w:rPr>
      </w:pPr>
      <w:r w:rsidRPr="00913317">
        <w:rPr>
          <w:color w:val="auto"/>
          <w:sz w:val="22"/>
          <w:szCs w:val="22"/>
          <w:lang w:val="hr-HR"/>
        </w:rPr>
        <w:t xml:space="preserve">Ovaj </w:t>
      </w:r>
      <w:r w:rsidR="004D45E7" w:rsidRPr="00913317">
        <w:rPr>
          <w:color w:val="auto"/>
          <w:sz w:val="22"/>
          <w:szCs w:val="22"/>
          <w:lang w:val="hr-HR"/>
        </w:rPr>
        <w:t>lijek</w:t>
      </w:r>
      <w:r w:rsidRPr="00913317">
        <w:rPr>
          <w:color w:val="auto"/>
          <w:sz w:val="22"/>
          <w:szCs w:val="22"/>
          <w:lang w:val="hr-HR"/>
        </w:rPr>
        <w:t xml:space="preserve"> se ne sm</w:t>
      </w:r>
      <w:r w:rsidR="007A2550" w:rsidRPr="00913317">
        <w:rPr>
          <w:color w:val="auto"/>
          <w:sz w:val="22"/>
          <w:szCs w:val="22"/>
          <w:lang w:val="hr-HR"/>
        </w:rPr>
        <w:t>ij</w:t>
      </w:r>
      <w:r w:rsidRPr="00913317">
        <w:rPr>
          <w:color w:val="auto"/>
          <w:sz w:val="22"/>
          <w:szCs w:val="22"/>
          <w:lang w:val="hr-HR"/>
        </w:rPr>
        <w:t>e m</w:t>
      </w:r>
      <w:r w:rsidR="007A2550" w:rsidRPr="00913317">
        <w:rPr>
          <w:color w:val="auto"/>
          <w:sz w:val="22"/>
          <w:szCs w:val="22"/>
          <w:lang w:val="hr-HR"/>
        </w:rPr>
        <w:t>ij</w:t>
      </w:r>
      <w:r w:rsidRPr="00913317">
        <w:rPr>
          <w:color w:val="auto"/>
          <w:sz w:val="22"/>
          <w:szCs w:val="22"/>
          <w:lang w:val="hr-HR"/>
        </w:rPr>
        <w:t xml:space="preserve">ešati sa drugim </w:t>
      </w:r>
      <w:r w:rsidR="004D45E7" w:rsidRPr="00913317">
        <w:rPr>
          <w:color w:val="auto"/>
          <w:sz w:val="22"/>
          <w:szCs w:val="22"/>
          <w:lang w:val="hr-HR"/>
        </w:rPr>
        <w:t>ljekov</w:t>
      </w:r>
      <w:r w:rsidRPr="00913317">
        <w:rPr>
          <w:color w:val="auto"/>
          <w:sz w:val="22"/>
          <w:szCs w:val="22"/>
          <w:lang w:val="hr-HR"/>
        </w:rPr>
        <w:t xml:space="preserve">ima, osim sa onima koji su navedeni u </w:t>
      </w:r>
      <w:r w:rsidR="002F110A" w:rsidRPr="00913317">
        <w:rPr>
          <w:color w:val="auto"/>
          <w:sz w:val="22"/>
          <w:szCs w:val="22"/>
          <w:lang w:val="hr-HR"/>
        </w:rPr>
        <w:t xml:space="preserve">dijelu </w:t>
      </w:r>
      <w:r w:rsidRPr="00913317">
        <w:rPr>
          <w:color w:val="auto"/>
          <w:sz w:val="22"/>
          <w:szCs w:val="22"/>
          <w:lang w:val="hr-HR"/>
        </w:rPr>
        <w:t>6.6.</w:t>
      </w:r>
    </w:p>
    <w:p w14:paraId="6EE0D4DF" w14:textId="77777777" w:rsidR="006131C3" w:rsidRPr="00913317" w:rsidRDefault="006131C3" w:rsidP="00D72925">
      <w:pPr>
        <w:rPr>
          <w:color w:val="FF0000"/>
          <w:szCs w:val="22"/>
          <w:lang w:val="hr-HR"/>
        </w:rPr>
      </w:pPr>
    </w:p>
    <w:p w14:paraId="42535537" w14:textId="5975367F" w:rsidR="006131C3" w:rsidRPr="00913317" w:rsidRDefault="00CE09F3" w:rsidP="00D72925">
      <w:pPr>
        <w:rPr>
          <w:b/>
          <w:bCs/>
          <w:szCs w:val="22"/>
          <w:lang w:val="hr-HR"/>
        </w:rPr>
      </w:pPr>
      <w:r w:rsidRPr="00913317">
        <w:rPr>
          <w:b/>
          <w:bCs/>
          <w:szCs w:val="22"/>
          <w:lang w:val="hr-HR"/>
        </w:rPr>
        <w:t>6.3</w:t>
      </w:r>
      <w:r w:rsidR="006D04E3" w:rsidRPr="00913317">
        <w:rPr>
          <w:b/>
          <w:bCs/>
          <w:szCs w:val="22"/>
          <w:lang w:val="hr-HR"/>
        </w:rPr>
        <w:t>.</w:t>
      </w:r>
      <w:r w:rsidR="006D04E3" w:rsidRPr="00913317">
        <w:rPr>
          <w:b/>
          <w:bCs/>
          <w:szCs w:val="22"/>
          <w:lang w:val="hr-HR"/>
        </w:rPr>
        <w:tab/>
      </w:r>
      <w:r w:rsidRPr="00913317">
        <w:rPr>
          <w:b/>
          <w:bCs/>
          <w:szCs w:val="22"/>
          <w:lang w:val="hr-HR"/>
        </w:rPr>
        <w:t>Rok upotrebe</w:t>
      </w:r>
    </w:p>
    <w:p w14:paraId="11F8EF88" w14:textId="77777777" w:rsidR="006131C3" w:rsidRPr="00913317" w:rsidRDefault="006131C3" w:rsidP="00D72925">
      <w:pPr>
        <w:rPr>
          <w:color w:val="FF0000"/>
          <w:szCs w:val="22"/>
          <w:lang w:val="hr-HR"/>
        </w:rPr>
      </w:pPr>
    </w:p>
    <w:p w14:paraId="1609F200" w14:textId="763F1CC8" w:rsidR="006131C3" w:rsidRPr="00913317" w:rsidRDefault="00C106A8" w:rsidP="00D72925">
      <w:pPr>
        <w:rPr>
          <w:szCs w:val="22"/>
          <w:lang w:val="hr-HR"/>
        </w:rPr>
      </w:pPr>
      <w:r w:rsidRPr="00913317">
        <w:rPr>
          <w:szCs w:val="22"/>
          <w:lang w:val="hr-HR"/>
        </w:rPr>
        <w:t>T</w:t>
      </w:r>
      <w:r w:rsidR="00097DA6" w:rsidRPr="00913317">
        <w:rPr>
          <w:szCs w:val="22"/>
          <w:lang w:val="hr-HR"/>
        </w:rPr>
        <w:t xml:space="preserve">ri (3) godine. </w:t>
      </w:r>
    </w:p>
    <w:p w14:paraId="1695A951" w14:textId="4BD89809" w:rsidR="006131C3" w:rsidRPr="00913317" w:rsidRDefault="005D38B0" w:rsidP="00D72925">
      <w:pPr>
        <w:pStyle w:val="Header"/>
        <w:tabs>
          <w:tab w:val="clear" w:pos="4536"/>
          <w:tab w:val="clear" w:pos="9072"/>
          <w:tab w:val="left" w:pos="284"/>
        </w:tabs>
        <w:rPr>
          <w:szCs w:val="22"/>
          <w:lang w:val="hr-HR"/>
        </w:rPr>
      </w:pPr>
      <w:r w:rsidRPr="00913317">
        <w:rPr>
          <w:szCs w:val="22"/>
          <w:lang w:val="hr-HR"/>
        </w:rPr>
        <w:t>Rok upotrebe nakon rekonstitucije:</w:t>
      </w:r>
      <w:r w:rsidR="00097DA6" w:rsidRPr="00913317">
        <w:rPr>
          <w:szCs w:val="22"/>
          <w:lang w:val="hr-HR"/>
        </w:rPr>
        <w:t xml:space="preserve"> koncentrovani rastvor pripre</w:t>
      </w:r>
      <w:r w:rsidR="006C3F92" w:rsidRPr="00913317">
        <w:rPr>
          <w:szCs w:val="22"/>
          <w:lang w:val="hr-HR"/>
        </w:rPr>
        <w:t>ml</w:t>
      </w:r>
      <w:r w:rsidR="00097DA6" w:rsidRPr="00913317">
        <w:rPr>
          <w:szCs w:val="22"/>
          <w:lang w:val="hr-HR"/>
        </w:rPr>
        <w:t>jen pre</w:t>
      </w:r>
      <w:r w:rsidR="006C3F92" w:rsidRPr="00913317">
        <w:rPr>
          <w:szCs w:val="22"/>
          <w:lang w:val="hr-HR"/>
        </w:rPr>
        <w:t>ma uputstvu (10 mg/ml</w:t>
      </w:r>
      <w:r w:rsidR="00097DA6" w:rsidRPr="00913317">
        <w:rPr>
          <w:szCs w:val="22"/>
          <w:lang w:val="hr-HR"/>
        </w:rPr>
        <w:t>)</w:t>
      </w:r>
      <w:r w:rsidRPr="00913317">
        <w:rPr>
          <w:szCs w:val="22"/>
          <w:lang w:val="hr-HR"/>
        </w:rPr>
        <w:t>,</w:t>
      </w:r>
      <w:r w:rsidR="00097DA6" w:rsidRPr="00913317">
        <w:rPr>
          <w:szCs w:val="22"/>
          <w:lang w:val="hr-HR"/>
        </w:rPr>
        <w:t xml:space="preserve"> hemijski i fizički </w:t>
      </w:r>
      <w:r w:rsidR="002F110A" w:rsidRPr="00913317">
        <w:rPr>
          <w:szCs w:val="22"/>
          <w:lang w:val="hr-HR"/>
        </w:rPr>
        <w:t xml:space="preserve">je </w:t>
      </w:r>
      <w:r w:rsidR="00097DA6" w:rsidRPr="00913317">
        <w:rPr>
          <w:szCs w:val="22"/>
          <w:lang w:val="hr-HR"/>
        </w:rPr>
        <w:t xml:space="preserve">stabilan 24 sata u frižideru (na temperaturi </w:t>
      </w:r>
      <w:r w:rsidR="002F110A" w:rsidRPr="00913317">
        <w:rPr>
          <w:szCs w:val="22"/>
          <w:lang w:val="hr-HR"/>
        </w:rPr>
        <w:t xml:space="preserve">od </w:t>
      </w:r>
      <w:r w:rsidR="00097DA6" w:rsidRPr="00913317">
        <w:rPr>
          <w:szCs w:val="22"/>
          <w:lang w:val="hr-HR"/>
        </w:rPr>
        <w:t>2ºC do 8ºC).</w:t>
      </w:r>
    </w:p>
    <w:p w14:paraId="068D4E90" w14:textId="6A014C99" w:rsidR="006131C3" w:rsidRPr="00913317" w:rsidRDefault="004D45E7" w:rsidP="00D72925">
      <w:pPr>
        <w:pStyle w:val="Header"/>
        <w:tabs>
          <w:tab w:val="clear" w:pos="4536"/>
          <w:tab w:val="clear" w:pos="9072"/>
          <w:tab w:val="left" w:pos="284"/>
        </w:tabs>
        <w:rPr>
          <w:szCs w:val="22"/>
          <w:lang w:val="hr-HR"/>
        </w:rPr>
      </w:pPr>
      <w:r w:rsidRPr="00913317">
        <w:rPr>
          <w:szCs w:val="22"/>
          <w:lang w:val="hr-HR"/>
        </w:rPr>
        <w:t>Lijek</w:t>
      </w:r>
      <w:r w:rsidR="00DC09AA" w:rsidRPr="00913317">
        <w:rPr>
          <w:szCs w:val="22"/>
          <w:lang w:val="hr-HR"/>
        </w:rPr>
        <w:t xml:space="preserve"> </w:t>
      </w:r>
      <w:r w:rsidR="00097DA6" w:rsidRPr="00913317">
        <w:rPr>
          <w:szCs w:val="22"/>
          <w:lang w:val="hr-HR"/>
        </w:rPr>
        <w:t>Vfend je jednodozni sterilni liofilizat bez konzervansa. Zato, sa mikrobi</w:t>
      </w:r>
      <w:r w:rsidR="005D38B0" w:rsidRPr="00913317">
        <w:rPr>
          <w:szCs w:val="22"/>
          <w:lang w:val="hr-HR"/>
        </w:rPr>
        <w:t>o</w:t>
      </w:r>
      <w:r w:rsidR="00097DA6" w:rsidRPr="00913317">
        <w:rPr>
          <w:szCs w:val="22"/>
          <w:lang w:val="hr-HR"/>
        </w:rPr>
        <w:t>loške tačke gledišta, jednom pripre</w:t>
      </w:r>
      <w:r w:rsidR="006C3F92" w:rsidRPr="00913317">
        <w:rPr>
          <w:szCs w:val="22"/>
          <w:lang w:val="hr-HR"/>
        </w:rPr>
        <w:t>ml</w:t>
      </w:r>
      <w:r w:rsidR="00097DA6" w:rsidRPr="00913317">
        <w:rPr>
          <w:szCs w:val="22"/>
          <w:lang w:val="hr-HR"/>
        </w:rPr>
        <w:t xml:space="preserve">jen, ovaj </w:t>
      </w:r>
      <w:r w:rsidRPr="00913317">
        <w:rPr>
          <w:szCs w:val="22"/>
          <w:lang w:val="hr-HR"/>
        </w:rPr>
        <w:t>lijek</w:t>
      </w:r>
      <w:r w:rsidR="00097DA6" w:rsidRPr="00913317">
        <w:rPr>
          <w:szCs w:val="22"/>
          <w:lang w:val="hr-HR"/>
        </w:rPr>
        <w:t xml:space="preserve"> mora da se iskoristi odmah. Ako se </w:t>
      </w:r>
      <w:r w:rsidRPr="00913317">
        <w:rPr>
          <w:szCs w:val="22"/>
          <w:lang w:val="hr-HR"/>
        </w:rPr>
        <w:t>lijek</w:t>
      </w:r>
      <w:r w:rsidR="00097DA6" w:rsidRPr="00913317">
        <w:rPr>
          <w:szCs w:val="22"/>
          <w:lang w:val="hr-HR"/>
        </w:rPr>
        <w:t xml:space="preserve"> ne iskoristi odmah, isključiva odgovornost korisnika su rok upotrebe </w:t>
      </w:r>
      <w:r w:rsidRPr="00913317">
        <w:rPr>
          <w:szCs w:val="22"/>
          <w:lang w:val="hr-HR"/>
        </w:rPr>
        <w:t>lijek</w:t>
      </w:r>
      <w:r w:rsidR="00097DA6" w:rsidRPr="00913317">
        <w:rPr>
          <w:szCs w:val="22"/>
          <w:lang w:val="hr-HR"/>
        </w:rPr>
        <w:t>a i uslovi koji su ostvareni pr</w:t>
      </w:r>
      <w:r w:rsidR="006C3F92" w:rsidRPr="00913317">
        <w:rPr>
          <w:szCs w:val="22"/>
          <w:lang w:val="hr-HR"/>
        </w:rPr>
        <w:t>ij</w:t>
      </w:r>
      <w:r w:rsidR="00097DA6" w:rsidRPr="00913317">
        <w:rPr>
          <w:szCs w:val="22"/>
          <w:lang w:val="hr-HR"/>
        </w:rPr>
        <w:t xml:space="preserve">e </w:t>
      </w:r>
      <w:r w:rsidRPr="00913317">
        <w:rPr>
          <w:szCs w:val="22"/>
          <w:lang w:val="hr-HR"/>
        </w:rPr>
        <w:t>primjen</w:t>
      </w:r>
      <w:r w:rsidR="00097DA6" w:rsidRPr="00913317">
        <w:rPr>
          <w:szCs w:val="22"/>
          <w:lang w:val="hr-HR"/>
        </w:rPr>
        <w:t xml:space="preserve">e </w:t>
      </w:r>
      <w:r w:rsidRPr="00913317">
        <w:rPr>
          <w:szCs w:val="22"/>
          <w:lang w:val="hr-HR"/>
        </w:rPr>
        <w:t>lijek</w:t>
      </w:r>
      <w:r w:rsidR="00097DA6" w:rsidRPr="00913317">
        <w:rPr>
          <w:szCs w:val="22"/>
          <w:lang w:val="hr-HR"/>
        </w:rPr>
        <w:t>a, a normalno ne treba da budu duži od 24 sata</w:t>
      </w:r>
      <w:r w:rsidR="00904D3C" w:rsidRPr="00913317">
        <w:rPr>
          <w:szCs w:val="22"/>
          <w:lang w:val="hr-HR"/>
        </w:rPr>
        <w:t xml:space="preserve"> u frižideru</w:t>
      </w:r>
      <w:r w:rsidR="00097DA6" w:rsidRPr="00913317">
        <w:rPr>
          <w:szCs w:val="22"/>
          <w:lang w:val="hr-HR"/>
        </w:rPr>
        <w:t>, na temperaturi od 2ºC do 8ºC, osim ako se priprema ne odvija u kontrolisanim i validiranim aseptičkim uslovima.</w:t>
      </w:r>
    </w:p>
    <w:p w14:paraId="760B9E62" w14:textId="77777777" w:rsidR="006131C3" w:rsidRPr="00913317" w:rsidRDefault="006131C3" w:rsidP="00D72925">
      <w:pPr>
        <w:rPr>
          <w:b/>
          <w:color w:val="FF0000"/>
          <w:szCs w:val="22"/>
          <w:lang w:val="hr-HR"/>
        </w:rPr>
      </w:pPr>
    </w:p>
    <w:p w14:paraId="36C81F05" w14:textId="00B87D0F" w:rsidR="006131C3" w:rsidRPr="00913317" w:rsidRDefault="00CE09F3" w:rsidP="00D72925">
      <w:pPr>
        <w:rPr>
          <w:b/>
          <w:bCs/>
          <w:szCs w:val="22"/>
          <w:lang w:val="hr-HR"/>
        </w:rPr>
      </w:pPr>
      <w:r w:rsidRPr="00913317">
        <w:rPr>
          <w:b/>
          <w:bCs/>
          <w:szCs w:val="22"/>
          <w:lang w:val="hr-HR"/>
        </w:rPr>
        <w:t>6.4</w:t>
      </w:r>
      <w:r w:rsidR="006D04E3" w:rsidRPr="00913317">
        <w:rPr>
          <w:b/>
          <w:bCs/>
          <w:szCs w:val="22"/>
          <w:lang w:val="hr-HR"/>
        </w:rPr>
        <w:t>.</w:t>
      </w:r>
      <w:r w:rsidR="006D04E3" w:rsidRPr="00913317">
        <w:rPr>
          <w:b/>
          <w:bCs/>
          <w:szCs w:val="22"/>
          <w:lang w:val="hr-HR"/>
        </w:rPr>
        <w:tab/>
      </w:r>
      <w:r w:rsidRPr="00913317">
        <w:rPr>
          <w:b/>
          <w:bCs/>
          <w:szCs w:val="22"/>
          <w:lang w:val="hr-HR"/>
        </w:rPr>
        <w:t>Posebne m</w:t>
      </w:r>
      <w:r w:rsidR="00096DB7" w:rsidRPr="00913317">
        <w:rPr>
          <w:b/>
          <w:bCs/>
          <w:szCs w:val="22"/>
          <w:lang w:val="hr-HR"/>
        </w:rPr>
        <w:t>j</w:t>
      </w:r>
      <w:r w:rsidRPr="00913317">
        <w:rPr>
          <w:b/>
          <w:bCs/>
          <w:szCs w:val="22"/>
          <w:lang w:val="hr-HR"/>
        </w:rPr>
        <w:t>ere opreza pri čuvanju</w:t>
      </w:r>
      <w:r w:rsidR="00096DB7" w:rsidRPr="00913317">
        <w:rPr>
          <w:b/>
          <w:bCs/>
          <w:szCs w:val="22"/>
          <w:lang w:val="hr-HR"/>
        </w:rPr>
        <w:t xml:space="preserve"> lijeka</w:t>
      </w:r>
    </w:p>
    <w:p w14:paraId="365AE19A" w14:textId="77777777" w:rsidR="006131C3" w:rsidRPr="00913317" w:rsidRDefault="006131C3" w:rsidP="00D72925">
      <w:pPr>
        <w:rPr>
          <w:color w:val="FF0000"/>
          <w:szCs w:val="22"/>
          <w:lang w:val="hr-HR"/>
        </w:rPr>
      </w:pPr>
    </w:p>
    <w:p w14:paraId="578DA22B" w14:textId="3D6933B0" w:rsidR="006131C3" w:rsidRPr="00913317" w:rsidRDefault="0014529D" w:rsidP="00D72925">
      <w:pPr>
        <w:rPr>
          <w:szCs w:val="22"/>
          <w:lang w:val="hr-HR"/>
        </w:rPr>
      </w:pPr>
      <w:r w:rsidRPr="00913317">
        <w:rPr>
          <w:szCs w:val="22"/>
          <w:lang w:val="hr-HR"/>
        </w:rPr>
        <w:t xml:space="preserve">Ovaj </w:t>
      </w:r>
      <w:r w:rsidR="004D45E7" w:rsidRPr="00913317">
        <w:rPr>
          <w:szCs w:val="22"/>
          <w:lang w:val="hr-HR"/>
        </w:rPr>
        <w:t>lijek</w:t>
      </w:r>
      <w:r w:rsidRPr="00913317">
        <w:rPr>
          <w:szCs w:val="22"/>
          <w:lang w:val="hr-HR"/>
        </w:rPr>
        <w:t xml:space="preserve"> ne </w:t>
      </w:r>
      <w:r w:rsidR="00D85AC5" w:rsidRPr="00913317">
        <w:rPr>
          <w:szCs w:val="22"/>
          <w:lang w:val="hr-HR"/>
        </w:rPr>
        <w:t>zahtijeva</w:t>
      </w:r>
      <w:r w:rsidRPr="00913317">
        <w:rPr>
          <w:szCs w:val="22"/>
          <w:lang w:val="hr-HR"/>
        </w:rPr>
        <w:t xml:space="preserve"> posebne uslove čuvanja.</w:t>
      </w:r>
    </w:p>
    <w:p w14:paraId="6F932190" w14:textId="2DF8786E" w:rsidR="006131C3" w:rsidRPr="00913317" w:rsidRDefault="00E22CB0" w:rsidP="00D72925">
      <w:pPr>
        <w:rPr>
          <w:szCs w:val="22"/>
          <w:lang w:val="hr-HR"/>
        </w:rPr>
      </w:pPr>
      <w:r w:rsidRPr="00913317">
        <w:rPr>
          <w:szCs w:val="22"/>
          <w:lang w:val="hr-HR"/>
        </w:rPr>
        <w:t>Za uslove čuvanja nakon</w:t>
      </w:r>
      <w:r w:rsidR="00097DA6" w:rsidRPr="00913317">
        <w:rPr>
          <w:szCs w:val="22"/>
          <w:lang w:val="hr-HR"/>
        </w:rPr>
        <w:t xml:space="preserve"> </w:t>
      </w:r>
      <w:r w:rsidRPr="00913317">
        <w:rPr>
          <w:szCs w:val="22"/>
          <w:lang w:val="hr-HR"/>
        </w:rPr>
        <w:t xml:space="preserve">rekonstitucije </w:t>
      </w:r>
      <w:r w:rsidR="004D45E7" w:rsidRPr="00913317">
        <w:rPr>
          <w:szCs w:val="22"/>
          <w:lang w:val="hr-HR"/>
        </w:rPr>
        <w:t>lijek</w:t>
      </w:r>
      <w:r w:rsidRPr="00913317">
        <w:rPr>
          <w:szCs w:val="22"/>
          <w:lang w:val="hr-HR"/>
        </w:rPr>
        <w:t xml:space="preserve">a, </w:t>
      </w:r>
      <w:r w:rsidR="004D45E7" w:rsidRPr="00913317">
        <w:rPr>
          <w:szCs w:val="22"/>
          <w:lang w:val="hr-HR"/>
        </w:rPr>
        <w:t xml:space="preserve">vidjeti </w:t>
      </w:r>
      <w:r w:rsidR="00954637" w:rsidRPr="00913317">
        <w:rPr>
          <w:szCs w:val="22"/>
          <w:lang w:val="hr-HR"/>
        </w:rPr>
        <w:t xml:space="preserve">dio </w:t>
      </w:r>
      <w:r w:rsidRPr="00913317">
        <w:rPr>
          <w:szCs w:val="22"/>
          <w:lang w:val="hr-HR"/>
        </w:rPr>
        <w:t xml:space="preserve"> 6.3.</w:t>
      </w:r>
    </w:p>
    <w:p w14:paraId="7A7B7843" w14:textId="77777777" w:rsidR="006131C3" w:rsidRPr="00913317" w:rsidRDefault="006131C3" w:rsidP="00D72925">
      <w:pPr>
        <w:rPr>
          <w:color w:val="FF0000"/>
          <w:szCs w:val="22"/>
          <w:lang w:val="hr-HR"/>
        </w:rPr>
      </w:pPr>
    </w:p>
    <w:p w14:paraId="6DC19235" w14:textId="67BF28A1" w:rsidR="006131C3" w:rsidRPr="00913317" w:rsidRDefault="0022223A" w:rsidP="00D72925">
      <w:pPr>
        <w:rPr>
          <w:b/>
          <w:bCs/>
          <w:szCs w:val="22"/>
          <w:lang w:val="hr-HR"/>
        </w:rPr>
      </w:pPr>
      <w:r w:rsidRPr="00913317">
        <w:rPr>
          <w:b/>
          <w:bCs/>
          <w:szCs w:val="22"/>
          <w:lang w:val="hr-HR"/>
        </w:rPr>
        <w:t>6.5</w:t>
      </w:r>
      <w:r w:rsidR="006D04E3" w:rsidRPr="00913317">
        <w:rPr>
          <w:b/>
          <w:bCs/>
          <w:szCs w:val="22"/>
          <w:lang w:val="hr-HR"/>
        </w:rPr>
        <w:t>.</w:t>
      </w:r>
      <w:r w:rsidR="006D04E3" w:rsidRPr="00913317">
        <w:rPr>
          <w:b/>
          <w:bCs/>
          <w:szCs w:val="22"/>
          <w:lang w:val="hr-HR"/>
        </w:rPr>
        <w:tab/>
      </w:r>
      <w:r w:rsidR="00096DB7" w:rsidRPr="00913317">
        <w:rPr>
          <w:b/>
          <w:bCs/>
          <w:szCs w:val="22"/>
          <w:lang w:val="hr-HR"/>
        </w:rPr>
        <w:t>Vrst</w:t>
      </w:r>
      <w:r w:rsidR="00CE09F3" w:rsidRPr="00913317">
        <w:rPr>
          <w:b/>
          <w:bCs/>
          <w:szCs w:val="22"/>
          <w:lang w:val="hr-HR"/>
        </w:rPr>
        <w:t>a i sadržaj pakovanja</w:t>
      </w:r>
      <w:r w:rsidR="00F42610" w:rsidRPr="00913317">
        <w:rPr>
          <w:b/>
          <w:bCs/>
          <w:szCs w:val="22"/>
          <w:lang w:val="hr-HR"/>
        </w:rPr>
        <w:t xml:space="preserve"> </w:t>
      </w:r>
    </w:p>
    <w:p w14:paraId="2B868CD2" w14:textId="77777777" w:rsidR="00A71908" w:rsidRPr="00913317" w:rsidRDefault="00A71908" w:rsidP="00D72925">
      <w:pPr>
        <w:rPr>
          <w:b/>
          <w:bCs/>
          <w:szCs w:val="22"/>
          <w:lang w:val="hr-HR"/>
        </w:rPr>
      </w:pPr>
    </w:p>
    <w:p w14:paraId="3612DC70" w14:textId="77777777" w:rsidR="006131C3" w:rsidRPr="00913317" w:rsidRDefault="00097DA6" w:rsidP="00D72925">
      <w:pPr>
        <w:rPr>
          <w:szCs w:val="22"/>
          <w:lang w:val="hr-HR"/>
        </w:rPr>
      </w:pPr>
      <w:r w:rsidRPr="00913317">
        <w:rPr>
          <w:szCs w:val="22"/>
          <w:lang w:val="hr-HR"/>
        </w:rPr>
        <w:t>Pakovanje za jednokratnu upotrebu.</w:t>
      </w:r>
    </w:p>
    <w:p w14:paraId="0C9F7ECC" w14:textId="4E933C89" w:rsidR="006131C3" w:rsidRPr="00913317" w:rsidRDefault="00097DA6" w:rsidP="00D72925">
      <w:pPr>
        <w:rPr>
          <w:szCs w:val="22"/>
          <w:lang w:val="hr-HR"/>
        </w:rPr>
      </w:pPr>
      <w:r w:rsidRPr="00913317">
        <w:rPr>
          <w:szCs w:val="22"/>
          <w:lang w:val="hr-HR"/>
        </w:rPr>
        <w:lastRenderedPageBreak/>
        <w:t>Unutrašnje pakovanje</w:t>
      </w:r>
      <w:r w:rsidR="00C56A25" w:rsidRPr="00913317">
        <w:rPr>
          <w:szCs w:val="22"/>
          <w:lang w:val="hr-HR"/>
        </w:rPr>
        <w:t xml:space="preserve"> je</w:t>
      </w:r>
      <w:r w:rsidRPr="00913317">
        <w:rPr>
          <w:szCs w:val="22"/>
          <w:lang w:val="hr-HR"/>
        </w:rPr>
        <w:t xml:space="preserve"> </w:t>
      </w:r>
      <w:r w:rsidR="00C56A25" w:rsidRPr="00913317">
        <w:rPr>
          <w:szCs w:val="22"/>
          <w:lang w:val="hr-HR"/>
        </w:rPr>
        <w:t>b</w:t>
      </w:r>
      <w:r w:rsidR="0014529D" w:rsidRPr="00913317">
        <w:rPr>
          <w:szCs w:val="22"/>
          <w:lang w:val="hr-HR"/>
        </w:rPr>
        <w:t xml:space="preserve">ezbojna, providna, staklena (tip I) </w:t>
      </w:r>
      <w:r w:rsidR="006C3F92" w:rsidRPr="00913317">
        <w:rPr>
          <w:szCs w:val="22"/>
          <w:lang w:val="hr-HR"/>
        </w:rPr>
        <w:t>bočica zapremine 30 ml</w:t>
      </w:r>
      <w:r w:rsidRPr="00913317">
        <w:rPr>
          <w:szCs w:val="22"/>
          <w:lang w:val="hr-HR"/>
        </w:rPr>
        <w:t xml:space="preserve"> sa silikonskim zatvaračem od hlorbutil-stirena sive boje, lakiranom aluminijumskom kapicom i </w:t>
      </w:r>
      <w:r w:rsidRPr="00913317">
        <w:rPr>
          <w:i/>
          <w:szCs w:val="22"/>
          <w:lang w:val="hr-HR"/>
        </w:rPr>
        <w:t>flip-off</w:t>
      </w:r>
      <w:r w:rsidRPr="00913317">
        <w:rPr>
          <w:szCs w:val="22"/>
          <w:lang w:val="hr-HR"/>
        </w:rPr>
        <w:t xml:space="preserve"> poklopcem od polipropilena.</w:t>
      </w:r>
    </w:p>
    <w:p w14:paraId="5DCFFDDF" w14:textId="29CD6A5F" w:rsidR="006131C3" w:rsidRPr="00913317" w:rsidRDefault="00097DA6" w:rsidP="00D72925">
      <w:pPr>
        <w:rPr>
          <w:szCs w:val="22"/>
          <w:lang w:val="hr-HR"/>
        </w:rPr>
      </w:pPr>
      <w:r w:rsidRPr="00913317">
        <w:rPr>
          <w:szCs w:val="22"/>
          <w:lang w:val="hr-HR"/>
        </w:rPr>
        <w:t>Spoljašnje pakovanje</w:t>
      </w:r>
      <w:r w:rsidR="00C56A25" w:rsidRPr="00913317">
        <w:rPr>
          <w:szCs w:val="22"/>
          <w:lang w:val="hr-HR"/>
        </w:rPr>
        <w:t xml:space="preserve"> je</w:t>
      </w:r>
      <w:r w:rsidRPr="00913317">
        <w:rPr>
          <w:szCs w:val="22"/>
          <w:lang w:val="hr-HR"/>
        </w:rPr>
        <w:t xml:space="preserve"> složiva kartonska kutija u kojoj se nalazi jedna bočica</w:t>
      </w:r>
      <w:r w:rsidR="00C56A25" w:rsidRPr="00913317">
        <w:rPr>
          <w:szCs w:val="22"/>
          <w:lang w:val="hr-HR"/>
        </w:rPr>
        <w:t xml:space="preserve"> </w:t>
      </w:r>
      <w:r w:rsidR="00C56A25" w:rsidRPr="00913317">
        <w:rPr>
          <w:bCs/>
          <w:iCs/>
          <w:szCs w:val="22"/>
          <w:lang w:val="hr-HR"/>
        </w:rPr>
        <w:t xml:space="preserve">sa </w:t>
      </w:r>
      <w:r w:rsidR="007D6823" w:rsidRPr="00913317">
        <w:rPr>
          <w:bCs/>
          <w:iCs/>
          <w:szCs w:val="22"/>
          <w:lang w:val="hr-HR"/>
        </w:rPr>
        <w:t>praš</w:t>
      </w:r>
      <w:r w:rsidR="00C56A25" w:rsidRPr="00913317">
        <w:rPr>
          <w:bCs/>
          <w:iCs/>
          <w:szCs w:val="22"/>
          <w:lang w:val="hr-HR"/>
        </w:rPr>
        <w:t>kom za rastvor za infuziju</w:t>
      </w:r>
      <w:r w:rsidRPr="00913317">
        <w:rPr>
          <w:szCs w:val="22"/>
          <w:lang w:val="hr-HR"/>
        </w:rPr>
        <w:t xml:space="preserve"> </w:t>
      </w:r>
      <w:r w:rsidR="0014529D" w:rsidRPr="00913317">
        <w:rPr>
          <w:szCs w:val="22"/>
          <w:lang w:val="hr-HR"/>
        </w:rPr>
        <w:t xml:space="preserve">i </w:t>
      </w:r>
      <w:r w:rsidRPr="00913317">
        <w:rPr>
          <w:szCs w:val="22"/>
          <w:lang w:val="hr-HR"/>
        </w:rPr>
        <w:t>Uputstvo</w:t>
      </w:r>
      <w:r w:rsidR="006C3F92" w:rsidRPr="00913317">
        <w:rPr>
          <w:szCs w:val="22"/>
          <w:lang w:val="hr-HR"/>
        </w:rPr>
        <w:t xml:space="preserve"> </w:t>
      </w:r>
      <w:r w:rsidRPr="00913317">
        <w:rPr>
          <w:szCs w:val="22"/>
          <w:lang w:val="hr-HR"/>
        </w:rPr>
        <w:t xml:space="preserve">za </w:t>
      </w:r>
      <w:r w:rsidR="004D45E7" w:rsidRPr="00913317">
        <w:rPr>
          <w:szCs w:val="22"/>
          <w:lang w:val="hr-HR"/>
        </w:rPr>
        <w:t>lijek</w:t>
      </w:r>
      <w:r w:rsidRPr="00913317">
        <w:rPr>
          <w:szCs w:val="22"/>
          <w:lang w:val="hr-HR"/>
        </w:rPr>
        <w:t>.</w:t>
      </w:r>
    </w:p>
    <w:p w14:paraId="0F4B42D5" w14:textId="77777777" w:rsidR="006131C3" w:rsidRPr="00913317" w:rsidRDefault="006131C3" w:rsidP="00D72925">
      <w:pPr>
        <w:rPr>
          <w:color w:val="FF0000"/>
          <w:szCs w:val="22"/>
          <w:lang w:val="hr-HR"/>
        </w:rPr>
      </w:pPr>
    </w:p>
    <w:p w14:paraId="554FB1A8" w14:textId="5DE95C9F" w:rsidR="006131C3" w:rsidRPr="00913317" w:rsidRDefault="00CE09F3" w:rsidP="00D72925">
      <w:pPr>
        <w:rPr>
          <w:b/>
          <w:bCs/>
          <w:szCs w:val="22"/>
          <w:lang w:val="hr-HR"/>
        </w:rPr>
      </w:pPr>
      <w:r w:rsidRPr="00913317">
        <w:rPr>
          <w:b/>
          <w:bCs/>
          <w:szCs w:val="22"/>
          <w:lang w:val="hr-HR"/>
        </w:rPr>
        <w:t>6.6</w:t>
      </w:r>
      <w:r w:rsidR="006D04E3" w:rsidRPr="00913317">
        <w:rPr>
          <w:b/>
          <w:bCs/>
          <w:szCs w:val="22"/>
          <w:lang w:val="hr-HR"/>
        </w:rPr>
        <w:t>.</w:t>
      </w:r>
      <w:r w:rsidR="006D04E3" w:rsidRPr="00913317">
        <w:rPr>
          <w:b/>
          <w:bCs/>
          <w:szCs w:val="22"/>
          <w:lang w:val="hr-HR"/>
        </w:rPr>
        <w:tab/>
      </w:r>
      <w:r w:rsidRPr="00913317">
        <w:rPr>
          <w:b/>
          <w:bCs/>
          <w:szCs w:val="22"/>
          <w:lang w:val="hr-HR"/>
        </w:rPr>
        <w:t>Posebne m</w:t>
      </w:r>
      <w:r w:rsidR="00096DB7" w:rsidRPr="00913317">
        <w:rPr>
          <w:b/>
          <w:bCs/>
          <w:szCs w:val="22"/>
          <w:lang w:val="hr-HR"/>
        </w:rPr>
        <w:t>j</w:t>
      </w:r>
      <w:r w:rsidRPr="00913317">
        <w:rPr>
          <w:b/>
          <w:bCs/>
          <w:szCs w:val="22"/>
          <w:lang w:val="hr-HR"/>
        </w:rPr>
        <w:t>ere opreza pri odlaganju materijala koji treba odbaciti nakon prim</w:t>
      </w:r>
      <w:r w:rsidR="00096DB7" w:rsidRPr="00913317">
        <w:rPr>
          <w:b/>
          <w:bCs/>
          <w:szCs w:val="22"/>
          <w:lang w:val="hr-HR"/>
        </w:rPr>
        <w:t>j</w:t>
      </w:r>
      <w:r w:rsidRPr="00913317">
        <w:rPr>
          <w:b/>
          <w:bCs/>
          <w:szCs w:val="22"/>
          <w:lang w:val="hr-HR"/>
        </w:rPr>
        <w:t>ene l</w:t>
      </w:r>
      <w:r w:rsidR="00096DB7" w:rsidRPr="00913317">
        <w:rPr>
          <w:b/>
          <w:bCs/>
          <w:szCs w:val="22"/>
          <w:lang w:val="hr-HR"/>
        </w:rPr>
        <w:t>ij</w:t>
      </w:r>
      <w:r w:rsidRPr="00913317">
        <w:rPr>
          <w:b/>
          <w:bCs/>
          <w:szCs w:val="22"/>
          <w:lang w:val="hr-HR"/>
        </w:rPr>
        <w:t>eka (i druga uputstva za rukovanje l</w:t>
      </w:r>
      <w:r w:rsidR="00096DB7" w:rsidRPr="00913317">
        <w:rPr>
          <w:b/>
          <w:bCs/>
          <w:szCs w:val="22"/>
          <w:lang w:val="hr-HR"/>
        </w:rPr>
        <w:t>ij</w:t>
      </w:r>
      <w:r w:rsidRPr="00913317">
        <w:rPr>
          <w:b/>
          <w:bCs/>
          <w:szCs w:val="22"/>
          <w:lang w:val="hr-HR"/>
        </w:rPr>
        <w:t>ekom)</w:t>
      </w:r>
    </w:p>
    <w:p w14:paraId="6D5F506C" w14:textId="77777777" w:rsidR="006131C3" w:rsidRPr="00913317" w:rsidRDefault="006131C3" w:rsidP="00D72925">
      <w:pPr>
        <w:rPr>
          <w:color w:val="FF0000"/>
          <w:szCs w:val="22"/>
          <w:lang w:val="hr-HR"/>
        </w:rPr>
      </w:pPr>
    </w:p>
    <w:p w14:paraId="7C9D29A1" w14:textId="5C931F5E" w:rsidR="006131C3" w:rsidRPr="00913317" w:rsidRDefault="006D04E3" w:rsidP="00D72925">
      <w:pPr>
        <w:rPr>
          <w:szCs w:val="22"/>
          <w:lang w:val="hr-HR"/>
        </w:rPr>
      </w:pPr>
      <w:r w:rsidRPr="00913317">
        <w:rPr>
          <w:szCs w:val="22"/>
          <w:lang w:val="hr-HR"/>
        </w:rPr>
        <w:t>N</w:t>
      </w:r>
      <w:r w:rsidR="005F173C" w:rsidRPr="00913317">
        <w:rPr>
          <w:szCs w:val="22"/>
          <w:lang w:val="hr-HR"/>
        </w:rPr>
        <w:t xml:space="preserve">eiskorišćenu količinu </w:t>
      </w:r>
      <w:r w:rsidR="004D45E7" w:rsidRPr="00913317">
        <w:rPr>
          <w:szCs w:val="22"/>
          <w:lang w:val="hr-HR"/>
        </w:rPr>
        <w:t>lijek</w:t>
      </w:r>
      <w:r w:rsidR="005F173C" w:rsidRPr="00913317">
        <w:rPr>
          <w:szCs w:val="22"/>
          <w:lang w:val="hr-HR"/>
        </w:rPr>
        <w:t>a ili otpadnog materijala nakon njegove upotrebe treba ukloniti, u skladu sa važećim propisima.</w:t>
      </w:r>
    </w:p>
    <w:p w14:paraId="345302FF" w14:textId="366A958D" w:rsidR="006131C3" w:rsidRPr="00913317" w:rsidRDefault="00D60107" w:rsidP="00D72925">
      <w:pPr>
        <w:rPr>
          <w:szCs w:val="22"/>
          <w:lang w:val="hr-HR"/>
        </w:rPr>
      </w:pPr>
      <w:r w:rsidRPr="00913317">
        <w:rPr>
          <w:szCs w:val="22"/>
          <w:lang w:val="hr-HR"/>
        </w:rPr>
        <w:t>Sadržaj jedne bočice (liofilizirani p</w:t>
      </w:r>
      <w:r w:rsidR="00A668E7" w:rsidRPr="00913317">
        <w:rPr>
          <w:szCs w:val="22"/>
          <w:lang w:val="hr-HR"/>
        </w:rPr>
        <w:t>rašak</w:t>
      </w:r>
      <w:r w:rsidRPr="00913317">
        <w:rPr>
          <w:szCs w:val="22"/>
          <w:lang w:val="hr-HR"/>
        </w:rPr>
        <w:t>)</w:t>
      </w:r>
      <w:r w:rsidR="006C3F92" w:rsidRPr="00913317">
        <w:rPr>
          <w:szCs w:val="22"/>
          <w:lang w:val="hr-HR"/>
        </w:rPr>
        <w:t xml:space="preserve"> se rekonstituiše sa 19 ml</w:t>
      </w:r>
      <w:r w:rsidR="00895083" w:rsidRPr="00913317">
        <w:rPr>
          <w:szCs w:val="22"/>
          <w:lang w:val="hr-HR"/>
        </w:rPr>
        <w:t xml:space="preserve"> vode za injekcije ili sa 19 </w:t>
      </w:r>
      <w:r w:rsidR="006C3F92" w:rsidRPr="00913317">
        <w:rPr>
          <w:szCs w:val="22"/>
          <w:lang w:val="hr-HR"/>
        </w:rPr>
        <w:t>ml</w:t>
      </w:r>
      <w:r w:rsidR="00895083" w:rsidRPr="00913317">
        <w:rPr>
          <w:szCs w:val="22"/>
          <w:lang w:val="hr-HR"/>
        </w:rPr>
        <w:t xml:space="preserve"> 0,9% rastvora natrijum</w:t>
      </w:r>
      <w:r w:rsidR="006C3F92" w:rsidRPr="00913317">
        <w:rPr>
          <w:szCs w:val="22"/>
          <w:lang w:val="hr-HR"/>
        </w:rPr>
        <w:t xml:space="preserve"> </w:t>
      </w:r>
      <w:r w:rsidR="00895083" w:rsidRPr="00913317">
        <w:rPr>
          <w:szCs w:val="22"/>
          <w:lang w:val="hr-HR"/>
        </w:rPr>
        <w:t xml:space="preserve">hlorida da bi se dobila ekstraktabilna zapremina od 20 </w:t>
      </w:r>
      <w:r w:rsidR="006C3F92" w:rsidRPr="00913317">
        <w:rPr>
          <w:szCs w:val="22"/>
          <w:lang w:val="hr-HR"/>
        </w:rPr>
        <w:t>ml</w:t>
      </w:r>
      <w:r w:rsidR="00637C7F" w:rsidRPr="00913317">
        <w:rPr>
          <w:szCs w:val="22"/>
          <w:lang w:val="hr-HR"/>
        </w:rPr>
        <w:t xml:space="preserve"> </w:t>
      </w:r>
      <w:r w:rsidR="00895083" w:rsidRPr="00913317">
        <w:rPr>
          <w:szCs w:val="22"/>
          <w:lang w:val="hr-HR"/>
        </w:rPr>
        <w:t>bistrog koncentrovan</w:t>
      </w:r>
      <w:r w:rsidR="006C3F92" w:rsidRPr="00913317">
        <w:rPr>
          <w:szCs w:val="22"/>
          <w:lang w:val="hr-HR"/>
        </w:rPr>
        <w:t>og rastvora koji sadrži 10 mg/ml</w:t>
      </w:r>
      <w:r w:rsidR="00895083" w:rsidRPr="00913317">
        <w:rPr>
          <w:szCs w:val="22"/>
          <w:lang w:val="hr-HR"/>
        </w:rPr>
        <w:t xml:space="preserve"> vorikonazola. Ne treba koristiti </w:t>
      </w:r>
      <w:r w:rsidR="004D45E7" w:rsidRPr="00913317">
        <w:rPr>
          <w:szCs w:val="22"/>
          <w:lang w:val="hr-HR"/>
        </w:rPr>
        <w:t>lijek</w:t>
      </w:r>
      <w:r w:rsidR="00895083" w:rsidRPr="00913317">
        <w:rPr>
          <w:szCs w:val="22"/>
          <w:lang w:val="hr-HR"/>
        </w:rPr>
        <w:t xml:space="preserve"> Vfend, ako vakuum ne dozvoljava da se rastvarač ubrizga u bočicu. Preporučuje se da se kori</w:t>
      </w:r>
      <w:r w:rsidR="006C3F92" w:rsidRPr="00913317">
        <w:rPr>
          <w:szCs w:val="22"/>
          <w:lang w:val="hr-HR"/>
        </w:rPr>
        <w:t>ste standardni špricevi od 20 ml</w:t>
      </w:r>
      <w:r w:rsidR="00895083" w:rsidRPr="00913317">
        <w:rPr>
          <w:szCs w:val="22"/>
          <w:lang w:val="hr-HR"/>
        </w:rPr>
        <w:t xml:space="preserve"> (neautomatski) da bi bili sig</w:t>
      </w:r>
      <w:r w:rsidR="006C3F92" w:rsidRPr="00913317">
        <w:rPr>
          <w:szCs w:val="22"/>
          <w:lang w:val="hr-HR"/>
        </w:rPr>
        <w:t>urni da je ubrizgano tačno 19 ml vode za injekcije ili 19 ml</w:t>
      </w:r>
      <w:r w:rsidR="00895083" w:rsidRPr="00913317">
        <w:rPr>
          <w:szCs w:val="22"/>
          <w:lang w:val="hr-HR"/>
        </w:rPr>
        <w:t xml:space="preserve"> 0,9% rastvora natrijum</w:t>
      </w:r>
      <w:r w:rsidRPr="00913317">
        <w:rPr>
          <w:szCs w:val="22"/>
          <w:lang w:val="hr-HR"/>
        </w:rPr>
        <w:t xml:space="preserve"> </w:t>
      </w:r>
      <w:r w:rsidR="00895083" w:rsidRPr="00913317">
        <w:rPr>
          <w:szCs w:val="22"/>
          <w:lang w:val="hr-HR"/>
        </w:rPr>
        <w:t xml:space="preserve">hlorida. </w:t>
      </w:r>
      <w:r w:rsidR="003256B9" w:rsidRPr="00913317">
        <w:rPr>
          <w:szCs w:val="22"/>
          <w:lang w:val="hr-HR"/>
        </w:rPr>
        <w:t xml:space="preserve">Ovaj </w:t>
      </w:r>
      <w:r w:rsidR="004D45E7" w:rsidRPr="00913317">
        <w:rPr>
          <w:szCs w:val="22"/>
          <w:lang w:val="hr-HR"/>
        </w:rPr>
        <w:t>lijek</w:t>
      </w:r>
      <w:r w:rsidR="00895083" w:rsidRPr="00913317">
        <w:rPr>
          <w:szCs w:val="22"/>
          <w:lang w:val="hr-HR"/>
        </w:rPr>
        <w:t xml:space="preserve"> je samo za jednokratnu upotrebu i neiskorišćeni rastvor treba da se </w:t>
      </w:r>
      <w:r w:rsidR="007D6823" w:rsidRPr="00913317">
        <w:rPr>
          <w:szCs w:val="22"/>
          <w:lang w:val="hr-HR"/>
        </w:rPr>
        <w:t>ukloni</w:t>
      </w:r>
      <w:r w:rsidR="00895083" w:rsidRPr="00913317">
        <w:rPr>
          <w:szCs w:val="22"/>
          <w:lang w:val="hr-HR"/>
        </w:rPr>
        <w:t xml:space="preserve">. Samo bistar rastvor, bez čestica može da se koristi. </w:t>
      </w:r>
    </w:p>
    <w:p w14:paraId="6FA6ADB3" w14:textId="31F817F1" w:rsidR="006131C3" w:rsidRPr="00913317" w:rsidRDefault="00895083" w:rsidP="00D72925">
      <w:pPr>
        <w:rPr>
          <w:szCs w:val="22"/>
          <w:lang w:val="hr-HR"/>
        </w:rPr>
      </w:pPr>
      <w:r w:rsidRPr="00913317">
        <w:rPr>
          <w:szCs w:val="22"/>
          <w:lang w:val="hr-HR"/>
        </w:rPr>
        <w:t xml:space="preserve">Priprema za aplikaciju </w:t>
      </w:r>
      <w:r w:rsidR="004D45E7" w:rsidRPr="00913317">
        <w:rPr>
          <w:szCs w:val="22"/>
          <w:lang w:val="hr-HR"/>
        </w:rPr>
        <w:t>lijek</w:t>
      </w:r>
      <w:r w:rsidRPr="00913317">
        <w:rPr>
          <w:szCs w:val="22"/>
          <w:lang w:val="hr-HR"/>
        </w:rPr>
        <w:t>a: zapremine k</w:t>
      </w:r>
      <w:r w:rsidR="006C3F92" w:rsidRPr="00913317">
        <w:rPr>
          <w:szCs w:val="22"/>
          <w:lang w:val="hr-HR"/>
        </w:rPr>
        <w:t>oncentrovanog rastvora (10 mg/ml</w:t>
      </w:r>
      <w:r w:rsidRPr="00913317">
        <w:rPr>
          <w:szCs w:val="22"/>
          <w:lang w:val="hr-HR"/>
        </w:rPr>
        <w:t>) koje treba da se dodaju u odgovarajuće kompatibilne infuzione rastvore da bi se pripremila finalna koncentracija voriko</w:t>
      </w:r>
      <w:r w:rsidR="006C3F92" w:rsidRPr="00913317">
        <w:rPr>
          <w:szCs w:val="22"/>
          <w:lang w:val="hr-HR"/>
        </w:rPr>
        <w:t>nazola u rastvoru od 0,5-5 mg/ml</w:t>
      </w:r>
      <w:r w:rsidRPr="00913317">
        <w:rPr>
          <w:szCs w:val="22"/>
          <w:lang w:val="hr-HR"/>
        </w:rPr>
        <w:t xml:space="preserve"> prikazane su u sl</w:t>
      </w:r>
      <w:r w:rsidR="00186616" w:rsidRPr="00913317">
        <w:rPr>
          <w:szCs w:val="22"/>
          <w:lang w:val="hr-HR"/>
        </w:rPr>
        <w:t>j</w:t>
      </w:r>
      <w:r w:rsidRPr="00913317">
        <w:rPr>
          <w:szCs w:val="22"/>
          <w:lang w:val="hr-HR"/>
        </w:rPr>
        <w:t>edećoj tabeli:</w:t>
      </w:r>
    </w:p>
    <w:p w14:paraId="6862ADA7" w14:textId="38641F35" w:rsidR="006131C3" w:rsidRPr="00913317" w:rsidRDefault="00895083" w:rsidP="00D72925">
      <w:pPr>
        <w:rPr>
          <w:b/>
          <w:szCs w:val="22"/>
          <w:u w:val="single"/>
          <w:lang w:val="hr-HR"/>
        </w:rPr>
      </w:pPr>
      <w:r w:rsidRPr="00913317">
        <w:rPr>
          <w:b/>
          <w:szCs w:val="22"/>
          <w:u w:val="single"/>
          <w:lang w:val="hr-HR"/>
        </w:rPr>
        <w:t>Zapremine</w:t>
      </w:r>
      <w:r w:rsidR="007D6823" w:rsidRPr="00913317">
        <w:rPr>
          <w:b/>
          <w:szCs w:val="22"/>
          <w:u w:val="single"/>
          <w:lang w:val="hr-HR"/>
        </w:rPr>
        <w:t xml:space="preserve"> k</w:t>
      </w:r>
      <w:r w:rsidRPr="00913317">
        <w:rPr>
          <w:b/>
          <w:szCs w:val="22"/>
          <w:u w:val="single"/>
          <w:lang w:val="hr-HR"/>
        </w:rPr>
        <w:t xml:space="preserve">oncentrovanog rastvora </w:t>
      </w:r>
      <w:r w:rsidR="004D45E7" w:rsidRPr="00913317">
        <w:rPr>
          <w:b/>
          <w:szCs w:val="22"/>
          <w:u w:val="single"/>
          <w:lang w:val="hr-HR"/>
        </w:rPr>
        <w:t>lijek</w:t>
      </w:r>
      <w:r w:rsidR="007D6823" w:rsidRPr="00913317">
        <w:rPr>
          <w:b/>
          <w:szCs w:val="22"/>
          <w:u w:val="single"/>
          <w:lang w:val="hr-HR"/>
        </w:rPr>
        <w:t xml:space="preserve">a Vfend </w:t>
      </w:r>
      <w:r w:rsidR="006C3F92" w:rsidRPr="00913317">
        <w:rPr>
          <w:b/>
          <w:szCs w:val="22"/>
          <w:u w:val="single"/>
          <w:lang w:val="hr-HR"/>
        </w:rPr>
        <w:t>(10 mg/ml</w:t>
      </w:r>
      <w:r w:rsidRPr="00913317">
        <w:rPr>
          <w:b/>
          <w:szCs w:val="22"/>
          <w:u w:val="single"/>
          <w:lang w:val="hr-HR"/>
        </w:rPr>
        <w:t xml:space="preserve">) potrebne za pripremu </w:t>
      </w:r>
      <w:r w:rsidRPr="00913317">
        <w:rPr>
          <w:b/>
          <w:szCs w:val="22"/>
          <w:u w:val="single"/>
          <w:lang w:val="hr-HR"/>
        </w:rPr>
        <w:br/>
        <w:t xml:space="preserve">finalne koncentracije za </w:t>
      </w:r>
      <w:r w:rsidR="004D45E7" w:rsidRPr="00913317">
        <w:rPr>
          <w:b/>
          <w:szCs w:val="22"/>
          <w:u w:val="single"/>
          <w:lang w:val="hr-HR"/>
        </w:rPr>
        <w:t>primjen</w:t>
      </w:r>
      <w:r w:rsidRPr="00913317">
        <w:rPr>
          <w:b/>
          <w:szCs w:val="22"/>
          <w:u w:val="single"/>
          <w:lang w:val="hr-HR"/>
        </w:rPr>
        <w:t xml:space="preserve">u </w:t>
      </w:r>
      <w:r w:rsidR="004D45E7" w:rsidRPr="00913317">
        <w:rPr>
          <w:b/>
          <w:szCs w:val="22"/>
          <w:u w:val="single"/>
          <w:lang w:val="hr-HR"/>
        </w:rPr>
        <w:t>lijek</w:t>
      </w:r>
      <w:r w:rsidRPr="00913317">
        <w:rPr>
          <w:b/>
          <w:szCs w:val="22"/>
          <w:u w:val="single"/>
          <w:lang w:val="hr-HR"/>
        </w:rPr>
        <w:t>a</w:t>
      </w:r>
    </w:p>
    <w:p w14:paraId="2CACC2A6" w14:textId="77777777" w:rsidR="006131C3" w:rsidRPr="00913317" w:rsidRDefault="006131C3" w:rsidP="00D72925">
      <w:pPr>
        <w:ind w:left="360"/>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1577"/>
        <w:gridCol w:w="1577"/>
        <w:gridCol w:w="1577"/>
        <w:gridCol w:w="1577"/>
        <w:gridCol w:w="1575"/>
      </w:tblGrid>
      <w:tr w:rsidR="00935053" w:rsidRPr="0054718D" w14:paraId="36FEA3F4" w14:textId="77777777" w:rsidTr="00723F41">
        <w:trPr>
          <w:trHeight w:val="255"/>
        </w:trPr>
        <w:tc>
          <w:tcPr>
            <w:tcW w:w="756" w:type="pct"/>
            <w:vMerge w:val="restart"/>
            <w:shd w:val="clear" w:color="auto" w:fill="auto"/>
            <w:vAlign w:val="center"/>
          </w:tcPr>
          <w:p w14:paraId="7AB4321E" w14:textId="5B767334" w:rsidR="006131C3" w:rsidRPr="00913317" w:rsidRDefault="00895083" w:rsidP="00D72925">
            <w:pPr>
              <w:rPr>
                <w:szCs w:val="22"/>
                <w:lang w:val="hr-HR"/>
              </w:rPr>
            </w:pPr>
            <w:r w:rsidRPr="00913317">
              <w:rPr>
                <w:b/>
                <w:spacing w:val="-4"/>
                <w:szCs w:val="22"/>
                <w:lang w:val="hr-HR"/>
              </w:rPr>
              <w:t>T</w:t>
            </w:r>
            <w:r w:rsidR="006C3F92" w:rsidRPr="00913317">
              <w:rPr>
                <w:b/>
                <w:spacing w:val="-4"/>
                <w:szCs w:val="22"/>
                <w:lang w:val="hr-HR"/>
              </w:rPr>
              <w:t>j</w:t>
            </w:r>
            <w:r w:rsidRPr="00913317">
              <w:rPr>
                <w:b/>
                <w:spacing w:val="-4"/>
                <w:szCs w:val="22"/>
                <w:lang w:val="hr-HR"/>
              </w:rPr>
              <w:t>elesna masa</w:t>
            </w:r>
            <w:r w:rsidRPr="00913317">
              <w:rPr>
                <w:b/>
                <w:szCs w:val="22"/>
                <w:lang w:val="hr-HR"/>
              </w:rPr>
              <w:br/>
              <w:t>(kg)</w:t>
            </w:r>
          </w:p>
        </w:tc>
        <w:tc>
          <w:tcPr>
            <w:tcW w:w="4244" w:type="pct"/>
            <w:gridSpan w:val="5"/>
          </w:tcPr>
          <w:p w14:paraId="6DF3A49A" w14:textId="740DFBCF" w:rsidR="006131C3" w:rsidRPr="00913317" w:rsidRDefault="006C3F92" w:rsidP="00D72925">
            <w:pPr>
              <w:rPr>
                <w:szCs w:val="22"/>
                <w:lang w:val="hr-HR"/>
              </w:rPr>
            </w:pPr>
            <w:r w:rsidRPr="00913317">
              <w:rPr>
                <w:b/>
                <w:szCs w:val="22"/>
                <w:lang w:val="hr-HR"/>
              </w:rPr>
              <w:t>Zapremina koncentrata (10 mg/ml</w:t>
            </w:r>
            <w:r w:rsidR="00895083" w:rsidRPr="00913317">
              <w:rPr>
                <w:b/>
                <w:szCs w:val="22"/>
                <w:lang w:val="hr-HR"/>
              </w:rPr>
              <w:t>)</w:t>
            </w:r>
            <w:r w:rsidR="00BA4BF2" w:rsidRPr="00913317">
              <w:rPr>
                <w:b/>
                <w:szCs w:val="22"/>
                <w:lang w:val="hr-HR"/>
              </w:rPr>
              <w:t xml:space="preserve"> </w:t>
            </w:r>
            <w:r w:rsidR="004D45E7" w:rsidRPr="00913317">
              <w:rPr>
                <w:b/>
                <w:szCs w:val="22"/>
                <w:lang w:val="hr-HR"/>
              </w:rPr>
              <w:t>lijek</w:t>
            </w:r>
            <w:r w:rsidR="00BA4BF2" w:rsidRPr="00913317">
              <w:rPr>
                <w:b/>
                <w:szCs w:val="22"/>
                <w:lang w:val="hr-HR"/>
              </w:rPr>
              <w:t>a Vfend</w:t>
            </w:r>
            <w:r w:rsidR="00895083" w:rsidRPr="00913317">
              <w:rPr>
                <w:b/>
                <w:szCs w:val="22"/>
                <w:lang w:val="hr-HR"/>
              </w:rPr>
              <w:t xml:space="preserve"> potrebna za dozu od:</w:t>
            </w:r>
          </w:p>
        </w:tc>
      </w:tr>
      <w:tr w:rsidR="00935053" w:rsidRPr="00913317" w14:paraId="2B5E9EFC" w14:textId="77777777" w:rsidTr="00723F41">
        <w:trPr>
          <w:trHeight w:val="255"/>
        </w:trPr>
        <w:tc>
          <w:tcPr>
            <w:tcW w:w="756" w:type="pct"/>
            <w:vMerge/>
            <w:shd w:val="clear" w:color="auto" w:fill="auto"/>
          </w:tcPr>
          <w:p w14:paraId="61E492CB" w14:textId="77777777" w:rsidR="006131C3" w:rsidRPr="00913317" w:rsidRDefault="006131C3" w:rsidP="00D72925">
            <w:pPr>
              <w:rPr>
                <w:szCs w:val="22"/>
                <w:lang w:val="hr-HR"/>
              </w:rPr>
            </w:pPr>
          </w:p>
        </w:tc>
        <w:tc>
          <w:tcPr>
            <w:tcW w:w="849" w:type="pct"/>
          </w:tcPr>
          <w:p w14:paraId="18E056B5" w14:textId="77777777" w:rsidR="006131C3" w:rsidRPr="00913317" w:rsidRDefault="00895083" w:rsidP="00D72925">
            <w:pPr>
              <w:rPr>
                <w:b/>
                <w:szCs w:val="22"/>
                <w:lang w:val="hr-HR"/>
              </w:rPr>
            </w:pPr>
            <w:r w:rsidRPr="00913317">
              <w:rPr>
                <w:b/>
                <w:spacing w:val="-6"/>
                <w:szCs w:val="22"/>
                <w:lang w:val="hr-HR"/>
              </w:rPr>
              <w:t>3 mg/kg</w:t>
            </w:r>
            <w:r w:rsidRPr="00913317">
              <w:rPr>
                <w:b/>
                <w:szCs w:val="22"/>
                <w:lang w:val="hr-HR"/>
              </w:rPr>
              <w:br/>
              <w:t>(broj bočica)</w:t>
            </w:r>
          </w:p>
        </w:tc>
        <w:tc>
          <w:tcPr>
            <w:tcW w:w="849" w:type="pct"/>
          </w:tcPr>
          <w:p w14:paraId="716B12E0" w14:textId="77777777" w:rsidR="006131C3" w:rsidRPr="00913317" w:rsidRDefault="00895083" w:rsidP="00D72925">
            <w:pPr>
              <w:rPr>
                <w:b/>
                <w:szCs w:val="22"/>
                <w:lang w:val="hr-HR"/>
              </w:rPr>
            </w:pPr>
            <w:r w:rsidRPr="00913317">
              <w:rPr>
                <w:b/>
                <w:szCs w:val="22"/>
                <w:lang w:val="hr-HR"/>
              </w:rPr>
              <w:t>4 mg/kg</w:t>
            </w:r>
            <w:r w:rsidRPr="00913317">
              <w:rPr>
                <w:b/>
                <w:szCs w:val="22"/>
                <w:lang w:val="hr-HR"/>
              </w:rPr>
              <w:br/>
              <w:t>(broj bočica)</w:t>
            </w:r>
          </w:p>
        </w:tc>
        <w:tc>
          <w:tcPr>
            <w:tcW w:w="849" w:type="pct"/>
          </w:tcPr>
          <w:p w14:paraId="33C01343" w14:textId="77777777" w:rsidR="006131C3" w:rsidRPr="00913317" w:rsidRDefault="00895083" w:rsidP="00D72925">
            <w:pPr>
              <w:rPr>
                <w:b/>
                <w:szCs w:val="22"/>
                <w:lang w:val="hr-HR"/>
              </w:rPr>
            </w:pPr>
            <w:r w:rsidRPr="00913317">
              <w:rPr>
                <w:b/>
                <w:szCs w:val="22"/>
                <w:lang w:val="hr-HR"/>
              </w:rPr>
              <w:t>6 mg/kg</w:t>
            </w:r>
            <w:r w:rsidRPr="00913317">
              <w:rPr>
                <w:b/>
                <w:szCs w:val="22"/>
                <w:lang w:val="hr-HR"/>
              </w:rPr>
              <w:br/>
              <w:t>(broj bočica)</w:t>
            </w:r>
          </w:p>
        </w:tc>
        <w:tc>
          <w:tcPr>
            <w:tcW w:w="849" w:type="pct"/>
          </w:tcPr>
          <w:p w14:paraId="6AAFBCCA" w14:textId="77777777" w:rsidR="006131C3" w:rsidRPr="00913317" w:rsidRDefault="00895083" w:rsidP="00D72925">
            <w:pPr>
              <w:rPr>
                <w:b/>
                <w:szCs w:val="22"/>
                <w:lang w:val="hr-HR"/>
              </w:rPr>
            </w:pPr>
            <w:r w:rsidRPr="00913317">
              <w:rPr>
                <w:b/>
                <w:szCs w:val="22"/>
                <w:lang w:val="hr-HR"/>
              </w:rPr>
              <w:t>8 mg/kg</w:t>
            </w:r>
            <w:r w:rsidRPr="00913317">
              <w:rPr>
                <w:b/>
                <w:szCs w:val="22"/>
                <w:lang w:val="hr-HR"/>
              </w:rPr>
              <w:br/>
              <w:t>(broj bočica)</w:t>
            </w:r>
          </w:p>
        </w:tc>
        <w:tc>
          <w:tcPr>
            <w:tcW w:w="849" w:type="pct"/>
          </w:tcPr>
          <w:p w14:paraId="72EA8E36" w14:textId="77777777" w:rsidR="006131C3" w:rsidRPr="00913317" w:rsidRDefault="00895083" w:rsidP="00D72925">
            <w:pPr>
              <w:rPr>
                <w:b/>
                <w:szCs w:val="22"/>
                <w:lang w:val="hr-HR"/>
              </w:rPr>
            </w:pPr>
            <w:r w:rsidRPr="00913317">
              <w:rPr>
                <w:b/>
                <w:szCs w:val="22"/>
                <w:lang w:val="hr-HR"/>
              </w:rPr>
              <w:t>9 mg/kg</w:t>
            </w:r>
            <w:r w:rsidRPr="00913317">
              <w:rPr>
                <w:b/>
                <w:szCs w:val="22"/>
                <w:lang w:val="hr-HR"/>
              </w:rPr>
              <w:br/>
              <w:t>(broj bočica)</w:t>
            </w:r>
          </w:p>
        </w:tc>
      </w:tr>
      <w:tr w:rsidR="00935053" w:rsidRPr="00913317" w14:paraId="184D3F04" w14:textId="77777777" w:rsidTr="00723F41">
        <w:tc>
          <w:tcPr>
            <w:tcW w:w="756" w:type="pct"/>
          </w:tcPr>
          <w:p w14:paraId="6805FCA4" w14:textId="77777777" w:rsidR="006131C3" w:rsidRPr="00913317" w:rsidRDefault="00895083" w:rsidP="00D72925">
            <w:pPr>
              <w:rPr>
                <w:szCs w:val="22"/>
                <w:lang w:val="hr-HR"/>
              </w:rPr>
            </w:pPr>
            <w:r w:rsidRPr="00913317">
              <w:rPr>
                <w:szCs w:val="22"/>
                <w:lang w:val="hr-HR"/>
              </w:rPr>
              <w:t>10</w:t>
            </w:r>
          </w:p>
        </w:tc>
        <w:tc>
          <w:tcPr>
            <w:tcW w:w="849" w:type="pct"/>
          </w:tcPr>
          <w:p w14:paraId="48BA0A47" w14:textId="77777777" w:rsidR="006131C3" w:rsidRPr="00913317" w:rsidRDefault="00895083" w:rsidP="00D72925">
            <w:pPr>
              <w:rPr>
                <w:szCs w:val="22"/>
                <w:lang w:val="hr-HR"/>
              </w:rPr>
            </w:pPr>
            <w:r w:rsidRPr="00913317">
              <w:rPr>
                <w:szCs w:val="22"/>
                <w:lang w:val="hr-HR"/>
              </w:rPr>
              <w:t>-</w:t>
            </w:r>
          </w:p>
        </w:tc>
        <w:tc>
          <w:tcPr>
            <w:tcW w:w="849" w:type="pct"/>
          </w:tcPr>
          <w:p w14:paraId="24291272" w14:textId="57821FF2" w:rsidR="006131C3" w:rsidRPr="00913317" w:rsidRDefault="00895083" w:rsidP="00D72925">
            <w:pPr>
              <w:rPr>
                <w:szCs w:val="22"/>
                <w:lang w:val="hr-HR"/>
              </w:rPr>
            </w:pPr>
            <w:r w:rsidRPr="00913317">
              <w:rPr>
                <w:szCs w:val="22"/>
                <w:lang w:val="hr-HR"/>
              </w:rPr>
              <w:t xml:space="preserve">4,0 </w:t>
            </w:r>
            <w:r w:rsidR="006C3F92" w:rsidRPr="00913317">
              <w:rPr>
                <w:szCs w:val="22"/>
                <w:lang w:val="hr-HR"/>
              </w:rPr>
              <w:t>ml</w:t>
            </w:r>
            <w:r w:rsidRPr="00913317">
              <w:rPr>
                <w:szCs w:val="22"/>
                <w:lang w:val="hr-HR"/>
              </w:rPr>
              <w:t xml:space="preserve"> (1)</w:t>
            </w:r>
          </w:p>
        </w:tc>
        <w:tc>
          <w:tcPr>
            <w:tcW w:w="849" w:type="pct"/>
          </w:tcPr>
          <w:p w14:paraId="56B57249" w14:textId="77777777" w:rsidR="006131C3" w:rsidRPr="00913317" w:rsidRDefault="00895083" w:rsidP="00D72925">
            <w:pPr>
              <w:rPr>
                <w:szCs w:val="22"/>
                <w:lang w:val="hr-HR"/>
              </w:rPr>
            </w:pPr>
            <w:r w:rsidRPr="00913317">
              <w:rPr>
                <w:szCs w:val="22"/>
                <w:lang w:val="hr-HR"/>
              </w:rPr>
              <w:t>-</w:t>
            </w:r>
          </w:p>
        </w:tc>
        <w:tc>
          <w:tcPr>
            <w:tcW w:w="849" w:type="pct"/>
          </w:tcPr>
          <w:p w14:paraId="09EE3051" w14:textId="3610688C" w:rsidR="006131C3" w:rsidRPr="00913317" w:rsidRDefault="00895083" w:rsidP="00D72925">
            <w:pPr>
              <w:rPr>
                <w:szCs w:val="22"/>
                <w:lang w:val="hr-HR"/>
              </w:rPr>
            </w:pPr>
            <w:r w:rsidRPr="00913317">
              <w:rPr>
                <w:szCs w:val="22"/>
                <w:lang w:val="hr-HR"/>
              </w:rPr>
              <w:t xml:space="preserve">8,0 </w:t>
            </w:r>
            <w:r w:rsidR="006C3F92" w:rsidRPr="00913317">
              <w:rPr>
                <w:szCs w:val="22"/>
                <w:lang w:val="hr-HR"/>
              </w:rPr>
              <w:t>ml</w:t>
            </w:r>
            <w:r w:rsidRPr="00913317">
              <w:rPr>
                <w:szCs w:val="22"/>
                <w:lang w:val="hr-HR"/>
              </w:rPr>
              <w:t xml:space="preserve"> (1)</w:t>
            </w:r>
          </w:p>
        </w:tc>
        <w:tc>
          <w:tcPr>
            <w:tcW w:w="849" w:type="pct"/>
          </w:tcPr>
          <w:p w14:paraId="11C04615" w14:textId="2E879056" w:rsidR="006131C3" w:rsidRPr="00913317" w:rsidRDefault="00895083" w:rsidP="00D72925">
            <w:pPr>
              <w:rPr>
                <w:szCs w:val="22"/>
                <w:lang w:val="hr-HR"/>
              </w:rPr>
            </w:pPr>
            <w:r w:rsidRPr="00913317">
              <w:rPr>
                <w:szCs w:val="22"/>
                <w:lang w:val="hr-HR"/>
              </w:rPr>
              <w:t xml:space="preserve">9,0 </w:t>
            </w:r>
            <w:r w:rsidR="006C3F92" w:rsidRPr="00913317">
              <w:rPr>
                <w:szCs w:val="22"/>
                <w:lang w:val="hr-HR"/>
              </w:rPr>
              <w:t>ml</w:t>
            </w:r>
            <w:r w:rsidRPr="00913317">
              <w:rPr>
                <w:szCs w:val="22"/>
                <w:lang w:val="hr-HR"/>
              </w:rPr>
              <w:t xml:space="preserve"> (1)</w:t>
            </w:r>
          </w:p>
        </w:tc>
      </w:tr>
      <w:tr w:rsidR="00935053" w:rsidRPr="00913317" w14:paraId="671B63EC" w14:textId="77777777" w:rsidTr="00723F41">
        <w:tc>
          <w:tcPr>
            <w:tcW w:w="756" w:type="pct"/>
          </w:tcPr>
          <w:p w14:paraId="66773672" w14:textId="77777777" w:rsidR="006131C3" w:rsidRPr="00913317" w:rsidRDefault="00895083" w:rsidP="00D72925">
            <w:pPr>
              <w:rPr>
                <w:szCs w:val="22"/>
                <w:lang w:val="hr-HR"/>
              </w:rPr>
            </w:pPr>
            <w:r w:rsidRPr="00913317">
              <w:rPr>
                <w:szCs w:val="22"/>
                <w:lang w:val="hr-HR"/>
              </w:rPr>
              <w:t>15</w:t>
            </w:r>
          </w:p>
        </w:tc>
        <w:tc>
          <w:tcPr>
            <w:tcW w:w="849" w:type="pct"/>
          </w:tcPr>
          <w:p w14:paraId="0670A3E3" w14:textId="77777777" w:rsidR="006131C3" w:rsidRPr="00913317" w:rsidRDefault="00895083" w:rsidP="00D72925">
            <w:pPr>
              <w:rPr>
                <w:szCs w:val="22"/>
                <w:lang w:val="hr-HR"/>
              </w:rPr>
            </w:pPr>
            <w:r w:rsidRPr="00913317">
              <w:rPr>
                <w:szCs w:val="22"/>
                <w:lang w:val="hr-HR"/>
              </w:rPr>
              <w:t>-</w:t>
            </w:r>
          </w:p>
        </w:tc>
        <w:tc>
          <w:tcPr>
            <w:tcW w:w="849" w:type="pct"/>
          </w:tcPr>
          <w:p w14:paraId="2A4BE13B" w14:textId="21B9060A" w:rsidR="006131C3" w:rsidRPr="00913317" w:rsidRDefault="00895083" w:rsidP="00D72925">
            <w:pPr>
              <w:rPr>
                <w:szCs w:val="22"/>
                <w:lang w:val="hr-HR"/>
              </w:rPr>
            </w:pPr>
            <w:r w:rsidRPr="00913317">
              <w:rPr>
                <w:szCs w:val="22"/>
                <w:lang w:val="hr-HR"/>
              </w:rPr>
              <w:t xml:space="preserve">6,0 </w:t>
            </w:r>
            <w:r w:rsidR="006C3F92" w:rsidRPr="00913317">
              <w:rPr>
                <w:szCs w:val="22"/>
                <w:lang w:val="hr-HR"/>
              </w:rPr>
              <w:t>m</w:t>
            </w:r>
            <w:r w:rsidRPr="00913317">
              <w:rPr>
                <w:szCs w:val="22"/>
                <w:lang w:val="hr-HR"/>
              </w:rPr>
              <w:t xml:space="preserve"> (1)</w:t>
            </w:r>
          </w:p>
        </w:tc>
        <w:tc>
          <w:tcPr>
            <w:tcW w:w="849" w:type="pct"/>
          </w:tcPr>
          <w:p w14:paraId="3C0C5CE4" w14:textId="77777777" w:rsidR="006131C3" w:rsidRPr="00913317" w:rsidRDefault="00895083" w:rsidP="00D72925">
            <w:pPr>
              <w:rPr>
                <w:szCs w:val="22"/>
                <w:lang w:val="hr-HR"/>
              </w:rPr>
            </w:pPr>
            <w:r w:rsidRPr="00913317">
              <w:rPr>
                <w:szCs w:val="22"/>
                <w:lang w:val="hr-HR"/>
              </w:rPr>
              <w:t>-</w:t>
            </w:r>
          </w:p>
        </w:tc>
        <w:tc>
          <w:tcPr>
            <w:tcW w:w="849" w:type="pct"/>
          </w:tcPr>
          <w:p w14:paraId="4154631B" w14:textId="52297C75" w:rsidR="006131C3" w:rsidRPr="00913317" w:rsidRDefault="00895083" w:rsidP="00D72925">
            <w:pPr>
              <w:rPr>
                <w:szCs w:val="22"/>
                <w:lang w:val="hr-HR"/>
              </w:rPr>
            </w:pPr>
            <w:r w:rsidRPr="00913317">
              <w:rPr>
                <w:szCs w:val="22"/>
                <w:lang w:val="hr-HR"/>
              </w:rPr>
              <w:t xml:space="preserve">12,0 </w:t>
            </w:r>
            <w:r w:rsidR="006C3F92" w:rsidRPr="00913317">
              <w:rPr>
                <w:szCs w:val="22"/>
                <w:lang w:val="hr-HR"/>
              </w:rPr>
              <w:t>ml</w:t>
            </w:r>
            <w:r w:rsidRPr="00913317">
              <w:rPr>
                <w:szCs w:val="22"/>
                <w:lang w:val="hr-HR"/>
              </w:rPr>
              <w:t xml:space="preserve"> (1)</w:t>
            </w:r>
          </w:p>
        </w:tc>
        <w:tc>
          <w:tcPr>
            <w:tcW w:w="849" w:type="pct"/>
          </w:tcPr>
          <w:p w14:paraId="5D6AD933" w14:textId="1C9871A4" w:rsidR="006131C3" w:rsidRPr="00913317" w:rsidRDefault="00895083" w:rsidP="00D72925">
            <w:pPr>
              <w:rPr>
                <w:szCs w:val="22"/>
                <w:lang w:val="hr-HR"/>
              </w:rPr>
            </w:pPr>
            <w:r w:rsidRPr="00913317">
              <w:rPr>
                <w:szCs w:val="22"/>
                <w:lang w:val="hr-HR"/>
              </w:rPr>
              <w:t xml:space="preserve">13,5 </w:t>
            </w:r>
            <w:r w:rsidR="006C3F92" w:rsidRPr="00913317">
              <w:rPr>
                <w:szCs w:val="22"/>
                <w:lang w:val="hr-HR"/>
              </w:rPr>
              <w:t>ml</w:t>
            </w:r>
            <w:r w:rsidRPr="00913317">
              <w:rPr>
                <w:szCs w:val="22"/>
                <w:lang w:val="hr-HR"/>
              </w:rPr>
              <w:t xml:space="preserve"> (1)</w:t>
            </w:r>
          </w:p>
        </w:tc>
      </w:tr>
      <w:tr w:rsidR="00935053" w:rsidRPr="00913317" w14:paraId="47732E11" w14:textId="77777777" w:rsidTr="00723F41">
        <w:tc>
          <w:tcPr>
            <w:tcW w:w="756" w:type="pct"/>
          </w:tcPr>
          <w:p w14:paraId="20D5523E" w14:textId="77777777" w:rsidR="006131C3" w:rsidRPr="00913317" w:rsidRDefault="00895083" w:rsidP="00D72925">
            <w:pPr>
              <w:rPr>
                <w:szCs w:val="22"/>
                <w:lang w:val="hr-HR"/>
              </w:rPr>
            </w:pPr>
            <w:r w:rsidRPr="00913317">
              <w:rPr>
                <w:szCs w:val="22"/>
                <w:lang w:val="hr-HR"/>
              </w:rPr>
              <w:t>20</w:t>
            </w:r>
          </w:p>
        </w:tc>
        <w:tc>
          <w:tcPr>
            <w:tcW w:w="849" w:type="pct"/>
          </w:tcPr>
          <w:p w14:paraId="32C0D184" w14:textId="77777777" w:rsidR="006131C3" w:rsidRPr="00913317" w:rsidRDefault="00895083" w:rsidP="00D72925">
            <w:pPr>
              <w:rPr>
                <w:szCs w:val="22"/>
                <w:lang w:val="hr-HR"/>
              </w:rPr>
            </w:pPr>
            <w:r w:rsidRPr="00913317">
              <w:rPr>
                <w:szCs w:val="22"/>
                <w:lang w:val="hr-HR"/>
              </w:rPr>
              <w:t>-</w:t>
            </w:r>
          </w:p>
        </w:tc>
        <w:tc>
          <w:tcPr>
            <w:tcW w:w="849" w:type="pct"/>
          </w:tcPr>
          <w:p w14:paraId="2A328940" w14:textId="1F4C71F4" w:rsidR="006131C3" w:rsidRPr="00913317" w:rsidRDefault="00895083" w:rsidP="00D72925">
            <w:pPr>
              <w:rPr>
                <w:szCs w:val="22"/>
                <w:lang w:val="hr-HR"/>
              </w:rPr>
            </w:pPr>
            <w:r w:rsidRPr="00913317">
              <w:rPr>
                <w:szCs w:val="22"/>
                <w:lang w:val="hr-HR"/>
              </w:rPr>
              <w:t xml:space="preserve">8,0 </w:t>
            </w:r>
            <w:r w:rsidR="006C3F92" w:rsidRPr="00913317">
              <w:rPr>
                <w:szCs w:val="22"/>
                <w:lang w:val="hr-HR"/>
              </w:rPr>
              <w:t>ml</w:t>
            </w:r>
            <w:r w:rsidRPr="00913317">
              <w:rPr>
                <w:szCs w:val="22"/>
                <w:lang w:val="hr-HR"/>
              </w:rPr>
              <w:t xml:space="preserve"> (1)</w:t>
            </w:r>
          </w:p>
        </w:tc>
        <w:tc>
          <w:tcPr>
            <w:tcW w:w="849" w:type="pct"/>
          </w:tcPr>
          <w:p w14:paraId="6FC81CFC" w14:textId="77777777" w:rsidR="006131C3" w:rsidRPr="00913317" w:rsidRDefault="00895083" w:rsidP="00D72925">
            <w:pPr>
              <w:rPr>
                <w:szCs w:val="22"/>
                <w:lang w:val="hr-HR"/>
              </w:rPr>
            </w:pPr>
            <w:r w:rsidRPr="00913317">
              <w:rPr>
                <w:szCs w:val="22"/>
                <w:lang w:val="hr-HR"/>
              </w:rPr>
              <w:t>-</w:t>
            </w:r>
          </w:p>
        </w:tc>
        <w:tc>
          <w:tcPr>
            <w:tcW w:w="849" w:type="pct"/>
          </w:tcPr>
          <w:p w14:paraId="6B0CED59" w14:textId="52BC5B28" w:rsidR="006131C3" w:rsidRPr="00913317" w:rsidRDefault="00895083" w:rsidP="00D72925">
            <w:pPr>
              <w:rPr>
                <w:szCs w:val="22"/>
                <w:lang w:val="hr-HR"/>
              </w:rPr>
            </w:pPr>
            <w:r w:rsidRPr="00913317">
              <w:rPr>
                <w:szCs w:val="22"/>
                <w:lang w:val="hr-HR"/>
              </w:rPr>
              <w:t xml:space="preserve">16,0 </w:t>
            </w:r>
            <w:r w:rsidR="006C3F92" w:rsidRPr="00913317">
              <w:rPr>
                <w:szCs w:val="22"/>
                <w:lang w:val="hr-HR"/>
              </w:rPr>
              <w:t>ml</w:t>
            </w:r>
            <w:r w:rsidRPr="00913317">
              <w:rPr>
                <w:szCs w:val="22"/>
                <w:lang w:val="hr-HR"/>
              </w:rPr>
              <w:t xml:space="preserve"> (1)</w:t>
            </w:r>
          </w:p>
        </w:tc>
        <w:tc>
          <w:tcPr>
            <w:tcW w:w="849" w:type="pct"/>
          </w:tcPr>
          <w:p w14:paraId="69FA6EA2" w14:textId="1F01EC3E" w:rsidR="006131C3" w:rsidRPr="00913317" w:rsidRDefault="00895083" w:rsidP="00D72925">
            <w:pPr>
              <w:rPr>
                <w:szCs w:val="22"/>
                <w:lang w:val="hr-HR"/>
              </w:rPr>
            </w:pPr>
            <w:r w:rsidRPr="00913317">
              <w:rPr>
                <w:szCs w:val="22"/>
                <w:lang w:val="hr-HR"/>
              </w:rPr>
              <w:t xml:space="preserve">18,0 </w:t>
            </w:r>
            <w:r w:rsidR="006C3F92" w:rsidRPr="00913317">
              <w:rPr>
                <w:szCs w:val="22"/>
                <w:lang w:val="hr-HR"/>
              </w:rPr>
              <w:t>ml</w:t>
            </w:r>
            <w:r w:rsidRPr="00913317">
              <w:rPr>
                <w:szCs w:val="22"/>
                <w:lang w:val="hr-HR"/>
              </w:rPr>
              <w:t xml:space="preserve"> (1)</w:t>
            </w:r>
          </w:p>
        </w:tc>
      </w:tr>
      <w:tr w:rsidR="00935053" w:rsidRPr="00913317" w14:paraId="66FC68EE" w14:textId="77777777" w:rsidTr="00723F41">
        <w:tc>
          <w:tcPr>
            <w:tcW w:w="756" w:type="pct"/>
          </w:tcPr>
          <w:p w14:paraId="28BB2DA0" w14:textId="77777777" w:rsidR="006131C3" w:rsidRPr="00913317" w:rsidRDefault="00895083" w:rsidP="00D72925">
            <w:pPr>
              <w:rPr>
                <w:szCs w:val="22"/>
                <w:lang w:val="hr-HR"/>
              </w:rPr>
            </w:pPr>
            <w:r w:rsidRPr="00913317">
              <w:rPr>
                <w:szCs w:val="22"/>
                <w:lang w:val="hr-HR"/>
              </w:rPr>
              <w:t>25</w:t>
            </w:r>
          </w:p>
        </w:tc>
        <w:tc>
          <w:tcPr>
            <w:tcW w:w="849" w:type="pct"/>
          </w:tcPr>
          <w:p w14:paraId="2FD218BC" w14:textId="77777777" w:rsidR="006131C3" w:rsidRPr="00913317" w:rsidRDefault="00895083" w:rsidP="00D72925">
            <w:pPr>
              <w:rPr>
                <w:szCs w:val="22"/>
                <w:lang w:val="hr-HR"/>
              </w:rPr>
            </w:pPr>
            <w:r w:rsidRPr="00913317">
              <w:rPr>
                <w:szCs w:val="22"/>
                <w:lang w:val="hr-HR"/>
              </w:rPr>
              <w:t>-</w:t>
            </w:r>
          </w:p>
        </w:tc>
        <w:tc>
          <w:tcPr>
            <w:tcW w:w="849" w:type="pct"/>
          </w:tcPr>
          <w:p w14:paraId="2A0BB452" w14:textId="27D0D0C7" w:rsidR="006131C3" w:rsidRPr="00913317" w:rsidRDefault="00895083" w:rsidP="00D72925">
            <w:pPr>
              <w:rPr>
                <w:szCs w:val="22"/>
                <w:lang w:val="hr-HR"/>
              </w:rPr>
            </w:pPr>
            <w:r w:rsidRPr="00913317">
              <w:rPr>
                <w:szCs w:val="22"/>
                <w:lang w:val="hr-HR"/>
              </w:rPr>
              <w:t xml:space="preserve">10,0 </w:t>
            </w:r>
            <w:r w:rsidR="006C3F92" w:rsidRPr="00913317">
              <w:rPr>
                <w:szCs w:val="22"/>
                <w:lang w:val="hr-HR"/>
              </w:rPr>
              <w:t>ml</w:t>
            </w:r>
            <w:r w:rsidRPr="00913317">
              <w:rPr>
                <w:szCs w:val="22"/>
                <w:lang w:val="hr-HR"/>
              </w:rPr>
              <w:t xml:space="preserve"> (1)</w:t>
            </w:r>
          </w:p>
        </w:tc>
        <w:tc>
          <w:tcPr>
            <w:tcW w:w="849" w:type="pct"/>
          </w:tcPr>
          <w:p w14:paraId="1E118755" w14:textId="77777777" w:rsidR="006131C3" w:rsidRPr="00913317" w:rsidRDefault="00895083" w:rsidP="00D72925">
            <w:pPr>
              <w:rPr>
                <w:szCs w:val="22"/>
                <w:lang w:val="hr-HR"/>
              </w:rPr>
            </w:pPr>
            <w:r w:rsidRPr="00913317">
              <w:rPr>
                <w:szCs w:val="22"/>
                <w:lang w:val="hr-HR"/>
              </w:rPr>
              <w:t>-</w:t>
            </w:r>
          </w:p>
        </w:tc>
        <w:tc>
          <w:tcPr>
            <w:tcW w:w="849" w:type="pct"/>
          </w:tcPr>
          <w:p w14:paraId="21817DAE" w14:textId="10E63C5C" w:rsidR="006131C3" w:rsidRPr="00913317" w:rsidRDefault="00895083" w:rsidP="00D72925">
            <w:pPr>
              <w:rPr>
                <w:szCs w:val="22"/>
                <w:lang w:val="hr-HR"/>
              </w:rPr>
            </w:pPr>
            <w:r w:rsidRPr="00913317">
              <w:rPr>
                <w:szCs w:val="22"/>
                <w:lang w:val="hr-HR"/>
              </w:rPr>
              <w:t xml:space="preserve">20,0 </w:t>
            </w:r>
            <w:r w:rsidR="006C3F92" w:rsidRPr="00913317">
              <w:rPr>
                <w:szCs w:val="22"/>
                <w:lang w:val="hr-HR"/>
              </w:rPr>
              <w:t>ml</w:t>
            </w:r>
            <w:r w:rsidRPr="00913317">
              <w:rPr>
                <w:szCs w:val="22"/>
                <w:lang w:val="hr-HR"/>
              </w:rPr>
              <w:t xml:space="preserve"> (1)</w:t>
            </w:r>
          </w:p>
        </w:tc>
        <w:tc>
          <w:tcPr>
            <w:tcW w:w="849" w:type="pct"/>
          </w:tcPr>
          <w:p w14:paraId="7FBF3FB8" w14:textId="6BA655A2" w:rsidR="006131C3" w:rsidRPr="00913317" w:rsidRDefault="00895083" w:rsidP="00D72925">
            <w:pPr>
              <w:rPr>
                <w:szCs w:val="22"/>
                <w:lang w:val="hr-HR"/>
              </w:rPr>
            </w:pPr>
            <w:r w:rsidRPr="00913317">
              <w:rPr>
                <w:szCs w:val="22"/>
                <w:lang w:val="hr-HR"/>
              </w:rPr>
              <w:t xml:space="preserve">22,5 </w:t>
            </w:r>
            <w:r w:rsidR="006C3F92" w:rsidRPr="00913317">
              <w:rPr>
                <w:szCs w:val="22"/>
                <w:lang w:val="hr-HR"/>
              </w:rPr>
              <w:t>ml</w:t>
            </w:r>
            <w:r w:rsidRPr="00913317">
              <w:rPr>
                <w:szCs w:val="22"/>
                <w:lang w:val="hr-HR"/>
              </w:rPr>
              <w:t xml:space="preserve"> (2)</w:t>
            </w:r>
          </w:p>
        </w:tc>
      </w:tr>
      <w:tr w:rsidR="00935053" w:rsidRPr="00913317" w14:paraId="15CD5749" w14:textId="77777777" w:rsidTr="00723F41">
        <w:tc>
          <w:tcPr>
            <w:tcW w:w="756" w:type="pct"/>
          </w:tcPr>
          <w:p w14:paraId="7C5272A9" w14:textId="77777777" w:rsidR="006131C3" w:rsidRPr="00913317" w:rsidRDefault="00895083" w:rsidP="00D72925">
            <w:pPr>
              <w:rPr>
                <w:szCs w:val="22"/>
                <w:lang w:val="hr-HR"/>
              </w:rPr>
            </w:pPr>
            <w:r w:rsidRPr="00913317">
              <w:rPr>
                <w:szCs w:val="22"/>
                <w:lang w:val="hr-HR"/>
              </w:rPr>
              <w:t>30</w:t>
            </w:r>
          </w:p>
        </w:tc>
        <w:tc>
          <w:tcPr>
            <w:tcW w:w="849" w:type="pct"/>
          </w:tcPr>
          <w:p w14:paraId="0205B56F" w14:textId="67301B3D" w:rsidR="006131C3" w:rsidRPr="00913317" w:rsidRDefault="00895083" w:rsidP="00D72925">
            <w:pPr>
              <w:rPr>
                <w:szCs w:val="22"/>
                <w:lang w:val="hr-HR"/>
              </w:rPr>
            </w:pPr>
            <w:r w:rsidRPr="00913317">
              <w:rPr>
                <w:szCs w:val="22"/>
                <w:lang w:val="hr-HR"/>
              </w:rPr>
              <w:t xml:space="preserve">9,0 </w:t>
            </w:r>
            <w:r w:rsidR="006C3F92" w:rsidRPr="00913317">
              <w:rPr>
                <w:szCs w:val="22"/>
                <w:lang w:val="hr-HR"/>
              </w:rPr>
              <w:t>ml</w:t>
            </w:r>
            <w:r w:rsidRPr="00913317">
              <w:rPr>
                <w:szCs w:val="22"/>
                <w:lang w:val="hr-HR"/>
              </w:rPr>
              <w:t xml:space="preserve"> (1)</w:t>
            </w:r>
          </w:p>
        </w:tc>
        <w:tc>
          <w:tcPr>
            <w:tcW w:w="849" w:type="pct"/>
          </w:tcPr>
          <w:p w14:paraId="300E165A" w14:textId="3B91E8E0" w:rsidR="006131C3" w:rsidRPr="00913317" w:rsidRDefault="00895083" w:rsidP="00D72925">
            <w:pPr>
              <w:rPr>
                <w:szCs w:val="22"/>
                <w:lang w:val="hr-HR"/>
              </w:rPr>
            </w:pPr>
            <w:r w:rsidRPr="00913317">
              <w:rPr>
                <w:szCs w:val="22"/>
                <w:lang w:val="hr-HR"/>
              </w:rPr>
              <w:t xml:space="preserve">12,0 </w:t>
            </w:r>
            <w:r w:rsidR="006C3F92" w:rsidRPr="00913317">
              <w:rPr>
                <w:szCs w:val="22"/>
                <w:lang w:val="hr-HR"/>
              </w:rPr>
              <w:t>ml</w:t>
            </w:r>
            <w:r w:rsidRPr="00913317">
              <w:rPr>
                <w:szCs w:val="22"/>
                <w:lang w:val="hr-HR"/>
              </w:rPr>
              <w:t xml:space="preserve"> (1)</w:t>
            </w:r>
          </w:p>
        </w:tc>
        <w:tc>
          <w:tcPr>
            <w:tcW w:w="849" w:type="pct"/>
          </w:tcPr>
          <w:p w14:paraId="277C48ED" w14:textId="679F9A8F" w:rsidR="006131C3" w:rsidRPr="00913317" w:rsidRDefault="00895083" w:rsidP="00D72925">
            <w:pPr>
              <w:rPr>
                <w:szCs w:val="22"/>
                <w:lang w:val="hr-HR"/>
              </w:rPr>
            </w:pPr>
            <w:r w:rsidRPr="00913317">
              <w:rPr>
                <w:szCs w:val="22"/>
                <w:lang w:val="hr-HR"/>
              </w:rPr>
              <w:t xml:space="preserve">18,0 </w:t>
            </w:r>
            <w:r w:rsidR="006C3F92" w:rsidRPr="00913317">
              <w:rPr>
                <w:szCs w:val="22"/>
                <w:lang w:val="hr-HR"/>
              </w:rPr>
              <w:t>ml</w:t>
            </w:r>
            <w:r w:rsidRPr="00913317">
              <w:rPr>
                <w:szCs w:val="22"/>
                <w:lang w:val="hr-HR"/>
              </w:rPr>
              <w:t xml:space="preserve"> (1)</w:t>
            </w:r>
          </w:p>
        </w:tc>
        <w:tc>
          <w:tcPr>
            <w:tcW w:w="849" w:type="pct"/>
          </w:tcPr>
          <w:p w14:paraId="6606687D" w14:textId="70F96133" w:rsidR="006131C3" w:rsidRPr="00913317" w:rsidRDefault="00895083" w:rsidP="00D72925">
            <w:pPr>
              <w:rPr>
                <w:szCs w:val="22"/>
                <w:lang w:val="hr-HR"/>
              </w:rPr>
            </w:pPr>
            <w:r w:rsidRPr="00913317">
              <w:rPr>
                <w:szCs w:val="22"/>
                <w:lang w:val="hr-HR"/>
              </w:rPr>
              <w:t xml:space="preserve">24,0 </w:t>
            </w:r>
            <w:r w:rsidR="006C3F92" w:rsidRPr="00913317">
              <w:rPr>
                <w:szCs w:val="22"/>
                <w:lang w:val="hr-HR"/>
              </w:rPr>
              <w:t>ml</w:t>
            </w:r>
            <w:r w:rsidRPr="00913317">
              <w:rPr>
                <w:szCs w:val="22"/>
                <w:lang w:val="hr-HR"/>
              </w:rPr>
              <w:t xml:space="preserve"> (2)</w:t>
            </w:r>
          </w:p>
        </w:tc>
        <w:tc>
          <w:tcPr>
            <w:tcW w:w="849" w:type="pct"/>
          </w:tcPr>
          <w:p w14:paraId="1EE36CB0" w14:textId="2A12C808" w:rsidR="006131C3" w:rsidRPr="00913317" w:rsidRDefault="00895083" w:rsidP="00D72925">
            <w:pPr>
              <w:rPr>
                <w:szCs w:val="22"/>
                <w:lang w:val="hr-HR"/>
              </w:rPr>
            </w:pPr>
            <w:r w:rsidRPr="00913317">
              <w:rPr>
                <w:szCs w:val="22"/>
                <w:lang w:val="hr-HR"/>
              </w:rPr>
              <w:t xml:space="preserve">27,0 </w:t>
            </w:r>
            <w:r w:rsidR="006C3F92" w:rsidRPr="00913317">
              <w:rPr>
                <w:szCs w:val="22"/>
                <w:lang w:val="hr-HR"/>
              </w:rPr>
              <w:t>ml</w:t>
            </w:r>
            <w:r w:rsidRPr="00913317">
              <w:rPr>
                <w:szCs w:val="22"/>
                <w:lang w:val="hr-HR"/>
              </w:rPr>
              <w:t xml:space="preserve"> (2)</w:t>
            </w:r>
          </w:p>
        </w:tc>
      </w:tr>
      <w:tr w:rsidR="00935053" w:rsidRPr="00913317" w14:paraId="691CA018" w14:textId="77777777" w:rsidTr="00723F41">
        <w:tc>
          <w:tcPr>
            <w:tcW w:w="756" w:type="pct"/>
          </w:tcPr>
          <w:p w14:paraId="019A399B" w14:textId="77777777" w:rsidR="006131C3" w:rsidRPr="00913317" w:rsidRDefault="00895083" w:rsidP="00D72925">
            <w:pPr>
              <w:rPr>
                <w:szCs w:val="22"/>
                <w:lang w:val="hr-HR"/>
              </w:rPr>
            </w:pPr>
            <w:r w:rsidRPr="00913317">
              <w:rPr>
                <w:szCs w:val="22"/>
                <w:lang w:val="hr-HR"/>
              </w:rPr>
              <w:t>35</w:t>
            </w:r>
          </w:p>
        </w:tc>
        <w:tc>
          <w:tcPr>
            <w:tcW w:w="849" w:type="pct"/>
          </w:tcPr>
          <w:p w14:paraId="14A0979F" w14:textId="2D90A0F7" w:rsidR="006131C3" w:rsidRPr="00913317" w:rsidRDefault="00895083" w:rsidP="00D72925">
            <w:pPr>
              <w:rPr>
                <w:szCs w:val="22"/>
                <w:lang w:val="hr-HR"/>
              </w:rPr>
            </w:pPr>
            <w:r w:rsidRPr="00913317">
              <w:rPr>
                <w:szCs w:val="22"/>
                <w:lang w:val="hr-HR"/>
              </w:rPr>
              <w:t xml:space="preserve">10,5 </w:t>
            </w:r>
            <w:r w:rsidR="006C3F92" w:rsidRPr="00913317">
              <w:rPr>
                <w:szCs w:val="22"/>
                <w:lang w:val="hr-HR"/>
              </w:rPr>
              <w:t>ml</w:t>
            </w:r>
            <w:r w:rsidRPr="00913317">
              <w:rPr>
                <w:szCs w:val="22"/>
                <w:lang w:val="hr-HR"/>
              </w:rPr>
              <w:t xml:space="preserve"> (1)</w:t>
            </w:r>
          </w:p>
        </w:tc>
        <w:tc>
          <w:tcPr>
            <w:tcW w:w="849" w:type="pct"/>
          </w:tcPr>
          <w:p w14:paraId="6FE57DF6" w14:textId="207BF734" w:rsidR="006131C3" w:rsidRPr="00913317" w:rsidRDefault="00895083" w:rsidP="00D72925">
            <w:pPr>
              <w:rPr>
                <w:szCs w:val="22"/>
                <w:lang w:val="hr-HR"/>
              </w:rPr>
            </w:pPr>
            <w:r w:rsidRPr="00913317">
              <w:rPr>
                <w:szCs w:val="22"/>
                <w:lang w:val="hr-HR"/>
              </w:rPr>
              <w:t xml:space="preserve">14,0 </w:t>
            </w:r>
            <w:r w:rsidR="006C3F92" w:rsidRPr="00913317">
              <w:rPr>
                <w:szCs w:val="22"/>
                <w:lang w:val="hr-HR"/>
              </w:rPr>
              <w:t>ml</w:t>
            </w:r>
            <w:r w:rsidRPr="00913317">
              <w:rPr>
                <w:szCs w:val="22"/>
                <w:lang w:val="hr-HR"/>
              </w:rPr>
              <w:t xml:space="preserve"> (1)</w:t>
            </w:r>
          </w:p>
        </w:tc>
        <w:tc>
          <w:tcPr>
            <w:tcW w:w="849" w:type="pct"/>
          </w:tcPr>
          <w:p w14:paraId="521E2B7B" w14:textId="4EC746B4" w:rsidR="006131C3" w:rsidRPr="00913317" w:rsidRDefault="00895083" w:rsidP="00D72925">
            <w:pPr>
              <w:rPr>
                <w:szCs w:val="22"/>
                <w:lang w:val="hr-HR"/>
              </w:rPr>
            </w:pPr>
            <w:r w:rsidRPr="00913317">
              <w:rPr>
                <w:szCs w:val="22"/>
                <w:lang w:val="hr-HR"/>
              </w:rPr>
              <w:t xml:space="preserve">21,0 </w:t>
            </w:r>
            <w:r w:rsidR="006C3F92" w:rsidRPr="00913317">
              <w:rPr>
                <w:szCs w:val="22"/>
                <w:lang w:val="hr-HR"/>
              </w:rPr>
              <w:t>ml</w:t>
            </w:r>
            <w:r w:rsidRPr="00913317">
              <w:rPr>
                <w:szCs w:val="22"/>
                <w:lang w:val="hr-HR"/>
              </w:rPr>
              <w:t xml:space="preserve"> (2)</w:t>
            </w:r>
          </w:p>
        </w:tc>
        <w:tc>
          <w:tcPr>
            <w:tcW w:w="849" w:type="pct"/>
          </w:tcPr>
          <w:p w14:paraId="6A76FF7F" w14:textId="4DF045CD" w:rsidR="006131C3" w:rsidRPr="00913317" w:rsidRDefault="00895083" w:rsidP="00D72925">
            <w:pPr>
              <w:rPr>
                <w:szCs w:val="22"/>
                <w:lang w:val="hr-HR"/>
              </w:rPr>
            </w:pPr>
            <w:r w:rsidRPr="00913317">
              <w:rPr>
                <w:szCs w:val="22"/>
                <w:lang w:val="hr-HR"/>
              </w:rPr>
              <w:t xml:space="preserve">28,0 </w:t>
            </w:r>
            <w:r w:rsidR="006C3F92" w:rsidRPr="00913317">
              <w:rPr>
                <w:szCs w:val="22"/>
                <w:lang w:val="hr-HR"/>
              </w:rPr>
              <w:t>ml</w:t>
            </w:r>
            <w:r w:rsidRPr="00913317">
              <w:rPr>
                <w:szCs w:val="22"/>
                <w:lang w:val="hr-HR"/>
              </w:rPr>
              <w:t xml:space="preserve"> (2)</w:t>
            </w:r>
          </w:p>
        </w:tc>
        <w:tc>
          <w:tcPr>
            <w:tcW w:w="849" w:type="pct"/>
          </w:tcPr>
          <w:p w14:paraId="7234A7F7" w14:textId="15B29E38" w:rsidR="006131C3" w:rsidRPr="00913317" w:rsidRDefault="00895083" w:rsidP="00D72925">
            <w:pPr>
              <w:rPr>
                <w:szCs w:val="22"/>
                <w:lang w:val="hr-HR"/>
              </w:rPr>
            </w:pPr>
            <w:r w:rsidRPr="00913317">
              <w:rPr>
                <w:szCs w:val="22"/>
                <w:lang w:val="hr-HR"/>
              </w:rPr>
              <w:t xml:space="preserve">31,5 </w:t>
            </w:r>
            <w:r w:rsidR="006C3F92" w:rsidRPr="00913317">
              <w:rPr>
                <w:szCs w:val="22"/>
                <w:lang w:val="hr-HR"/>
              </w:rPr>
              <w:t>ml</w:t>
            </w:r>
            <w:r w:rsidRPr="00913317">
              <w:rPr>
                <w:szCs w:val="22"/>
                <w:lang w:val="hr-HR"/>
              </w:rPr>
              <w:t xml:space="preserve"> (2)</w:t>
            </w:r>
          </w:p>
        </w:tc>
      </w:tr>
      <w:tr w:rsidR="00935053" w:rsidRPr="00913317" w14:paraId="02079999" w14:textId="77777777" w:rsidTr="00723F41">
        <w:tc>
          <w:tcPr>
            <w:tcW w:w="756" w:type="pct"/>
          </w:tcPr>
          <w:p w14:paraId="0A36B22E" w14:textId="77777777" w:rsidR="006131C3" w:rsidRPr="00913317" w:rsidRDefault="00895083" w:rsidP="00D72925">
            <w:pPr>
              <w:rPr>
                <w:szCs w:val="22"/>
                <w:lang w:val="hr-HR"/>
              </w:rPr>
            </w:pPr>
            <w:r w:rsidRPr="00913317">
              <w:rPr>
                <w:szCs w:val="22"/>
                <w:lang w:val="hr-HR"/>
              </w:rPr>
              <w:t>40</w:t>
            </w:r>
          </w:p>
        </w:tc>
        <w:tc>
          <w:tcPr>
            <w:tcW w:w="849" w:type="pct"/>
          </w:tcPr>
          <w:p w14:paraId="6F5E530B" w14:textId="006C8E88" w:rsidR="006131C3" w:rsidRPr="00913317" w:rsidRDefault="00895083" w:rsidP="00D72925">
            <w:pPr>
              <w:rPr>
                <w:szCs w:val="22"/>
                <w:lang w:val="hr-HR"/>
              </w:rPr>
            </w:pPr>
            <w:r w:rsidRPr="00913317">
              <w:rPr>
                <w:szCs w:val="22"/>
                <w:lang w:val="hr-HR"/>
              </w:rPr>
              <w:t xml:space="preserve">12,0 </w:t>
            </w:r>
            <w:r w:rsidR="006C3F92" w:rsidRPr="00913317">
              <w:rPr>
                <w:szCs w:val="22"/>
                <w:lang w:val="hr-HR"/>
              </w:rPr>
              <w:t>ml</w:t>
            </w:r>
            <w:r w:rsidRPr="00913317">
              <w:rPr>
                <w:szCs w:val="22"/>
                <w:lang w:val="hr-HR"/>
              </w:rPr>
              <w:t xml:space="preserve"> (1)</w:t>
            </w:r>
          </w:p>
        </w:tc>
        <w:tc>
          <w:tcPr>
            <w:tcW w:w="849" w:type="pct"/>
          </w:tcPr>
          <w:p w14:paraId="10A4C004" w14:textId="5FA4B61F" w:rsidR="006131C3" w:rsidRPr="00913317" w:rsidRDefault="00895083" w:rsidP="00D72925">
            <w:pPr>
              <w:rPr>
                <w:szCs w:val="22"/>
                <w:lang w:val="hr-HR"/>
              </w:rPr>
            </w:pPr>
            <w:r w:rsidRPr="00913317">
              <w:rPr>
                <w:szCs w:val="22"/>
                <w:lang w:val="hr-HR"/>
              </w:rPr>
              <w:t xml:space="preserve">16,0 </w:t>
            </w:r>
            <w:r w:rsidR="006C3F92" w:rsidRPr="00913317">
              <w:rPr>
                <w:szCs w:val="22"/>
                <w:lang w:val="hr-HR"/>
              </w:rPr>
              <w:t>ml</w:t>
            </w:r>
            <w:r w:rsidRPr="00913317">
              <w:rPr>
                <w:szCs w:val="22"/>
                <w:lang w:val="hr-HR"/>
              </w:rPr>
              <w:t xml:space="preserve"> (1)</w:t>
            </w:r>
          </w:p>
        </w:tc>
        <w:tc>
          <w:tcPr>
            <w:tcW w:w="849" w:type="pct"/>
          </w:tcPr>
          <w:p w14:paraId="1B67060A" w14:textId="4CEB9E60" w:rsidR="006131C3" w:rsidRPr="00913317" w:rsidRDefault="00895083" w:rsidP="00D72925">
            <w:pPr>
              <w:rPr>
                <w:szCs w:val="22"/>
                <w:lang w:val="hr-HR"/>
              </w:rPr>
            </w:pPr>
            <w:r w:rsidRPr="00913317">
              <w:rPr>
                <w:szCs w:val="22"/>
                <w:lang w:val="hr-HR"/>
              </w:rPr>
              <w:t xml:space="preserve">24,0 </w:t>
            </w:r>
            <w:r w:rsidR="006C3F92" w:rsidRPr="00913317">
              <w:rPr>
                <w:szCs w:val="22"/>
                <w:lang w:val="hr-HR"/>
              </w:rPr>
              <w:t>ml</w:t>
            </w:r>
            <w:r w:rsidRPr="00913317">
              <w:rPr>
                <w:szCs w:val="22"/>
                <w:lang w:val="hr-HR"/>
              </w:rPr>
              <w:t xml:space="preserve"> (2)</w:t>
            </w:r>
          </w:p>
        </w:tc>
        <w:tc>
          <w:tcPr>
            <w:tcW w:w="849" w:type="pct"/>
          </w:tcPr>
          <w:p w14:paraId="5A5F6408" w14:textId="0627A963" w:rsidR="006131C3" w:rsidRPr="00913317" w:rsidRDefault="00895083" w:rsidP="00D72925">
            <w:pPr>
              <w:rPr>
                <w:szCs w:val="22"/>
                <w:lang w:val="hr-HR"/>
              </w:rPr>
            </w:pPr>
            <w:r w:rsidRPr="00913317">
              <w:rPr>
                <w:szCs w:val="22"/>
                <w:lang w:val="hr-HR"/>
              </w:rPr>
              <w:t xml:space="preserve">32,0 </w:t>
            </w:r>
            <w:r w:rsidR="006C3F92" w:rsidRPr="00913317">
              <w:rPr>
                <w:szCs w:val="22"/>
                <w:lang w:val="hr-HR"/>
              </w:rPr>
              <w:t>ml</w:t>
            </w:r>
            <w:r w:rsidRPr="00913317">
              <w:rPr>
                <w:szCs w:val="22"/>
                <w:lang w:val="hr-HR"/>
              </w:rPr>
              <w:t xml:space="preserve"> (2)</w:t>
            </w:r>
          </w:p>
        </w:tc>
        <w:tc>
          <w:tcPr>
            <w:tcW w:w="849" w:type="pct"/>
          </w:tcPr>
          <w:p w14:paraId="188D5BCE" w14:textId="3A99ECA5" w:rsidR="006131C3" w:rsidRPr="00913317" w:rsidRDefault="00895083" w:rsidP="00D72925">
            <w:pPr>
              <w:rPr>
                <w:szCs w:val="22"/>
                <w:lang w:val="hr-HR"/>
              </w:rPr>
            </w:pPr>
            <w:r w:rsidRPr="00913317">
              <w:rPr>
                <w:szCs w:val="22"/>
                <w:lang w:val="hr-HR"/>
              </w:rPr>
              <w:t xml:space="preserve">36,0 </w:t>
            </w:r>
            <w:r w:rsidR="006C3F92" w:rsidRPr="00913317">
              <w:rPr>
                <w:szCs w:val="22"/>
                <w:lang w:val="hr-HR"/>
              </w:rPr>
              <w:t>ml</w:t>
            </w:r>
            <w:r w:rsidRPr="00913317">
              <w:rPr>
                <w:szCs w:val="22"/>
                <w:lang w:val="hr-HR"/>
              </w:rPr>
              <w:t xml:space="preserve"> (2)</w:t>
            </w:r>
          </w:p>
        </w:tc>
      </w:tr>
      <w:tr w:rsidR="00935053" w:rsidRPr="00913317" w14:paraId="104AF4CE" w14:textId="77777777" w:rsidTr="00723F41">
        <w:tc>
          <w:tcPr>
            <w:tcW w:w="756" w:type="pct"/>
          </w:tcPr>
          <w:p w14:paraId="789C390D" w14:textId="77777777" w:rsidR="006131C3" w:rsidRPr="00913317" w:rsidRDefault="00895083" w:rsidP="00D72925">
            <w:pPr>
              <w:rPr>
                <w:szCs w:val="22"/>
                <w:lang w:val="hr-HR"/>
              </w:rPr>
            </w:pPr>
            <w:r w:rsidRPr="00913317">
              <w:rPr>
                <w:szCs w:val="22"/>
                <w:lang w:val="hr-HR"/>
              </w:rPr>
              <w:t>45</w:t>
            </w:r>
          </w:p>
        </w:tc>
        <w:tc>
          <w:tcPr>
            <w:tcW w:w="849" w:type="pct"/>
          </w:tcPr>
          <w:p w14:paraId="1C45A9F4" w14:textId="3E1839D4" w:rsidR="006131C3" w:rsidRPr="00913317" w:rsidRDefault="00895083" w:rsidP="00D72925">
            <w:pPr>
              <w:rPr>
                <w:szCs w:val="22"/>
                <w:lang w:val="hr-HR"/>
              </w:rPr>
            </w:pPr>
            <w:r w:rsidRPr="00913317">
              <w:rPr>
                <w:szCs w:val="22"/>
                <w:lang w:val="hr-HR"/>
              </w:rPr>
              <w:t xml:space="preserve">13,5 </w:t>
            </w:r>
            <w:r w:rsidR="006C3F92" w:rsidRPr="00913317">
              <w:rPr>
                <w:szCs w:val="22"/>
                <w:lang w:val="hr-HR"/>
              </w:rPr>
              <w:t>ml</w:t>
            </w:r>
            <w:r w:rsidRPr="00913317">
              <w:rPr>
                <w:szCs w:val="22"/>
                <w:lang w:val="hr-HR"/>
              </w:rPr>
              <w:t xml:space="preserve"> (1)</w:t>
            </w:r>
          </w:p>
        </w:tc>
        <w:tc>
          <w:tcPr>
            <w:tcW w:w="849" w:type="pct"/>
          </w:tcPr>
          <w:p w14:paraId="3795B435" w14:textId="426F4339" w:rsidR="006131C3" w:rsidRPr="00913317" w:rsidRDefault="00895083" w:rsidP="00D72925">
            <w:pPr>
              <w:rPr>
                <w:szCs w:val="22"/>
                <w:lang w:val="hr-HR"/>
              </w:rPr>
            </w:pPr>
            <w:r w:rsidRPr="00913317">
              <w:rPr>
                <w:szCs w:val="22"/>
                <w:lang w:val="hr-HR"/>
              </w:rPr>
              <w:t xml:space="preserve">18,0 </w:t>
            </w:r>
            <w:r w:rsidR="006C3F92" w:rsidRPr="00913317">
              <w:rPr>
                <w:szCs w:val="22"/>
                <w:lang w:val="hr-HR"/>
              </w:rPr>
              <w:t>ml</w:t>
            </w:r>
            <w:r w:rsidRPr="00913317">
              <w:rPr>
                <w:szCs w:val="22"/>
                <w:lang w:val="hr-HR"/>
              </w:rPr>
              <w:t xml:space="preserve"> (1)</w:t>
            </w:r>
          </w:p>
        </w:tc>
        <w:tc>
          <w:tcPr>
            <w:tcW w:w="849" w:type="pct"/>
          </w:tcPr>
          <w:p w14:paraId="052F226F" w14:textId="4172A6F1" w:rsidR="006131C3" w:rsidRPr="00913317" w:rsidRDefault="00895083" w:rsidP="00D72925">
            <w:pPr>
              <w:rPr>
                <w:szCs w:val="22"/>
                <w:lang w:val="hr-HR"/>
              </w:rPr>
            </w:pPr>
            <w:r w:rsidRPr="00913317">
              <w:rPr>
                <w:szCs w:val="22"/>
                <w:lang w:val="hr-HR"/>
              </w:rPr>
              <w:t xml:space="preserve">27,0 </w:t>
            </w:r>
            <w:r w:rsidR="006C3F92" w:rsidRPr="00913317">
              <w:rPr>
                <w:szCs w:val="22"/>
                <w:lang w:val="hr-HR"/>
              </w:rPr>
              <w:t>ml</w:t>
            </w:r>
            <w:r w:rsidRPr="00913317">
              <w:rPr>
                <w:szCs w:val="22"/>
                <w:lang w:val="hr-HR"/>
              </w:rPr>
              <w:t xml:space="preserve"> (2)</w:t>
            </w:r>
          </w:p>
        </w:tc>
        <w:tc>
          <w:tcPr>
            <w:tcW w:w="849" w:type="pct"/>
          </w:tcPr>
          <w:p w14:paraId="7C48B33E" w14:textId="667B3F18" w:rsidR="006131C3" w:rsidRPr="00913317" w:rsidRDefault="00895083" w:rsidP="00D72925">
            <w:pPr>
              <w:rPr>
                <w:szCs w:val="22"/>
                <w:lang w:val="hr-HR"/>
              </w:rPr>
            </w:pPr>
            <w:r w:rsidRPr="00913317">
              <w:rPr>
                <w:szCs w:val="22"/>
                <w:lang w:val="hr-HR"/>
              </w:rPr>
              <w:t xml:space="preserve">36,0 </w:t>
            </w:r>
            <w:r w:rsidR="006C3F92" w:rsidRPr="00913317">
              <w:rPr>
                <w:szCs w:val="22"/>
                <w:lang w:val="hr-HR"/>
              </w:rPr>
              <w:t>ml</w:t>
            </w:r>
            <w:r w:rsidRPr="00913317">
              <w:rPr>
                <w:szCs w:val="22"/>
                <w:lang w:val="hr-HR"/>
              </w:rPr>
              <w:t xml:space="preserve"> (2)</w:t>
            </w:r>
          </w:p>
        </w:tc>
        <w:tc>
          <w:tcPr>
            <w:tcW w:w="849" w:type="pct"/>
          </w:tcPr>
          <w:p w14:paraId="0C115733" w14:textId="213069DE" w:rsidR="006131C3" w:rsidRPr="00913317" w:rsidRDefault="00895083" w:rsidP="00D72925">
            <w:pPr>
              <w:rPr>
                <w:szCs w:val="22"/>
                <w:lang w:val="hr-HR"/>
              </w:rPr>
            </w:pPr>
            <w:r w:rsidRPr="00913317">
              <w:rPr>
                <w:szCs w:val="22"/>
                <w:lang w:val="hr-HR"/>
              </w:rPr>
              <w:t xml:space="preserve">40,5 </w:t>
            </w:r>
            <w:r w:rsidR="006C3F92" w:rsidRPr="00913317">
              <w:rPr>
                <w:szCs w:val="22"/>
                <w:lang w:val="hr-HR"/>
              </w:rPr>
              <w:t>ml</w:t>
            </w:r>
            <w:r w:rsidRPr="00913317">
              <w:rPr>
                <w:szCs w:val="22"/>
                <w:lang w:val="hr-HR"/>
              </w:rPr>
              <w:t xml:space="preserve"> (3)</w:t>
            </w:r>
          </w:p>
        </w:tc>
      </w:tr>
      <w:tr w:rsidR="00935053" w:rsidRPr="00913317" w14:paraId="040BA1A5" w14:textId="77777777" w:rsidTr="00723F41">
        <w:tc>
          <w:tcPr>
            <w:tcW w:w="756" w:type="pct"/>
          </w:tcPr>
          <w:p w14:paraId="269E3BEF" w14:textId="77777777" w:rsidR="006131C3" w:rsidRPr="00913317" w:rsidRDefault="00895083" w:rsidP="00D72925">
            <w:pPr>
              <w:rPr>
                <w:szCs w:val="22"/>
                <w:lang w:val="hr-HR"/>
              </w:rPr>
            </w:pPr>
            <w:r w:rsidRPr="00913317">
              <w:rPr>
                <w:szCs w:val="22"/>
                <w:lang w:val="hr-HR"/>
              </w:rPr>
              <w:t>50</w:t>
            </w:r>
          </w:p>
        </w:tc>
        <w:tc>
          <w:tcPr>
            <w:tcW w:w="849" w:type="pct"/>
          </w:tcPr>
          <w:p w14:paraId="1F6E030A" w14:textId="595A1D93" w:rsidR="006131C3" w:rsidRPr="00913317" w:rsidRDefault="00895083" w:rsidP="00D72925">
            <w:pPr>
              <w:rPr>
                <w:szCs w:val="22"/>
                <w:lang w:val="hr-HR"/>
              </w:rPr>
            </w:pPr>
            <w:r w:rsidRPr="00913317">
              <w:rPr>
                <w:szCs w:val="22"/>
                <w:lang w:val="hr-HR"/>
              </w:rPr>
              <w:t xml:space="preserve">15,0 </w:t>
            </w:r>
            <w:r w:rsidR="006C3F92" w:rsidRPr="00913317">
              <w:rPr>
                <w:szCs w:val="22"/>
                <w:lang w:val="hr-HR"/>
              </w:rPr>
              <w:t>ml</w:t>
            </w:r>
            <w:r w:rsidRPr="00913317">
              <w:rPr>
                <w:szCs w:val="22"/>
                <w:lang w:val="hr-HR"/>
              </w:rPr>
              <w:t xml:space="preserve"> (1)</w:t>
            </w:r>
          </w:p>
        </w:tc>
        <w:tc>
          <w:tcPr>
            <w:tcW w:w="849" w:type="pct"/>
          </w:tcPr>
          <w:p w14:paraId="5A77477C" w14:textId="712D6585" w:rsidR="006131C3" w:rsidRPr="00913317" w:rsidRDefault="00895083" w:rsidP="00D72925">
            <w:pPr>
              <w:rPr>
                <w:szCs w:val="22"/>
                <w:lang w:val="hr-HR"/>
              </w:rPr>
            </w:pPr>
            <w:r w:rsidRPr="00913317">
              <w:rPr>
                <w:szCs w:val="22"/>
                <w:lang w:val="hr-HR"/>
              </w:rPr>
              <w:t xml:space="preserve">20,0 </w:t>
            </w:r>
            <w:r w:rsidR="006C3F92" w:rsidRPr="00913317">
              <w:rPr>
                <w:szCs w:val="22"/>
                <w:lang w:val="hr-HR"/>
              </w:rPr>
              <w:t>ml</w:t>
            </w:r>
            <w:r w:rsidRPr="00913317">
              <w:rPr>
                <w:szCs w:val="22"/>
                <w:lang w:val="hr-HR"/>
              </w:rPr>
              <w:t xml:space="preserve"> (1)</w:t>
            </w:r>
          </w:p>
        </w:tc>
        <w:tc>
          <w:tcPr>
            <w:tcW w:w="849" w:type="pct"/>
          </w:tcPr>
          <w:p w14:paraId="2CFE4A5F" w14:textId="759C8657" w:rsidR="006131C3" w:rsidRPr="00913317" w:rsidRDefault="00895083" w:rsidP="00D72925">
            <w:pPr>
              <w:rPr>
                <w:szCs w:val="22"/>
                <w:lang w:val="hr-HR"/>
              </w:rPr>
            </w:pPr>
            <w:r w:rsidRPr="00913317">
              <w:rPr>
                <w:szCs w:val="22"/>
                <w:lang w:val="hr-HR"/>
              </w:rPr>
              <w:t xml:space="preserve">30,0 </w:t>
            </w:r>
            <w:r w:rsidR="006C3F92" w:rsidRPr="00913317">
              <w:rPr>
                <w:szCs w:val="22"/>
                <w:lang w:val="hr-HR"/>
              </w:rPr>
              <w:t>ml</w:t>
            </w:r>
            <w:r w:rsidRPr="00913317">
              <w:rPr>
                <w:szCs w:val="22"/>
                <w:lang w:val="hr-HR"/>
              </w:rPr>
              <w:t xml:space="preserve"> (2)</w:t>
            </w:r>
          </w:p>
        </w:tc>
        <w:tc>
          <w:tcPr>
            <w:tcW w:w="849" w:type="pct"/>
          </w:tcPr>
          <w:p w14:paraId="3277EEB0" w14:textId="10DAAE85" w:rsidR="006131C3" w:rsidRPr="00913317" w:rsidRDefault="00895083" w:rsidP="00D72925">
            <w:pPr>
              <w:rPr>
                <w:szCs w:val="22"/>
                <w:lang w:val="hr-HR"/>
              </w:rPr>
            </w:pPr>
            <w:r w:rsidRPr="00913317">
              <w:rPr>
                <w:szCs w:val="22"/>
                <w:lang w:val="hr-HR"/>
              </w:rPr>
              <w:t xml:space="preserve">40,0 </w:t>
            </w:r>
            <w:r w:rsidR="006C3F92" w:rsidRPr="00913317">
              <w:rPr>
                <w:szCs w:val="22"/>
                <w:lang w:val="hr-HR"/>
              </w:rPr>
              <w:t>ml</w:t>
            </w:r>
            <w:r w:rsidRPr="00913317">
              <w:rPr>
                <w:szCs w:val="22"/>
                <w:lang w:val="hr-HR"/>
              </w:rPr>
              <w:t xml:space="preserve"> (2)</w:t>
            </w:r>
          </w:p>
        </w:tc>
        <w:tc>
          <w:tcPr>
            <w:tcW w:w="849" w:type="pct"/>
          </w:tcPr>
          <w:p w14:paraId="3E0C970D" w14:textId="3065E1FC" w:rsidR="006131C3" w:rsidRPr="00913317" w:rsidRDefault="00895083" w:rsidP="00D72925">
            <w:pPr>
              <w:rPr>
                <w:szCs w:val="22"/>
                <w:lang w:val="hr-HR"/>
              </w:rPr>
            </w:pPr>
            <w:r w:rsidRPr="00913317">
              <w:rPr>
                <w:szCs w:val="22"/>
                <w:lang w:val="hr-HR"/>
              </w:rPr>
              <w:t xml:space="preserve">45,0 </w:t>
            </w:r>
            <w:r w:rsidR="006C3F92" w:rsidRPr="00913317">
              <w:rPr>
                <w:szCs w:val="22"/>
                <w:lang w:val="hr-HR"/>
              </w:rPr>
              <w:t>ml</w:t>
            </w:r>
            <w:r w:rsidRPr="00913317">
              <w:rPr>
                <w:szCs w:val="22"/>
                <w:lang w:val="hr-HR"/>
              </w:rPr>
              <w:t xml:space="preserve"> (3)</w:t>
            </w:r>
          </w:p>
        </w:tc>
      </w:tr>
      <w:tr w:rsidR="00935053" w:rsidRPr="00913317" w14:paraId="75C3FF4A" w14:textId="77777777" w:rsidTr="00723F41">
        <w:tc>
          <w:tcPr>
            <w:tcW w:w="756" w:type="pct"/>
          </w:tcPr>
          <w:p w14:paraId="4D44FB33" w14:textId="77777777" w:rsidR="006131C3" w:rsidRPr="00913317" w:rsidRDefault="00895083" w:rsidP="00D72925">
            <w:pPr>
              <w:rPr>
                <w:szCs w:val="22"/>
                <w:lang w:val="hr-HR"/>
              </w:rPr>
            </w:pPr>
            <w:r w:rsidRPr="00913317">
              <w:rPr>
                <w:szCs w:val="22"/>
                <w:lang w:val="hr-HR"/>
              </w:rPr>
              <w:t>55</w:t>
            </w:r>
          </w:p>
        </w:tc>
        <w:tc>
          <w:tcPr>
            <w:tcW w:w="849" w:type="pct"/>
          </w:tcPr>
          <w:p w14:paraId="6A65BF92" w14:textId="4F9B46D4" w:rsidR="006131C3" w:rsidRPr="00913317" w:rsidRDefault="00895083" w:rsidP="00D72925">
            <w:pPr>
              <w:rPr>
                <w:szCs w:val="22"/>
                <w:lang w:val="hr-HR"/>
              </w:rPr>
            </w:pPr>
            <w:r w:rsidRPr="00913317">
              <w:rPr>
                <w:szCs w:val="22"/>
                <w:lang w:val="hr-HR"/>
              </w:rPr>
              <w:t xml:space="preserve">16,5 </w:t>
            </w:r>
            <w:r w:rsidR="006C3F92" w:rsidRPr="00913317">
              <w:rPr>
                <w:szCs w:val="22"/>
                <w:lang w:val="hr-HR"/>
              </w:rPr>
              <w:t>ml</w:t>
            </w:r>
            <w:r w:rsidRPr="00913317">
              <w:rPr>
                <w:szCs w:val="22"/>
                <w:lang w:val="hr-HR"/>
              </w:rPr>
              <w:t xml:space="preserve"> (1)</w:t>
            </w:r>
          </w:p>
        </w:tc>
        <w:tc>
          <w:tcPr>
            <w:tcW w:w="849" w:type="pct"/>
          </w:tcPr>
          <w:p w14:paraId="5C734165" w14:textId="12F91B65" w:rsidR="006131C3" w:rsidRPr="00913317" w:rsidRDefault="00895083" w:rsidP="00D72925">
            <w:pPr>
              <w:rPr>
                <w:szCs w:val="22"/>
                <w:lang w:val="hr-HR"/>
              </w:rPr>
            </w:pPr>
            <w:r w:rsidRPr="00913317">
              <w:rPr>
                <w:szCs w:val="22"/>
                <w:lang w:val="hr-HR"/>
              </w:rPr>
              <w:t xml:space="preserve">22,0 </w:t>
            </w:r>
            <w:r w:rsidR="006C3F92" w:rsidRPr="00913317">
              <w:rPr>
                <w:szCs w:val="22"/>
                <w:lang w:val="hr-HR"/>
              </w:rPr>
              <w:t>ml</w:t>
            </w:r>
            <w:r w:rsidRPr="00913317">
              <w:rPr>
                <w:szCs w:val="22"/>
                <w:lang w:val="hr-HR"/>
              </w:rPr>
              <w:t xml:space="preserve"> (2)</w:t>
            </w:r>
          </w:p>
        </w:tc>
        <w:tc>
          <w:tcPr>
            <w:tcW w:w="849" w:type="pct"/>
          </w:tcPr>
          <w:p w14:paraId="4CA0951C" w14:textId="799CA623" w:rsidR="006131C3" w:rsidRPr="00913317" w:rsidRDefault="00895083" w:rsidP="00D72925">
            <w:pPr>
              <w:rPr>
                <w:szCs w:val="22"/>
                <w:lang w:val="hr-HR"/>
              </w:rPr>
            </w:pPr>
            <w:r w:rsidRPr="00913317">
              <w:rPr>
                <w:szCs w:val="22"/>
                <w:lang w:val="hr-HR"/>
              </w:rPr>
              <w:t xml:space="preserve">33,0 </w:t>
            </w:r>
            <w:r w:rsidR="006C3F92" w:rsidRPr="00913317">
              <w:rPr>
                <w:szCs w:val="22"/>
                <w:lang w:val="hr-HR"/>
              </w:rPr>
              <w:t>ml</w:t>
            </w:r>
            <w:r w:rsidRPr="00913317">
              <w:rPr>
                <w:szCs w:val="22"/>
                <w:lang w:val="hr-HR"/>
              </w:rPr>
              <w:t xml:space="preserve"> (2)</w:t>
            </w:r>
          </w:p>
        </w:tc>
        <w:tc>
          <w:tcPr>
            <w:tcW w:w="849" w:type="pct"/>
          </w:tcPr>
          <w:p w14:paraId="47852FB5" w14:textId="099E929E" w:rsidR="006131C3" w:rsidRPr="00913317" w:rsidRDefault="00895083" w:rsidP="00D72925">
            <w:pPr>
              <w:rPr>
                <w:szCs w:val="22"/>
                <w:lang w:val="hr-HR"/>
              </w:rPr>
            </w:pPr>
            <w:r w:rsidRPr="00913317">
              <w:rPr>
                <w:szCs w:val="22"/>
                <w:lang w:val="hr-HR"/>
              </w:rPr>
              <w:t xml:space="preserve">44,0 </w:t>
            </w:r>
            <w:r w:rsidR="006C3F92" w:rsidRPr="00913317">
              <w:rPr>
                <w:szCs w:val="22"/>
                <w:lang w:val="hr-HR"/>
              </w:rPr>
              <w:t>ml</w:t>
            </w:r>
            <w:r w:rsidRPr="00913317">
              <w:rPr>
                <w:szCs w:val="22"/>
                <w:lang w:val="hr-HR"/>
              </w:rPr>
              <w:t xml:space="preserve"> (3)</w:t>
            </w:r>
          </w:p>
        </w:tc>
        <w:tc>
          <w:tcPr>
            <w:tcW w:w="849" w:type="pct"/>
          </w:tcPr>
          <w:p w14:paraId="5B84191B" w14:textId="236B5B4B" w:rsidR="006131C3" w:rsidRPr="00913317" w:rsidRDefault="00895083" w:rsidP="00D72925">
            <w:pPr>
              <w:rPr>
                <w:szCs w:val="22"/>
                <w:lang w:val="hr-HR"/>
              </w:rPr>
            </w:pPr>
            <w:r w:rsidRPr="00913317">
              <w:rPr>
                <w:szCs w:val="22"/>
                <w:lang w:val="hr-HR"/>
              </w:rPr>
              <w:t xml:space="preserve">49,5 </w:t>
            </w:r>
            <w:r w:rsidR="006C3F92" w:rsidRPr="00913317">
              <w:rPr>
                <w:szCs w:val="22"/>
                <w:lang w:val="hr-HR"/>
              </w:rPr>
              <w:t>ml</w:t>
            </w:r>
            <w:r w:rsidRPr="00913317">
              <w:rPr>
                <w:szCs w:val="22"/>
                <w:lang w:val="hr-HR"/>
              </w:rPr>
              <w:t xml:space="preserve"> (3)</w:t>
            </w:r>
          </w:p>
        </w:tc>
      </w:tr>
      <w:tr w:rsidR="00935053" w:rsidRPr="00913317" w14:paraId="1E15FFD4" w14:textId="77777777" w:rsidTr="00723F41">
        <w:tc>
          <w:tcPr>
            <w:tcW w:w="756" w:type="pct"/>
          </w:tcPr>
          <w:p w14:paraId="7B25BBF4" w14:textId="77777777" w:rsidR="006131C3" w:rsidRPr="00913317" w:rsidRDefault="00895083" w:rsidP="00D72925">
            <w:pPr>
              <w:rPr>
                <w:szCs w:val="22"/>
                <w:lang w:val="hr-HR"/>
              </w:rPr>
            </w:pPr>
            <w:r w:rsidRPr="00913317">
              <w:rPr>
                <w:szCs w:val="22"/>
                <w:lang w:val="hr-HR"/>
              </w:rPr>
              <w:t>60</w:t>
            </w:r>
          </w:p>
        </w:tc>
        <w:tc>
          <w:tcPr>
            <w:tcW w:w="849" w:type="pct"/>
          </w:tcPr>
          <w:p w14:paraId="71A88C6E" w14:textId="6899FFF2" w:rsidR="006131C3" w:rsidRPr="00913317" w:rsidRDefault="00895083" w:rsidP="00D72925">
            <w:pPr>
              <w:rPr>
                <w:szCs w:val="22"/>
                <w:lang w:val="hr-HR"/>
              </w:rPr>
            </w:pPr>
            <w:r w:rsidRPr="00913317">
              <w:rPr>
                <w:szCs w:val="22"/>
                <w:lang w:val="hr-HR"/>
              </w:rPr>
              <w:t xml:space="preserve">18,0 </w:t>
            </w:r>
            <w:r w:rsidR="006C3F92" w:rsidRPr="00913317">
              <w:rPr>
                <w:szCs w:val="22"/>
                <w:lang w:val="hr-HR"/>
              </w:rPr>
              <w:t>ml</w:t>
            </w:r>
            <w:r w:rsidRPr="00913317">
              <w:rPr>
                <w:szCs w:val="22"/>
                <w:lang w:val="hr-HR"/>
              </w:rPr>
              <w:t xml:space="preserve"> (1)</w:t>
            </w:r>
          </w:p>
        </w:tc>
        <w:tc>
          <w:tcPr>
            <w:tcW w:w="849" w:type="pct"/>
          </w:tcPr>
          <w:p w14:paraId="6A203D7D" w14:textId="76FCCD7D" w:rsidR="006131C3" w:rsidRPr="00913317" w:rsidRDefault="00895083" w:rsidP="00D72925">
            <w:pPr>
              <w:rPr>
                <w:szCs w:val="22"/>
                <w:lang w:val="hr-HR"/>
              </w:rPr>
            </w:pPr>
            <w:r w:rsidRPr="00913317">
              <w:rPr>
                <w:szCs w:val="22"/>
                <w:lang w:val="hr-HR"/>
              </w:rPr>
              <w:t xml:space="preserve">24,0 </w:t>
            </w:r>
            <w:r w:rsidR="006C3F92" w:rsidRPr="00913317">
              <w:rPr>
                <w:szCs w:val="22"/>
                <w:lang w:val="hr-HR"/>
              </w:rPr>
              <w:t>ml</w:t>
            </w:r>
            <w:r w:rsidRPr="00913317">
              <w:rPr>
                <w:szCs w:val="22"/>
                <w:lang w:val="hr-HR"/>
              </w:rPr>
              <w:t xml:space="preserve"> (2)</w:t>
            </w:r>
          </w:p>
        </w:tc>
        <w:tc>
          <w:tcPr>
            <w:tcW w:w="849" w:type="pct"/>
          </w:tcPr>
          <w:p w14:paraId="71E3C30B" w14:textId="5B6427CC" w:rsidR="006131C3" w:rsidRPr="00913317" w:rsidRDefault="00895083" w:rsidP="00D72925">
            <w:pPr>
              <w:rPr>
                <w:szCs w:val="22"/>
                <w:lang w:val="hr-HR"/>
              </w:rPr>
            </w:pPr>
            <w:r w:rsidRPr="00913317">
              <w:rPr>
                <w:szCs w:val="22"/>
                <w:lang w:val="hr-HR"/>
              </w:rPr>
              <w:t xml:space="preserve">36,0 </w:t>
            </w:r>
            <w:r w:rsidR="006C3F92" w:rsidRPr="00913317">
              <w:rPr>
                <w:szCs w:val="22"/>
                <w:lang w:val="hr-HR"/>
              </w:rPr>
              <w:t>ml</w:t>
            </w:r>
            <w:r w:rsidRPr="00913317">
              <w:rPr>
                <w:szCs w:val="22"/>
                <w:lang w:val="hr-HR"/>
              </w:rPr>
              <w:t xml:space="preserve"> (2)</w:t>
            </w:r>
          </w:p>
        </w:tc>
        <w:tc>
          <w:tcPr>
            <w:tcW w:w="849" w:type="pct"/>
          </w:tcPr>
          <w:p w14:paraId="49BE66A5" w14:textId="2C57B2D3" w:rsidR="006131C3" w:rsidRPr="00913317" w:rsidRDefault="00895083" w:rsidP="00D72925">
            <w:pPr>
              <w:rPr>
                <w:szCs w:val="22"/>
                <w:lang w:val="hr-HR"/>
              </w:rPr>
            </w:pPr>
            <w:r w:rsidRPr="00913317">
              <w:rPr>
                <w:szCs w:val="22"/>
                <w:lang w:val="hr-HR"/>
              </w:rPr>
              <w:t xml:space="preserve">48,0 </w:t>
            </w:r>
            <w:r w:rsidR="006C3F92" w:rsidRPr="00913317">
              <w:rPr>
                <w:szCs w:val="22"/>
                <w:lang w:val="hr-HR"/>
              </w:rPr>
              <w:t>ml</w:t>
            </w:r>
            <w:r w:rsidRPr="00913317">
              <w:rPr>
                <w:szCs w:val="22"/>
                <w:lang w:val="hr-HR"/>
              </w:rPr>
              <w:t xml:space="preserve"> (3)</w:t>
            </w:r>
          </w:p>
        </w:tc>
        <w:tc>
          <w:tcPr>
            <w:tcW w:w="849" w:type="pct"/>
          </w:tcPr>
          <w:p w14:paraId="2874A621" w14:textId="3B7409D7" w:rsidR="006131C3" w:rsidRPr="00913317" w:rsidRDefault="00895083" w:rsidP="00D72925">
            <w:pPr>
              <w:rPr>
                <w:szCs w:val="22"/>
                <w:lang w:val="hr-HR"/>
              </w:rPr>
            </w:pPr>
            <w:r w:rsidRPr="00913317">
              <w:rPr>
                <w:szCs w:val="22"/>
                <w:lang w:val="hr-HR"/>
              </w:rPr>
              <w:t xml:space="preserve">54,0 </w:t>
            </w:r>
            <w:r w:rsidR="006C3F92" w:rsidRPr="00913317">
              <w:rPr>
                <w:szCs w:val="22"/>
                <w:lang w:val="hr-HR"/>
              </w:rPr>
              <w:t>ml</w:t>
            </w:r>
            <w:r w:rsidRPr="00913317">
              <w:rPr>
                <w:szCs w:val="22"/>
                <w:lang w:val="hr-HR"/>
              </w:rPr>
              <w:t xml:space="preserve"> (3)</w:t>
            </w:r>
          </w:p>
        </w:tc>
      </w:tr>
      <w:tr w:rsidR="00935053" w:rsidRPr="00913317" w14:paraId="4379537B" w14:textId="77777777" w:rsidTr="00723F41">
        <w:tc>
          <w:tcPr>
            <w:tcW w:w="756" w:type="pct"/>
          </w:tcPr>
          <w:p w14:paraId="4D043890" w14:textId="77777777" w:rsidR="006131C3" w:rsidRPr="00913317" w:rsidRDefault="00895083" w:rsidP="00D72925">
            <w:pPr>
              <w:rPr>
                <w:szCs w:val="22"/>
                <w:lang w:val="hr-HR"/>
              </w:rPr>
            </w:pPr>
            <w:r w:rsidRPr="00913317">
              <w:rPr>
                <w:szCs w:val="22"/>
                <w:lang w:val="hr-HR"/>
              </w:rPr>
              <w:t>65</w:t>
            </w:r>
          </w:p>
        </w:tc>
        <w:tc>
          <w:tcPr>
            <w:tcW w:w="849" w:type="pct"/>
          </w:tcPr>
          <w:p w14:paraId="35FAD045" w14:textId="6DAA57FE" w:rsidR="006131C3" w:rsidRPr="00913317" w:rsidRDefault="00895083" w:rsidP="00D72925">
            <w:pPr>
              <w:rPr>
                <w:szCs w:val="22"/>
                <w:lang w:val="hr-HR"/>
              </w:rPr>
            </w:pPr>
            <w:r w:rsidRPr="00913317">
              <w:rPr>
                <w:szCs w:val="22"/>
                <w:lang w:val="hr-HR"/>
              </w:rPr>
              <w:t xml:space="preserve">19,5 </w:t>
            </w:r>
            <w:r w:rsidR="006C3F92" w:rsidRPr="00913317">
              <w:rPr>
                <w:szCs w:val="22"/>
                <w:lang w:val="hr-HR"/>
              </w:rPr>
              <w:t>ml</w:t>
            </w:r>
            <w:r w:rsidRPr="00913317">
              <w:rPr>
                <w:szCs w:val="22"/>
                <w:lang w:val="hr-HR"/>
              </w:rPr>
              <w:t xml:space="preserve"> (1)</w:t>
            </w:r>
          </w:p>
        </w:tc>
        <w:tc>
          <w:tcPr>
            <w:tcW w:w="849" w:type="pct"/>
          </w:tcPr>
          <w:p w14:paraId="7214A661" w14:textId="3AFE91C7" w:rsidR="006131C3" w:rsidRPr="00913317" w:rsidRDefault="00895083" w:rsidP="00D72925">
            <w:pPr>
              <w:rPr>
                <w:szCs w:val="22"/>
                <w:lang w:val="hr-HR"/>
              </w:rPr>
            </w:pPr>
            <w:r w:rsidRPr="00913317">
              <w:rPr>
                <w:szCs w:val="22"/>
                <w:lang w:val="hr-HR"/>
              </w:rPr>
              <w:t xml:space="preserve">26,0 </w:t>
            </w:r>
            <w:r w:rsidR="006C3F92" w:rsidRPr="00913317">
              <w:rPr>
                <w:szCs w:val="22"/>
                <w:lang w:val="hr-HR"/>
              </w:rPr>
              <w:t>ml</w:t>
            </w:r>
            <w:r w:rsidRPr="00913317">
              <w:rPr>
                <w:szCs w:val="22"/>
                <w:lang w:val="hr-HR"/>
              </w:rPr>
              <w:t xml:space="preserve"> (2)</w:t>
            </w:r>
          </w:p>
        </w:tc>
        <w:tc>
          <w:tcPr>
            <w:tcW w:w="849" w:type="pct"/>
          </w:tcPr>
          <w:p w14:paraId="1D3FC3BD" w14:textId="532B455A" w:rsidR="006131C3" w:rsidRPr="00913317" w:rsidRDefault="00895083" w:rsidP="00D72925">
            <w:pPr>
              <w:rPr>
                <w:szCs w:val="22"/>
                <w:lang w:val="hr-HR"/>
              </w:rPr>
            </w:pPr>
            <w:r w:rsidRPr="00913317">
              <w:rPr>
                <w:szCs w:val="22"/>
                <w:lang w:val="hr-HR"/>
              </w:rPr>
              <w:t xml:space="preserve">39,0 </w:t>
            </w:r>
            <w:r w:rsidR="006C3F92" w:rsidRPr="00913317">
              <w:rPr>
                <w:szCs w:val="22"/>
                <w:lang w:val="hr-HR"/>
              </w:rPr>
              <w:t>ml</w:t>
            </w:r>
            <w:r w:rsidRPr="00913317">
              <w:rPr>
                <w:szCs w:val="22"/>
                <w:lang w:val="hr-HR"/>
              </w:rPr>
              <w:t xml:space="preserve"> (2)</w:t>
            </w:r>
          </w:p>
        </w:tc>
        <w:tc>
          <w:tcPr>
            <w:tcW w:w="849" w:type="pct"/>
          </w:tcPr>
          <w:p w14:paraId="3244DDBD" w14:textId="3E10612A" w:rsidR="006131C3" w:rsidRPr="00913317" w:rsidRDefault="00895083" w:rsidP="00D72925">
            <w:pPr>
              <w:rPr>
                <w:szCs w:val="22"/>
                <w:lang w:val="hr-HR"/>
              </w:rPr>
            </w:pPr>
            <w:r w:rsidRPr="00913317">
              <w:rPr>
                <w:szCs w:val="22"/>
                <w:lang w:val="hr-HR"/>
              </w:rPr>
              <w:t xml:space="preserve">52,0 </w:t>
            </w:r>
            <w:r w:rsidR="006C3F92" w:rsidRPr="00913317">
              <w:rPr>
                <w:szCs w:val="22"/>
                <w:lang w:val="hr-HR"/>
              </w:rPr>
              <w:t>ml</w:t>
            </w:r>
            <w:r w:rsidRPr="00913317">
              <w:rPr>
                <w:szCs w:val="22"/>
                <w:lang w:val="hr-HR"/>
              </w:rPr>
              <w:t xml:space="preserve"> (3)</w:t>
            </w:r>
          </w:p>
        </w:tc>
        <w:tc>
          <w:tcPr>
            <w:tcW w:w="849" w:type="pct"/>
          </w:tcPr>
          <w:p w14:paraId="16FB585B" w14:textId="156C6F70" w:rsidR="006131C3" w:rsidRPr="00913317" w:rsidRDefault="00895083" w:rsidP="00D72925">
            <w:pPr>
              <w:rPr>
                <w:szCs w:val="22"/>
                <w:lang w:val="hr-HR"/>
              </w:rPr>
            </w:pPr>
            <w:r w:rsidRPr="00913317">
              <w:rPr>
                <w:szCs w:val="22"/>
                <w:lang w:val="hr-HR"/>
              </w:rPr>
              <w:t xml:space="preserve">58,5 </w:t>
            </w:r>
            <w:r w:rsidR="006C3F92" w:rsidRPr="00913317">
              <w:rPr>
                <w:szCs w:val="22"/>
                <w:lang w:val="hr-HR"/>
              </w:rPr>
              <w:t>ml</w:t>
            </w:r>
            <w:r w:rsidRPr="00913317">
              <w:rPr>
                <w:szCs w:val="22"/>
                <w:lang w:val="hr-HR"/>
              </w:rPr>
              <w:t xml:space="preserve"> (3)</w:t>
            </w:r>
          </w:p>
        </w:tc>
      </w:tr>
      <w:tr w:rsidR="00935053" w:rsidRPr="00913317" w14:paraId="4FF0E475" w14:textId="77777777" w:rsidTr="00723F41">
        <w:tc>
          <w:tcPr>
            <w:tcW w:w="756" w:type="pct"/>
          </w:tcPr>
          <w:p w14:paraId="208466E8" w14:textId="77777777" w:rsidR="006131C3" w:rsidRPr="00913317" w:rsidRDefault="00895083" w:rsidP="00D72925">
            <w:pPr>
              <w:rPr>
                <w:szCs w:val="22"/>
                <w:lang w:val="hr-HR"/>
              </w:rPr>
            </w:pPr>
            <w:r w:rsidRPr="00913317">
              <w:rPr>
                <w:szCs w:val="22"/>
                <w:lang w:val="hr-HR"/>
              </w:rPr>
              <w:t>70</w:t>
            </w:r>
          </w:p>
        </w:tc>
        <w:tc>
          <w:tcPr>
            <w:tcW w:w="849" w:type="pct"/>
          </w:tcPr>
          <w:p w14:paraId="126CA83A" w14:textId="7BFBD3BB" w:rsidR="006131C3" w:rsidRPr="00913317" w:rsidRDefault="00895083" w:rsidP="00D72925">
            <w:pPr>
              <w:rPr>
                <w:szCs w:val="22"/>
                <w:lang w:val="hr-HR"/>
              </w:rPr>
            </w:pPr>
            <w:r w:rsidRPr="00913317">
              <w:rPr>
                <w:szCs w:val="22"/>
                <w:lang w:val="hr-HR"/>
              </w:rPr>
              <w:t xml:space="preserve">21,0 </w:t>
            </w:r>
            <w:r w:rsidR="006C3F92" w:rsidRPr="00913317">
              <w:rPr>
                <w:szCs w:val="22"/>
                <w:lang w:val="hr-HR"/>
              </w:rPr>
              <w:t>ml</w:t>
            </w:r>
            <w:r w:rsidRPr="00913317">
              <w:rPr>
                <w:szCs w:val="22"/>
                <w:lang w:val="hr-HR"/>
              </w:rPr>
              <w:t xml:space="preserve"> (2)</w:t>
            </w:r>
          </w:p>
        </w:tc>
        <w:tc>
          <w:tcPr>
            <w:tcW w:w="849" w:type="pct"/>
          </w:tcPr>
          <w:p w14:paraId="6D7E79A8" w14:textId="06F6A80B" w:rsidR="006131C3" w:rsidRPr="00913317" w:rsidRDefault="00895083" w:rsidP="00D72925">
            <w:pPr>
              <w:rPr>
                <w:szCs w:val="22"/>
                <w:lang w:val="hr-HR"/>
              </w:rPr>
            </w:pPr>
            <w:r w:rsidRPr="00913317">
              <w:rPr>
                <w:szCs w:val="22"/>
                <w:lang w:val="hr-HR"/>
              </w:rPr>
              <w:t xml:space="preserve">28,0 </w:t>
            </w:r>
            <w:r w:rsidR="006C3F92" w:rsidRPr="00913317">
              <w:rPr>
                <w:szCs w:val="22"/>
                <w:lang w:val="hr-HR"/>
              </w:rPr>
              <w:t>ml</w:t>
            </w:r>
            <w:r w:rsidRPr="00913317">
              <w:rPr>
                <w:szCs w:val="22"/>
                <w:lang w:val="hr-HR"/>
              </w:rPr>
              <w:t xml:space="preserve"> (2)</w:t>
            </w:r>
          </w:p>
        </w:tc>
        <w:tc>
          <w:tcPr>
            <w:tcW w:w="849" w:type="pct"/>
          </w:tcPr>
          <w:p w14:paraId="280E11E7" w14:textId="3F997242" w:rsidR="006131C3" w:rsidRPr="00913317" w:rsidRDefault="00895083" w:rsidP="00D72925">
            <w:pPr>
              <w:rPr>
                <w:szCs w:val="22"/>
                <w:lang w:val="hr-HR"/>
              </w:rPr>
            </w:pPr>
            <w:r w:rsidRPr="00913317">
              <w:rPr>
                <w:szCs w:val="22"/>
                <w:lang w:val="hr-HR"/>
              </w:rPr>
              <w:t xml:space="preserve">42,0 </w:t>
            </w:r>
            <w:r w:rsidR="006C3F92" w:rsidRPr="00913317">
              <w:rPr>
                <w:szCs w:val="22"/>
                <w:lang w:val="hr-HR"/>
              </w:rPr>
              <w:t>ml</w:t>
            </w:r>
            <w:r w:rsidRPr="00913317">
              <w:rPr>
                <w:szCs w:val="22"/>
                <w:lang w:val="hr-HR"/>
              </w:rPr>
              <w:t xml:space="preserve"> (3)</w:t>
            </w:r>
          </w:p>
        </w:tc>
        <w:tc>
          <w:tcPr>
            <w:tcW w:w="849" w:type="pct"/>
          </w:tcPr>
          <w:p w14:paraId="3ED185BD" w14:textId="77777777" w:rsidR="006131C3" w:rsidRPr="00913317" w:rsidRDefault="00895083" w:rsidP="00D72925">
            <w:pPr>
              <w:rPr>
                <w:szCs w:val="22"/>
                <w:lang w:val="hr-HR"/>
              </w:rPr>
            </w:pPr>
            <w:r w:rsidRPr="00913317">
              <w:rPr>
                <w:szCs w:val="22"/>
                <w:lang w:val="hr-HR"/>
              </w:rPr>
              <w:t>-</w:t>
            </w:r>
          </w:p>
        </w:tc>
        <w:tc>
          <w:tcPr>
            <w:tcW w:w="849" w:type="pct"/>
          </w:tcPr>
          <w:p w14:paraId="07046DB1" w14:textId="77777777" w:rsidR="006131C3" w:rsidRPr="00913317" w:rsidRDefault="00895083" w:rsidP="00D72925">
            <w:pPr>
              <w:rPr>
                <w:szCs w:val="22"/>
                <w:lang w:val="hr-HR"/>
              </w:rPr>
            </w:pPr>
            <w:r w:rsidRPr="00913317">
              <w:rPr>
                <w:szCs w:val="22"/>
                <w:lang w:val="hr-HR"/>
              </w:rPr>
              <w:t>-</w:t>
            </w:r>
          </w:p>
        </w:tc>
      </w:tr>
      <w:tr w:rsidR="00935053" w:rsidRPr="00913317" w14:paraId="2EB04A95" w14:textId="77777777" w:rsidTr="00723F41">
        <w:tc>
          <w:tcPr>
            <w:tcW w:w="756" w:type="pct"/>
          </w:tcPr>
          <w:p w14:paraId="67794F71" w14:textId="77777777" w:rsidR="006131C3" w:rsidRPr="00913317" w:rsidRDefault="00895083" w:rsidP="00D72925">
            <w:pPr>
              <w:rPr>
                <w:szCs w:val="22"/>
                <w:lang w:val="hr-HR"/>
              </w:rPr>
            </w:pPr>
            <w:r w:rsidRPr="00913317">
              <w:rPr>
                <w:szCs w:val="22"/>
                <w:lang w:val="hr-HR"/>
              </w:rPr>
              <w:t>75</w:t>
            </w:r>
          </w:p>
        </w:tc>
        <w:tc>
          <w:tcPr>
            <w:tcW w:w="849" w:type="pct"/>
          </w:tcPr>
          <w:p w14:paraId="33E99451" w14:textId="7CC113A8" w:rsidR="006131C3" w:rsidRPr="00913317" w:rsidRDefault="00895083" w:rsidP="00D72925">
            <w:pPr>
              <w:rPr>
                <w:szCs w:val="22"/>
                <w:lang w:val="hr-HR"/>
              </w:rPr>
            </w:pPr>
            <w:r w:rsidRPr="00913317">
              <w:rPr>
                <w:szCs w:val="22"/>
                <w:lang w:val="hr-HR"/>
              </w:rPr>
              <w:t xml:space="preserve">22,5 </w:t>
            </w:r>
            <w:r w:rsidR="006C3F92" w:rsidRPr="00913317">
              <w:rPr>
                <w:szCs w:val="22"/>
                <w:lang w:val="hr-HR"/>
              </w:rPr>
              <w:t>ml</w:t>
            </w:r>
            <w:r w:rsidRPr="00913317">
              <w:rPr>
                <w:szCs w:val="22"/>
                <w:lang w:val="hr-HR"/>
              </w:rPr>
              <w:t xml:space="preserve"> (2)</w:t>
            </w:r>
          </w:p>
        </w:tc>
        <w:tc>
          <w:tcPr>
            <w:tcW w:w="849" w:type="pct"/>
          </w:tcPr>
          <w:p w14:paraId="22EBC158" w14:textId="161C1164" w:rsidR="006131C3" w:rsidRPr="00913317" w:rsidRDefault="00895083" w:rsidP="00D72925">
            <w:pPr>
              <w:rPr>
                <w:szCs w:val="22"/>
                <w:lang w:val="hr-HR"/>
              </w:rPr>
            </w:pPr>
            <w:r w:rsidRPr="00913317">
              <w:rPr>
                <w:szCs w:val="22"/>
                <w:lang w:val="hr-HR"/>
              </w:rPr>
              <w:t xml:space="preserve">30,0 </w:t>
            </w:r>
            <w:r w:rsidR="006C3F92" w:rsidRPr="00913317">
              <w:rPr>
                <w:szCs w:val="22"/>
                <w:lang w:val="hr-HR"/>
              </w:rPr>
              <w:t>ml</w:t>
            </w:r>
            <w:r w:rsidRPr="00913317">
              <w:rPr>
                <w:szCs w:val="22"/>
                <w:lang w:val="hr-HR"/>
              </w:rPr>
              <w:t xml:space="preserve"> (2)</w:t>
            </w:r>
          </w:p>
        </w:tc>
        <w:tc>
          <w:tcPr>
            <w:tcW w:w="849" w:type="pct"/>
          </w:tcPr>
          <w:p w14:paraId="4964FF3F" w14:textId="4DD3D875" w:rsidR="006131C3" w:rsidRPr="00913317" w:rsidRDefault="00895083" w:rsidP="00D72925">
            <w:pPr>
              <w:rPr>
                <w:szCs w:val="22"/>
                <w:lang w:val="hr-HR"/>
              </w:rPr>
            </w:pPr>
            <w:r w:rsidRPr="00913317">
              <w:rPr>
                <w:szCs w:val="22"/>
                <w:lang w:val="hr-HR"/>
              </w:rPr>
              <w:t xml:space="preserve">45,0 </w:t>
            </w:r>
            <w:r w:rsidR="006C3F92" w:rsidRPr="00913317">
              <w:rPr>
                <w:szCs w:val="22"/>
                <w:lang w:val="hr-HR"/>
              </w:rPr>
              <w:t>ml</w:t>
            </w:r>
            <w:r w:rsidRPr="00913317">
              <w:rPr>
                <w:szCs w:val="22"/>
                <w:lang w:val="hr-HR"/>
              </w:rPr>
              <w:t xml:space="preserve"> (3)</w:t>
            </w:r>
          </w:p>
        </w:tc>
        <w:tc>
          <w:tcPr>
            <w:tcW w:w="849" w:type="pct"/>
          </w:tcPr>
          <w:p w14:paraId="42A0E928" w14:textId="77777777" w:rsidR="006131C3" w:rsidRPr="00913317" w:rsidRDefault="00895083" w:rsidP="00D72925">
            <w:pPr>
              <w:rPr>
                <w:szCs w:val="22"/>
                <w:lang w:val="hr-HR"/>
              </w:rPr>
            </w:pPr>
            <w:r w:rsidRPr="00913317">
              <w:rPr>
                <w:szCs w:val="22"/>
                <w:lang w:val="hr-HR"/>
              </w:rPr>
              <w:t>-</w:t>
            </w:r>
          </w:p>
        </w:tc>
        <w:tc>
          <w:tcPr>
            <w:tcW w:w="849" w:type="pct"/>
          </w:tcPr>
          <w:p w14:paraId="321D7222" w14:textId="77777777" w:rsidR="006131C3" w:rsidRPr="00913317" w:rsidRDefault="00895083" w:rsidP="00D72925">
            <w:pPr>
              <w:rPr>
                <w:szCs w:val="22"/>
                <w:lang w:val="hr-HR"/>
              </w:rPr>
            </w:pPr>
            <w:r w:rsidRPr="00913317">
              <w:rPr>
                <w:szCs w:val="22"/>
                <w:lang w:val="hr-HR"/>
              </w:rPr>
              <w:t>-</w:t>
            </w:r>
          </w:p>
        </w:tc>
      </w:tr>
      <w:tr w:rsidR="00935053" w:rsidRPr="00913317" w14:paraId="24F71F80" w14:textId="77777777" w:rsidTr="00723F41">
        <w:tc>
          <w:tcPr>
            <w:tcW w:w="756" w:type="pct"/>
          </w:tcPr>
          <w:p w14:paraId="3C2A13DD" w14:textId="77777777" w:rsidR="006131C3" w:rsidRPr="00913317" w:rsidRDefault="00895083" w:rsidP="00D72925">
            <w:pPr>
              <w:rPr>
                <w:szCs w:val="22"/>
                <w:lang w:val="hr-HR"/>
              </w:rPr>
            </w:pPr>
            <w:r w:rsidRPr="00913317">
              <w:rPr>
                <w:szCs w:val="22"/>
                <w:lang w:val="hr-HR"/>
              </w:rPr>
              <w:t>80</w:t>
            </w:r>
          </w:p>
        </w:tc>
        <w:tc>
          <w:tcPr>
            <w:tcW w:w="849" w:type="pct"/>
          </w:tcPr>
          <w:p w14:paraId="3548E80B" w14:textId="5323E402" w:rsidR="006131C3" w:rsidRPr="00913317" w:rsidRDefault="00895083" w:rsidP="00D72925">
            <w:pPr>
              <w:rPr>
                <w:szCs w:val="22"/>
                <w:lang w:val="hr-HR"/>
              </w:rPr>
            </w:pPr>
            <w:r w:rsidRPr="00913317">
              <w:rPr>
                <w:szCs w:val="22"/>
                <w:lang w:val="hr-HR"/>
              </w:rPr>
              <w:t xml:space="preserve">24,0 </w:t>
            </w:r>
            <w:r w:rsidR="006C3F92" w:rsidRPr="00913317">
              <w:rPr>
                <w:szCs w:val="22"/>
                <w:lang w:val="hr-HR"/>
              </w:rPr>
              <w:t>ml</w:t>
            </w:r>
            <w:r w:rsidRPr="00913317">
              <w:rPr>
                <w:szCs w:val="22"/>
                <w:lang w:val="hr-HR"/>
              </w:rPr>
              <w:t xml:space="preserve"> (2)</w:t>
            </w:r>
          </w:p>
        </w:tc>
        <w:tc>
          <w:tcPr>
            <w:tcW w:w="849" w:type="pct"/>
          </w:tcPr>
          <w:p w14:paraId="48FAB0E8" w14:textId="22EF02F6" w:rsidR="006131C3" w:rsidRPr="00913317" w:rsidRDefault="00895083" w:rsidP="00D72925">
            <w:pPr>
              <w:rPr>
                <w:szCs w:val="22"/>
                <w:lang w:val="hr-HR"/>
              </w:rPr>
            </w:pPr>
            <w:r w:rsidRPr="00913317">
              <w:rPr>
                <w:szCs w:val="22"/>
                <w:lang w:val="hr-HR"/>
              </w:rPr>
              <w:t xml:space="preserve">32,0 </w:t>
            </w:r>
            <w:r w:rsidR="006C3F92" w:rsidRPr="00913317">
              <w:rPr>
                <w:szCs w:val="22"/>
                <w:lang w:val="hr-HR"/>
              </w:rPr>
              <w:t>ml</w:t>
            </w:r>
            <w:r w:rsidRPr="00913317">
              <w:rPr>
                <w:szCs w:val="22"/>
                <w:lang w:val="hr-HR"/>
              </w:rPr>
              <w:t xml:space="preserve"> (2)</w:t>
            </w:r>
          </w:p>
        </w:tc>
        <w:tc>
          <w:tcPr>
            <w:tcW w:w="849" w:type="pct"/>
          </w:tcPr>
          <w:p w14:paraId="546195FD" w14:textId="46514FDD" w:rsidR="006131C3" w:rsidRPr="00913317" w:rsidRDefault="00895083" w:rsidP="00D72925">
            <w:pPr>
              <w:rPr>
                <w:szCs w:val="22"/>
                <w:lang w:val="hr-HR"/>
              </w:rPr>
            </w:pPr>
            <w:r w:rsidRPr="00913317">
              <w:rPr>
                <w:szCs w:val="22"/>
                <w:lang w:val="hr-HR"/>
              </w:rPr>
              <w:t xml:space="preserve">48,0 </w:t>
            </w:r>
            <w:r w:rsidR="006C3F92" w:rsidRPr="00913317">
              <w:rPr>
                <w:szCs w:val="22"/>
                <w:lang w:val="hr-HR"/>
              </w:rPr>
              <w:t>ml</w:t>
            </w:r>
            <w:r w:rsidRPr="00913317">
              <w:rPr>
                <w:szCs w:val="22"/>
                <w:lang w:val="hr-HR"/>
              </w:rPr>
              <w:t xml:space="preserve"> (3)</w:t>
            </w:r>
          </w:p>
        </w:tc>
        <w:tc>
          <w:tcPr>
            <w:tcW w:w="849" w:type="pct"/>
          </w:tcPr>
          <w:p w14:paraId="3EC3DF5B" w14:textId="77777777" w:rsidR="006131C3" w:rsidRPr="00913317" w:rsidRDefault="00895083" w:rsidP="00D72925">
            <w:pPr>
              <w:rPr>
                <w:szCs w:val="22"/>
                <w:lang w:val="hr-HR"/>
              </w:rPr>
            </w:pPr>
            <w:r w:rsidRPr="00913317">
              <w:rPr>
                <w:szCs w:val="22"/>
                <w:lang w:val="hr-HR"/>
              </w:rPr>
              <w:t>-</w:t>
            </w:r>
          </w:p>
        </w:tc>
        <w:tc>
          <w:tcPr>
            <w:tcW w:w="849" w:type="pct"/>
          </w:tcPr>
          <w:p w14:paraId="7B5C74BB" w14:textId="77777777" w:rsidR="006131C3" w:rsidRPr="00913317" w:rsidRDefault="00895083" w:rsidP="00D72925">
            <w:pPr>
              <w:rPr>
                <w:szCs w:val="22"/>
                <w:lang w:val="hr-HR"/>
              </w:rPr>
            </w:pPr>
            <w:r w:rsidRPr="00913317">
              <w:rPr>
                <w:szCs w:val="22"/>
                <w:lang w:val="hr-HR"/>
              </w:rPr>
              <w:t>-</w:t>
            </w:r>
          </w:p>
        </w:tc>
      </w:tr>
      <w:tr w:rsidR="00935053" w:rsidRPr="00913317" w14:paraId="2D1A445A" w14:textId="77777777" w:rsidTr="00723F41">
        <w:tc>
          <w:tcPr>
            <w:tcW w:w="756" w:type="pct"/>
          </w:tcPr>
          <w:p w14:paraId="378024D4" w14:textId="77777777" w:rsidR="006131C3" w:rsidRPr="00913317" w:rsidRDefault="00895083" w:rsidP="00D72925">
            <w:pPr>
              <w:rPr>
                <w:szCs w:val="22"/>
                <w:lang w:val="hr-HR"/>
              </w:rPr>
            </w:pPr>
            <w:r w:rsidRPr="00913317">
              <w:rPr>
                <w:szCs w:val="22"/>
                <w:lang w:val="hr-HR"/>
              </w:rPr>
              <w:t>85</w:t>
            </w:r>
          </w:p>
        </w:tc>
        <w:tc>
          <w:tcPr>
            <w:tcW w:w="849" w:type="pct"/>
          </w:tcPr>
          <w:p w14:paraId="4A119CC0" w14:textId="3871A97A" w:rsidR="006131C3" w:rsidRPr="00913317" w:rsidRDefault="00895083" w:rsidP="00D72925">
            <w:pPr>
              <w:rPr>
                <w:szCs w:val="22"/>
                <w:lang w:val="hr-HR"/>
              </w:rPr>
            </w:pPr>
            <w:r w:rsidRPr="00913317">
              <w:rPr>
                <w:szCs w:val="22"/>
                <w:lang w:val="hr-HR"/>
              </w:rPr>
              <w:t xml:space="preserve">25,5 </w:t>
            </w:r>
            <w:r w:rsidR="006C3F92" w:rsidRPr="00913317">
              <w:rPr>
                <w:szCs w:val="22"/>
                <w:lang w:val="hr-HR"/>
              </w:rPr>
              <w:t>ml</w:t>
            </w:r>
            <w:r w:rsidRPr="00913317">
              <w:rPr>
                <w:szCs w:val="22"/>
                <w:lang w:val="hr-HR"/>
              </w:rPr>
              <w:t xml:space="preserve"> (2)</w:t>
            </w:r>
          </w:p>
        </w:tc>
        <w:tc>
          <w:tcPr>
            <w:tcW w:w="849" w:type="pct"/>
          </w:tcPr>
          <w:p w14:paraId="20B75362" w14:textId="7B7F7F24" w:rsidR="006131C3" w:rsidRPr="00913317" w:rsidRDefault="00895083" w:rsidP="00D72925">
            <w:pPr>
              <w:rPr>
                <w:szCs w:val="22"/>
                <w:lang w:val="hr-HR"/>
              </w:rPr>
            </w:pPr>
            <w:r w:rsidRPr="00913317">
              <w:rPr>
                <w:szCs w:val="22"/>
                <w:lang w:val="hr-HR"/>
              </w:rPr>
              <w:t xml:space="preserve">34,0 </w:t>
            </w:r>
            <w:r w:rsidR="006C3F92" w:rsidRPr="00913317">
              <w:rPr>
                <w:szCs w:val="22"/>
                <w:lang w:val="hr-HR"/>
              </w:rPr>
              <w:t>ml</w:t>
            </w:r>
            <w:r w:rsidRPr="00913317">
              <w:rPr>
                <w:szCs w:val="22"/>
                <w:lang w:val="hr-HR"/>
              </w:rPr>
              <w:t xml:space="preserve"> (2)</w:t>
            </w:r>
          </w:p>
        </w:tc>
        <w:tc>
          <w:tcPr>
            <w:tcW w:w="849" w:type="pct"/>
          </w:tcPr>
          <w:p w14:paraId="3406A414" w14:textId="653D6F67" w:rsidR="006131C3" w:rsidRPr="00913317" w:rsidRDefault="00895083" w:rsidP="00D72925">
            <w:pPr>
              <w:rPr>
                <w:szCs w:val="22"/>
                <w:lang w:val="hr-HR"/>
              </w:rPr>
            </w:pPr>
            <w:r w:rsidRPr="00913317">
              <w:rPr>
                <w:szCs w:val="22"/>
                <w:lang w:val="hr-HR"/>
              </w:rPr>
              <w:t xml:space="preserve">51,0 </w:t>
            </w:r>
            <w:r w:rsidR="006C3F92" w:rsidRPr="00913317">
              <w:rPr>
                <w:szCs w:val="22"/>
                <w:lang w:val="hr-HR"/>
              </w:rPr>
              <w:t>ml</w:t>
            </w:r>
            <w:r w:rsidRPr="00913317">
              <w:rPr>
                <w:szCs w:val="22"/>
                <w:lang w:val="hr-HR"/>
              </w:rPr>
              <w:t xml:space="preserve"> (3)</w:t>
            </w:r>
          </w:p>
        </w:tc>
        <w:tc>
          <w:tcPr>
            <w:tcW w:w="849" w:type="pct"/>
          </w:tcPr>
          <w:p w14:paraId="7DD1660F" w14:textId="77777777" w:rsidR="006131C3" w:rsidRPr="00913317" w:rsidRDefault="00895083" w:rsidP="00D72925">
            <w:pPr>
              <w:rPr>
                <w:szCs w:val="22"/>
                <w:lang w:val="hr-HR"/>
              </w:rPr>
            </w:pPr>
            <w:r w:rsidRPr="00913317">
              <w:rPr>
                <w:szCs w:val="22"/>
                <w:lang w:val="hr-HR"/>
              </w:rPr>
              <w:t>-</w:t>
            </w:r>
          </w:p>
        </w:tc>
        <w:tc>
          <w:tcPr>
            <w:tcW w:w="849" w:type="pct"/>
          </w:tcPr>
          <w:p w14:paraId="654542A3" w14:textId="77777777" w:rsidR="006131C3" w:rsidRPr="00913317" w:rsidRDefault="00895083" w:rsidP="00D72925">
            <w:pPr>
              <w:rPr>
                <w:szCs w:val="22"/>
                <w:lang w:val="hr-HR"/>
              </w:rPr>
            </w:pPr>
            <w:r w:rsidRPr="00913317">
              <w:rPr>
                <w:szCs w:val="22"/>
                <w:lang w:val="hr-HR"/>
              </w:rPr>
              <w:t>-</w:t>
            </w:r>
          </w:p>
        </w:tc>
      </w:tr>
      <w:tr w:rsidR="00935053" w:rsidRPr="00913317" w14:paraId="52DC8E2C" w14:textId="77777777" w:rsidTr="00723F41">
        <w:tc>
          <w:tcPr>
            <w:tcW w:w="756" w:type="pct"/>
          </w:tcPr>
          <w:p w14:paraId="63BD0211" w14:textId="77777777" w:rsidR="006131C3" w:rsidRPr="00913317" w:rsidRDefault="00895083" w:rsidP="00D72925">
            <w:pPr>
              <w:rPr>
                <w:szCs w:val="22"/>
                <w:lang w:val="hr-HR"/>
              </w:rPr>
            </w:pPr>
            <w:r w:rsidRPr="00913317">
              <w:rPr>
                <w:szCs w:val="22"/>
                <w:lang w:val="hr-HR"/>
              </w:rPr>
              <w:t>90</w:t>
            </w:r>
          </w:p>
        </w:tc>
        <w:tc>
          <w:tcPr>
            <w:tcW w:w="849" w:type="pct"/>
          </w:tcPr>
          <w:p w14:paraId="65052A0E" w14:textId="00E7AED8" w:rsidR="006131C3" w:rsidRPr="00913317" w:rsidRDefault="00895083" w:rsidP="00D72925">
            <w:pPr>
              <w:rPr>
                <w:szCs w:val="22"/>
                <w:lang w:val="hr-HR"/>
              </w:rPr>
            </w:pPr>
            <w:r w:rsidRPr="00913317">
              <w:rPr>
                <w:szCs w:val="22"/>
                <w:lang w:val="hr-HR"/>
              </w:rPr>
              <w:t xml:space="preserve">27,0 </w:t>
            </w:r>
            <w:r w:rsidR="006C3F92" w:rsidRPr="00913317">
              <w:rPr>
                <w:szCs w:val="22"/>
                <w:lang w:val="hr-HR"/>
              </w:rPr>
              <w:t>ml</w:t>
            </w:r>
            <w:r w:rsidRPr="00913317">
              <w:rPr>
                <w:szCs w:val="22"/>
                <w:lang w:val="hr-HR"/>
              </w:rPr>
              <w:t xml:space="preserve"> (2)</w:t>
            </w:r>
          </w:p>
        </w:tc>
        <w:tc>
          <w:tcPr>
            <w:tcW w:w="849" w:type="pct"/>
          </w:tcPr>
          <w:p w14:paraId="122B39CC" w14:textId="532B4193" w:rsidR="006131C3" w:rsidRPr="00913317" w:rsidRDefault="00895083" w:rsidP="00D72925">
            <w:pPr>
              <w:rPr>
                <w:szCs w:val="22"/>
                <w:lang w:val="hr-HR"/>
              </w:rPr>
            </w:pPr>
            <w:r w:rsidRPr="00913317">
              <w:rPr>
                <w:szCs w:val="22"/>
                <w:lang w:val="hr-HR"/>
              </w:rPr>
              <w:t xml:space="preserve">36,0 </w:t>
            </w:r>
            <w:r w:rsidR="006C3F92" w:rsidRPr="00913317">
              <w:rPr>
                <w:szCs w:val="22"/>
                <w:lang w:val="hr-HR"/>
              </w:rPr>
              <w:t>ml</w:t>
            </w:r>
            <w:r w:rsidRPr="00913317">
              <w:rPr>
                <w:szCs w:val="22"/>
                <w:lang w:val="hr-HR"/>
              </w:rPr>
              <w:t xml:space="preserve"> (2)</w:t>
            </w:r>
          </w:p>
        </w:tc>
        <w:tc>
          <w:tcPr>
            <w:tcW w:w="849" w:type="pct"/>
          </w:tcPr>
          <w:p w14:paraId="1F55115E" w14:textId="3D7F8B95" w:rsidR="006131C3" w:rsidRPr="00913317" w:rsidRDefault="00895083" w:rsidP="00D72925">
            <w:pPr>
              <w:rPr>
                <w:szCs w:val="22"/>
                <w:lang w:val="hr-HR"/>
              </w:rPr>
            </w:pPr>
            <w:r w:rsidRPr="00913317">
              <w:rPr>
                <w:szCs w:val="22"/>
                <w:lang w:val="hr-HR"/>
              </w:rPr>
              <w:t xml:space="preserve">54,0 </w:t>
            </w:r>
            <w:r w:rsidR="006C3F92" w:rsidRPr="00913317">
              <w:rPr>
                <w:szCs w:val="22"/>
                <w:lang w:val="hr-HR"/>
              </w:rPr>
              <w:t>ml</w:t>
            </w:r>
            <w:r w:rsidRPr="00913317">
              <w:rPr>
                <w:szCs w:val="22"/>
                <w:lang w:val="hr-HR"/>
              </w:rPr>
              <w:t xml:space="preserve"> (3)</w:t>
            </w:r>
          </w:p>
        </w:tc>
        <w:tc>
          <w:tcPr>
            <w:tcW w:w="849" w:type="pct"/>
          </w:tcPr>
          <w:p w14:paraId="1D87F6DA" w14:textId="77777777" w:rsidR="006131C3" w:rsidRPr="00913317" w:rsidRDefault="00895083" w:rsidP="00D72925">
            <w:pPr>
              <w:rPr>
                <w:szCs w:val="22"/>
                <w:lang w:val="hr-HR"/>
              </w:rPr>
            </w:pPr>
            <w:r w:rsidRPr="00913317">
              <w:rPr>
                <w:szCs w:val="22"/>
                <w:lang w:val="hr-HR"/>
              </w:rPr>
              <w:t>-</w:t>
            </w:r>
          </w:p>
        </w:tc>
        <w:tc>
          <w:tcPr>
            <w:tcW w:w="849" w:type="pct"/>
          </w:tcPr>
          <w:p w14:paraId="0415C96A" w14:textId="77777777" w:rsidR="006131C3" w:rsidRPr="00913317" w:rsidRDefault="00895083" w:rsidP="00D72925">
            <w:pPr>
              <w:rPr>
                <w:szCs w:val="22"/>
                <w:lang w:val="hr-HR"/>
              </w:rPr>
            </w:pPr>
            <w:r w:rsidRPr="00913317">
              <w:rPr>
                <w:szCs w:val="22"/>
                <w:lang w:val="hr-HR"/>
              </w:rPr>
              <w:t>-</w:t>
            </w:r>
          </w:p>
        </w:tc>
      </w:tr>
      <w:tr w:rsidR="00935053" w:rsidRPr="00913317" w14:paraId="70642639" w14:textId="77777777" w:rsidTr="00723F41">
        <w:tc>
          <w:tcPr>
            <w:tcW w:w="756" w:type="pct"/>
          </w:tcPr>
          <w:p w14:paraId="7246FD55" w14:textId="77777777" w:rsidR="006131C3" w:rsidRPr="00913317" w:rsidRDefault="00895083" w:rsidP="00D72925">
            <w:pPr>
              <w:rPr>
                <w:szCs w:val="22"/>
                <w:lang w:val="hr-HR"/>
              </w:rPr>
            </w:pPr>
            <w:r w:rsidRPr="00913317">
              <w:rPr>
                <w:szCs w:val="22"/>
                <w:lang w:val="hr-HR"/>
              </w:rPr>
              <w:t>95</w:t>
            </w:r>
          </w:p>
        </w:tc>
        <w:tc>
          <w:tcPr>
            <w:tcW w:w="849" w:type="pct"/>
          </w:tcPr>
          <w:p w14:paraId="28718D6E" w14:textId="611A96A3" w:rsidR="006131C3" w:rsidRPr="00913317" w:rsidRDefault="00895083" w:rsidP="00D72925">
            <w:pPr>
              <w:rPr>
                <w:szCs w:val="22"/>
                <w:lang w:val="hr-HR"/>
              </w:rPr>
            </w:pPr>
            <w:r w:rsidRPr="00913317">
              <w:rPr>
                <w:szCs w:val="22"/>
                <w:lang w:val="hr-HR"/>
              </w:rPr>
              <w:t xml:space="preserve">28,5 </w:t>
            </w:r>
            <w:r w:rsidR="006C3F92" w:rsidRPr="00913317">
              <w:rPr>
                <w:szCs w:val="22"/>
                <w:lang w:val="hr-HR"/>
              </w:rPr>
              <w:t>ml</w:t>
            </w:r>
            <w:r w:rsidRPr="00913317">
              <w:rPr>
                <w:szCs w:val="22"/>
                <w:lang w:val="hr-HR"/>
              </w:rPr>
              <w:t xml:space="preserve"> (2)</w:t>
            </w:r>
          </w:p>
        </w:tc>
        <w:tc>
          <w:tcPr>
            <w:tcW w:w="849" w:type="pct"/>
          </w:tcPr>
          <w:p w14:paraId="274B8FDA" w14:textId="5411DE4E" w:rsidR="006131C3" w:rsidRPr="00913317" w:rsidRDefault="00895083" w:rsidP="00D72925">
            <w:pPr>
              <w:rPr>
                <w:szCs w:val="22"/>
                <w:lang w:val="hr-HR"/>
              </w:rPr>
            </w:pPr>
            <w:r w:rsidRPr="00913317">
              <w:rPr>
                <w:szCs w:val="22"/>
                <w:lang w:val="hr-HR"/>
              </w:rPr>
              <w:t xml:space="preserve">38,0 </w:t>
            </w:r>
            <w:r w:rsidR="006C3F92" w:rsidRPr="00913317">
              <w:rPr>
                <w:szCs w:val="22"/>
                <w:lang w:val="hr-HR"/>
              </w:rPr>
              <w:t>ml</w:t>
            </w:r>
            <w:r w:rsidRPr="00913317">
              <w:rPr>
                <w:szCs w:val="22"/>
                <w:lang w:val="hr-HR"/>
              </w:rPr>
              <w:t xml:space="preserve"> (2)</w:t>
            </w:r>
          </w:p>
        </w:tc>
        <w:tc>
          <w:tcPr>
            <w:tcW w:w="849" w:type="pct"/>
          </w:tcPr>
          <w:p w14:paraId="18DA5E56" w14:textId="4C8A302D" w:rsidR="006131C3" w:rsidRPr="00913317" w:rsidRDefault="00895083" w:rsidP="00D72925">
            <w:pPr>
              <w:rPr>
                <w:szCs w:val="22"/>
                <w:lang w:val="hr-HR"/>
              </w:rPr>
            </w:pPr>
            <w:r w:rsidRPr="00913317">
              <w:rPr>
                <w:szCs w:val="22"/>
                <w:lang w:val="hr-HR"/>
              </w:rPr>
              <w:t xml:space="preserve">57,0 </w:t>
            </w:r>
            <w:r w:rsidR="006C3F92" w:rsidRPr="00913317">
              <w:rPr>
                <w:szCs w:val="22"/>
                <w:lang w:val="hr-HR"/>
              </w:rPr>
              <w:t>ml</w:t>
            </w:r>
            <w:r w:rsidRPr="00913317">
              <w:rPr>
                <w:szCs w:val="22"/>
                <w:lang w:val="hr-HR"/>
              </w:rPr>
              <w:t xml:space="preserve"> (3)</w:t>
            </w:r>
          </w:p>
        </w:tc>
        <w:tc>
          <w:tcPr>
            <w:tcW w:w="849" w:type="pct"/>
          </w:tcPr>
          <w:p w14:paraId="0C61CF4E" w14:textId="77777777" w:rsidR="006131C3" w:rsidRPr="00913317" w:rsidRDefault="00895083" w:rsidP="00D72925">
            <w:pPr>
              <w:rPr>
                <w:szCs w:val="22"/>
                <w:lang w:val="hr-HR"/>
              </w:rPr>
            </w:pPr>
            <w:r w:rsidRPr="00913317">
              <w:rPr>
                <w:szCs w:val="22"/>
                <w:lang w:val="hr-HR"/>
              </w:rPr>
              <w:t>-</w:t>
            </w:r>
          </w:p>
        </w:tc>
        <w:tc>
          <w:tcPr>
            <w:tcW w:w="849" w:type="pct"/>
          </w:tcPr>
          <w:p w14:paraId="1F5A9072" w14:textId="77777777" w:rsidR="006131C3" w:rsidRPr="00913317" w:rsidRDefault="00895083" w:rsidP="00D72925">
            <w:pPr>
              <w:rPr>
                <w:szCs w:val="22"/>
                <w:lang w:val="hr-HR"/>
              </w:rPr>
            </w:pPr>
            <w:r w:rsidRPr="00913317">
              <w:rPr>
                <w:szCs w:val="22"/>
                <w:lang w:val="hr-HR"/>
              </w:rPr>
              <w:t>-</w:t>
            </w:r>
          </w:p>
        </w:tc>
      </w:tr>
      <w:tr w:rsidR="00895083" w:rsidRPr="00913317" w14:paraId="1CBAD06D" w14:textId="77777777" w:rsidTr="00723F41">
        <w:tc>
          <w:tcPr>
            <w:tcW w:w="756" w:type="pct"/>
          </w:tcPr>
          <w:p w14:paraId="4D1B5D7B" w14:textId="77777777" w:rsidR="006131C3" w:rsidRPr="00913317" w:rsidRDefault="00895083" w:rsidP="00D72925">
            <w:pPr>
              <w:rPr>
                <w:szCs w:val="22"/>
                <w:lang w:val="hr-HR"/>
              </w:rPr>
            </w:pPr>
            <w:r w:rsidRPr="00913317">
              <w:rPr>
                <w:szCs w:val="22"/>
                <w:lang w:val="hr-HR"/>
              </w:rPr>
              <w:t>100</w:t>
            </w:r>
          </w:p>
        </w:tc>
        <w:tc>
          <w:tcPr>
            <w:tcW w:w="849" w:type="pct"/>
          </w:tcPr>
          <w:p w14:paraId="2DDE0C6E" w14:textId="6C670004" w:rsidR="006131C3" w:rsidRPr="00913317" w:rsidRDefault="00895083" w:rsidP="00D72925">
            <w:pPr>
              <w:rPr>
                <w:szCs w:val="22"/>
                <w:lang w:val="hr-HR"/>
              </w:rPr>
            </w:pPr>
            <w:r w:rsidRPr="00913317">
              <w:rPr>
                <w:szCs w:val="22"/>
                <w:lang w:val="hr-HR"/>
              </w:rPr>
              <w:t xml:space="preserve">30,0 </w:t>
            </w:r>
            <w:r w:rsidR="006C3F92" w:rsidRPr="00913317">
              <w:rPr>
                <w:szCs w:val="22"/>
                <w:lang w:val="hr-HR"/>
              </w:rPr>
              <w:t>ml</w:t>
            </w:r>
            <w:r w:rsidRPr="00913317">
              <w:rPr>
                <w:szCs w:val="22"/>
                <w:lang w:val="hr-HR"/>
              </w:rPr>
              <w:t xml:space="preserve"> (2)</w:t>
            </w:r>
          </w:p>
        </w:tc>
        <w:tc>
          <w:tcPr>
            <w:tcW w:w="849" w:type="pct"/>
          </w:tcPr>
          <w:p w14:paraId="3A8F9C25" w14:textId="46789935" w:rsidR="006131C3" w:rsidRPr="00913317" w:rsidRDefault="00895083" w:rsidP="00D72925">
            <w:pPr>
              <w:rPr>
                <w:szCs w:val="22"/>
                <w:lang w:val="hr-HR"/>
              </w:rPr>
            </w:pPr>
            <w:r w:rsidRPr="00913317">
              <w:rPr>
                <w:szCs w:val="22"/>
                <w:lang w:val="hr-HR"/>
              </w:rPr>
              <w:t xml:space="preserve">40,0 </w:t>
            </w:r>
            <w:r w:rsidR="006C3F92" w:rsidRPr="00913317">
              <w:rPr>
                <w:szCs w:val="22"/>
                <w:lang w:val="hr-HR"/>
              </w:rPr>
              <w:t>ml</w:t>
            </w:r>
            <w:r w:rsidRPr="00913317">
              <w:rPr>
                <w:szCs w:val="22"/>
                <w:lang w:val="hr-HR"/>
              </w:rPr>
              <w:t xml:space="preserve"> (2)</w:t>
            </w:r>
          </w:p>
        </w:tc>
        <w:tc>
          <w:tcPr>
            <w:tcW w:w="849" w:type="pct"/>
          </w:tcPr>
          <w:p w14:paraId="32661C85" w14:textId="1B9A548E" w:rsidR="006131C3" w:rsidRPr="00913317" w:rsidRDefault="00895083" w:rsidP="00D72925">
            <w:pPr>
              <w:rPr>
                <w:szCs w:val="22"/>
                <w:lang w:val="hr-HR"/>
              </w:rPr>
            </w:pPr>
            <w:r w:rsidRPr="00913317">
              <w:rPr>
                <w:szCs w:val="22"/>
                <w:lang w:val="hr-HR"/>
              </w:rPr>
              <w:t xml:space="preserve">60,0 </w:t>
            </w:r>
            <w:r w:rsidR="006C3F92" w:rsidRPr="00913317">
              <w:rPr>
                <w:szCs w:val="22"/>
                <w:lang w:val="hr-HR"/>
              </w:rPr>
              <w:t>ml</w:t>
            </w:r>
            <w:r w:rsidRPr="00913317">
              <w:rPr>
                <w:szCs w:val="22"/>
                <w:lang w:val="hr-HR"/>
              </w:rPr>
              <w:t xml:space="preserve"> (3)</w:t>
            </w:r>
          </w:p>
        </w:tc>
        <w:tc>
          <w:tcPr>
            <w:tcW w:w="849" w:type="pct"/>
          </w:tcPr>
          <w:p w14:paraId="1260F56F" w14:textId="77777777" w:rsidR="006131C3" w:rsidRPr="00913317" w:rsidRDefault="00895083" w:rsidP="00D72925">
            <w:pPr>
              <w:rPr>
                <w:szCs w:val="22"/>
                <w:lang w:val="hr-HR"/>
              </w:rPr>
            </w:pPr>
            <w:r w:rsidRPr="00913317">
              <w:rPr>
                <w:szCs w:val="22"/>
                <w:lang w:val="hr-HR"/>
              </w:rPr>
              <w:t>-</w:t>
            </w:r>
          </w:p>
        </w:tc>
        <w:tc>
          <w:tcPr>
            <w:tcW w:w="849" w:type="pct"/>
          </w:tcPr>
          <w:p w14:paraId="2CB45202" w14:textId="77777777" w:rsidR="006131C3" w:rsidRPr="00913317" w:rsidRDefault="00895083" w:rsidP="00D72925">
            <w:pPr>
              <w:rPr>
                <w:szCs w:val="22"/>
                <w:lang w:val="hr-HR"/>
              </w:rPr>
            </w:pPr>
            <w:r w:rsidRPr="00913317">
              <w:rPr>
                <w:szCs w:val="22"/>
                <w:lang w:val="hr-HR"/>
              </w:rPr>
              <w:t>-</w:t>
            </w:r>
          </w:p>
        </w:tc>
      </w:tr>
    </w:tbl>
    <w:p w14:paraId="45DA93D4" w14:textId="77777777" w:rsidR="006131C3" w:rsidRPr="00913317" w:rsidRDefault="006131C3" w:rsidP="00D72925">
      <w:pPr>
        <w:rPr>
          <w:szCs w:val="22"/>
          <w:lang w:val="hr-HR"/>
        </w:rPr>
      </w:pPr>
    </w:p>
    <w:p w14:paraId="6D6608A0" w14:textId="40908403" w:rsidR="006131C3" w:rsidRPr="00913317" w:rsidRDefault="001B3DC6" w:rsidP="00D72925">
      <w:pPr>
        <w:rPr>
          <w:szCs w:val="22"/>
          <w:lang w:val="pl-PL"/>
        </w:rPr>
      </w:pPr>
      <w:r w:rsidRPr="00913317">
        <w:rPr>
          <w:szCs w:val="22"/>
          <w:lang w:val="pl-PL"/>
        </w:rPr>
        <w:t xml:space="preserve">Rekonstituisan </w:t>
      </w:r>
      <w:r w:rsidR="006053D7" w:rsidRPr="00913317">
        <w:rPr>
          <w:szCs w:val="22"/>
          <w:lang w:val="pl-PL"/>
        </w:rPr>
        <w:t>rastvor</w:t>
      </w:r>
      <w:r w:rsidR="00895083" w:rsidRPr="00913317">
        <w:rPr>
          <w:szCs w:val="22"/>
          <w:lang w:val="pl-PL"/>
        </w:rPr>
        <w:t xml:space="preserve"> s</w:t>
      </w:r>
      <w:r w:rsidRPr="00913317">
        <w:rPr>
          <w:szCs w:val="22"/>
          <w:lang w:val="pl-PL"/>
        </w:rPr>
        <w:t>e može razblažiti sa</w:t>
      </w:r>
      <w:r w:rsidR="004D3149" w:rsidRPr="00913317">
        <w:rPr>
          <w:szCs w:val="22"/>
          <w:lang w:val="pl-PL"/>
        </w:rPr>
        <w:t xml:space="preserve"> </w:t>
      </w:r>
      <w:r w:rsidR="005B586F" w:rsidRPr="00913317">
        <w:rPr>
          <w:szCs w:val="22"/>
          <w:lang w:val="pl-PL"/>
        </w:rPr>
        <w:t xml:space="preserve">nekim od </w:t>
      </w:r>
      <w:r w:rsidR="004D3149" w:rsidRPr="00913317">
        <w:rPr>
          <w:szCs w:val="22"/>
          <w:lang w:val="pl-PL"/>
        </w:rPr>
        <w:t>sljedeći</w:t>
      </w:r>
      <w:r w:rsidR="005B586F" w:rsidRPr="00913317">
        <w:rPr>
          <w:szCs w:val="22"/>
          <w:lang w:val="pl-PL"/>
        </w:rPr>
        <w:t>h</w:t>
      </w:r>
      <w:r w:rsidR="004D3149" w:rsidRPr="00913317">
        <w:rPr>
          <w:szCs w:val="22"/>
          <w:lang w:val="pl-PL"/>
        </w:rPr>
        <w:t xml:space="preserve"> rastvora</w:t>
      </w:r>
      <w:r w:rsidR="00895083" w:rsidRPr="00913317">
        <w:rPr>
          <w:szCs w:val="22"/>
          <w:lang w:val="pl-PL"/>
        </w:rPr>
        <w:t>:</w:t>
      </w:r>
    </w:p>
    <w:p w14:paraId="03662BBD" w14:textId="77777777" w:rsidR="00C660EB" w:rsidRPr="00913317" w:rsidRDefault="006C3F92" w:rsidP="00D72925">
      <w:pPr>
        <w:ind w:firstLine="547"/>
        <w:rPr>
          <w:szCs w:val="22"/>
          <w:lang w:val="hr-HR"/>
        </w:rPr>
      </w:pPr>
      <w:r w:rsidRPr="00913317">
        <w:rPr>
          <w:szCs w:val="22"/>
          <w:lang w:val="hr-HR"/>
        </w:rPr>
        <w:t xml:space="preserve">0,9% rastvor natrijum </w:t>
      </w:r>
      <w:r w:rsidR="00895083" w:rsidRPr="00913317">
        <w:rPr>
          <w:szCs w:val="22"/>
          <w:lang w:val="hr-HR"/>
        </w:rPr>
        <w:t xml:space="preserve">hlorida za </w:t>
      </w:r>
      <w:r w:rsidR="00C660EB" w:rsidRPr="00913317">
        <w:rPr>
          <w:szCs w:val="22"/>
          <w:lang w:val="hr-HR"/>
        </w:rPr>
        <w:t xml:space="preserve">intravensku infuziju </w:t>
      </w:r>
    </w:p>
    <w:p w14:paraId="22D422DB" w14:textId="054000AA" w:rsidR="006131C3" w:rsidRPr="00913317" w:rsidRDefault="00895083" w:rsidP="00D72925">
      <w:pPr>
        <w:ind w:firstLine="547"/>
        <w:rPr>
          <w:szCs w:val="22"/>
          <w:lang w:val="hr-HR"/>
        </w:rPr>
      </w:pPr>
      <w:r w:rsidRPr="00913317">
        <w:rPr>
          <w:szCs w:val="22"/>
          <w:lang w:val="hr-HR"/>
        </w:rPr>
        <w:t>Složeni rast</w:t>
      </w:r>
      <w:r w:rsidR="006C3F92" w:rsidRPr="00913317">
        <w:rPr>
          <w:szCs w:val="22"/>
          <w:lang w:val="hr-HR"/>
        </w:rPr>
        <w:t xml:space="preserve">vor natrijum </w:t>
      </w:r>
      <w:r w:rsidRPr="00913317">
        <w:rPr>
          <w:szCs w:val="22"/>
          <w:lang w:val="hr-HR"/>
        </w:rPr>
        <w:t>laktata za intravensku infuziju (Hartmanov rastvor)</w:t>
      </w:r>
    </w:p>
    <w:p w14:paraId="3F49E853" w14:textId="77777777" w:rsidR="006131C3" w:rsidRPr="00913317" w:rsidRDefault="00895083" w:rsidP="00D72925">
      <w:pPr>
        <w:ind w:firstLine="547"/>
        <w:rPr>
          <w:szCs w:val="22"/>
          <w:lang w:val="hr-HR"/>
        </w:rPr>
      </w:pPr>
      <w:r w:rsidRPr="00913317">
        <w:rPr>
          <w:szCs w:val="22"/>
          <w:lang w:val="hr-HR"/>
        </w:rPr>
        <w:t xml:space="preserve">5% rastvor glukoze za intravensku infuziju i </w:t>
      </w:r>
      <w:r w:rsidRPr="00913317">
        <w:rPr>
          <w:i/>
          <w:szCs w:val="22"/>
          <w:lang w:val="hr-HR"/>
        </w:rPr>
        <w:t>Laktat Ringer intravenska infuzija</w:t>
      </w:r>
    </w:p>
    <w:p w14:paraId="11629DE8" w14:textId="217EFA70" w:rsidR="006131C3" w:rsidRPr="00913317" w:rsidRDefault="00895083" w:rsidP="00D72925">
      <w:pPr>
        <w:ind w:firstLine="547"/>
        <w:rPr>
          <w:szCs w:val="22"/>
          <w:lang w:val="hr-HR"/>
        </w:rPr>
      </w:pPr>
      <w:r w:rsidRPr="00913317">
        <w:rPr>
          <w:szCs w:val="22"/>
          <w:lang w:val="hr-HR"/>
        </w:rPr>
        <w:t>5% rastvor glukoze za intravensku in</w:t>
      </w:r>
      <w:r w:rsidR="006C3F92" w:rsidRPr="00913317">
        <w:rPr>
          <w:szCs w:val="22"/>
          <w:lang w:val="hr-HR"/>
        </w:rPr>
        <w:t xml:space="preserve">fuziju i 0,45% rastvor natrijum </w:t>
      </w:r>
      <w:r w:rsidRPr="00913317">
        <w:rPr>
          <w:szCs w:val="22"/>
          <w:lang w:val="hr-HR"/>
        </w:rPr>
        <w:t>hlorida za intravensku infuziju</w:t>
      </w:r>
    </w:p>
    <w:p w14:paraId="0F509A63" w14:textId="77777777" w:rsidR="006131C3" w:rsidRPr="00913317" w:rsidRDefault="00895083" w:rsidP="00D72925">
      <w:pPr>
        <w:ind w:firstLine="547"/>
        <w:rPr>
          <w:szCs w:val="22"/>
          <w:lang w:val="hr-HR"/>
        </w:rPr>
      </w:pPr>
      <w:r w:rsidRPr="00913317">
        <w:rPr>
          <w:szCs w:val="22"/>
          <w:lang w:val="hr-HR"/>
        </w:rPr>
        <w:t>5% rastvor glukoze za intravensku infuziju</w:t>
      </w:r>
    </w:p>
    <w:p w14:paraId="223F77EC" w14:textId="3F47BF7E" w:rsidR="006131C3" w:rsidRPr="00913317" w:rsidRDefault="00895083" w:rsidP="00D72925">
      <w:pPr>
        <w:ind w:firstLine="547"/>
        <w:rPr>
          <w:szCs w:val="22"/>
          <w:lang w:val="hr-HR"/>
        </w:rPr>
      </w:pPr>
      <w:r w:rsidRPr="00913317">
        <w:rPr>
          <w:szCs w:val="22"/>
          <w:lang w:val="hr-HR"/>
        </w:rPr>
        <w:t>5% r</w:t>
      </w:r>
      <w:r w:rsidR="006C3F92" w:rsidRPr="00913317">
        <w:rPr>
          <w:szCs w:val="22"/>
          <w:lang w:val="hr-HR"/>
        </w:rPr>
        <w:t xml:space="preserve">astvor glukoze u 20 mEq kalijum </w:t>
      </w:r>
      <w:r w:rsidRPr="00913317">
        <w:rPr>
          <w:szCs w:val="22"/>
          <w:lang w:val="hr-HR"/>
        </w:rPr>
        <w:t>hloridu za intravensku infuziju</w:t>
      </w:r>
    </w:p>
    <w:p w14:paraId="77E855CC" w14:textId="1768D6E6" w:rsidR="006131C3" w:rsidRPr="00913317" w:rsidRDefault="006C3F92" w:rsidP="00D72925">
      <w:pPr>
        <w:ind w:firstLine="547"/>
        <w:rPr>
          <w:szCs w:val="22"/>
          <w:lang w:val="hr-HR"/>
        </w:rPr>
      </w:pPr>
      <w:r w:rsidRPr="00913317">
        <w:rPr>
          <w:szCs w:val="22"/>
          <w:lang w:val="hr-HR"/>
        </w:rPr>
        <w:t xml:space="preserve">0,45% natrijum </w:t>
      </w:r>
      <w:r w:rsidR="00895083" w:rsidRPr="00913317">
        <w:rPr>
          <w:szCs w:val="22"/>
          <w:lang w:val="hr-HR"/>
        </w:rPr>
        <w:t>hlorid za intravensku infuziju</w:t>
      </w:r>
    </w:p>
    <w:p w14:paraId="273074BD" w14:textId="531E482C" w:rsidR="006131C3" w:rsidRPr="00913317" w:rsidRDefault="00895083" w:rsidP="00D72925">
      <w:pPr>
        <w:ind w:firstLine="547"/>
        <w:rPr>
          <w:szCs w:val="22"/>
          <w:lang w:val="hr-HR"/>
        </w:rPr>
      </w:pPr>
      <w:r w:rsidRPr="00913317">
        <w:rPr>
          <w:szCs w:val="22"/>
          <w:lang w:val="hr-HR"/>
        </w:rPr>
        <w:lastRenderedPageBreak/>
        <w:t xml:space="preserve">5% rastvor </w:t>
      </w:r>
      <w:r w:rsidR="006C3F92" w:rsidRPr="00913317">
        <w:rPr>
          <w:szCs w:val="22"/>
          <w:lang w:val="hr-HR"/>
        </w:rPr>
        <w:t xml:space="preserve">glukoze i 0,9% rastvor natrijum </w:t>
      </w:r>
      <w:r w:rsidRPr="00913317">
        <w:rPr>
          <w:szCs w:val="22"/>
          <w:lang w:val="hr-HR"/>
        </w:rPr>
        <w:t>hlorida za intravensku infuziju</w:t>
      </w:r>
    </w:p>
    <w:p w14:paraId="08FB3348" w14:textId="4D29A573" w:rsidR="006131C3" w:rsidRPr="00913317" w:rsidRDefault="00895083" w:rsidP="00D72925">
      <w:pPr>
        <w:rPr>
          <w:szCs w:val="22"/>
          <w:lang w:val="hr-HR"/>
        </w:rPr>
      </w:pPr>
      <w:r w:rsidRPr="00913317">
        <w:rPr>
          <w:szCs w:val="22"/>
          <w:lang w:val="hr-HR"/>
        </w:rPr>
        <w:t>Kompatibilnost vorikonazola sa drugim rastvorima koji ni</w:t>
      </w:r>
      <w:r w:rsidR="00307C10" w:rsidRPr="00913317">
        <w:rPr>
          <w:szCs w:val="22"/>
          <w:lang w:val="hr-HR"/>
        </w:rPr>
        <w:t>je</w:t>
      </w:r>
      <w:r w:rsidRPr="00913317">
        <w:rPr>
          <w:szCs w:val="22"/>
          <w:lang w:val="hr-HR"/>
        </w:rPr>
        <w:t xml:space="preserve">su spomenuti gore ili u </w:t>
      </w:r>
      <w:r w:rsidR="00186616" w:rsidRPr="00913317">
        <w:rPr>
          <w:szCs w:val="22"/>
          <w:lang w:val="hr-HR"/>
        </w:rPr>
        <w:t xml:space="preserve">dijelu </w:t>
      </w:r>
      <w:r w:rsidRPr="00913317">
        <w:rPr>
          <w:szCs w:val="22"/>
          <w:lang w:val="hr-HR"/>
        </w:rPr>
        <w:t>6.2 je nepoznata.</w:t>
      </w:r>
    </w:p>
    <w:p w14:paraId="27EB029C" w14:textId="08F5B8A0" w:rsidR="006131C3" w:rsidRPr="00913317" w:rsidRDefault="006131C3" w:rsidP="00D72925">
      <w:pPr>
        <w:rPr>
          <w:color w:val="FF0000"/>
          <w:szCs w:val="22"/>
          <w:lang w:val="hr-HR"/>
        </w:rPr>
      </w:pPr>
    </w:p>
    <w:p w14:paraId="55B87BA2" w14:textId="77777777" w:rsidR="00A71908" w:rsidRPr="00913317" w:rsidRDefault="00A71908" w:rsidP="00D72925">
      <w:pPr>
        <w:rPr>
          <w:color w:val="FF0000"/>
          <w:szCs w:val="22"/>
          <w:lang w:val="hr-HR"/>
        </w:rPr>
      </w:pPr>
    </w:p>
    <w:p w14:paraId="7DCFF003" w14:textId="63E7D6C4" w:rsidR="00CE09F3" w:rsidRPr="00913317" w:rsidRDefault="00CE09F3" w:rsidP="00D72925">
      <w:pPr>
        <w:pStyle w:val="NASLOV123"/>
        <w:spacing w:before="0" w:after="0"/>
        <w:jc w:val="both"/>
        <w:rPr>
          <w:lang w:val="hr-HR"/>
        </w:rPr>
      </w:pPr>
      <w:r w:rsidRPr="00913317">
        <w:rPr>
          <w:lang w:val="hr-HR"/>
        </w:rPr>
        <w:t>7</w:t>
      </w:r>
      <w:r w:rsidR="006D04E3" w:rsidRPr="00913317">
        <w:rPr>
          <w:lang w:val="hr-HR"/>
        </w:rPr>
        <w:t>.</w:t>
      </w:r>
      <w:r w:rsidR="006D04E3" w:rsidRPr="00913317">
        <w:rPr>
          <w:lang w:val="hr-HR"/>
        </w:rPr>
        <w:tab/>
      </w:r>
      <w:r w:rsidRPr="00913317">
        <w:rPr>
          <w:lang w:val="hr-HR"/>
        </w:rPr>
        <w:t xml:space="preserve">NOSILAC DOZVOLE </w:t>
      </w:r>
    </w:p>
    <w:p w14:paraId="5026FFE2" w14:textId="77777777" w:rsidR="00A71908" w:rsidRPr="00913317" w:rsidRDefault="00A71908" w:rsidP="00D72925">
      <w:pPr>
        <w:pStyle w:val="NASLOV123"/>
        <w:spacing w:before="0" w:after="0"/>
        <w:jc w:val="both"/>
        <w:rPr>
          <w:lang w:val="hr-HR"/>
        </w:rPr>
      </w:pPr>
    </w:p>
    <w:p w14:paraId="49DC6D4A" w14:textId="493E0D0A" w:rsidR="006131C3" w:rsidRPr="00913317" w:rsidRDefault="00E13D85" w:rsidP="00D72925">
      <w:pPr>
        <w:rPr>
          <w:szCs w:val="22"/>
          <w:lang w:val="hr-HR"/>
        </w:rPr>
      </w:pPr>
      <w:r w:rsidRPr="00913317">
        <w:rPr>
          <w:szCs w:val="22"/>
          <w:lang w:val="hr-HR"/>
        </w:rPr>
        <w:t>Evropa Lek Pharma d.o.o. Podgorica, Kritskog odreda 4/1, 81000 Podgorica, Crna Gora</w:t>
      </w:r>
    </w:p>
    <w:p w14:paraId="6C871877" w14:textId="51D489FC" w:rsidR="00E13D85" w:rsidRPr="00913317" w:rsidRDefault="00E13D85" w:rsidP="00D72925">
      <w:pPr>
        <w:rPr>
          <w:bCs/>
          <w:color w:val="FF0000"/>
          <w:szCs w:val="22"/>
          <w:lang w:val="hr-HR"/>
        </w:rPr>
      </w:pPr>
    </w:p>
    <w:p w14:paraId="61BE5C64" w14:textId="77777777" w:rsidR="00A71908" w:rsidRPr="00913317" w:rsidRDefault="00A71908" w:rsidP="00D72925">
      <w:pPr>
        <w:rPr>
          <w:bCs/>
          <w:color w:val="FF0000"/>
          <w:szCs w:val="22"/>
          <w:lang w:val="hr-HR"/>
        </w:rPr>
      </w:pPr>
    </w:p>
    <w:p w14:paraId="28598DFF" w14:textId="3F324E3B" w:rsidR="00CE09F3" w:rsidRPr="00913317" w:rsidRDefault="00CE09F3" w:rsidP="00D72925">
      <w:pPr>
        <w:pStyle w:val="NASLOV123"/>
        <w:spacing w:before="0" w:after="0"/>
        <w:jc w:val="both"/>
        <w:rPr>
          <w:lang w:val="hr-HR"/>
        </w:rPr>
      </w:pPr>
      <w:r w:rsidRPr="00913317">
        <w:rPr>
          <w:lang w:val="hr-HR"/>
        </w:rPr>
        <w:t>8</w:t>
      </w:r>
      <w:r w:rsidR="006D04E3" w:rsidRPr="00913317">
        <w:rPr>
          <w:lang w:val="hr-HR"/>
        </w:rPr>
        <w:t>.</w:t>
      </w:r>
      <w:r w:rsidR="006D04E3" w:rsidRPr="00913317">
        <w:rPr>
          <w:lang w:val="hr-HR"/>
        </w:rPr>
        <w:tab/>
      </w:r>
      <w:r w:rsidRPr="00913317">
        <w:rPr>
          <w:lang w:val="hr-HR"/>
        </w:rPr>
        <w:t>BROJ DOZVOLE ZA STAVLJANJE L</w:t>
      </w:r>
      <w:r w:rsidR="00096DB7" w:rsidRPr="00913317">
        <w:rPr>
          <w:lang w:val="hr-HR"/>
        </w:rPr>
        <w:t>IJ</w:t>
      </w:r>
      <w:r w:rsidRPr="00913317">
        <w:rPr>
          <w:lang w:val="hr-HR"/>
        </w:rPr>
        <w:t>EKA U PROMET</w:t>
      </w:r>
    </w:p>
    <w:p w14:paraId="07F005B4" w14:textId="77777777" w:rsidR="00A71908" w:rsidRPr="00913317" w:rsidRDefault="00A71908" w:rsidP="00D72925">
      <w:pPr>
        <w:pStyle w:val="NASLOV123"/>
        <w:spacing w:before="0" w:after="0"/>
        <w:jc w:val="both"/>
        <w:rPr>
          <w:lang w:val="hr-HR"/>
        </w:rPr>
      </w:pPr>
    </w:p>
    <w:p w14:paraId="0574FFA8" w14:textId="77777777" w:rsidR="00C4294F" w:rsidRPr="00913317" w:rsidRDefault="00C4294F" w:rsidP="00D72925">
      <w:pPr>
        <w:autoSpaceDE w:val="0"/>
        <w:autoSpaceDN w:val="0"/>
        <w:adjustRightInd w:val="0"/>
        <w:rPr>
          <w:szCs w:val="22"/>
          <w:lang w:val="sr-Latn-ME"/>
        </w:rPr>
      </w:pPr>
      <w:r w:rsidRPr="00913317">
        <w:rPr>
          <w:szCs w:val="22"/>
          <w:lang w:val="sr-Latn-ME"/>
        </w:rPr>
        <w:t>2030/23/2666 - 1861</w:t>
      </w:r>
    </w:p>
    <w:p w14:paraId="0A83D7E6" w14:textId="69914FF6" w:rsidR="006131C3" w:rsidRPr="00913317" w:rsidRDefault="006131C3" w:rsidP="00D72925">
      <w:pPr>
        <w:autoSpaceDE w:val="0"/>
        <w:autoSpaceDN w:val="0"/>
        <w:adjustRightInd w:val="0"/>
        <w:rPr>
          <w:szCs w:val="22"/>
          <w:lang w:val="hr-HR"/>
        </w:rPr>
      </w:pPr>
    </w:p>
    <w:p w14:paraId="00DD4A4B" w14:textId="77777777" w:rsidR="00E13D85" w:rsidRPr="00913317" w:rsidRDefault="00E13D85" w:rsidP="00D72925">
      <w:pPr>
        <w:autoSpaceDE w:val="0"/>
        <w:autoSpaceDN w:val="0"/>
        <w:adjustRightInd w:val="0"/>
        <w:rPr>
          <w:color w:val="FF0000"/>
          <w:szCs w:val="22"/>
          <w:lang w:val="hr-HR"/>
        </w:rPr>
      </w:pPr>
    </w:p>
    <w:p w14:paraId="7EFE4FC5" w14:textId="67E318C9" w:rsidR="006131C3" w:rsidRPr="00913317" w:rsidRDefault="00096DB7" w:rsidP="00D72925">
      <w:pPr>
        <w:pStyle w:val="NASLOV123"/>
        <w:spacing w:before="0" w:after="0"/>
        <w:jc w:val="both"/>
        <w:rPr>
          <w:lang w:val="hr-HR"/>
        </w:rPr>
      </w:pPr>
      <w:r w:rsidRPr="00913317">
        <w:rPr>
          <w:lang w:val="hr-HR"/>
        </w:rPr>
        <w:t>9</w:t>
      </w:r>
      <w:r w:rsidR="006D04E3" w:rsidRPr="00913317">
        <w:rPr>
          <w:lang w:val="hr-HR"/>
        </w:rPr>
        <w:t>.</w:t>
      </w:r>
      <w:r w:rsidR="006D04E3" w:rsidRPr="00913317">
        <w:rPr>
          <w:lang w:val="hr-HR"/>
        </w:rPr>
        <w:tab/>
      </w:r>
      <w:r w:rsidRPr="00913317">
        <w:rPr>
          <w:lang w:val="hr-HR"/>
        </w:rPr>
        <w:t>DATUM PRVE DOZVOLE/</w:t>
      </w:r>
      <w:r w:rsidR="00CE09F3" w:rsidRPr="00913317">
        <w:rPr>
          <w:lang w:val="hr-HR"/>
        </w:rPr>
        <w:t xml:space="preserve"> OBNOVE DOZVOLE ZA STAVLJANJE L</w:t>
      </w:r>
      <w:r w:rsidRPr="00913317">
        <w:rPr>
          <w:lang w:val="hr-HR"/>
        </w:rPr>
        <w:t>IJ</w:t>
      </w:r>
      <w:r w:rsidR="00CE09F3" w:rsidRPr="00913317">
        <w:rPr>
          <w:lang w:val="hr-HR"/>
        </w:rPr>
        <w:t>EKA U PROMET</w:t>
      </w:r>
    </w:p>
    <w:p w14:paraId="0E3AD0EE" w14:textId="77777777" w:rsidR="00A71908" w:rsidRPr="00913317" w:rsidRDefault="00A71908" w:rsidP="00D72925">
      <w:pPr>
        <w:pStyle w:val="NASLOV123"/>
        <w:spacing w:before="0" w:after="0"/>
        <w:jc w:val="both"/>
        <w:rPr>
          <w:lang w:val="hr-HR"/>
        </w:rPr>
      </w:pPr>
    </w:p>
    <w:p w14:paraId="2CE736F1" w14:textId="01649A58" w:rsidR="006131C3" w:rsidRPr="00913317" w:rsidRDefault="00D60107" w:rsidP="00D72925">
      <w:pPr>
        <w:autoSpaceDE w:val="0"/>
        <w:autoSpaceDN w:val="0"/>
        <w:adjustRightInd w:val="0"/>
        <w:rPr>
          <w:color w:val="FF0000"/>
          <w:szCs w:val="22"/>
          <w:lang w:val="hr-HR"/>
        </w:rPr>
      </w:pPr>
      <w:r w:rsidRPr="00913317">
        <w:rPr>
          <w:szCs w:val="22"/>
          <w:lang w:val="hr-HR"/>
        </w:rPr>
        <w:t>Datum prve dozvole</w:t>
      </w:r>
      <w:r w:rsidR="00E13D85" w:rsidRPr="00913317">
        <w:rPr>
          <w:szCs w:val="22"/>
          <w:lang w:val="hr-HR"/>
        </w:rPr>
        <w:t>: 18.09.2015. godine</w:t>
      </w:r>
      <w:r w:rsidR="00E13D85" w:rsidRPr="00913317">
        <w:rPr>
          <w:color w:val="FF0000"/>
          <w:szCs w:val="22"/>
          <w:lang w:val="hr-HR"/>
        </w:rPr>
        <w:t xml:space="preserve"> </w:t>
      </w:r>
    </w:p>
    <w:p w14:paraId="56CC89FB" w14:textId="68924A8A" w:rsidR="00D60107" w:rsidRPr="00913317" w:rsidRDefault="00D60107" w:rsidP="00D72925">
      <w:pPr>
        <w:autoSpaceDE w:val="0"/>
        <w:autoSpaceDN w:val="0"/>
        <w:adjustRightInd w:val="0"/>
        <w:rPr>
          <w:color w:val="FF0000"/>
          <w:szCs w:val="22"/>
          <w:lang w:val="hr-HR"/>
        </w:rPr>
      </w:pPr>
      <w:r w:rsidRPr="00913317">
        <w:rPr>
          <w:szCs w:val="22"/>
          <w:lang w:val="hr-HR"/>
        </w:rPr>
        <w:t>Datum posl</w:t>
      </w:r>
      <w:r w:rsidR="004C3A8B">
        <w:rPr>
          <w:szCs w:val="22"/>
          <w:lang w:val="hr-HR"/>
        </w:rPr>
        <w:t>j</w:t>
      </w:r>
      <w:r w:rsidRPr="00913317">
        <w:rPr>
          <w:szCs w:val="22"/>
          <w:lang w:val="hr-HR"/>
        </w:rPr>
        <w:t xml:space="preserve">ednje obnove dozvole: </w:t>
      </w:r>
      <w:r w:rsidR="00C4294F" w:rsidRPr="00913317">
        <w:rPr>
          <w:szCs w:val="22"/>
          <w:lang w:val="sr-Latn-ME"/>
        </w:rPr>
        <w:t>17.07.2023. godine</w:t>
      </w:r>
    </w:p>
    <w:p w14:paraId="3D339431" w14:textId="1BB0C762" w:rsidR="006131C3" w:rsidRPr="00913317" w:rsidRDefault="006131C3" w:rsidP="00D72925">
      <w:pPr>
        <w:rPr>
          <w:color w:val="FF0000"/>
          <w:szCs w:val="22"/>
          <w:lang w:val="hr-HR"/>
        </w:rPr>
      </w:pPr>
    </w:p>
    <w:p w14:paraId="67DDAA41" w14:textId="77777777" w:rsidR="00A71908" w:rsidRPr="00913317" w:rsidRDefault="00A71908" w:rsidP="00D72925">
      <w:pPr>
        <w:rPr>
          <w:color w:val="FF0000"/>
          <w:szCs w:val="22"/>
          <w:lang w:val="hr-HR"/>
        </w:rPr>
      </w:pPr>
    </w:p>
    <w:p w14:paraId="7EC8F111" w14:textId="4F38A88E" w:rsidR="00CE09F3" w:rsidRPr="00913317" w:rsidRDefault="00CE09F3" w:rsidP="00D72925">
      <w:pPr>
        <w:pStyle w:val="NASLOV123"/>
        <w:spacing w:before="0" w:after="0"/>
        <w:jc w:val="both"/>
        <w:rPr>
          <w:lang w:val="hr-HR"/>
        </w:rPr>
      </w:pPr>
      <w:r w:rsidRPr="00913317">
        <w:rPr>
          <w:lang w:val="hr-HR"/>
        </w:rPr>
        <w:t>10</w:t>
      </w:r>
      <w:r w:rsidR="006D04E3" w:rsidRPr="00913317">
        <w:rPr>
          <w:lang w:val="hr-HR"/>
        </w:rPr>
        <w:t>.</w:t>
      </w:r>
      <w:r w:rsidR="006D04E3" w:rsidRPr="00913317">
        <w:rPr>
          <w:lang w:val="hr-HR"/>
        </w:rPr>
        <w:tab/>
      </w:r>
      <w:r w:rsidR="004A07C2" w:rsidRPr="00913317">
        <w:rPr>
          <w:lang w:val="hr-HR"/>
        </w:rPr>
        <w:tab/>
      </w:r>
      <w:r w:rsidRPr="00913317">
        <w:rPr>
          <w:lang w:val="hr-HR"/>
        </w:rPr>
        <w:t>DATUM REVIZIJE TEKSTA</w:t>
      </w:r>
    </w:p>
    <w:p w14:paraId="4BA71F16" w14:textId="77777777" w:rsidR="00C4294F" w:rsidRPr="00913317" w:rsidRDefault="00C4294F" w:rsidP="00D72925">
      <w:pPr>
        <w:pStyle w:val="NASLOV123"/>
        <w:spacing w:before="0" w:after="0"/>
        <w:jc w:val="both"/>
        <w:rPr>
          <w:lang w:val="hr-HR"/>
        </w:rPr>
      </w:pPr>
    </w:p>
    <w:p w14:paraId="718C4362" w14:textId="44A0E7DF" w:rsidR="006131C3" w:rsidRPr="00723F41" w:rsidRDefault="004C3A8B" w:rsidP="00D72925">
      <w:pPr>
        <w:rPr>
          <w:bCs/>
          <w:szCs w:val="22"/>
          <w:lang w:val="hr-HR"/>
        </w:rPr>
      </w:pPr>
      <w:r>
        <w:rPr>
          <w:bCs/>
          <w:szCs w:val="22"/>
          <w:lang w:val="hr-HR"/>
        </w:rPr>
        <w:t>April</w:t>
      </w:r>
      <w:bookmarkStart w:id="0" w:name="_GoBack"/>
      <w:bookmarkEnd w:id="0"/>
      <w:r w:rsidR="00A71908" w:rsidRPr="00913317">
        <w:rPr>
          <w:bCs/>
          <w:szCs w:val="22"/>
          <w:lang w:val="hr-HR"/>
        </w:rPr>
        <w:t>, 2024. godine</w:t>
      </w:r>
    </w:p>
    <w:sectPr w:rsidR="006131C3" w:rsidRPr="00723F41" w:rsidSect="0054718D">
      <w:footerReference w:type="even" r:id="rId11"/>
      <w:footerReference w:type="default" r:id="rId12"/>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5851B" w14:textId="77777777" w:rsidR="003859E8" w:rsidRDefault="003859E8">
      <w:r>
        <w:separator/>
      </w:r>
    </w:p>
  </w:endnote>
  <w:endnote w:type="continuationSeparator" w:id="0">
    <w:p w14:paraId="5A366BF7" w14:textId="77777777" w:rsidR="003859E8" w:rsidRDefault="003859E8">
      <w:r>
        <w:continuationSeparator/>
      </w:r>
    </w:p>
  </w:endnote>
  <w:endnote w:type="continuationNotice" w:id="1">
    <w:p w14:paraId="3D8FB321" w14:textId="77777777" w:rsidR="003859E8" w:rsidRDefault="00385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MT">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charset w:val="00"/>
    <w:family w:val="auto"/>
    <w:pitch w:val="default"/>
    <w:sig w:usb0="00000087" w:usb1="08070000" w:usb2="00000010" w:usb3="00000000" w:csb0="0002000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1EB62" w14:textId="77777777" w:rsidR="0054718D" w:rsidRDefault="0054718D"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FCDEB" w14:textId="77777777" w:rsidR="0054718D" w:rsidRDefault="005471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0D4D" w14:textId="4E68BC88" w:rsidR="0054718D" w:rsidRDefault="0054718D" w:rsidP="00723F41">
    <w:pPr>
      <w:pStyle w:val="Footer"/>
      <w:tabs>
        <w:tab w:val="clear" w:pos="4536"/>
        <w:tab w:val="clear" w:pos="9072"/>
        <w:tab w:val="right" w:pos="9639"/>
      </w:tabs>
      <w:jc w:val="center"/>
    </w:pPr>
    <w:sdt>
      <w:sdtPr>
        <w:id w:val="25862803"/>
        <w:docPartObj>
          <w:docPartGallery w:val="Page Numbers (Bottom of Page)"/>
          <w:docPartUnique/>
        </w:docPartObj>
      </w:sdtPr>
      <w:sdtContent>
        <w:sdt>
          <w:sdtPr>
            <w:rPr>
              <w:szCs w:val="22"/>
            </w:rPr>
            <w:id w:val="565050477"/>
            <w:docPartObj>
              <w:docPartGallery w:val="Page Numbers (Top of Page)"/>
              <w:docPartUnique/>
            </w:docPartObj>
          </w:sdtPr>
          <w:sdtContent>
            <w:r w:rsidRPr="00F3465F">
              <w:rPr>
                <w:szCs w:val="22"/>
              </w:rPr>
              <w:fldChar w:fldCharType="begin"/>
            </w:r>
            <w:r w:rsidRPr="00F3465F">
              <w:rPr>
                <w:szCs w:val="22"/>
              </w:rPr>
              <w:instrText xml:space="preserve"> PAGE </w:instrText>
            </w:r>
            <w:r w:rsidRPr="00F3465F">
              <w:rPr>
                <w:szCs w:val="22"/>
              </w:rPr>
              <w:fldChar w:fldCharType="separate"/>
            </w:r>
            <w:r w:rsidR="004C3A8B">
              <w:rPr>
                <w:noProof/>
                <w:szCs w:val="22"/>
              </w:rPr>
              <w:t>31</w:t>
            </w:r>
            <w:r w:rsidRPr="00F3465F">
              <w:rPr>
                <w:szCs w:val="22"/>
              </w:rPr>
              <w:fldChar w:fldCharType="end"/>
            </w:r>
            <w:r w:rsidRPr="00F3465F">
              <w:rPr>
                <w:szCs w:val="22"/>
              </w:rPr>
              <w:t xml:space="preserve"> / </w:t>
            </w:r>
            <w:r w:rsidRPr="00F3465F">
              <w:rPr>
                <w:szCs w:val="22"/>
              </w:rPr>
              <w:fldChar w:fldCharType="begin"/>
            </w:r>
            <w:r w:rsidRPr="00F3465F">
              <w:rPr>
                <w:szCs w:val="22"/>
              </w:rPr>
              <w:instrText xml:space="preserve"> NUMPAGES  </w:instrText>
            </w:r>
            <w:r w:rsidRPr="00F3465F">
              <w:rPr>
                <w:szCs w:val="22"/>
              </w:rPr>
              <w:fldChar w:fldCharType="separate"/>
            </w:r>
            <w:r w:rsidR="004C3A8B">
              <w:rPr>
                <w:noProof/>
                <w:szCs w:val="22"/>
              </w:rPr>
              <w:t>31</w:t>
            </w:r>
            <w:r w:rsidRPr="00F3465F">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F5728" w14:textId="77777777" w:rsidR="003859E8" w:rsidRDefault="003859E8">
      <w:r>
        <w:separator/>
      </w:r>
    </w:p>
  </w:footnote>
  <w:footnote w:type="continuationSeparator" w:id="0">
    <w:p w14:paraId="1A57B829" w14:textId="77777777" w:rsidR="003859E8" w:rsidRDefault="003859E8">
      <w:r>
        <w:continuationSeparator/>
      </w:r>
    </w:p>
  </w:footnote>
  <w:footnote w:type="continuationNotice" w:id="1">
    <w:p w14:paraId="795E7FCA" w14:textId="77777777" w:rsidR="003859E8" w:rsidRDefault="003859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16"/>
    <w:multiLevelType w:val="hybridMultilevel"/>
    <w:tmpl w:val="91029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568E4"/>
    <w:multiLevelType w:val="hybridMultilevel"/>
    <w:tmpl w:val="63341E38"/>
    <w:lvl w:ilvl="0" w:tplc="08090001">
      <w:start w:val="1"/>
      <w:numFmt w:val="bullet"/>
      <w:lvlText w:val=""/>
      <w:lvlJc w:val="left"/>
      <w:pPr>
        <w:ind w:left="7448"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0347E6F"/>
    <w:multiLevelType w:val="hybridMultilevel"/>
    <w:tmpl w:val="8124DD38"/>
    <w:lvl w:ilvl="0" w:tplc="8E7A4B52">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62D84A89"/>
    <w:multiLevelType w:val="hybridMultilevel"/>
    <w:tmpl w:val="7DB8983E"/>
    <w:lvl w:ilvl="0" w:tplc="ED627E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663880"/>
    <w:multiLevelType w:val="hybridMultilevel"/>
    <w:tmpl w:val="825699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6F251C3A"/>
    <w:multiLevelType w:val="hybridMultilevel"/>
    <w:tmpl w:val="15F481C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8DE3FD4"/>
    <w:multiLevelType w:val="hybridMultilevel"/>
    <w:tmpl w:val="BED23968"/>
    <w:lvl w:ilvl="0" w:tplc="8286C096">
      <w:start w:val="9"/>
      <w:numFmt w:val="bullet"/>
      <w:lvlText w:val="-"/>
      <w:lvlJc w:val="left"/>
      <w:pPr>
        <w:ind w:left="720" w:hanging="360"/>
      </w:pPr>
      <w:rPr>
        <w:rFonts w:ascii="Times" w:eastAsia="Times New Roman" w:hAnsi="Time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7"/>
    </w:lvlOverride>
  </w:num>
  <w:num w:numId="3">
    <w:abstractNumId w:val="8"/>
  </w:num>
  <w:num w:numId="4">
    <w:abstractNumId w:val="0"/>
  </w:num>
  <w:num w:numId="5">
    <w:abstractNumId w:val="9"/>
  </w:num>
  <w:num w:numId="6">
    <w:abstractNumId w:val="5"/>
  </w:num>
  <w:num w:numId="7">
    <w:abstractNumId w:val="1"/>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DA"/>
    <w:rsid w:val="00007664"/>
    <w:rsid w:val="0001118F"/>
    <w:rsid w:val="00015990"/>
    <w:rsid w:val="00017801"/>
    <w:rsid w:val="0002262F"/>
    <w:rsid w:val="000233B3"/>
    <w:rsid w:val="00026463"/>
    <w:rsid w:val="00030B53"/>
    <w:rsid w:val="00031958"/>
    <w:rsid w:val="00031F2A"/>
    <w:rsid w:val="00040D43"/>
    <w:rsid w:val="000419BC"/>
    <w:rsid w:val="00042391"/>
    <w:rsid w:val="000459D0"/>
    <w:rsid w:val="00046CEE"/>
    <w:rsid w:val="00051DD3"/>
    <w:rsid w:val="00055BCB"/>
    <w:rsid w:val="0005798D"/>
    <w:rsid w:val="00060651"/>
    <w:rsid w:val="00060C2C"/>
    <w:rsid w:val="00060CD1"/>
    <w:rsid w:val="00060F84"/>
    <w:rsid w:val="00064273"/>
    <w:rsid w:val="00064A15"/>
    <w:rsid w:val="0007166D"/>
    <w:rsid w:val="00073D6C"/>
    <w:rsid w:val="000764DC"/>
    <w:rsid w:val="00083B9A"/>
    <w:rsid w:val="00083BE0"/>
    <w:rsid w:val="00084D67"/>
    <w:rsid w:val="00084F69"/>
    <w:rsid w:val="000858E4"/>
    <w:rsid w:val="00094654"/>
    <w:rsid w:val="00095FB6"/>
    <w:rsid w:val="00096DB7"/>
    <w:rsid w:val="0009758B"/>
    <w:rsid w:val="00097DA6"/>
    <w:rsid w:val="000A0F4A"/>
    <w:rsid w:val="000A18A3"/>
    <w:rsid w:val="000A4F61"/>
    <w:rsid w:val="000A556D"/>
    <w:rsid w:val="000A59BB"/>
    <w:rsid w:val="000A5E1A"/>
    <w:rsid w:val="000A757E"/>
    <w:rsid w:val="000A770D"/>
    <w:rsid w:val="000B7F00"/>
    <w:rsid w:val="000C00E7"/>
    <w:rsid w:val="000C0C29"/>
    <w:rsid w:val="000C0D10"/>
    <w:rsid w:val="000C223E"/>
    <w:rsid w:val="000C5F23"/>
    <w:rsid w:val="000D5631"/>
    <w:rsid w:val="000E029E"/>
    <w:rsid w:val="000E0427"/>
    <w:rsid w:val="000E33A4"/>
    <w:rsid w:val="000E5BDB"/>
    <w:rsid w:val="000E75C0"/>
    <w:rsid w:val="000F1554"/>
    <w:rsid w:val="000F1AF6"/>
    <w:rsid w:val="00103E69"/>
    <w:rsid w:val="0010424B"/>
    <w:rsid w:val="00111EC3"/>
    <w:rsid w:val="001135FE"/>
    <w:rsid w:val="00115487"/>
    <w:rsid w:val="00121264"/>
    <w:rsid w:val="00125651"/>
    <w:rsid w:val="00126C1C"/>
    <w:rsid w:val="00126E9D"/>
    <w:rsid w:val="00135040"/>
    <w:rsid w:val="00141639"/>
    <w:rsid w:val="0014180A"/>
    <w:rsid w:val="001426C1"/>
    <w:rsid w:val="00144A95"/>
    <w:rsid w:val="0014529D"/>
    <w:rsid w:val="0015196B"/>
    <w:rsid w:val="00153673"/>
    <w:rsid w:val="00166BEF"/>
    <w:rsid w:val="00172841"/>
    <w:rsid w:val="00172CF5"/>
    <w:rsid w:val="00173D18"/>
    <w:rsid w:val="00174A9A"/>
    <w:rsid w:val="00175772"/>
    <w:rsid w:val="00175A7E"/>
    <w:rsid w:val="00182397"/>
    <w:rsid w:val="0018601D"/>
    <w:rsid w:val="00186616"/>
    <w:rsid w:val="001878B6"/>
    <w:rsid w:val="00197FB9"/>
    <w:rsid w:val="001B3DC6"/>
    <w:rsid w:val="001B706A"/>
    <w:rsid w:val="001B7399"/>
    <w:rsid w:val="001C57FF"/>
    <w:rsid w:val="001C5A53"/>
    <w:rsid w:val="001D10C9"/>
    <w:rsid w:val="001D27D4"/>
    <w:rsid w:val="001D703F"/>
    <w:rsid w:val="001E0A07"/>
    <w:rsid w:val="001E3EEC"/>
    <w:rsid w:val="001E6145"/>
    <w:rsid w:val="001E7D2E"/>
    <w:rsid w:val="001F18B2"/>
    <w:rsid w:val="001F257B"/>
    <w:rsid w:val="001F2D4E"/>
    <w:rsid w:val="001F2E79"/>
    <w:rsid w:val="001F39B6"/>
    <w:rsid w:val="002051FB"/>
    <w:rsid w:val="002134E9"/>
    <w:rsid w:val="00217B1E"/>
    <w:rsid w:val="0022218E"/>
    <w:rsid w:val="0022223A"/>
    <w:rsid w:val="00223D17"/>
    <w:rsid w:val="00225714"/>
    <w:rsid w:val="00225A99"/>
    <w:rsid w:val="00225D77"/>
    <w:rsid w:val="002265FC"/>
    <w:rsid w:val="00230D89"/>
    <w:rsid w:val="002331EB"/>
    <w:rsid w:val="00234CF1"/>
    <w:rsid w:val="0023597B"/>
    <w:rsid w:val="00236F6F"/>
    <w:rsid w:val="0024132F"/>
    <w:rsid w:val="0024139F"/>
    <w:rsid w:val="00241E3D"/>
    <w:rsid w:val="00242DCD"/>
    <w:rsid w:val="00243BF9"/>
    <w:rsid w:val="00243D75"/>
    <w:rsid w:val="00247C5C"/>
    <w:rsid w:val="002511C0"/>
    <w:rsid w:val="00255321"/>
    <w:rsid w:val="002576B1"/>
    <w:rsid w:val="00262767"/>
    <w:rsid w:val="00262FFD"/>
    <w:rsid w:val="00270DAE"/>
    <w:rsid w:val="00273BE0"/>
    <w:rsid w:val="002768AE"/>
    <w:rsid w:val="002803A5"/>
    <w:rsid w:val="00280497"/>
    <w:rsid w:val="00280EB1"/>
    <w:rsid w:val="00286267"/>
    <w:rsid w:val="0029457E"/>
    <w:rsid w:val="0029721D"/>
    <w:rsid w:val="002A09AC"/>
    <w:rsid w:val="002A2756"/>
    <w:rsid w:val="002A2C6D"/>
    <w:rsid w:val="002A45A4"/>
    <w:rsid w:val="002A4DF1"/>
    <w:rsid w:val="002A5C65"/>
    <w:rsid w:val="002A7B8D"/>
    <w:rsid w:val="002B39DE"/>
    <w:rsid w:val="002B4AA0"/>
    <w:rsid w:val="002B6F6A"/>
    <w:rsid w:val="002C02DF"/>
    <w:rsid w:val="002C0FBF"/>
    <w:rsid w:val="002C252A"/>
    <w:rsid w:val="002D14F2"/>
    <w:rsid w:val="002D1D7B"/>
    <w:rsid w:val="002D486F"/>
    <w:rsid w:val="002E2C07"/>
    <w:rsid w:val="002E5C9D"/>
    <w:rsid w:val="002E66E0"/>
    <w:rsid w:val="002E7C46"/>
    <w:rsid w:val="002F110A"/>
    <w:rsid w:val="002F5046"/>
    <w:rsid w:val="002F5E2F"/>
    <w:rsid w:val="00305384"/>
    <w:rsid w:val="00307C10"/>
    <w:rsid w:val="00310B06"/>
    <w:rsid w:val="00316FC0"/>
    <w:rsid w:val="003204CC"/>
    <w:rsid w:val="0032054A"/>
    <w:rsid w:val="003256B9"/>
    <w:rsid w:val="003307B5"/>
    <w:rsid w:val="00335F59"/>
    <w:rsid w:val="00343CDA"/>
    <w:rsid w:val="003452C0"/>
    <w:rsid w:val="00346FBA"/>
    <w:rsid w:val="003540C3"/>
    <w:rsid w:val="00354645"/>
    <w:rsid w:val="003601CF"/>
    <w:rsid w:val="00360741"/>
    <w:rsid w:val="0036419F"/>
    <w:rsid w:val="00383195"/>
    <w:rsid w:val="00385301"/>
    <w:rsid w:val="003859E8"/>
    <w:rsid w:val="00394FD5"/>
    <w:rsid w:val="003A2DF8"/>
    <w:rsid w:val="003A4AA2"/>
    <w:rsid w:val="003B2082"/>
    <w:rsid w:val="003B3ABF"/>
    <w:rsid w:val="003B4303"/>
    <w:rsid w:val="003C1394"/>
    <w:rsid w:val="003C18A0"/>
    <w:rsid w:val="003C18A4"/>
    <w:rsid w:val="003C4544"/>
    <w:rsid w:val="003C466C"/>
    <w:rsid w:val="003D248C"/>
    <w:rsid w:val="003D28B9"/>
    <w:rsid w:val="003D39F8"/>
    <w:rsid w:val="003D53A2"/>
    <w:rsid w:val="003E3EC7"/>
    <w:rsid w:val="003E7780"/>
    <w:rsid w:val="003E7DF3"/>
    <w:rsid w:val="003E7EE8"/>
    <w:rsid w:val="003F696C"/>
    <w:rsid w:val="00404A0A"/>
    <w:rsid w:val="00406334"/>
    <w:rsid w:val="004067EB"/>
    <w:rsid w:val="00407671"/>
    <w:rsid w:val="0041055F"/>
    <w:rsid w:val="004123CD"/>
    <w:rsid w:val="0041631E"/>
    <w:rsid w:val="0042082C"/>
    <w:rsid w:val="004234ED"/>
    <w:rsid w:val="00423774"/>
    <w:rsid w:val="00426F1F"/>
    <w:rsid w:val="00427BDD"/>
    <w:rsid w:val="00427D41"/>
    <w:rsid w:val="00437474"/>
    <w:rsid w:val="00452036"/>
    <w:rsid w:val="004534BC"/>
    <w:rsid w:val="00453C2D"/>
    <w:rsid w:val="004566A7"/>
    <w:rsid w:val="00461CFA"/>
    <w:rsid w:val="00462C33"/>
    <w:rsid w:val="0046658F"/>
    <w:rsid w:val="00470FDD"/>
    <w:rsid w:val="00482F72"/>
    <w:rsid w:val="00483E72"/>
    <w:rsid w:val="0049069A"/>
    <w:rsid w:val="00491C25"/>
    <w:rsid w:val="00492248"/>
    <w:rsid w:val="00495EDB"/>
    <w:rsid w:val="00496DAD"/>
    <w:rsid w:val="00497648"/>
    <w:rsid w:val="004A07C2"/>
    <w:rsid w:val="004A4700"/>
    <w:rsid w:val="004B024D"/>
    <w:rsid w:val="004B3587"/>
    <w:rsid w:val="004B5A11"/>
    <w:rsid w:val="004B7A50"/>
    <w:rsid w:val="004C154C"/>
    <w:rsid w:val="004C3A8B"/>
    <w:rsid w:val="004C4A96"/>
    <w:rsid w:val="004D230F"/>
    <w:rsid w:val="004D3149"/>
    <w:rsid w:val="004D4534"/>
    <w:rsid w:val="004D45E7"/>
    <w:rsid w:val="004D502B"/>
    <w:rsid w:val="004E431F"/>
    <w:rsid w:val="004F4846"/>
    <w:rsid w:val="004F5281"/>
    <w:rsid w:val="00502F1B"/>
    <w:rsid w:val="00503974"/>
    <w:rsid w:val="005073A3"/>
    <w:rsid w:val="00511EB8"/>
    <w:rsid w:val="00512155"/>
    <w:rsid w:val="0052230B"/>
    <w:rsid w:val="005225C3"/>
    <w:rsid w:val="005229D5"/>
    <w:rsid w:val="0052511E"/>
    <w:rsid w:val="00525A8A"/>
    <w:rsid w:val="00526583"/>
    <w:rsid w:val="005269AA"/>
    <w:rsid w:val="005276F0"/>
    <w:rsid w:val="00530909"/>
    <w:rsid w:val="0053434F"/>
    <w:rsid w:val="005453B7"/>
    <w:rsid w:val="00546949"/>
    <w:rsid w:val="0054718D"/>
    <w:rsid w:val="0055313B"/>
    <w:rsid w:val="00562482"/>
    <w:rsid w:val="00562911"/>
    <w:rsid w:val="00564485"/>
    <w:rsid w:val="00570242"/>
    <w:rsid w:val="00573FD9"/>
    <w:rsid w:val="00574B9A"/>
    <w:rsid w:val="00581521"/>
    <w:rsid w:val="0059023E"/>
    <w:rsid w:val="005970A4"/>
    <w:rsid w:val="005A5FCA"/>
    <w:rsid w:val="005A76FE"/>
    <w:rsid w:val="005A7815"/>
    <w:rsid w:val="005B3388"/>
    <w:rsid w:val="005B586F"/>
    <w:rsid w:val="005B6D30"/>
    <w:rsid w:val="005C0286"/>
    <w:rsid w:val="005C1044"/>
    <w:rsid w:val="005C3F73"/>
    <w:rsid w:val="005C4243"/>
    <w:rsid w:val="005C7891"/>
    <w:rsid w:val="005D38B0"/>
    <w:rsid w:val="005D4886"/>
    <w:rsid w:val="005D4A3F"/>
    <w:rsid w:val="005D4B59"/>
    <w:rsid w:val="005D7A5A"/>
    <w:rsid w:val="005E2385"/>
    <w:rsid w:val="005F173C"/>
    <w:rsid w:val="005F3C30"/>
    <w:rsid w:val="005F429A"/>
    <w:rsid w:val="00603302"/>
    <w:rsid w:val="00604E4F"/>
    <w:rsid w:val="00604E70"/>
    <w:rsid w:val="006053D7"/>
    <w:rsid w:val="006054EE"/>
    <w:rsid w:val="006118B6"/>
    <w:rsid w:val="006131C3"/>
    <w:rsid w:val="006156B6"/>
    <w:rsid w:val="00616881"/>
    <w:rsid w:val="0062143C"/>
    <w:rsid w:val="006270C0"/>
    <w:rsid w:val="0062752A"/>
    <w:rsid w:val="00630195"/>
    <w:rsid w:val="00637C7F"/>
    <w:rsid w:val="00641610"/>
    <w:rsid w:val="006419BC"/>
    <w:rsid w:val="0065050F"/>
    <w:rsid w:val="006527D1"/>
    <w:rsid w:val="006559AF"/>
    <w:rsid w:val="00660ED5"/>
    <w:rsid w:val="00671613"/>
    <w:rsid w:val="00673867"/>
    <w:rsid w:val="00680147"/>
    <w:rsid w:val="00682427"/>
    <w:rsid w:val="00682E8C"/>
    <w:rsid w:val="00693874"/>
    <w:rsid w:val="00693F46"/>
    <w:rsid w:val="006953B0"/>
    <w:rsid w:val="006A0577"/>
    <w:rsid w:val="006A18A0"/>
    <w:rsid w:val="006A1B90"/>
    <w:rsid w:val="006A3536"/>
    <w:rsid w:val="006A48DA"/>
    <w:rsid w:val="006A51E9"/>
    <w:rsid w:val="006B17FC"/>
    <w:rsid w:val="006B3ED4"/>
    <w:rsid w:val="006B4951"/>
    <w:rsid w:val="006C0179"/>
    <w:rsid w:val="006C0E77"/>
    <w:rsid w:val="006C1540"/>
    <w:rsid w:val="006C3F92"/>
    <w:rsid w:val="006C40DE"/>
    <w:rsid w:val="006D04E3"/>
    <w:rsid w:val="006D104C"/>
    <w:rsid w:val="006D2EC2"/>
    <w:rsid w:val="006E406F"/>
    <w:rsid w:val="006E511A"/>
    <w:rsid w:val="006E6CBC"/>
    <w:rsid w:val="006F0448"/>
    <w:rsid w:val="006F158F"/>
    <w:rsid w:val="006F2722"/>
    <w:rsid w:val="00700670"/>
    <w:rsid w:val="007150E6"/>
    <w:rsid w:val="00723F41"/>
    <w:rsid w:val="0072595B"/>
    <w:rsid w:val="00726EAE"/>
    <w:rsid w:val="007304BE"/>
    <w:rsid w:val="00732EB3"/>
    <w:rsid w:val="00733544"/>
    <w:rsid w:val="00734000"/>
    <w:rsid w:val="0073569F"/>
    <w:rsid w:val="00735CBF"/>
    <w:rsid w:val="0074379C"/>
    <w:rsid w:val="007441C6"/>
    <w:rsid w:val="00744F6D"/>
    <w:rsid w:val="00751FC2"/>
    <w:rsid w:val="007537D7"/>
    <w:rsid w:val="00753A39"/>
    <w:rsid w:val="00763460"/>
    <w:rsid w:val="00764648"/>
    <w:rsid w:val="007672F3"/>
    <w:rsid w:val="00771F08"/>
    <w:rsid w:val="0077203D"/>
    <w:rsid w:val="0077531C"/>
    <w:rsid w:val="0077560D"/>
    <w:rsid w:val="007757DF"/>
    <w:rsid w:val="00775EC5"/>
    <w:rsid w:val="00782BFF"/>
    <w:rsid w:val="00790D1C"/>
    <w:rsid w:val="007A2550"/>
    <w:rsid w:val="007A3A09"/>
    <w:rsid w:val="007B08F9"/>
    <w:rsid w:val="007B16C4"/>
    <w:rsid w:val="007B2604"/>
    <w:rsid w:val="007B6D19"/>
    <w:rsid w:val="007B7B52"/>
    <w:rsid w:val="007B7CF0"/>
    <w:rsid w:val="007C2134"/>
    <w:rsid w:val="007C2D7E"/>
    <w:rsid w:val="007C7B33"/>
    <w:rsid w:val="007D04DF"/>
    <w:rsid w:val="007D0A3B"/>
    <w:rsid w:val="007D17FD"/>
    <w:rsid w:val="007D2234"/>
    <w:rsid w:val="007D3307"/>
    <w:rsid w:val="007D48C5"/>
    <w:rsid w:val="007D6823"/>
    <w:rsid w:val="007E06F0"/>
    <w:rsid w:val="007E13E7"/>
    <w:rsid w:val="007F2CD4"/>
    <w:rsid w:val="007F5CD4"/>
    <w:rsid w:val="00802DFC"/>
    <w:rsid w:val="00814781"/>
    <w:rsid w:val="00815C98"/>
    <w:rsid w:val="008163E3"/>
    <w:rsid w:val="0082248B"/>
    <w:rsid w:val="0082501D"/>
    <w:rsid w:val="00825E6E"/>
    <w:rsid w:val="0082697C"/>
    <w:rsid w:val="00830283"/>
    <w:rsid w:val="008338EA"/>
    <w:rsid w:val="00834DBB"/>
    <w:rsid w:val="00836E48"/>
    <w:rsid w:val="00842FB8"/>
    <w:rsid w:val="00842FFB"/>
    <w:rsid w:val="008442A8"/>
    <w:rsid w:val="008467F0"/>
    <w:rsid w:val="00852042"/>
    <w:rsid w:val="008538DA"/>
    <w:rsid w:val="00860AA2"/>
    <w:rsid w:val="0086351A"/>
    <w:rsid w:val="0086717C"/>
    <w:rsid w:val="00867FE7"/>
    <w:rsid w:val="00874B61"/>
    <w:rsid w:val="008837CF"/>
    <w:rsid w:val="0088747A"/>
    <w:rsid w:val="00895083"/>
    <w:rsid w:val="008A1845"/>
    <w:rsid w:val="008A2E43"/>
    <w:rsid w:val="008A48B7"/>
    <w:rsid w:val="008A6EE9"/>
    <w:rsid w:val="008B3EB5"/>
    <w:rsid w:val="008B3FA1"/>
    <w:rsid w:val="008B4C41"/>
    <w:rsid w:val="008B6F22"/>
    <w:rsid w:val="008C5809"/>
    <w:rsid w:val="008C59C8"/>
    <w:rsid w:val="008D128D"/>
    <w:rsid w:val="008D6D92"/>
    <w:rsid w:val="008D78C9"/>
    <w:rsid w:val="008E0FC9"/>
    <w:rsid w:val="008E118C"/>
    <w:rsid w:val="008F0B04"/>
    <w:rsid w:val="008F6C9C"/>
    <w:rsid w:val="00900F59"/>
    <w:rsid w:val="00904D3C"/>
    <w:rsid w:val="00913317"/>
    <w:rsid w:val="00913684"/>
    <w:rsid w:val="009141A8"/>
    <w:rsid w:val="00915732"/>
    <w:rsid w:val="009214A4"/>
    <w:rsid w:val="009215DF"/>
    <w:rsid w:val="00923588"/>
    <w:rsid w:val="00923865"/>
    <w:rsid w:val="00927625"/>
    <w:rsid w:val="0093016E"/>
    <w:rsid w:val="00930948"/>
    <w:rsid w:val="00931447"/>
    <w:rsid w:val="00934B4D"/>
    <w:rsid w:val="00934BB0"/>
    <w:rsid w:val="00935053"/>
    <w:rsid w:val="009429CB"/>
    <w:rsid w:val="00947351"/>
    <w:rsid w:val="009476B1"/>
    <w:rsid w:val="00954637"/>
    <w:rsid w:val="00955C75"/>
    <w:rsid w:val="00956080"/>
    <w:rsid w:val="0095618B"/>
    <w:rsid w:val="009677DF"/>
    <w:rsid w:val="00970852"/>
    <w:rsid w:val="00973E23"/>
    <w:rsid w:val="009748E9"/>
    <w:rsid w:val="00977B69"/>
    <w:rsid w:val="00981231"/>
    <w:rsid w:val="009864BC"/>
    <w:rsid w:val="00990A01"/>
    <w:rsid w:val="0099164B"/>
    <w:rsid w:val="00991E63"/>
    <w:rsid w:val="009946F8"/>
    <w:rsid w:val="00996E6B"/>
    <w:rsid w:val="009A1D64"/>
    <w:rsid w:val="009B0CFB"/>
    <w:rsid w:val="009B1292"/>
    <w:rsid w:val="009B2430"/>
    <w:rsid w:val="009B338B"/>
    <w:rsid w:val="009B58AD"/>
    <w:rsid w:val="009B6C21"/>
    <w:rsid w:val="009B768F"/>
    <w:rsid w:val="009B7935"/>
    <w:rsid w:val="009C0EA0"/>
    <w:rsid w:val="009C1794"/>
    <w:rsid w:val="009C5581"/>
    <w:rsid w:val="009C7BA2"/>
    <w:rsid w:val="009D1161"/>
    <w:rsid w:val="009D23AF"/>
    <w:rsid w:val="009D538B"/>
    <w:rsid w:val="009D667B"/>
    <w:rsid w:val="009E456B"/>
    <w:rsid w:val="009E7668"/>
    <w:rsid w:val="009F4449"/>
    <w:rsid w:val="009F605D"/>
    <w:rsid w:val="009F780D"/>
    <w:rsid w:val="009F7B52"/>
    <w:rsid w:val="009F7E6C"/>
    <w:rsid w:val="00A02252"/>
    <w:rsid w:val="00A0439F"/>
    <w:rsid w:val="00A05E80"/>
    <w:rsid w:val="00A10999"/>
    <w:rsid w:val="00A127F1"/>
    <w:rsid w:val="00A2261E"/>
    <w:rsid w:val="00A27130"/>
    <w:rsid w:val="00A27244"/>
    <w:rsid w:val="00A32AE1"/>
    <w:rsid w:val="00A34D36"/>
    <w:rsid w:val="00A3629C"/>
    <w:rsid w:val="00A37C1A"/>
    <w:rsid w:val="00A41E2A"/>
    <w:rsid w:val="00A43D3B"/>
    <w:rsid w:val="00A50657"/>
    <w:rsid w:val="00A552BF"/>
    <w:rsid w:val="00A562CE"/>
    <w:rsid w:val="00A567C9"/>
    <w:rsid w:val="00A573A3"/>
    <w:rsid w:val="00A668E7"/>
    <w:rsid w:val="00A7147C"/>
    <w:rsid w:val="00A71908"/>
    <w:rsid w:val="00A7660B"/>
    <w:rsid w:val="00A77C87"/>
    <w:rsid w:val="00A81077"/>
    <w:rsid w:val="00A813ED"/>
    <w:rsid w:val="00A826AF"/>
    <w:rsid w:val="00A86897"/>
    <w:rsid w:val="00A93965"/>
    <w:rsid w:val="00A93D0B"/>
    <w:rsid w:val="00A95733"/>
    <w:rsid w:val="00A95746"/>
    <w:rsid w:val="00A964ED"/>
    <w:rsid w:val="00A97E5B"/>
    <w:rsid w:val="00AA038E"/>
    <w:rsid w:val="00AA24CB"/>
    <w:rsid w:val="00AA4473"/>
    <w:rsid w:val="00AA4FC9"/>
    <w:rsid w:val="00AB0870"/>
    <w:rsid w:val="00AB5465"/>
    <w:rsid w:val="00AB55FE"/>
    <w:rsid w:val="00AC2359"/>
    <w:rsid w:val="00AC53A1"/>
    <w:rsid w:val="00AD6144"/>
    <w:rsid w:val="00AE064D"/>
    <w:rsid w:val="00AF40AE"/>
    <w:rsid w:val="00AF4C10"/>
    <w:rsid w:val="00AF6B52"/>
    <w:rsid w:val="00B043CD"/>
    <w:rsid w:val="00B051DF"/>
    <w:rsid w:val="00B05D0E"/>
    <w:rsid w:val="00B05DEB"/>
    <w:rsid w:val="00B069A8"/>
    <w:rsid w:val="00B26FAC"/>
    <w:rsid w:val="00B315FB"/>
    <w:rsid w:val="00B31AA2"/>
    <w:rsid w:val="00B31C19"/>
    <w:rsid w:val="00B34320"/>
    <w:rsid w:val="00B36FD3"/>
    <w:rsid w:val="00B43914"/>
    <w:rsid w:val="00B52F36"/>
    <w:rsid w:val="00B54EA1"/>
    <w:rsid w:val="00B660E9"/>
    <w:rsid w:val="00B72E13"/>
    <w:rsid w:val="00B72F8A"/>
    <w:rsid w:val="00B7317D"/>
    <w:rsid w:val="00B74C0B"/>
    <w:rsid w:val="00B75384"/>
    <w:rsid w:val="00B77686"/>
    <w:rsid w:val="00B77814"/>
    <w:rsid w:val="00B803AA"/>
    <w:rsid w:val="00B82FF1"/>
    <w:rsid w:val="00B8400D"/>
    <w:rsid w:val="00B85A29"/>
    <w:rsid w:val="00B86F48"/>
    <w:rsid w:val="00B92CF9"/>
    <w:rsid w:val="00B93A37"/>
    <w:rsid w:val="00BA1819"/>
    <w:rsid w:val="00BA1E98"/>
    <w:rsid w:val="00BA4A7D"/>
    <w:rsid w:val="00BA4BF2"/>
    <w:rsid w:val="00BA5A22"/>
    <w:rsid w:val="00BB4A1E"/>
    <w:rsid w:val="00BB55E5"/>
    <w:rsid w:val="00BC4171"/>
    <w:rsid w:val="00BC4B9B"/>
    <w:rsid w:val="00BC4E8B"/>
    <w:rsid w:val="00BD3589"/>
    <w:rsid w:val="00BD725A"/>
    <w:rsid w:val="00BE63FA"/>
    <w:rsid w:val="00BE6E1E"/>
    <w:rsid w:val="00BF0412"/>
    <w:rsid w:val="00BF1805"/>
    <w:rsid w:val="00BF3750"/>
    <w:rsid w:val="00C0434D"/>
    <w:rsid w:val="00C06244"/>
    <w:rsid w:val="00C064CB"/>
    <w:rsid w:val="00C10082"/>
    <w:rsid w:val="00C106A8"/>
    <w:rsid w:val="00C11C28"/>
    <w:rsid w:val="00C15B18"/>
    <w:rsid w:val="00C26B01"/>
    <w:rsid w:val="00C27D3C"/>
    <w:rsid w:val="00C304A5"/>
    <w:rsid w:val="00C32143"/>
    <w:rsid w:val="00C33FD9"/>
    <w:rsid w:val="00C3443D"/>
    <w:rsid w:val="00C37C0C"/>
    <w:rsid w:val="00C4294F"/>
    <w:rsid w:val="00C4550B"/>
    <w:rsid w:val="00C472C3"/>
    <w:rsid w:val="00C53654"/>
    <w:rsid w:val="00C536C2"/>
    <w:rsid w:val="00C53BD2"/>
    <w:rsid w:val="00C55F47"/>
    <w:rsid w:val="00C56A25"/>
    <w:rsid w:val="00C56E09"/>
    <w:rsid w:val="00C56E2E"/>
    <w:rsid w:val="00C64A31"/>
    <w:rsid w:val="00C660EB"/>
    <w:rsid w:val="00C66585"/>
    <w:rsid w:val="00C707AC"/>
    <w:rsid w:val="00C7273D"/>
    <w:rsid w:val="00C7332E"/>
    <w:rsid w:val="00C82E8B"/>
    <w:rsid w:val="00C8309D"/>
    <w:rsid w:val="00C836E8"/>
    <w:rsid w:val="00C866D7"/>
    <w:rsid w:val="00CA6657"/>
    <w:rsid w:val="00CB06C8"/>
    <w:rsid w:val="00CB72F5"/>
    <w:rsid w:val="00CC0D87"/>
    <w:rsid w:val="00CC4C88"/>
    <w:rsid w:val="00CD0B1F"/>
    <w:rsid w:val="00CD0C5B"/>
    <w:rsid w:val="00CD0CEE"/>
    <w:rsid w:val="00CD2626"/>
    <w:rsid w:val="00CD3F96"/>
    <w:rsid w:val="00CD6B00"/>
    <w:rsid w:val="00CD71B9"/>
    <w:rsid w:val="00CD7B00"/>
    <w:rsid w:val="00CE09F3"/>
    <w:rsid w:val="00CE3B1C"/>
    <w:rsid w:val="00CE4412"/>
    <w:rsid w:val="00CE56FE"/>
    <w:rsid w:val="00CE76DA"/>
    <w:rsid w:val="00CF3B69"/>
    <w:rsid w:val="00CF4427"/>
    <w:rsid w:val="00CF5574"/>
    <w:rsid w:val="00CF5F3C"/>
    <w:rsid w:val="00D01205"/>
    <w:rsid w:val="00D04A40"/>
    <w:rsid w:val="00D055D8"/>
    <w:rsid w:val="00D061E1"/>
    <w:rsid w:val="00D10575"/>
    <w:rsid w:val="00D10B24"/>
    <w:rsid w:val="00D1106B"/>
    <w:rsid w:val="00D11D7F"/>
    <w:rsid w:val="00D11E94"/>
    <w:rsid w:val="00D21FA8"/>
    <w:rsid w:val="00D30389"/>
    <w:rsid w:val="00D33083"/>
    <w:rsid w:val="00D337F6"/>
    <w:rsid w:val="00D40503"/>
    <w:rsid w:val="00D45D8A"/>
    <w:rsid w:val="00D46AD2"/>
    <w:rsid w:val="00D52CDB"/>
    <w:rsid w:val="00D53975"/>
    <w:rsid w:val="00D55FCF"/>
    <w:rsid w:val="00D60107"/>
    <w:rsid w:val="00D61710"/>
    <w:rsid w:val="00D6611E"/>
    <w:rsid w:val="00D71355"/>
    <w:rsid w:val="00D72925"/>
    <w:rsid w:val="00D76171"/>
    <w:rsid w:val="00D76F44"/>
    <w:rsid w:val="00D812C8"/>
    <w:rsid w:val="00D82C19"/>
    <w:rsid w:val="00D837A3"/>
    <w:rsid w:val="00D85189"/>
    <w:rsid w:val="00D85AC5"/>
    <w:rsid w:val="00D85F37"/>
    <w:rsid w:val="00D8713D"/>
    <w:rsid w:val="00D91350"/>
    <w:rsid w:val="00D9608B"/>
    <w:rsid w:val="00D96EF7"/>
    <w:rsid w:val="00DA2F16"/>
    <w:rsid w:val="00DA7A0B"/>
    <w:rsid w:val="00DB4534"/>
    <w:rsid w:val="00DB6EA2"/>
    <w:rsid w:val="00DC09AA"/>
    <w:rsid w:val="00DC1DAB"/>
    <w:rsid w:val="00DC7052"/>
    <w:rsid w:val="00DD2A82"/>
    <w:rsid w:val="00DD5E20"/>
    <w:rsid w:val="00DD7641"/>
    <w:rsid w:val="00DD7841"/>
    <w:rsid w:val="00DE1973"/>
    <w:rsid w:val="00DF1D32"/>
    <w:rsid w:val="00DF37A8"/>
    <w:rsid w:val="00DF46E4"/>
    <w:rsid w:val="00DF7788"/>
    <w:rsid w:val="00DF77FD"/>
    <w:rsid w:val="00E00E39"/>
    <w:rsid w:val="00E04856"/>
    <w:rsid w:val="00E07977"/>
    <w:rsid w:val="00E10627"/>
    <w:rsid w:val="00E10AD6"/>
    <w:rsid w:val="00E13D85"/>
    <w:rsid w:val="00E22CB0"/>
    <w:rsid w:val="00E252F6"/>
    <w:rsid w:val="00E33379"/>
    <w:rsid w:val="00E3429B"/>
    <w:rsid w:val="00E3662D"/>
    <w:rsid w:val="00E41FE8"/>
    <w:rsid w:val="00E45DBB"/>
    <w:rsid w:val="00E50084"/>
    <w:rsid w:val="00E50726"/>
    <w:rsid w:val="00E50CD3"/>
    <w:rsid w:val="00E51B15"/>
    <w:rsid w:val="00E54F78"/>
    <w:rsid w:val="00E56089"/>
    <w:rsid w:val="00E60ABD"/>
    <w:rsid w:val="00E628C6"/>
    <w:rsid w:val="00E77605"/>
    <w:rsid w:val="00E80893"/>
    <w:rsid w:val="00E80DF0"/>
    <w:rsid w:val="00E82099"/>
    <w:rsid w:val="00E833F9"/>
    <w:rsid w:val="00E84404"/>
    <w:rsid w:val="00E85FA1"/>
    <w:rsid w:val="00E87ACC"/>
    <w:rsid w:val="00E87BE1"/>
    <w:rsid w:val="00E9134F"/>
    <w:rsid w:val="00E9197C"/>
    <w:rsid w:val="00E91AF1"/>
    <w:rsid w:val="00E91F09"/>
    <w:rsid w:val="00E96115"/>
    <w:rsid w:val="00EA020F"/>
    <w:rsid w:val="00EA1F85"/>
    <w:rsid w:val="00EA3CF0"/>
    <w:rsid w:val="00EB02E1"/>
    <w:rsid w:val="00EB4649"/>
    <w:rsid w:val="00EB46B0"/>
    <w:rsid w:val="00EB681B"/>
    <w:rsid w:val="00EC3CD9"/>
    <w:rsid w:val="00EC6F8B"/>
    <w:rsid w:val="00ED434A"/>
    <w:rsid w:val="00ED4585"/>
    <w:rsid w:val="00ED735F"/>
    <w:rsid w:val="00EE350F"/>
    <w:rsid w:val="00EF3756"/>
    <w:rsid w:val="00EF3D1D"/>
    <w:rsid w:val="00F12304"/>
    <w:rsid w:val="00F12E46"/>
    <w:rsid w:val="00F17A06"/>
    <w:rsid w:val="00F25FC2"/>
    <w:rsid w:val="00F3465F"/>
    <w:rsid w:val="00F349D7"/>
    <w:rsid w:val="00F36903"/>
    <w:rsid w:val="00F36C14"/>
    <w:rsid w:val="00F379CC"/>
    <w:rsid w:val="00F40A45"/>
    <w:rsid w:val="00F42610"/>
    <w:rsid w:val="00F426FB"/>
    <w:rsid w:val="00F433A7"/>
    <w:rsid w:val="00F451FE"/>
    <w:rsid w:val="00F4722E"/>
    <w:rsid w:val="00F5199B"/>
    <w:rsid w:val="00F51D3A"/>
    <w:rsid w:val="00F55712"/>
    <w:rsid w:val="00F5775F"/>
    <w:rsid w:val="00F63F24"/>
    <w:rsid w:val="00F648C7"/>
    <w:rsid w:val="00F713E8"/>
    <w:rsid w:val="00F76BCD"/>
    <w:rsid w:val="00F76C17"/>
    <w:rsid w:val="00F917A3"/>
    <w:rsid w:val="00F93D11"/>
    <w:rsid w:val="00F9685C"/>
    <w:rsid w:val="00FA10C0"/>
    <w:rsid w:val="00FA259F"/>
    <w:rsid w:val="00FA59E2"/>
    <w:rsid w:val="00FA7C75"/>
    <w:rsid w:val="00FB61DF"/>
    <w:rsid w:val="00FB68C7"/>
    <w:rsid w:val="00FC0D51"/>
    <w:rsid w:val="00FC15EB"/>
    <w:rsid w:val="00FC1B63"/>
    <w:rsid w:val="00FC1FBC"/>
    <w:rsid w:val="00FC2627"/>
    <w:rsid w:val="00FC722B"/>
    <w:rsid w:val="00FD1248"/>
    <w:rsid w:val="00FD5C4B"/>
    <w:rsid w:val="00FE5E3A"/>
    <w:rsid w:val="00FF0D13"/>
    <w:rsid w:val="00FF0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D25A0B"/>
  <w15:docId w15:val="{8CB6465A-137A-4865-9648-08998319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Default">
    <w:name w:val="Default"/>
    <w:rsid w:val="00E41FE8"/>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4F5281"/>
    <w:pPr>
      <w:tabs>
        <w:tab w:val="clear" w:pos="284"/>
      </w:tabs>
      <w:autoSpaceDE w:val="0"/>
      <w:autoSpaceDN w:val="0"/>
      <w:adjustRightInd w:val="0"/>
      <w:jc w:val="left"/>
    </w:pPr>
    <w:rPr>
      <w:sz w:val="24"/>
      <w:lang w:val="en-GB"/>
    </w:rPr>
  </w:style>
  <w:style w:type="character" w:customStyle="1" w:styleId="HeaderChar">
    <w:name w:val="Header Char"/>
    <w:link w:val="Header"/>
    <w:rsid w:val="005A7815"/>
    <w:rPr>
      <w:sz w:val="22"/>
      <w:szCs w:val="24"/>
    </w:rPr>
  </w:style>
  <w:style w:type="paragraph" w:customStyle="1" w:styleId="CM55">
    <w:name w:val="CM55"/>
    <w:basedOn w:val="Normal"/>
    <w:next w:val="Normal"/>
    <w:rsid w:val="005A7815"/>
    <w:pPr>
      <w:widowControl w:val="0"/>
      <w:tabs>
        <w:tab w:val="clear" w:pos="284"/>
      </w:tabs>
      <w:autoSpaceDE w:val="0"/>
      <w:autoSpaceDN w:val="0"/>
      <w:adjustRightInd w:val="0"/>
      <w:spacing w:after="243"/>
      <w:jc w:val="left"/>
    </w:pPr>
    <w:rPr>
      <w:sz w:val="24"/>
      <w:lang w:val="en-GB" w:eastAsia="en-GB"/>
    </w:rPr>
  </w:style>
  <w:style w:type="paragraph" w:customStyle="1" w:styleId="Paragraph">
    <w:name w:val="Paragraph"/>
    <w:link w:val="ParagraphChar1"/>
    <w:qFormat/>
    <w:rsid w:val="005A7815"/>
    <w:pPr>
      <w:spacing w:after="240"/>
    </w:pPr>
    <w:rPr>
      <w:sz w:val="24"/>
      <w:szCs w:val="24"/>
    </w:rPr>
  </w:style>
  <w:style w:type="character" w:customStyle="1" w:styleId="ParagraphChar1">
    <w:name w:val="Paragraph Char1"/>
    <w:link w:val="Paragraph"/>
    <w:rsid w:val="005A7815"/>
    <w:rPr>
      <w:sz w:val="24"/>
      <w:szCs w:val="24"/>
    </w:rPr>
  </w:style>
  <w:style w:type="paragraph" w:styleId="ListParagraph">
    <w:name w:val="List Paragraph"/>
    <w:basedOn w:val="Normal"/>
    <w:uiPriority w:val="34"/>
    <w:qFormat/>
    <w:rsid w:val="005A7815"/>
    <w:pPr>
      <w:tabs>
        <w:tab w:val="clear" w:pos="284"/>
      </w:tabs>
      <w:spacing w:after="200" w:line="276" w:lineRule="auto"/>
      <w:ind w:left="720"/>
      <w:contextualSpacing/>
      <w:jc w:val="left"/>
    </w:pPr>
    <w:rPr>
      <w:rFonts w:ascii="Calibri" w:eastAsia="Calibri" w:hAnsi="Calibri"/>
      <w:szCs w:val="22"/>
    </w:rPr>
  </w:style>
  <w:style w:type="paragraph" w:customStyle="1" w:styleId="CM56">
    <w:name w:val="CM56"/>
    <w:basedOn w:val="Normal"/>
    <w:next w:val="Normal"/>
    <w:rsid w:val="005A7815"/>
    <w:pPr>
      <w:widowControl w:val="0"/>
      <w:tabs>
        <w:tab w:val="clear" w:pos="284"/>
      </w:tabs>
      <w:autoSpaceDE w:val="0"/>
      <w:autoSpaceDN w:val="0"/>
      <w:adjustRightInd w:val="0"/>
      <w:spacing w:after="505"/>
      <w:jc w:val="left"/>
    </w:pPr>
    <w:rPr>
      <w:sz w:val="24"/>
      <w:lang w:val="en-GB" w:eastAsia="en-GB"/>
    </w:rPr>
  </w:style>
  <w:style w:type="paragraph" w:customStyle="1" w:styleId="TableText">
    <w:name w:val="TableText"/>
    <w:link w:val="TableTextChar"/>
    <w:rsid w:val="005A7815"/>
    <w:rPr>
      <w:rFonts w:cs="Arial"/>
    </w:rPr>
  </w:style>
  <w:style w:type="character" w:customStyle="1" w:styleId="TableTextChar">
    <w:name w:val="TableText Char"/>
    <w:link w:val="TableText"/>
    <w:rsid w:val="005A7815"/>
    <w:rPr>
      <w:rFonts w:cs="Arial"/>
    </w:rPr>
  </w:style>
  <w:style w:type="paragraph" w:customStyle="1" w:styleId="TableTextColHead">
    <w:name w:val="TableText Col Head"/>
    <w:next w:val="Normal"/>
    <w:rsid w:val="00BE6E1E"/>
    <w:pPr>
      <w:jc w:val="center"/>
    </w:pPr>
    <w:rPr>
      <w:rFonts w:ascii="Times New Roman Bold" w:hAnsi="Times New Roman Bold"/>
      <w:b/>
    </w:rPr>
  </w:style>
  <w:style w:type="paragraph" w:customStyle="1" w:styleId="TableTextFootnote">
    <w:name w:val="TableText Footnote"/>
    <w:rsid w:val="00BE6E1E"/>
  </w:style>
  <w:style w:type="character" w:styleId="Hyperlink">
    <w:name w:val="Hyperlink"/>
    <w:basedOn w:val="DefaultParagraphFont"/>
    <w:rsid w:val="005F173C"/>
    <w:rPr>
      <w:color w:val="0000FF" w:themeColor="hyperlink"/>
      <w:u w:val="single"/>
    </w:rPr>
  </w:style>
  <w:style w:type="character" w:customStyle="1" w:styleId="CommentTextChar">
    <w:name w:val="Comment Text Char"/>
    <w:basedOn w:val="DefaultParagraphFont"/>
    <w:link w:val="CommentText"/>
    <w:semiHidden/>
    <w:rsid w:val="00B34320"/>
  </w:style>
  <w:style w:type="paragraph" w:styleId="Revision">
    <w:name w:val="Revision"/>
    <w:hidden/>
    <w:uiPriority w:val="99"/>
    <w:semiHidden/>
    <w:rsid w:val="00F12304"/>
    <w:rPr>
      <w:sz w:val="22"/>
      <w:szCs w:val="24"/>
    </w:rPr>
  </w:style>
  <w:style w:type="paragraph" w:styleId="NoSpacing">
    <w:name w:val="No Spacing"/>
    <w:uiPriority w:val="1"/>
    <w:qFormat/>
    <w:rsid w:val="00096DB7"/>
    <w:rPr>
      <w:sz w:val="24"/>
      <w:szCs w:val="24"/>
    </w:rPr>
  </w:style>
  <w:style w:type="paragraph" w:customStyle="1" w:styleId="wordsection1">
    <w:name w:val="wordsection1"/>
    <w:basedOn w:val="Normal"/>
    <w:uiPriority w:val="99"/>
    <w:rsid w:val="005A5FCA"/>
    <w:pPr>
      <w:tabs>
        <w:tab w:val="clear" w:pos="284"/>
      </w:tabs>
      <w:jc w:val="left"/>
    </w:pPr>
    <w:rPr>
      <w:rFonts w:eastAsia="Calibri"/>
      <w:sz w:val="24"/>
    </w:rPr>
  </w:style>
  <w:style w:type="paragraph" w:customStyle="1" w:styleId="CM14">
    <w:name w:val="CM14"/>
    <w:basedOn w:val="Default"/>
    <w:next w:val="Default"/>
    <w:rsid w:val="008467F0"/>
    <w:pPr>
      <w:widowControl w:val="0"/>
      <w:spacing w:line="246" w:lineRule="atLeast"/>
    </w:pPr>
    <w:rPr>
      <w:color w:val="auto"/>
      <w:lang w:eastAsia="en-GB"/>
    </w:rPr>
  </w:style>
  <w:style w:type="character" w:customStyle="1" w:styleId="UnresolvedMention1">
    <w:name w:val="Unresolved Mention1"/>
    <w:basedOn w:val="DefaultParagraphFont"/>
    <w:uiPriority w:val="99"/>
    <w:semiHidden/>
    <w:unhideWhenUsed/>
    <w:rsid w:val="00126C1C"/>
    <w:rPr>
      <w:color w:val="605E5C"/>
      <w:shd w:val="clear" w:color="auto" w:fill="E1DFDD"/>
    </w:rPr>
  </w:style>
  <w:style w:type="paragraph" w:customStyle="1" w:styleId="CM3">
    <w:name w:val="CM3"/>
    <w:basedOn w:val="Default"/>
    <w:next w:val="Default"/>
    <w:rsid w:val="007E13E7"/>
    <w:pPr>
      <w:widowControl w:val="0"/>
      <w:spacing w:line="243" w:lineRule="atLeast"/>
    </w:pPr>
    <w:rPr>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6661">
      <w:bodyDiv w:val="1"/>
      <w:marLeft w:val="0"/>
      <w:marRight w:val="0"/>
      <w:marTop w:val="0"/>
      <w:marBottom w:val="0"/>
      <w:divBdr>
        <w:top w:val="none" w:sz="0" w:space="0" w:color="auto"/>
        <w:left w:val="none" w:sz="0" w:space="0" w:color="auto"/>
        <w:bottom w:val="none" w:sz="0" w:space="0" w:color="auto"/>
        <w:right w:val="none" w:sz="0" w:space="0" w:color="auto"/>
      </w:divBdr>
    </w:div>
    <w:div w:id="506601163">
      <w:bodyDiv w:val="1"/>
      <w:marLeft w:val="0"/>
      <w:marRight w:val="0"/>
      <w:marTop w:val="0"/>
      <w:marBottom w:val="0"/>
      <w:divBdr>
        <w:top w:val="none" w:sz="0" w:space="0" w:color="auto"/>
        <w:left w:val="none" w:sz="0" w:space="0" w:color="auto"/>
        <w:bottom w:val="none" w:sz="0" w:space="0" w:color="auto"/>
        <w:right w:val="none" w:sz="0" w:space="0" w:color="auto"/>
      </w:divBdr>
    </w:div>
    <w:div w:id="569465497">
      <w:bodyDiv w:val="1"/>
      <w:marLeft w:val="0"/>
      <w:marRight w:val="0"/>
      <w:marTop w:val="0"/>
      <w:marBottom w:val="0"/>
      <w:divBdr>
        <w:top w:val="none" w:sz="0" w:space="0" w:color="auto"/>
        <w:left w:val="none" w:sz="0" w:space="0" w:color="auto"/>
        <w:bottom w:val="none" w:sz="0" w:space="0" w:color="auto"/>
        <w:right w:val="none" w:sz="0" w:space="0" w:color="auto"/>
      </w:divBdr>
    </w:div>
    <w:div w:id="635527320">
      <w:bodyDiv w:val="1"/>
      <w:marLeft w:val="0"/>
      <w:marRight w:val="0"/>
      <w:marTop w:val="0"/>
      <w:marBottom w:val="0"/>
      <w:divBdr>
        <w:top w:val="none" w:sz="0" w:space="0" w:color="auto"/>
        <w:left w:val="none" w:sz="0" w:space="0" w:color="auto"/>
        <w:bottom w:val="none" w:sz="0" w:space="0" w:color="auto"/>
        <w:right w:val="none" w:sz="0" w:space="0" w:color="auto"/>
      </w:divBdr>
    </w:div>
    <w:div w:id="840127183">
      <w:bodyDiv w:val="1"/>
      <w:marLeft w:val="0"/>
      <w:marRight w:val="0"/>
      <w:marTop w:val="0"/>
      <w:marBottom w:val="0"/>
      <w:divBdr>
        <w:top w:val="none" w:sz="0" w:space="0" w:color="auto"/>
        <w:left w:val="none" w:sz="0" w:space="0" w:color="auto"/>
        <w:bottom w:val="none" w:sz="0" w:space="0" w:color="auto"/>
        <w:right w:val="none" w:sz="0" w:space="0" w:color="auto"/>
      </w:divBdr>
    </w:div>
    <w:div w:id="1092319182">
      <w:bodyDiv w:val="1"/>
      <w:marLeft w:val="0"/>
      <w:marRight w:val="0"/>
      <w:marTop w:val="0"/>
      <w:marBottom w:val="0"/>
      <w:divBdr>
        <w:top w:val="none" w:sz="0" w:space="0" w:color="auto"/>
        <w:left w:val="none" w:sz="0" w:space="0" w:color="auto"/>
        <w:bottom w:val="none" w:sz="0" w:space="0" w:color="auto"/>
        <w:right w:val="none" w:sz="0" w:space="0" w:color="auto"/>
      </w:divBdr>
    </w:div>
    <w:div w:id="1099641799">
      <w:bodyDiv w:val="1"/>
      <w:marLeft w:val="30"/>
      <w:marRight w:val="30"/>
      <w:marTop w:val="0"/>
      <w:marBottom w:val="0"/>
      <w:divBdr>
        <w:top w:val="none" w:sz="0" w:space="0" w:color="auto"/>
        <w:left w:val="none" w:sz="0" w:space="0" w:color="auto"/>
        <w:bottom w:val="none" w:sz="0" w:space="0" w:color="auto"/>
        <w:right w:val="none" w:sz="0" w:space="0" w:color="auto"/>
      </w:divBdr>
      <w:divsChild>
        <w:div w:id="1819685146">
          <w:marLeft w:val="0"/>
          <w:marRight w:val="0"/>
          <w:marTop w:val="0"/>
          <w:marBottom w:val="0"/>
          <w:divBdr>
            <w:top w:val="none" w:sz="0" w:space="0" w:color="auto"/>
            <w:left w:val="none" w:sz="0" w:space="0" w:color="auto"/>
            <w:bottom w:val="none" w:sz="0" w:space="0" w:color="auto"/>
            <w:right w:val="none" w:sz="0" w:space="0" w:color="auto"/>
          </w:divBdr>
          <w:divsChild>
            <w:div w:id="1447963310">
              <w:marLeft w:val="0"/>
              <w:marRight w:val="0"/>
              <w:marTop w:val="0"/>
              <w:marBottom w:val="0"/>
              <w:divBdr>
                <w:top w:val="none" w:sz="0" w:space="0" w:color="auto"/>
                <w:left w:val="none" w:sz="0" w:space="0" w:color="auto"/>
                <w:bottom w:val="none" w:sz="0" w:space="0" w:color="auto"/>
                <w:right w:val="none" w:sz="0" w:space="0" w:color="auto"/>
              </w:divBdr>
              <w:divsChild>
                <w:div w:id="396783362">
                  <w:marLeft w:val="180"/>
                  <w:marRight w:val="0"/>
                  <w:marTop w:val="0"/>
                  <w:marBottom w:val="0"/>
                  <w:divBdr>
                    <w:top w:val="none" w:sz="0" w:space="0" w:color="auto"/>
                    <w:left w:val="none" w:sz="0" w:space="0" w:color="auto"/>
                    <w:bottom w:val="none" w:sz="0" w:space="0" w:color="auto"/>
                    <w:right w:val="none" w:sz="0" w:space="0" w:color="auto"/>
                  </w:divBdr>
                  <w:divsChild>
                    <w:div w:id="5928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20792">
      <w:bodyDiv w:val="1"/>
      <w:marLeft w:val="30"/>
      <w:marRight w:val="30"/>
      <w:marTop w:val="0"/>
      <w:marBottom w:val="0"/>
      <w:divBdr>
        <w:top w:val="none" w:sz="0" w:space="0" w:color="auto"/>
        <w:left w:val="none" w:sz="0" w:space="0" w:color="auto"/>
        <w:bottom w:val="none" w:sz="0" w:space="0" w:color="auto"/>
        <w:right w:val="none" w:sz="0" w:space="0" w:color="auto"/>
      </w:divBdr>
      <w:divsChild>
        <w:div w:id="1346638685">
          <w:marLeft w:val="0"/>
          <w:marRight w:val="0"/>
          <w:marTop w:val="0"/>
          <w:marBottom w:val="0"/>
          <w:divBdr>
            <w:top w:val="none" w:sz="0" w:space="0" w:color="auto"/>
            <w:left w:val="none" w:sz="0" w:space="0" w:color="auto"/>
            <w:bottom w:val="none" w:sz="0" w:space="0" w:color="auto"/>
            <w:right w:val="none" w:sz="0" w:space="0" w:color="auto"/>
          </w:divBdr>
          <w:divsChild>
            <w:div w:id="25836687">
              <w:marLeft w:val="0"/>
              <w:marRight w:val="0"/>
              <w:marTop w:val="0"/>
              <w:marBottom w:val="0"/>
              <w:divBdr>
                <w:top w:val="none" w:sz="0" w:space="0" w:color="auto"/>
                <w:left w:val="none" w:sz="0" w:space="0" w:color="auto"/>
                <w:bottom w:val="none" w:sz="0" w:space="0" w:color="auto"/>
                <w:right w:val="none" w:sz="0" w:space="0" w:color="auto"/>
              </w:divBdr>
              <w:divsChild>
                <w:div w:id="1455365145">
                  <w:marLeft w:val="180"/>
                  <w:marRight w:val="0"/>
                  <w:marTop w:val="0"/>
                  <w:marBottom w:val="0"/>
                  <w:divBdr>
                    <w:top w:val="none" w:sz="0" w:space="0" w:color="auto"/>
                    <w:left w:val="none" w:sz="0" w:space="0" w:color="auto"/>
                    <w:bottom w:val="none" w:sz="0" w:space="0" w:color="auto"/>
                    <w:right w:val="none" w:sz="0" w:space="0" w:color="auto"/>
                  </w:divBdr>
                  <w:divsChild>
                    <w:div w:id="2018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21660">
      <w:bodyDiv w:val="1"/>
      <w:marLeft w:val="0"/>
      <w:marRight w:val="0"/>
      <w:marTop w:val="0"/>
      <w:marBottom w:val="0"/>
      <w:divBdr>
        <w:top w:val="none" w:sz="0" w:space="0" w:color="auto"/>
        <w:left w:val="none" w:sz="0" w:space="0" w:color="auto"/>
        <w:bottom w:val="none" w:sz="0" w:space="0" w:color="auto"/>
        <w:right w:val="none" w:sz="0" w:space="0" w:color="auto"/>
      </w:divBdr>
    </w:div>
    <w:div w:id="1645115413">
      <w:bodyDiv w:val="1"/>
      <w:marLeft w:val="30"/>
      <w:marRight w:val="30"/>
      <w:marTop w:val="0"/>
      <w:marBottom w:val="0"/>
      <w:divBdr>
        <w:top w:val="none" w:sz="0" w:space="0" w:color="auto"/>
        <w:left w:val="none" w:sz="0" w:space="0" w:color="auto"/>
        <w:bottom w:val="none" w:sz="0" w:space="0" w:color="auto"/>
        <w:right w:val="none" w:sz="0" w:space="0" w:color="auto"/>
      </w:divBdr>
      <w:divsChild>
        <w:div w:id="761340806">
          <w:marLeft w:val="0"/>
          <w:marRight w:val="0"/>
          <w:marTop w:val="0"/>
          <w:marBottom w:val="0"/>
          <w:divBdr>
            <w:top w:val="none" w:sz="0" w:space="0" w:color="auto"/>
            <w:left w:val="none" w:sz="0" w:space="0" w:color="auto"/>
            <w:bottom w:val="none" w:sz="0" w:space="0" w:color="auto"/>
            <w:right w:val="none" w:sz="0" w:space="0" w:color="auto"/>
          </w:divBdr>
          <w:divsChild>
            <w:div w:id="17510835">
              <w:marLeft w:val="0"/>
              <w:marRight w:val="0"/>
              <w:marTop w:val="0"/>
              <w:marBottom w:val="0"/>
              <w:divBdr>
                <w:top w:val="none" w:sz="0" w:space="0" w:color="auto"/>
                <w:left w:val="none" w:sz="0" w:space="0" w:color="auto"/>
                <w:bottom w:val="none" w:sz="0" w:space="0" w:color="auto"/>
                <w:right w:val="none" w:sz="0" w:space="0" w:color="auto"/>
              </w:divBdr>
              <w:divsChild>
                <w:div w:id="189681563">
                  <w:marLeft w:val="180"/>
                  <w:marRight w:val="0"/>
                  <w:marTop w:val="0"/>
                  <w:marBottom w:val="0"/>
                  <w:divBdr>
                    <w:top w:val="none" w:sz="0" w:space="0" w:color="auto"/>
                    <w:left w:val="none" w:sz="0" w:space="0" w:color="auto"/>
                    <w:bottom w:val="none" w:sz="0" w:space="0" w:color="auto"/>
                    <w:right w:val="none" w:sz="0" w:space="0" w:color="auto"/>
                  </w:divBdr>
                  <w:divsChild>
                    <w:div w:id="260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10073">
      <w:bodyDiv w:val="1"/>
      <w:marLeft w:val="0"/>
      <w:marRight w:val="0"/>
      <w:marTop w:val="0"/>
      <w:marBottom w:val="0"/>
      <w:divBdr>
        <w:top w:val="none" w:sz="0" w:space="0" w:color="auto"/>
        <w:left w:val="none" w:sz="0" w:space="0" w:color="auto"/>
        <w:bottom w:val="none" w:sz="0" w:space="0" w:color="auto"/>
        <w:right w:val="none" w:sz="0" w:space="0" w:color="auto"/>
      </w:divBdr>
    </w:div>
    <w:div w:id="19571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EFBC-96C0-4AC7-BF90-7E80196B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14777</Words>
  <Characters>84234</Characters>
  <Application>Microsoft Office Word</Application>
  <DocSecurity>0</DocSecurity>
  <Lines>701</Lines>
  <Paragraphs>197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Pfizer Inc</Company>
  <LinksUpToDate>false</LinksUpToDate>
  <CharactersWithSpaces>98814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minape</dc:creator>
  <cp:lastModifiedBy>Tamara Nikezić</cp:lastModifiedBy>
  <cp:revision>20</cp:revision>
  <cp:lastPrinted>2019-02-13T13:36:00Z</cp:lastPrinted>
  <dcterms:created xsi:type="dcterms:W3CDTF">2024-01-05T16:07:00Z</dcterms:created>
  <dcterms:modified xsi:type="dcterms:W3CDTF">2024-04-23T07:32:00Z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da22f8-c169-4ff2-bd8c-c9797308d5a4_Enabled">
    <vt:lpwstr>true</vt:lpwstr>
  </property>
  <property fmtid="{D5CDD505-2E9C-101B-9397-08002B2CF9AE}" pid="3" name="MSIP_Label_98da22f8-c169-4ff2-bd8c-c9797308d5a4_SetDate">
    <vt:lpwstr>2022-12-15T14:55:27Z</vt:lpwstr>
  </property>
  <property fmtid="{D5CDD505-2E9C-101B-9397-08002B2CF9AE}" pid="4" name="MSIP_Label_98da22f8-c169-4ff2-bd8c-c9797308d5a4_Method">
    <vt:lpwstr>Privileged</vt:lpwstr>
  </property>
  <property fmtid="{D5CDD505-2E9C-101B-9397-08002B2CF9AE}" pid="5" name="MSIP_Label_98da22f8-c169-4ff2-bd8c-c9797308d5a4_Name">
    <vt:lpwstr>98da22f8-c169-4ff2-bd8c-c9797308d5a4</vt:lpwstr>
  </property>
  <property fmtid="{D5CDD505-2E9C-101B-9397-08002B2CF9AE}" pid="6" name="MSIP_Label_98da22f8-c169-4ff2-bd8c-c9797308d5a4_SiteId">
    <vt:lpwstr>7a916015-20ae-4ad1-9170-eefd915e9272</vt:lpwstr>
  </property>
  <property fmtid="{D5CDD505-2E9C-101B-9397-08002B2CF9AE}" pid="7" name="MSIP_Label_98da22f8-c169-4ff2-bd8c-c9797308d5a4_ActionId">
    <vt:lpwstr>7e2d8646-f065-4889-95ce-959c27ac5309</vt:lpwstr>
  </property>
  <property fmtid="{D5CDD505-2E9C-101B-9397-08002B2CF9AE}" pid="8" name="MSIP_Label_98da22f8-c169-4ff2-bd8c-c9797308d5a4_ContentBits">
    <vt:lpwstr>0</vt:lpwstr>
  </property>
</Properties>
</file>