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1F4D4" w14:textId="466A088B" w:rsidR="000F1DCB" w:rsidRPr="00AA3DF0" w:rsidRDefault="000F1DCB" w:rsidP="00923865">
      <w:pPr>
        <w:rPr>
          <w:szCs w:val="22"/>
        </w:rPr>
      </w:pPr>
    </w:p>
    <w:p w14:paraId="3361F4D5" w14:textId="5195CF13" w:rsidR="000F1DCB" w:rsidRPr="00AA3DF0" w:rsidRDefault="000F1DCB" w:rsidP="00923865">
      <w:pPr>
        <w:jc w:val="center"/>
        <w:rPr>
          <w:b/>
          <w:bCs/>
          <w:iCs/>
          <w:szCs w:val="22"/>
          <w:u w:val="single"/>
          <w:lang w:val="sv-SE"/>
        </w:rPr>
      </w:pPr>
      <w:r w:rsidRPr="00AA3DF0">
        <w:rPr>
          <w:b/>
          <w:bCs/>
          <w:iCs/>
          <w:szCs w:val="22"/>
          <w:u w:val="single"/>
          <w:lang w:val="sv-SE"/>
        </w:rPr>
        <w:t>SAŽETAK KARAKTERISTIKA L</w:t>
      </w:r>
      <w:r w:rsidR="00E30DA3" w:rsidRPr="00AA3DF0">
        <w:rPr>
          <w:b/>
          <w:bCs/>
          <w:iCs/>
          <w:szCs w:val="22"/>
          <w:u w:val="single"/>
          <w:lang w:val="sv-SE"/>
        </w:rPr>
        <w:t>IJ</w:t>
      </w:r>
      <w:r w:rsidRPr="00AA3DF0">
        <w:rPr>
          <w:b/>
          <w:bCs/>
          <w:iCs/>
          <w:szCs w:val="22"/>
          <w:u w:val="single"/>
          <w:lang w:val="sv-SE"/>
        </w:rPr>
        <w:t>EKA</w:t>
      </w:r>
    </w:p>
    <w:p w14:paraId="3361F4D6" w14:textId="77777777" w:rsidR="000F1DCB" w:rsidRPr="00AA3DF0" w:rsidRDefault="000F1DCB" w:rsidP="00923865">
      <w:pPr>
        <w:rPr>
          <w:szCs w:val="22"/>
          <w:lang w:val="sv-SE"/>
        </w:rPr>
      </w:pPr>
      <w:r w:rsidRPr="00AA3DF0">
        <w:rPr>
          <w:szCs w:val="22"/>
          <w:lang w:val="sv-SE"/>
        </w:rPr>
        <w:t xml:space="preserve"> </w:t>
      </w:r>
    </w:p>
    <w:p w14:paraId="3361F4D7" w14:textId="77777777" w:rsidR="000F1DCB" w:rsidRPr="00AA3DF0" w:rsidRDefault="000F1DCB" w:rsidP="00923865">
      <w:pPr>
        <w:rPr>
          <w:b/>
          <w:bCs/>
          <w:szCs w:val="22"/>
          <w:lang w:val="sv-SE"/>
        </w:rPr>
      </w:pPr>
    </w:p>
    <w:p w14:paraId="3361F4D8" w14:textId="540E6B6F" w:rsidR="000F1DCB" w:rsidRPr="00AA3DF0" w:rsidRDefault="000F1DCB" w:rsidP="00923865">
      <w:pPr>
        <w:pStyle w:val="NASLOV123"/>
        <w:rPr>
          <w:lang w:val="sr-Latn-CS"/>
        </w:rPr>
      </w:pPr>
      <w:r w:rsidRPr="00AA3DF0">
        <w:rPr>
          <w:lang w:val="sv-SE"/>
        </w:rPr>
        <w:t xml:space="preserve">1. </w:t>
      </w:r>
      <w:r w:rsidR="00E30DA3" w:rsidRPr="00AA3DF0">
        <w:rPr>
          <w:lang w:val="sv-SE"/>
        </w:rPr>
        <w:t>NAZIV</w:t>
      </w:r>
      <w:r w:rsidRPr="00AA3DF0">
        <w:rPr>
          <w:lang w:val="sv-SE"/>
        </w:rPr>
        <w:t xml:space="preserve"> L</w:t>
      </w:r>
      <w:r w:rsidR="00E30DA3" w:rsidRPr="00AA3DF0">
        <w:rPr>
          <w:lang w:val="sv-SE"/>
        </w:rPr>
        <w:t>IJ</w:t>
      </w:r>
      <w:r w:rsidRPr="00AA3DF0">
        <w:rPr>
          <w:lang w:val="sv-SE"/>
        </w:rPr>
        <w:t>EKA</w:t>
      </w:r>
    </w:p>
    <w:p w14:paraId="3361F4D9" w14:textId="3140EE2B" w:rsidR="000F1DCB" w:rsidRPr="00AA3DF0" w:rsidRDefault="000F1DCB" w:rsidP="00923865">
      <w:pPr>
        <w:rPr>
          <w:bCs/>
          <w:szCs w:val="22"/>
          <w:lang w:val="sr-Latn-CS"/>
        </w:rPr>
      </w:pPr>
      <w:r w:rsidRPr="00AA3DF0">
        <w:rPr>
          <w:szCs w:val="22"/>
          <w:lang w:val="sv-SE"/>
        </w:rPr>
        <w:t>Farin, 5 mg, tablet</w:t>
      </w:r>
      <w:r w:rsidR="00472B4D" w:rsidRPr="00AA3DF0">
        <w:rPr>
          <w:szCs w:val="22"/>
          <w:lang w:val="sv-SE"/>
        </w:rPr>
        <w:t>a</w:t>
      </w:r>
    </w:p>
    <w:p w14:paraId="3361F4DA" w14:textId="77777777" w:rsidR="000F1DCB" w:rsidRPr="00AA3DF0" w:rsidRDefault="000F1DCB" w:rsidP="00923865">
      <w:pPr>
        <w:rPr>
          <w:bCs/>
          <w:szCs w:val="22"/>
          <w:lang w:val="sr-Latn-CS"/>
        </w:rPr>
      </w:pPr>
    </w:p>
    <w:p w14:paraId="3361F4DB" w14:textId="77777777" w:rsidR="000F1DCB" w:rsidRPr="00AA3DF0" w:rsidRDefault="000F1DCB" w:rsidP="00923865">
      <w:pPr>
        <w:rPr>
          <w:bCs/>
          <w:i/>
          <w:iCs/>
          <w:szCs w:val="22"/>
          <w:lang w:val="sr-Latn-CS"/>
        </w:rPr>
      </w:pPr>
      <w:r w:rsidRPr="00AA3DF0">
        <w:rPr>
          <w:szCs w:val="22"/>
          <w:lang w:val="sv-SE"/>
        </w:rPr>
        <w:t>INN: varfarin</w:t>
      </w:r>
    </w:p>
    <w:p w14:paraId="3361F4DC" w14:textId="5FA86B31" w:rsidR="000F1DCB" w:rsidRPr="00AA3DF0" w:rsidRDefault="000F1DCB" w:rsidP="00923865">
      <w:pPr>
        <w:rPr>
          <w:b/>
          <w:bCs/>
          <w:szCs w:val="22"/>
          <w:lang w:val="sv-SE"/>
        </w:rPr>
      </w:pPr>
    </w:p>
    <w:p w14:paraId="5B2522FF" w14:textId="77777777" w:rsidR="00E66F18" w:rsidRPr="00AA3DF0" w:rsidRDefault="00E66F18" w:rsidP="00923865">
      <w:pPr>
        <w:rPr>
          <w:b/>
          <w:bCs/>
          <w:szCs w:val="22"/>
          <w:lang w:val="sv-SE"/>
        </w:rPr>
      </w:pPr>
    </w:p>
    <w:p w14:paraId="3361F4DD" w14:textId="77777777" w:rsidR="000F1DCB" w:rsidRPr="00AA3DF0" w:rsidRDefault="000F1DCB" w:rsidP="00AB16D1">
      <w:pPr>
        <w:pStyle w:val="NASLOV123"/>
        <w:spacing w:before="0" w:after="0"/>
        <w:rPr>
          <w:lang w:val="sv-SE"/>
        </w:rPr>
      </w:pPr>
      <w:r w:rsidRPr="00AA3DF0">
        <w:rPr>
          <w:lang w:val="sv-SE"/>
        </w:rPr>
        <w:t>2. KVALITATIVNI I KVANTITATIVNI SASTAV</w:t>
      </w:r>
    </w:p>
    <w:p w14:paraId="3361F4DE" w14:textId="77777777" w:rsidR="000F1DCB" w:rsidRPr="00AA3DF0" w:rsidRDefault="000F1DCB" w:rsidP="00C92108">
      <w:pPr>
        <w:pStyle w:val="Header"/>
        <w:rPr>
          <w:szCs w:val="22"/>
          <w:lang w:val="sl-SI"/>
        </w:rPr>
      </w:pPr>
    </w:p>
    <w:p w14:paraId="3361F4DF" w14:textId="22FDA8E3" w:rsidR="000F1DCB" w:rsidRPr="00AA3DF0" w:rsidRDefault="000F1DCB" w:rsidP="00C92108">
      <w:pPr>
        <w:pStyle w:val="Header"/>
        <w:rPr>
          <w:szCs w:val="22"/>
          <w:lang w:val="sl-SI"/>
        </w:rPr>
      </w:pPr>
      <w:r w:rsidRPr="00AA3DF0">
        <w:rPr>
          <w:szCs w:val="22"/>
          <w:lang w:val="sl-SI"/>
        </w:rPr>
        <w:t>Jedna tableta sadrži 5 mg varfarin</w:t>
      </w:r>
      <w:r w:rsidR="00E66F18" w:rsidRPr="00AA3DF0">
        <w:rPr>
          <w:szCs w:val="22"/>
          <w:lang w:val="sl-SI"/>
        </w:rPr>
        <w:t xml:space="preserve"> </w:t>
      </w:r>
      <w:r w:rsidRPr="00AA3DF0">
        <w:rPr>
          <w:szCs w:val="22"/>
          <w:lang w:val="sl-SI"/>
        </w:rPr>
        <w:t>natrijuma.</w:t>
      </w:r>
    </w:p>
    <w:p w14:paraId="3361F4E0" w14:textId="77777777" w:rsidR="000F1DCB" w:rsidRPr="00AA3DF0" w:rsidRDefault="000F1DCB" w:rsidP="00C92108">
      <w:pPr>
        <w:pStyle w:val="Header"/>
        <w:rPr>
          <w:szCs w:val="22"/>
          <w:lang w:val="sl-SI"/>
        </w:rPr>
      </w:pPr>
    </w:p>
    <w:p w14:paraId="3361F4E1" w14:textId="30E1877A" w:rsidR="000F1DCB" w:rsidRPr="00AA3DF0" w:rsidRDefault="000F1DCB" w:rsidP="00C92108">
      <w:pPr>
        <w:pStyle w:val="Header"/>
        <w:rPr>
          <w:szCs w:val="22"/>
          <w:lang w:val="sl-SI"/>
        </w:rPr>
      </w:pPr>
      <w:r w:rsidRPr="00AA3DF0">
        <w:rPr>
          <w:szCs w:val="22"/>
          <w:lang w:val="sl-SI"/>
        </w:rPr>
        <w:t>Pomoćna supstanca sa potvrđenim dejstvom: laktoza monohidrat.</w:t>
      </w:r>
    </w:p>
    <w:p w14:paraId="3361F4E2" w14:textId="77777777" w:rsidR="000F1DCB" w:rsidRPr="00AA3DF0" w:rsidRDefault="000F1DCB" w:rsidP="00C92108">
      <w:pPr>
        <w:pStyle w:val="Header"/>
        <w:rPr>
          <w:szCs w:val="22"/>
          <w:lang w:val="sl-SI"/>
        </w:rPr>
      </w:pPr>
    </w:p>
    <w:p w14:paraId="708ED347" w14:textId="77777777" w:rsidR="00E82616" w:rsidRPr="00AA3DF0" w:rsidRDefault="00E82616" w:rsidP="00E82616">
      <w:pPr>
        <w:tabs>
          <w:tab w:val="clear" w:pos="284"/>
        </w:tabs>
        <w:jc w:val="left"/>
        <w:rPr>
          <w:szCs w:val="22"/>
          <w:lang w:val="sr-Latn-CS"/>
        </w:rPr>
      </w:pPr>
      <w:r w:rsidRPr="00AA3DF0">
        <w:rPr>
          <w:szCs w:val="22"/>
          <w:lang w:val="sr-Latn-CS"/>
        </w:rPr>
        <w:t>Za spisak svih ekscipijenasa, pogledati dio 6.1.</w:t>
      </w:r>
    </w:p>
    <w:p w14:paraId="3361F4E4" w14:textId="77777777" w:rsidR="000F1DCB" w:rsidRPr="00AA3DF0" w:rsidRDefault="000F1DCB" w:rsidP="00923865">
      <w:pPr>
        <w:rPr>
          <w:szCs w:val="22"/>
          <w:lang w:val="sl-SI"/>
        </w:rPr>
      </w:pPr>
    </w:p>
    <w:p w14:paraId="3361F4E5" w14:textId="77777777" w:rsidR="000F1DCB" w:rsidRPr="00AA3DF0" w:rsidRDefault="000F1DCB" w:rsidP="00923865">
      <w:pPr>
        <w:pStyle w:val="NASLOV123"/>
        <w:rPr>
          <w:lang w:val="sl-SI"/>
        </w:rPr>
      </w:pPr>
      <w:r w:rsidRPr="00AA3DF0">
        <w:rPr>
          <w:lang w:val="sl-SI"/>
        </w:rPr>
        <w:t>3. FARMACEUTSKI OBLIK</w:t>
      </w:r>
    </w:p>
    <w:p w14:paraId="3361F4E6" w14:textId="3D850D0F" w:rsidR="000F1DCB" w:rsidRPr="00AA3DF0" w:rsidRDefault="000F1DCB" w:rsidP="00C92108">
      <w:pPr>
        <w:pStyle w:val="Header"/>
        <w:tabs>
          <w:tab w:val="clear" w:pos="4536"/>
          <w:tab w:val="clear" w:pos="9072"/>
          <w:tab w:val="left" w:pos="284"/>
        </w:tabs>
        <w:jc w:val="left"/>
        <w:rPr>
          <w:szCs w:val="22"/>
          <w:lang w:val="sl-SI"/>
        </w:rPr>
      </w:pPr>
      <w:r w:rsidRPr="00AA3DF0">
        <w:rPr>
          <w:szCs w:val="22"/>
          <w:lang w:val="sl-SI"/>
        </w:rPr>
        <w:t>Tableta.</w:t>
      </w:r>
    </w:p>
    <w:p w14:paraId="3452CCF8" w14:textId="77777777" w:rsidR="00E629D8" w:rsidRPr="00AA3DF0" w:rsidRDefault="00E629D8" w:rsidP="00C92108">
      <w:pPr>
        <w:pStyle w:val="Header"/>
        <w:tabs>
          <w:tab w:val="clear" w:pos="4536"/>
          <w:tab w:val="clear" w:pos="9072"/>
          <w:tab w:val="left" w:pos="284"/>
        </w:tabs>
        <w:jc w:val="left"/>
        <w:rPr>
          <w:szCs w:val="22"/>
          <w:lang w:val="sl-SI"/>
        </w:rPr>
      </w:pPr>
    </w:p>
    <w:p w14:paraId="3361F4E7" w14:textId="4CF26BC7" w:rsidR="000F1DCB" w:rsidRPr="00AA3DF0" w:rsidRDefault="000F1DCB" w:rsidP="00C92108">
      <w:pPr>
        <w:rPr>
          <w:szCs w:val="22"/>
          <w:lang w:val="sl-SI"/>
        </w:rPr>
      </w:pPr>
      <w:r w:rsidRPr="00AA3DF0">
        <w:rPr>
          <w:szCs w:val="22"/>
          <w:lang w:val="sl-SI"/>
        </w:rPr>
        <w:t>Okrugle, bikonveksne tablete, b</w:t>
      </w:r>
      <w:r w:rsidR="00E30DA3" w:rsidRPr="00AA3DF0">
        <w:rPr>
          <w:szCs w:val="22"/>
          <w:lang w:val="sl-SI"/>
        </w:rPr>
        <w:t>ij</w:t>
      </w:r>
      <w:r w:rsidRPr="00AA3DF0">
        <w:rPr>
          <w:szCs w:val="22"/>
          <w:lang w:val="sl-SI"/>
        </w:rPr>
        <w:t>ele do skoro b</w:t>
      </w:r>
      <w:r w:rsidR="00E30DA3" w:rsidRPr="00AA3DF0">
        <w:rPr>
          <w:szCs w:val="22"/>
          <w:lang w:val="sl-SI"/>
        </w:rPr>
        <w:t>ij</w:t>
      </w:r>
      <w:r w:rsidRPr="00AA3DF0">
        <w:rPr>
          <w:szCs w:val="22"/>
          <w:lang w:val="sl-SI"/>
        </w:rPr>
        <w:t>ele boje, sa naznačenom pod</w:t>
      </w:r>
      <w:r w:rsidR="00E30DA3" w:rsidRPr="00AA3DF0">
        <w:rPr>
          <w:szCs w:val="22"/>
          <w:lang w:val="sl-SI"/>
        </w:rPr>
        <w:t>i</w:t>
      </w:r>
      <w:r w:rsidRPr="00AA3DF0">
        <w:rPr>
          <w:szCs w:val="22"/>
          <w:lang w:val="sl-SI"/>
        </w:rPr>
        <w:t xml:space="preserve">onom </w:t>
      </w:r>
      <w:r w:rsidR="000E2481" w:rsidRPr="00AA3DF0">
        <w:rPr>
          <w:szCs w:val="22"/>
          <w:lang w:val="sl-SI"/>
        </w:rPr>
        <w:t>linijom</w:t>
      </w:r>
      <w:r w:rsidRPr="00AA3DF0">
        <w:rPr>
          <w:szCs w:val="22"/>
          <w:lang w:val="sl-SI"/>
        </w:rPr>
        <w:t xml:space="preserve"> na jednoj strani.</w:t>
      </w:r>
    </w:p>
    <w:p w14:paraId="3361F4E9" w14:textId="4F17714F" w:rsidR="000F1DCB" w:rsidRPr="00AA3DF0" w:rsidRDefault="000F1DCB" w:rsidP="00923865">
      <w:pPr>
        <w:rPr>
          <w:szCs w:val="22"/>
          <w:lang w:val="sl-SI"/>
        </w:rPr>
      </w:pPr>
      <w:r w:rsidRPr="00AA3DF0">
        <w:rPr>
          <w:szCs w:val="22"/>
          <w:lang w:val="sl-SI"/>
        </w:rPr>
        <w:t>Tableta se može pod</w:t>
      </w:r>
      <w:r w:rsidR="00E30DA3" w:rsidRPr="00AA3DF0">
        <w:rPr>
          <w:szCs w:val="22"/>
          <w:lang w:val="sl-SI"/>
        </w:rPr>
        <w:t>ij</w:t>
      </w:r>
      <w:r w:rsidRPr="00AA3DF0">
        <w:rPr>
          <w:szCs w:val="22"/>
          <w:lang w:val="sl-SI"/>
        </w:rPr>
        <w:t>eliti na jednake doze.</w:t>
      </w:r>
    </w:p>
    <w:p w14:paraId="5162B166" w14:textId="77777777" w:rsidR="00E66F18" w:rsidRPr="00AA3DF0" w:rsidRDefault="00E66F18" w:rsidP="00923865">
      <w:pPr>
        <w:rPr>
          <w:szCs w:val="22"/>
          <w:lang w:val="sl-SI"/>
        </w:rPr>
      </w:pPr>
    </w:p>
    <w:p w14:paraId="3361F4EA" w14:textId="77777777" w:rsidR="000F1DCB" w:rsidRPr="00AA3DF0" w:rsidRDefault="000F1DCB" w:rsidP="00923865">
      <w:pPr>
        <w:pStyle w:val="NASLOV123"/>
        <w:rPr>
          <w:lang w:val="sl-SI"/>
        </w:rPr>
      </w:pPr>
      <w:r w:rsidRPr="00AA3DF0">
        <w:rPr>
          <w:lang w:val="sl-SI"/>
        </w:rPr>
        <w:t>4. KLINIČKI PODACI</w:t>
      </w:r>
    </w:p>
    <w:p w14:paraId="3361F4EB" w14:textId="77777777" w:rsidR="000F1DCB" w:rsidRPr="00AA3DF0" w:rsidRDefault="000F1DCB" w:rsidP="00923865">
      <w:pPr>
        <w:rPr>
          <w:b/>
          <w:bCs/>
          <w:szCs w:val="22"/>
          <w:lang w:val="sl-SI"/>
        </w:rPr>
      </w:pPr>
      <w:r w:rsidRPr="00AA3DF0">
        <w:rPr>
          <w:b/>
          <w:bCs/>
          <w:szCs w:val="22"/>
          <w:lang w:val="sl-SI"/>
        </w:rPr>
        <w:t>4.1. Terapijske indikacije</w:t>
      </w:r>
    </w:p>
    <w:p w14:paraId="3361F4EC" w14:textId="77777777" w:rsidR="000F1DCB" w:rsidRPr="00AA3DF0" w:rsidRDefault="000F1DCB" w:rsidP="00C92108">
      <w:pPr>
        <w:pStyle w:val="Header"/>
        <w:rPr>
          <w:szCs w:val="22"/>
          <w:lang w:val="sl-SI"/>
        </w:rPr>
      </w:pPr>
    </w:p>
    <w:p w14:paraId="0D51F79C" w14:textId="14C6FDD5" w:rsidR="007A4F45" w:rsidRPr="00AA3DF0" w:rsidRDefault="007A4F45" w:rsidP="007A4F45">
      <w:pPr>
        <w:rPr>
          <w:szCs w:val="22"/>
          <w:lang w:val="it-IT"/>
        </w:rPr>
      </w:pPr>
      <w:r w:rsidRPr="00AA3DF0">
        <w:rPr>
          <w:szCs w:val="22"/>
          <w:lang w:val="it-IT"/>
        </w:rPr>
        <w:t>Profilaksa sistemske embolije kod pacijenata sa reumatskom srčanom bolešću i sa atrijalnom fibrilacijom.</w:t>
      </w:r>
    </w:p>
    <w:p w14:paraId="1C94D18C" w14:textId="097BDEC6" w:rsidR="007A4F45" w:rsidRPr="00AA3DF0" w:rsidRDefault="007A4F45" w:rsidP="007A4F45">
      <w:pPr>
        <w:rPr>
          <w:szCs w:val="22"/>
          <w:lang w:val="it-IT"/>
        </w:rPr>
      </w:pPr>
      <w:r w:rsidRPr="00AA3DF0">
        <w:rPr>
          <w:szCs w:val="22"/>
          <w:lang w:val="it-IT"/>
        </w:rPr>
        <w:t>Profilaksa nakon ugradnje v</w:t>
      </w:r>
      <w:r w:rsidR="00E30DA3" w:rsidRPr="00AA3DF0">
        <w:rPr>
          <w:szCs w:val="22"/>
          <w:lang w:val="it-IT"/>
        </w:rPr>
        <w:t>j</w:t>
      </w:r>
      <w:r w:rsidRPr="00AA3DF0">
        <w:rPr>
          <w:szCs w:val="22"/>
          <w:lang w:val="it-IT"/>
        </w:rPr>
        <w:t>eštačkih srčanih zalistaka.</w:t>
      </w:r>
    </w:p>
    <w:p w14:paraId="1437B257" w14:textId="4A8E7AC8" w:rsidR="007A4F45" w:rsidRPr="00AA3DF0" w:rsidRDefault="007A4F45" w:rsidP="007A4F45">
      <w:pPr>
        <w:rPr>
          <w:szCs w:val="22"/>
          <w:lang w:val="it-IT"/>
        </w:rPr>
      </w:pPr>
      <w:r w:rsidRPr="00AA3DF0">
        <w:rPr>
          <w:szCs w:val="22"/>
          <w:lang w:val="it-IT"/>
        </w:rPr>
        <w:t>Profilaksa i l</w:t>
      </w:r>
      <w:r w:rsidR="00E30DA3" w:rsidRPr="00AA3DF0">
        <w:rPr>
          <w:szCs w:val="22"/>
          <w:lang w:val="it-IT"/>
        </w:rPr>
        <w:t>ij</w:t>
      </w:r>
      <w:r w:rsidRPr="00AA3DF0">
        <w:rPr>
          <w:szCs w:val="22"/>
          <w:lang w:val="it-IT"/>
        </w:rPr>
        <w:t>ečenje venske tromboze i plućne embolije.</w:t>
      </w:r>
    </w:p>
    <w:p w14:paraId="37C17C36" w14:textId="77777777" w:rsidR="007A4F45" w:rsidRPr="00AA3DF0" w:rsidRDefault="007A4F45" w:rsidP="007A4F45">
      <w:pPr>
        <w:rPr>
          <w:szCs w:val="22"/>
          <w:lang w:val="it-IT"/>
        </w:rPr>
      </w:pPr>
      <w:r w:rsidRPr="00AA3DF0">
        <w:rPr>
          <w:szCs w:val="22"/>
          <w:lang w:val="it-IT"/>
        </w:rPr>
        <w:t>Tranzitorni atak cerebralne ishemije.</w:t>
      </w:r>
    </w:p>
    <w:p w14:paraId="3361F4F1" w14:textId="22C42F3D" w:rsidR="000F1DCB" w:rsidRPr="00AA3DF0" w:rsidRDefault="000F1DCB" w:rsidP="00923865">
      <w:pPr>
        <w:rPr>
          <w:szCs w:val="22"/>
          <w:lang w:val="it-IT"/>
        </w:rPr>
      </w:pPr>
    </w:p>
    <w:p w14:paraId="3361F4F2" w14:textId="5709217F" w:rsidR="000F1DCB" w:rsidRPr="00AA3DF0" w:rsidRDefault="000F1DCB" w:rsidP="00923865">
      <w:pPr>
        <w:rPr>
          <w:b/>
          <w:bCs/>
          <w:szCs w:val="22"/>
          <w:lang w:val="it-IT"/>
        </w:rPr>
      </w:pPr>
      <w:r w:rsidRPr="00AA3DF0">
        <w:rPr>
          <w:b/>
          <w:bCs/>
          <w:szCs w:val="22"/>
          <w:lang w:val="it-IT"/>
        </w:rPr>
        <w:t>4.2. Doziranje i način prim</w:t>
      </w:r>
      <w:r w:rsidR="00E30DA3" w:rsidRPr="00AA3DF0">
        <w:rPr>
          <w:b/>
          <w:bCs/>
          <w:szCs w:val="22"/>
          <w:lang w:val="it-IT"/>
        </w:rPr>
        <w:t>j</w:t>
      </w:r>
      <w:r w:rsidRPr="00AA3DF0">
        <w:rPr>
          <w:b/>
          <w:bCs/>
          <w:szCs w:val="22"/>
          <w:lang w:val="it-IT"/>
        </w:rPr>
        <w:t>ene</w:t>
      </w:r>
    </w:p>
    <w:p w14:paraId="3361F4F3" w14:textId="77777777" w:rsidR="000F1DCB" w:rsidRPr="00AA3DF0" w:rsidRDefault="000F1DCB" w:rsidP="00C92108">
      <w:pPr>
        <w:pStyle w:val="Header"/>
        <w:rPr>
          <w:szCs w:val="22"/>
          <w:lang w:val="sl-SI"/>
        </w:rPr>
      </w:pPr>
    </w:p>
    <w:p w14:paraId="3361F4F6" w14:textId="77777777" w:rsidR="000F1DCB" w:rsidRPr="00AA3DF0" w:rsidRDefault="000F1DCB" w:rsidP="00C92108">
      <w:pPr>
        <w:tabs>
          <w:tab w:val="center" w:pos="4536"/>
          <w:tab w:val="right" w:pos="9072"/>
        </w:tabs>
        <w:rPr>
          <w:bCs/>
          <w:szCs w:val="22"/>
          <w:u w:val="single"/>
          <w:lang w:val="sl-SI"/>
        </w:rPr>
      </w:pPr>
      <w:r w:rsidRPr="00AA3DF0">
        <w:rPr>
          <w:bCs/>
          <w:szCs w:val="22"/>
          <w:u w:val="single"/>
          <w:lang w:val="sl-SI"/>
        </w:rPr>
        <w:t>Doziranje</w:t>
      </w:r>
    </w:p>
    <w:p w14:paraId="66B46BF6" w14:textId="77777777" w:rsidR="00E30DA3" w:rsidRPr="00AA3DF0" w:rsidRDefault="00E30DA3" w:rsidP="00C92108">
      <w:pPr>
        <w:tabs>
          <w:tab w:val="center" w:pos="4536"/>
          <w:tab w:val="right" w:pos="9072"/>
        </w:tabs>
        <w:rPr>
          <w:bCs/>
          <w:i/>
          <w:szCs w:val="22"/>
          <w:lang w:val="sl-SI"/>
        </w:rPr>
      </w:pPr>
    </w:p>
    <w:p w14:paraId="3361F4F8" w14:textId="0AB88CA0" w:rsidR="000F1DCB" w:rsidRPr="00AA3DF0" w:rsidRDefault="000F1DCB" w:rsidP="00C92108">
      <w:pPr>
        <w:tabs>
          <w:tab w:val="center" w:pos="4536"/>
          <w:tab w:val="right" w:pos="9072"/>
        </w:tabs>
        <w:rPr>
          <w:bCs/>
          <w:szCs w:val="22"/>
          <w:lang w:val="sl-SI"/>
        </w:rPr>
      </w:pPr>
      <w:r w:rsidRPr="00AA3DF0">
        <w:rPr>
          <w:bCs/>
          <w:i/>
          <w:szCs w:val="22"/>
          <w:lang w:val="sl-SI"/>
        </w:rPr>
        <w:t>Odrasli</w:t>
      </w:r>
      <w:r w:rsidRPr="00AA3DF0">
        <w:rPr>
          <w:bCs/>
          <w:szCs w:val="22"/>
          <w:lang w:val="sl-SI"/>
        </w:rPr>
        <w:t>: Uobičajena početna doza varfarina je</w:t>
      </w:r>
      <w:r w:rsidR="007C41C3" w:rsidRPr="00AA3DF0">
        <w:rPr>
          <w:bCs/>
          <w:szCs w:val="22"/>
          <w:lang w:val="sl-SI"/>
        </w:rPr>
        <w:t xml:space="preserve"> </w:t>
      </w:r>
      <w:r w:rsidRPr="00AA3DF0">
        <w:rPr>
          <w:szCs w:val="22"/>
          <w:lang w:val="sl-SI"/>
        </w:rPr>
        <w:t>10 mg</w:t>
      </w:r>
      <w:r w:rsidRPr="00AA3DF0">
        <w:rPr>
          <w:bCs/>
          <w:szCs w:val="22"/>
          <w:lang w:val="sl-SI"/>
        </w:rPr>
        <w:t xml:space="preserve"> dnevno tokom dva dana, ali dozu bi trebalo prilagoditi individualnim potrebama pacijenta. Dnevna doza održavanja je uobičajeno 3 do 9 mg, uzeta u isto vr</w:t>
      </w:r>
      <w:r w:rsidR="00E30DA3" w:rsidRPr="00AA3DF0">
        <w:rPr>
          <w:bCs/>
          <w:szCs w:val="22"/>
          <w:lang w:val="sl-SI"/>
        </w:rPr>
        <w:t>ij</w:t>
      </w:r>
      <w:r w:rsidRPr="00AA3DF0">
        <w:rPr>
          <w:bCs/>
          <w:szCs w:val="22"/>
          <w:lang w:val="sl-SI"/>
        </w:rPr>
        <w:t xml:space="preserve">eme svakog dana. Tačna doza održavanja zavisi od protrombinskog vremena i rezultata drugih testova koagulacije. </w:t>
      </w:r>
    </w:p>
    <w:p w14:paraId="3361F4F9" w14:textId="77777777" w:rsidR="000F1DCB" w:rsidRPr="00AA3DF0" w:rsidRDefault="000F1DCB" w:rsidP="00C92108">
      <w:pPr>
        <w:tabs>
          <w:tab w:val="center" w:pos="4536"/>
          <w:tab w:val="right" w:pos="9072"/>
        </w:tabs>
        <w:rPr>
          <w:bCs/>
          <w:szCs w:val="22"/>
          <w:lang w:val="sl-SI"/>
        </w:rPr>
      </w:pPr>
    </w:p>
    <w:p w14:paraId="57A01526" w14:textId="271EC743" w:rsidR="007C41C3" w:rsidRPr="00AA3DF0" w:rsidRDefault="007C41C3" w:rsidP="007C41C3">
      <w:pPr>
        <w:tabs>
          <w:tab w:val="center" w:pos="4536"/>
          <w:tab w:val="right" w:pos="9072"/>
        </w:tabs>
        <w:rPr>
          <w:bCs/>
          <w:szCs w:val="22"/>
          <w:lang w:val="sl-SI"/>
        </w:rPr>
      </w:pPr>
      <w:r w:rsidRPr="00AA3DF0">
        <w:rPr>
          <w:bCs/>
          <w:szCs w:val="22"/>
          <w:lang w:val="sl-SI"/>
        </w:rPr>
        <w:t>Ukoliko je potrebna doza koja se ne može postići ovom formulacijom, potražiti druge formulacije l</w:t>
      </w:r>
      <w:r w:rsidR="00E30DA3" w:rsidRPr="00AA3DF0">
        <w:rPr>
          <w:bCs/>
          <w:szCs w:val="22"/>
          <w:lang w:val="sl-SI"/>
        </w:rPr>
        <w:t>ij</w:t>
      </w:r>
      <w:r w:rsidRPr="00AA3DF0">
        <w:rPr>
          <w:bCs/>
          <w:szCs w:val="22"/>
          <w:lang w:val="sl-SI"/>
        </w:rPr>
        <w:t>eka.</w:t>
      </w:r>
    </w:p>
    <w:p w14:paraId="3358314A" w14:textId="3CB17EAA" w:rsidR="007C41C3" w:rsidRPr="00AA3DF0" w:rsidRDefault="007C41C3" w:rsidP="007C41C3">
      <w:pPr>
        <w:tabs>
          <w:tab w:val="center" w:pos="4536"/>
          <w:tab w:val="right" w:pos="9072"/>
        </w:tabs>
        <w:rPr>
          <w:bCs/>
          <w:szCs w:val="22"/>
          <w:lang w:val="sl-SI"/>
        </w:rPr>
      </w:pPr>
      <w:r w:rsidRPr="00AA3DF0">
        <w:rPr>
          <w:bCs/>
          <w:szCs w:val="22"/>
          <w:lang w:val="sl-SI"/>
        </w:rPr>
        <w:t xml:space="preserve"> </w:t>
      </w:r>
    </w:p>
    <w:p w14:paraId="5967BF98" w14:textId="7844C7F4" w:rsidR="007C41C3" w:rsidRPr="00AA3DF0" w:rsidRDefault="007C41C3" w:rsidP="007C41C3">
      <w:pPr>
        <w:tabs>
          <w:tab w:val="center" w:pos="4536"/>
          <w:tab w:val="right" w:pos="9072"/>
        </w:tabs>
        <w:rPr>
          <w:bCs/>
          <w:szCs w:val="22"/>
          <w:lang w:val="sl-SI"/>
        </w:rPr>
      </w:pPr>
      <w:r w:rsidRPr="00AA3DF0">
        <w:rPr>
          <w:bCs/>
          <w:szCs w:val="22"/>
          <w:lang w:val="sl-SI"/>
        </w:rPr>
        <w:t xml:space="preserve">Uzeti u obzir koje se doze mogu postići ovom formulacijom, ukoliko ne zadovoljavaju navedeni opseg (3 </w:t>
      </w:r>
    </w:p>
    <w:p w14:paraId="10F57679" w14:textId="28C53E36" w:rsidR="007C41C3" w:rsidRPr="00AA3DF0" w:rsidRDefault="007C41C3" w:rsidP="007C41C3">
      <w:pPr>
        <w:tabs>
          <w:tab w:val="center" w:pos="4536"/>
          <w:tab w:val="right" w:pos="9072"/>
        </w:tabs>
        <w:rPr>
          <w:bCs/>
          <w:szCs w:val="22"/>
          <w:lang w:val="sl-SI"/>
        </w:rPr>
      </w:pPr>
      <w:r w:rsidRPr="00AA3DF0">
        <w:rPr>
          <w:bCs/>
          <w:szCs w:val="22"/>
          <w:lang w:val="sl-SI"/>
        </w:rPr>
        <w:t>mg – 9 mg), potražiti druge formulacije koje sad</w:t>
      </w:r>
      <w:r w:rsidR="009D0191" w:rsidRPr="00AA3DF0">
        <w:rPr>
          <w:bCs/>
          <w:szCs w:val="22"/>
          <w:lang w:val="sl-SI"/>
        </w:rPr>
        <w:t>r</w:t>
      </w:r>
      <w:r w:rsidRPr="00AA3DF0">
        <w:rPr>
          <w:bCs/>
          <w:szCs w:val="22"/>
          <w:lang w:val="sl-SI"/>
        </w:rPr>
        <w:t>že odgovarajuće količine aktivne supstance.</w:t>
      </w:r>
    </w:p>
    <w:p w14:paraId="0E416F66" w14:textId="77777777" w:rsidR="007C41C3" w:rsidRPr="00AA3DF0" w:rsidRDefault="007C41C3" w:rsidP="007C41C3">
      <w:pPr>
        <w:tabs>
          <w:tab w:val="center" w:pos="4536"/>
          <w:tab w:val="right" w:pos="9072"/>
        </w:tabs>
        <w:rPr>
          <w:bCs/>
          <w:szCs w:val="22"/>
          <w:lang w:val="sl-SI"/>
        </w:rPr>
      </w:pPr>
    </w:p>
    <w:p w14:paraId="3361F4FA" w14:textId="26E9E204" w:rsidR="000F1DCB" w:rsidRPr="00AA3DF0" w:rsidRDefault="000F1DCB" w:rsidP="00C92108">
      <w:pPr>
        <w:tabs>
          <w:tab w:val="center" w:pos="4536"/>
          <w:tab w:val="right" w:pos="9072"/>
        </w:tabs>
        <w:rPr>
          <w:szCs w:val="22"/>
          <w:lang w:val="sl-SI"/>
        </w:rPr>
      </w:pPr>
      <w:r w:rsidRPr="00AA3DF0">
        <w:rPr>
          <w:bCs/>
          <w:szCs w:val="22"/>
          <w:lang w:val="sl-SI"/>
        </w:rPr>
        <w:t>Kontrolne testove treba sprovoditi u redovnim intervalima i dozu održavanja treba prilagoditi prema dobijenim rezultatima. Kada se jednom</w:t>
      </w:r>
      <w:r w:rsidRPr="00AA3DF0">
        <w:rPr>
          <w:szCs w:val="22"/>
          <w:lang w:val="sl-SI"/>
        </w:rPr>
        <w:t xml:space="preserve"> ustanovi doza održavanja, r</w:t>
      </w:r>
      <w:r w:rsidR="00E30DA3" w:rsidRPr="00AA3DF0">
        <w:rPr>
          <w:szCs w:val="22"/>
          <w:lang w:val="sl-SI"/>
        </w:rPr>
        <w:t>ij</w:t>
      </w:r>
      <w:r w:rsidRPr="00AA3DF0">
        <w:rPr>
          <w:szCs w:val="22"/>
          <w:lang w:val="sl-SI"/>
        </w:rPr>
        <w:t>etko je potrebno m</w:t>
      </w:r>
      <w:r w:rsidR="00E30DA3" w:rsidRPr="00AA3DF0">
        <w:rPr>
          <w:szCs w:val="22"/>
          <w:lang w:val="sl-SI"/>
        </w:rPr>
        <w:t>ij</w:t>
      </w:r>
      <w:r w:rsidRPr="00AA3DF0">
        <w:rPr>
          <w:szCs w:val="22"/>
          <w:lang w:val="sl-SI"/>
        </w:rPr>
        <w:t>enjati je.</w:t>
      </w:r>
    </w:p>
    <w:p w14:paraId="3361F4FB" w14:textId="77777777" w:rsidR="000F1DCB" w:rsidRPr="00AA3DF0" w:rsidRDefault="000F1DCB" w:rsidP="00C92108">
      <w:pPr>
        <w:tabs>
          <w:tab w:val="center" w:pos="4536"/>
          <w:tab w:val="right" w:pos="9072"/>
        </w:tabs>
        <w:rPr>
          <w:szCs w:val="22"/>
          <w:lang w:val="sl-SI"/>
        </w:rPr>
      </w:pPr>
    </w:p>
    <w:p w14:paraId="3361F4FC" w14:textId="4538CB8A" w:rsidR="000F1DCB" w:rsidRPr="00AA3DF0" w:rsidRDefault="000F1DCB" w:rsidP="00C92108">
      <w:pPr>
        <w:tabs>
          <w:tab w:val="center" w:pos="4536"/>
          <w:tab w:val="right" w:pos="9072"/>
        </w:tabs>
        <w:rPr>
          <w:szCs w:val="22"/>
          <w:lang w:val="sl-SI"/>
        </w:rPr>
      </w:pPr>
      <w:r w:rsidRPr="00AA3DF0">
        <w:rPr>
          <w:szCs w:val="22"/>
          <w:lang w:val="sl-SI"/>
        </w:rPr>
        <w:t>U hitnim stanjima, antikoagulantnu terapiju treba započeti heparinom i varfarinom zajedno. Istovremena terapija heparinom utiče na rezultate kontrolnih testova i potrebno ju je prekinuti najmanje 6 sati pr</w:t>
      </w:r>
      <w:r w:rsidR="00E30DA3" w:rsidRPr="00AA3DF0">
        <w:rPr>
          <w:szCs w:val="22"/>
          <w:lang w:val="sl-SI"/>
        </w:rPr>
        <w:t>ij</w:t>
      </w:r>
      <w:r w:rsidRPr="00AA3DF0">
        <w:rPr>
          <w:szCs w:val="22"/>
          <w:lang w:val="sl-SI"/>
        </w:rPr>
        <w:t>e izvođenja prvog testa.</w:t>
      </w:r>
    </w:p>
    <w:p w14:paraId="3361F4FD" w14:textId="77777777" w:rsidR="000F1DCB" w:rsidRPr="00AA3DF0" w:rsidRDefault="000F1DCB" w:rsidP="00C92108">
      <w:pPr>
        <w:tabs>
          <w:tab w:val="center" w:pos="4536"/>
          <w:tab w:val="right" w:pos="9072"/>
        </w:tabs>
        <w:rPr>
          <w:i/>
          <w:szCs w:val="22"/>
          <w:lang w:val="sl-SI"/>
        </w:rPr>
      </w:pPr>
    </w:p>
    <w:p w14:paraId="3361F4FE" w14:textId="77777777" w:rsidR="000F1DCB" w:rsidRPr="00AA3DF0" w:rsidRDefault="000F1DCB" w:rsidP="00C92108">
      <w:pPr>
        <w:tabs>
          <w:tab w:val="center" w:pos="4536"/>
          <w:tab w:val="right" w:pos="9072"/>
        </w:tabs>
        <w:rPr>
          <w:szCs w:val="22"/>
          <w:lang w:val="sl-SI"/>
        </w:rPr>
      </w:pPr>
      <w:r w:rsidRPr="00AA3DF0">
        <w:rPr>
          <w:i/>
          <w:szCs w:val="22"/>
          <w:lang w:val="sl-SI"/>
        </w:rPr>
        <w:lastRenderedPageBreak/>
        <w:t>Stariji bolesnici</w:t>
      </w:r>
      <w:r w:rsidRPr="00AA3DF0">
        <w:rPr>
          <w:szCs w:val="22"/>
          <w:lang w:val="sl-SI"/>
        </w:rPr>
        <w:t>: Kao kod odraslih, ali će doze možda biti manje.</w:t>
      </w:r>
    </w:p>
    <w:p w14:paraId="3361F4FF" w14:textId="77777777" w:rsidR="000F1DCB" w:rsidRPr="00AA3DF0" w:rsidRDefault="000F1DCB" w:rsidP="00C92108">
      <w:pPr>
        <w:tabs>
          <w:tab w:val="center" w:pos="4536"/>
          <w:tab w:val="right" w:pos="9072"/>
        </w:tabs>
        <w:rPr>
          <w:i/>
          <w:szCs w:val="22"/>
          <w:lang w:val="sl-SI"/>
        </w:rPr>
      </w:pPr>
    </w:p>
    <w:p w14:paraId="3361F500" w14:textId="2EE546F9" w:rsidR="000F1DCB" w:rsidRPr="00AA3DF0" w:rsidRDefault="000F1DCB" w:rsidP="00C92108">
      <w:pPr>
        <w:tabs>
          <w:tab w:val="center" w:pos="4536"/>
          <w:tab w:val="right" w:pos="9072"/>
        </w:tabs>
        <w:rPr>
          <w:szCs w:val="22"/>
          <w:lang w:val="sl-SI"/>
        </w:rPr>
      </w:pPr>
      <w:r w:rsidRPr="00AA3DF0">
        <w:rPr>
          <w:i/>
          <w:szCs w:val="22"/>
          <w:lang w:val="sl-SI"/>
        </w:rPr>
        <w:t>Pedijatrijska populacija</w:t>
      </w:r>
      <w:r w:rsidRPr="00AA3DF0">
        <w:rPr>
          <w:szCs w:val="22"/>
          <w:lang w:val="sl-SI"/>
        </w:rPr>
        <w:t>: Doziranje za d</w:t>
      </w:r>
      <w:r w:rsidR="00E30DA3" w:rsidRPr="00AA3DF0">
        <w:rPr>
          <w:szCs w:val="22"/>
          <w:lang w:val="sl-SI"/>
        </w:rPr>
        <w:t>j</w:t>
      </w:r>
      <w:r w:rsidRPr="00AA3DF0">
        <w:rPr>
          <w:szCs w:val="22"/>
          <w:lang w:val="sl-SI"/>
        </w:rPr>
        <w:t>ecu nije ustanovljeno.</w:t>
      </w:r>
    </w:p>
    <w:p w14:paraId="4A19999B" w14:textId="5326AA7F" w:rsidR="00CF6C72" w:rsidRPr="00AA3DF0" w:rsidRDefault="00CF6C72" w:rsidP="00C92108">
      <w:pPr>
        <w:tabs>
          <w:tab w:val="center" w:pos="4536"/>
          <w:tab w:val="right" w:pos="9072"/>
        </w:tabs>
        <w:rPr>
          <w:szCs w:val="22"/>
          <w:lang w:val="sl-SI"/>
        </w:rPr>
      </w:pPr>
    </w:p>
    <w:p w14:paraId="0D67A627" w14:textId="2CE09021" w:rsidR="00CF6C72" w:rsidRPr="00AA3DF0" w:rsidRDefault="00CF6C72" w:rsidP="00C92108">
      <w:pPr>
        <w:tabs>
          <w:tab w:val="center" w:pos="4536"/>
          <w:tab w:val="right" w:pos="9072"/>
        </w:tabs>
        <w:rPr>
          <w:szCs w:val="22"/>
          <w:u w:val="single"/>
          <w:lang w:val="sl-SI"/>
        </w:rPr>
      </w:pPr>
      <w:r w:rsidRPr="00AA3DF0">
        <w:rPr>
          <w:szCs w:val="22"/>
          <w:u w:val="single"/>
          <w:lang w:val="sl-SI"/>
        </w:rPr>
        <w:t>Način prim</w:t>
      </w:r>
      <w:r w:rsidR="00E30DA3" w:rsidRPr="00AA3DF0">
        <w:rPr>
          <w:szCs w:val="22"/>
          <w:u w:val="single"/>
          <w:lang w:val="sl-SI"/>
        </w:rPr>
        <w:t>j</w:t>
      </w:r>
      <w:r w:rsidRPr="00AA3DF0">
        <w:rPr>
          <w:szCs w:val="22"/>
          <w:u w:val="single"/>
          <w:lang w:val="sl-SI"/>
        </w:rPr>
        <w:t>ene:</w:t>
      </w:r>
    </w:p>
    <w:p w14:paraId="4CD05271" w14:textId="2B384103" w:rsidR="00CF6C72" w:rsidRPr="00AA3DF0" w:rsidRDefault="00CF6C72" w:rsidP="00C92108">
      <w:pPr>
        <w:tabs>
          <w:tab w:val="center" w:pos="4536"/>
          <w:tab w:val="right" w:pos="9072"/>
        </w:tabs>
        <w:rPr>
          <w:szCs w:val="22"/>
          <w:lang w:val="sl-SI"/>
        </w:rPr>
      </w:pPr>
      <w:r w:rsidRPr="00AA3DF0">
        <w:rPr>
          <w:szCs w:val="22"/>
          <w:lang w:val="sl-SI"/>
        </w:rPr>
        <w:t>Oralna upotreba.</w:t>
      </w:r>
    </w:p>
    <w:p w14:paraId="3361F501" w14:textId="77777777" w:rsidR="000F1DCB" w:rsidRPr="00AA3DF0" w:rsidRDefault="000F1DCB" w:rsidP="00923865">
      <w:pPr>
        <w:rPr>
          <w:szCs w:val="22"/>
          <w:lang w:val="sl-SI"/>
        </w:rPr>
      </w:pPr>
    </w:p>
    <w:p w14:paraId="3361F502" w14:textId="77777777" w:rsidR="000F1DCB" w:rsidRPr="00AA3DF0" w:rsidRDefault="000F1DCB" w:rsidP="00923865">
      <w:pPr>
        <w:rPr>
          <w:b/>
          <w:bCs/>
          <w:szCs w:val="22"/>
        </w:rPr>
      </w:pPr>
      <w:r w:rsidRPr="00AA3DF0">
        <w:rPr>
          <w:b/>
          <w:bCs/>
          <w:szCs w:val="22"/>
        </w:rPr>
        <w:t>4.3. Kontraindikacije</w:t>
      </w:r>
    </w:p>
    <w:p w14:paraId="3361F503" w14:textId="77777777" w:rsidR="000F1DCB" w:rsidRPr="00AA3DF0" w:rsidRDefault="000F1DCB" w:rsidP="00C92108">
      <w:pPr>
        <w:pStyle w:val="Header"/>
        <w:rPr>
          <w:szCs w:val="22"/>
          <w:lang w:val="sl-SI"/>
        </w:rPr>
      </w:pPr>
    </w:p>
    <w:p w14:paraId="3361F504" w14:textId="70073CAC" w:rsidR="000F1DCB" w:rsidRPr="00AA3DF0" w:rsidRDefault="000F1DCB" w:rsidP="00C92108">
      <w:pPr>
        <w:pStyle w:val="Header"/>
        <w:numPr>
          <w:ilvl w:val="0"/>
          <w:numId w:val="5"/>
        </w:numPr>
        <w:tabs>
          <w:tab w:val="clear" w:pos="1200"/>
          <w:tab w:val="num" w:pos="720"/>
        </w:tabs>
        <w:ind w:left="720"/>
        <w:rPr>
          <w:szCs w:val="22"/>
          <w:lang w:val="sl-SI"/>
        </w:rPr>
      </w:pPr>
      <w:r w:rsidRPr="00AA3DF0">
        <w:rPr>
          <w:szCs w:val="22"/>
          <w:lang w:val="sl-SI"/>
        </w:rPr>
        <w:t>Preos</w:t>
      </w:r>
      <w:r w:rsidR="00E30DA3" w:rsidRPr="00AA3DF0">
        <w:rPr>
          <w:szCs w:val="22"/>
          <w:lang w:val="sl-SI"/>
        </w:rPr>
        <w:t>j</w:t>
      </w:r>
      <w:r w:rsidRPr="00AA3DF0">
        <w:rPr>
          <w:szCs w:val="22"/>
          <w:lang w:val="sl-SI"/>
        </w:rPr>
        <w:t xml:space="preserve">etljivost na varfarin ili na bilo koju od pomoćnih supstanci navedenih u </w:t>
      </w:r>
      <w:r w:rsidR="00E30DA3" w:rsidRPr="00AA3DF0">
        <w:rPr>
          <w:szCs w:val="22"/>
          <w:lang w:val="sl-SI"/>
        </w:rPr>
        <w:t>dijelu</w:t>
      </w:r>
      <w:r w:rsidRPr="00AA3DF0">
        <w:rPr>
          <w:szCs w:val="22"/>
          <w:lang w:val="sl-SI"/>
        </w:rPr>
        <w:t xml:space="preserve"> 6.1.</w:t>
      </w:r>
    </w:p>
    <w:p w14:paraId="3361F505" w14:textId="01B7E464" w:rsidR="000F1DCB" w:rsidRPr="00AA3DF0" w:rsidRDefault="000F1DCB" w:rsidP="00C92108">
      <w:pPr>
        <w:pStyle w:val="Header"/>
        <w:numPr>
          <w:ilvl w:val="0"/>
          <w:numId w:val="5"/>
        </w:numPr>
        <w:tabs>
          <w:tab w:val="clear" w:pos="1200"/>
          <w:tab w:val="num" w:pos="720"/>
        </w:tabs>
        <w:ind w:left="720"/>
        <w:rPr>
          <w:szCs w:val="22"/>
          <w:lang w:val="sl-SI"/>
        </w:rPr>
      </w:pPr>
      <w:r w:rsidRPr="00AA3DF0">
        <w:rPr>
          <w:szCs w:val="22"/>
          <w:lang w:val="sl-SI"/>
        </w:rPr>
        <w:t>Hemoragijski moždani udar (za više detalja vid</w:t>
      </w:r>
      <w:r w:rsidR="00E30DA3" w:rsidRPr="00AA3DF0">
        <w:rPr>
          <w:szCs w:val="22"/>
          <w:lang w:val="sl-SI"/>
        </w:rPr>
        <w:t>j</w:t>
      </w:r>
      <w:r w:rsidRPr="00AA3DF0">
        <w:rPr>
          <w:szCs w:val="22"/>
          <w:lang w:val="sl-SI"/>
        </w:rPr>
        <w:t xml:space="preserve">eti </w:t>
      </w:r>
      <w:r w:rsidR="00E30DA3" w:rsidRPr="00AA3DF0">
        <w:rPr>
          <w:szCs w:val="22"/>
          <w:lang w:val="sl-SI"/>
        </w:rPr>
        <w:t>dio</w:t>
      </w:r>
      <w:r w:rsidRPr="00AA3DF0">
        <w:rPr>
          <w:szCs w:val="22"/>
          <w:lang w:val="sl-SI"/>
        </w:rPr>
        <w:t xml:space="preserve"> 4.4).</w:t>
      </w:r>
    </w:p>
    <w:p w14:paraId="3361F506" w14:textId="77777777" w:rsidR="000F1DCB" w:rsidRPr="00AA3DF0" w:rsidRDefault="000F1DCB" w:rsidP="00C92108">
      <w:pPr>
        <w:pStyle w:val="Header"/>
        <w:numPr>
          <w:ilvl w:val="0"/>
          <w:numId w:val="5"/>
        </w:numPr>
        <w:tabs>
          <w:tab w:val="clear" w:pos="1200"/>
          <w:tab w:val="num" w:pos="720"/>
        </w:tabs>
        <w:ind w:left="720"/>
        <w:rPr>
          <w:szCs w:val="22"/>
          <w:lang w:val="sl-SI"/>
        </w:rPr>
      </w:pPr>
      <w:r w:rsidRPr="00AA3DF0">
        <w:rPr>
          <w:szCs w:val="22"/>
          <w:lang w:val="sl-SI"/>
        </w:rPr>
        <w:t>Klinički značajno krvarenje.</w:t>
      </w:r>
    </w:p>
    <w:p w14:paraId="3361F507" w14:textId="06C1707A" w:rsidR="000F1DCB" w:rsidRPr="00AA3DF0" w:rsidRDefault="000F1DCB" w:rsidP="00C92108">
      <w:pPr>
        <w:pStyle w:val="Header"/>
        <w:numPr>
          <w:ilvl w:val="0"/>
          <w:numId w:val="5"/>
        </w:numPr>
        <w:tabs>
          <w:tab w:val="clear" w:pos="1200"/>
          <w:tab w:val="num" w:pos="720"/>
        </w:tabs>
        <w:ind w:left="720"/>
        <w:rPr>
          <w:szCs w:val="22"/>
          <w:lang w:val="sl-SI"/>
        </w:rPr>
      </w:pPr>
      <w:r w:rsidRPr="00AA3DF0">
        <w:rPr>
          <w:szCs w:val="22"/>
          <w:lang w:val="sl-SI"/>
        </w:rPr>
        <w:t>Unutar 72 sata od opsežne hirurške intervencije sa rizikom od nastanka ozbiljnog krvarenja (za informacije o drugim operacijama vid</w:t>
      </w:r>
      <w:r w:rsidR="00E30DA3" w:rsidRPr="00AA3DF0">
        <w:rPr>
          <w:szCs w:val="22"/>
          <w:lang w:val="sl-SI"/>
        </w:rPr>
        <w:t>j</w:t>
      </w:r>
      <w:r w:rsidRPr="00AA3DF0">
        <w:rPr>
          <w:szCs w:val="22"/>
          <w:lang w:val="sl-SI"/>
        </w:rPr>
        <w:t xml:space="preserve">eti </w:t>
      </w:r>
      <w:r w:rsidR="00E30DA3" w:rsidRPr="00AA3DF0">
        <w:rPr>
          <w:szCs w:val="22"/>
          <w:lang w:val="sl-SI"/>
        </w:rPr>
        <w:t>dio</w:t>
      </w:r>
      <w:r w:rsidRPr="00AA3DF0">
        <w:rPr>
          <w:szCs w:val="22"/>
          <w:lang w:val="sl-SI"/>
        </w:rPr>
        <w:t xml:space="preserve"> 4.4).</w:t>
      </w:r>
    </w:p>
    <w:p w14:paraId="3361F508" w14:textId="77777777" w:rsidR="000F1DCB" w:rsidRPr="00AA3DF0" w:rsidRDefault="000F1DCB" w:rsidP="00C92108">
      <w:pPr>
        <w:pStyle w:val="Header"/>
        <w:numPr>
          <w:ilvl w:val="0"/>
          <w:numId w:val="5"/>
        </w:numPr>
        <w:tabs>
          <w:tab w:val="clear" w:pos="1200"/>
          <w:tab w:val="num" w:pos="720"/>
        </w:tabs>
        <w:ind w:left="720"/>
        <w:rPr>
          <w:szCs w:val="22"/>
          <w:lang w:val="sl-SI"/>
        </w:rPr>
      </w:pPr>
      <w:r w:rsidRPr="00AA3DF0">
        <w:rPr>
          <w:szCs w:val="22"/>
          <w:lang w:val="sl-SI"/>
        </w:rPr>
        <w:t>Unutar 48 sati od porođaja.</w:t>
      </w:r>
    </w:p>
    <w:p w14:paraId="3361F509" w14:textId="2D223E78" w:rsidR="000F1DCB" w:rsidRPr="00AA3DF0" w:rsidRDefault="000F1DCB" w:rsidP="00C92108">
      <w:pPr>
        <w:pStyle w:val="Header"/>
        <w:numPr>
          <w:ilvl w:val="0"/>
          <w:numId w:val="5"/>
        </w:numPr>
        <w:tabs>
          <w:tab w:val="clear" w:pos="1200"/>
          <w:tab w:val="num" w:pos="720"/>
        </w:tabs>
        <w:ind w:left="720"/>
        <w:rPr>
          <w:szCs w:val="22"/>
          <w:lang w:val="sl-SI"/>
        </w:rPr>
      </w:pPr>
      <w:r w:rsidRPr="00AA3DF0">
        <w:rPr>
          <w:szCs w:val="22"/>
          <w:lang w:val="sl-SI"/>
        </w:rPr>
        <w:t>Trudnoća (prvi i treći trimestar, vid</w:t>
      </w:r>
      <w:r w:rsidR="00E30DA3" w:rsidRPr="00AA3DF0">
        <w:rPr>
          <w:szCs w:val="22"/>
          <w:lang w:val="sl-SI"/>
        </w:rPr>
        <w:t>j</w:t>
      </w:r>
      <w:r w:rsidRPr="00AA3DF0">
        <w:rPr>
          <w:szCs w:val="22"/>
          <w:lang w:val="sl-SI"/>
        </w:rPr>
        <w:t xml:space="preserve">eti </w:t>
      </w:r>
      <w:r w:rsidR="00E30DA3" w:rsidRPr="00AA3DF0">
        <w:rPr>
          <w:szCs w:val="22"/>
          <w:lang w:val="sl-SI"/>
        </w:rPr>
        <w:t>dio</w:t>
      </w:r>
      <w:r w:rsidRPr="00AA3DF0">
        <w:rPr>
          <w:szCs w:val="22"/>
          <w:lang w:val="sl-SI"/>
        </w:rPr>
        <w:t xml:space="preserve"> 4.6).</w:t>
      </w:r>
    </w:p>
    <w:p w14:paraId="3361F50A" w14:textId="3AB5AB4A" w:rsidR="000F1DCB" w:rsidRPr="00AA3DF0" w:rsidRDefault="000F1DCB" w:rsidP="00C92108">
      <w:pPr>
        <w:pStyle w:val="Header"/>
        <w:numPr>
          <w:ilvl w:val="0"/>
          <w:numId w:val="5"/>
        </w:numPr>
        <w:tabs>
          <w:tab w:val="clear" w:pos="1200"/>
          <w:tab w:val="num" w:pos="720"/>
        </w:tabs>
        <w:ind w:left="720"/>
        <w:rPr>
          <w:szCs w:val="22"/>
          <w:lang w:val="sl-SI"/>
        </w:rPr>
      </w:pPr>
      <w:r w:rsidRPr="00AA3DF0">
        <w:rPr>
          <w:szCs w:val="22"/>
          <w:lang w:val="sl-SI"/>
        </w:rPr>
        <w:t>Prim</w:t>
      </w:r>
      <w:r w:rsidR="00E30DA3" w:rsidRPr="00AA3DF0">
        <w:rPr>
          <w:szCs w:val="22"/>
          <w:lang w:val="sl-SI"/>
        </w:rPr>
        <w:t>j</w:t>
      </w:r>
      <w:r w:rsidRPr="00AA3DF0">
        <w:rPr>
          <w:szCs w:val="22"/>
          <w:lang w:val="sl-SI"/>
        </w:rPr>
        <w:t>ena onih l</w:t>
      </w:r>
      <w:r w:rsidR="00E30DA3" w:rsidRPr="00AA3DF0">
        <w:rPr>
          <w:szCs w:val="22"/>
          <w:lang w:val="sl-SI"/>
        </w:rPr>
        <w:t>j</w:t>
      </w:r>
      <w:r w:rsidRPr="00AA3DF0">
        <w:rPr>
          <w:szCs w:val="22"/>
          <w:lang w:val="sl-SI"/>
        </w:rPr>
        <w:t>ekova gd</w:t>
      </w:r>
      <w:r w:rsidR="00E30DA3" w:rsidRPr="00AA3DF0">
        <w:rPr>
          <w:szCs w:val="22"/>
          <w:lang w:val="sl-SI"/>
        </w:rPr>
        <w:t>j</w:t>
      </w:r>
      <w:r w:rsidRPr="00AA3DF0">
        <w:rPr>
          <w:szCs w:val="22"/>
          <w:lang w:val="sl-SI"/>
        </w:rPr>
        <w:t>e interakcije mogu dovesti do značajnog povećanja rizika od krvarenja (vid</w:t>
      </w:r>
      <w:r w:rsidR="00E30DA3" w:rsidRPr="00AA3DF0">
        <w:rPr>
          <w:szCs w:val="22"/>
          <w:lang w:val="sl-SI"/>
        </w:rPr>
        <w:t>j</w:t>
      </w:r>
      <w:r w:rsidRPr="00AA3DF0">
        <w:rPr>
          <w:szCs w:val="22"/>
          <w:lang w:val="sl-SI"/>
        </w:rPr>
        <w:t xml:space="preserve">eti </w:t>
      </w:r>
      <w:r w:rsidR="00E30DA3" w:rsidRPr="00AA3DF0">
        <w:rPr>
          <w:szCs w:val="22"/>
          <w:lang w:val="sl-SI"/>
        </w:rPr>
        <w:t>dio</w:t>
      </w:r>
      <w:r w:rsidRPr="00AA3DF0">
        <w:rPr>
          <w:szCs w:val="22"/>
          <w:lang w:val="sl-SI"/>
        </w:rPr>
        <w:t xml:space="preserve"> 4.5).</w:t>
      </w:r>
    </w:p>
    <w:p w14:paraId="3361F50B" w14:textId="77777777" w:rsidR="000F1DCB" w:rsidRPr="00AA3DF0" w:rsidRDefault="000F1DCB" w:rsidP="00923865">
      <w:pPr>
        <w:rPr>
          <w:szCs w:val="22"/>
          <w:lang w:val="sl-SI"/>
        </w:rPr>
      </w:pPr>
    </w:p>
    <w:p w14:paraId="3361F50C" w14:textId="45137DB2" w:rsidR="000F1DCB" w:rsidRPr="00AA3DF0" w:rsidRDefault="000F1DCB" w:rsidP="00923865">
      <w:pPr>
        <w:rPr>
          <w:b/>
          <w:bCs/>
          <w:szCs w:val="22"/>
          <w:lang w:val="sl-SI"/>
        </w:rPr>
      </w:pPr>
      <w:r w:rsidRPr="00AA3DF0">
        <w:rPr>
          <w:b/>
          <w:bCs/>
          <w:szCs w:val="22"/>
          <w:lang w:val="sl-SI"/>
        </w:rPr>
        <w:t>4.4. Posebna upozorenja i m</w:t>
      </w:r>
      <w:r w:rsidR="00E30DA3" w:rsidRPr="00AA3DF0">
        <w:rPr>
          <w:b/>
          <w:bCs/>
          <w:szCs w:val="22"/>
          <w:lang w:val="sl-SI"/>
        </w:rPr>
        <w:t>j</w:t>
      </w:r>
      <w:r w:rsidRPr="00AA3DF0">
        <w:rPr>
          <w:b/>
          <w:bCs/>
          <w:szCs w:val="22"/>
          <w:lang w:val="sl-SI"/>
        </w:rPr>
        <w:t>ere opreza pri upotrebi l</w:t>
      </w:r>
      <w:r w:rsidR="00E30DA3" w:rsidRPr="00AA3DF0">
        <w:rPr>
          <w:b/>
          <w:bCs/>
          <w:szCs w:val="22"/>
          <w:lang w:val="sl-SI"/>
        </w:rPr>
        <w:t>ij</w:t>
      </w:r>
      <w:r w:rsidRPr="00AA3DF0">
        <w:rPr>
          <w:b/>
          <w:bCs/>
          <w:szCs w:val="22"/>
          <w:lang w:val="sl-SI"/>
        </w:rPr>
        <w:t>eka</w:t>
      </w:r>
    </w:p>
    <w:p w14:paraId="3361F50D" w14:textId="77777777" w:rsidR="000F1DCB" w:rsidRPr="00AA3DF0" w:rsidRDefault="000F1DCB" w:rsidP="00C92108">
      <w:pPr>
        <w:pStyle w:val="Header"/>
        <w:tabs>
          <w:tab w:val="clear" w:pos="4536"/>
          <w:tab w:val="clear" w:pos="9072"/>
          <w:tab w:val="left" w:pos="284"/>
        </w:tabs>
        <w:rPr>
          <w:szCs w:val="22"/>
          <w:lang w:val="sl-SI"/>
        </w:rPr>
      </w:pPr>
    </w:p>
    <w:p w14:paraId="3361F50E" w14:textId="07A671E6" w:rsidR="000F1DCB" w:rsidRPr="00AA3DF0" w:rsidRDefault="000F1DCB" w:rsidP="00C92108">
      <w:pPr>
        <w:pStyle w:val="Header"/>
        <w:tabs>
          <w:tab w:val="clear" w:pos="4536"/>
          <w:tab w:val="clear" w:pos="9072"/>
          <w:tab w:val="left" w:pos="284"/>
        </w:tabs>
        <w:rPr>
          <w:szCs w:val="22"/>
          <w:lang w:val="sl-SI"/>
        </w:rPr>
      </w:pPr>
      <w:r w:rsidRPr="00AA3DF0">
        <w:rPr>
          <w:szCs w:val="22"/>
          <w:lang w:val="sl-SI"/>
        </w:rPr>
        <w:t>Najčešće su neželjeni događaji vezani za prim</w:t>
      </w:r>
      <w:r w:rsidR="00E30DA3" w:rsidRPr="00AA3DF0">
        <w:rPr>
          <w:szCs w:val="22"/>
          <w:lang w:val="sl-SI"/>
        </w:rPr>
        <w:t>j</w:t>
      </w:r>
      <w:r w:rsidRPr="00AA3DF0">
        <w:rPr>
          <w:szCs w:val="22"/>
          <w:lang w:val="sl-SI"/>
        </w:rPr>
        <w:t>enu varfarina rezultat prekom</w:t>
      </w:r>
      <w:r w:rsidR="00E30DA3" w:rsidRPr="00AA3DF0">
        <w:rPr>
          <w:szCs w:val="22"/>
          <w:lang w:val="sl-SI"/>
        </w:rPr>
        <w:t>j</w:t>
      </w:r>
      <w:r w:rsidRPr="00AA3DF0">
        <w:rPr>
          <w:szCs w:val="22"/>
          <w:lang w:val="sl-SI"/>
        </w:rPr>
        <w:t>ernog sprečavanja koagulacije, te je stoga važno redovno razmotriti potrebu za l</w:t>
      </w:r>
      <w:r w:rsidR="00E30DA3" w:rsidRPr="00AA3DF0">
        <w:rPr>
          <w:szCs w:val="22"/>
          <w:lang w:val="sl-SI"/>
        </w:rPr>
        <w:t>ij</w:t>
      </w:r>
      <w:r w:rsidRPr="00AA3DF0">
        <w:rPr>
          <w:szCs w:val="22"/>
          <w:lang w:val="sl-SI"/>
        </w:rPr>
        <w:t>ečenjem i terapiju prekinuti kada više nije potrebna.</w:t>
      </w:r>
    </w:p>
    <w:p w14:paraId="3361F50F" w14:textId="77777777" w:rsidR="000F1DCB" w:rsidRPr="00AA3DF0" w:rsidRDefault="000F1DCB" w:rsidP="00C92108">
      <w:pPr>
        <w:pStyle w:val="Header"/>
        <w:tabs>
          <w:tab w:val="clear" w:pos="4536"/>
          <w:tab w:val="clear" w:pos="9072"/>
          <w:tab w:val="left" w:pos="284"/>
        </w:tabs>
        <w:rPr>
          <w:szCs w:val="22"/>
          <w:lang w:val="sl-SI"/>
        </w:rPr>
      </w:pPr>
    </w:p>
    <w:p w14:paraId="3361F512" w14:textId="77777777" w:rsidR="000F1DCB" w:rsidRPr="00AA3DF0" w:rsidRDefault="000F1DCB" w:rsidP="00C92108">
      <w:pPr>
        <w:pStyle w:val="Header"/>
        <w:rPr>
          <w:szCs w:val="22"/>
          <w:u w:val="single"/>
          <w:lang w:val="sl-SI"/>
        </w:rPr>
      </w:pPr>
      <w:r w:rsidRPr="00AA3DF0">
        <w:rPr>
          <w:szCs w:val="22"/>
          <w:u w:val="single"/>
          <w:lang w:val="sl-SI"/>
        </w:rPr>
        <w:t>Započinjanje terapije</w:t>
      </w:r>
    </w:p>
    <w:p w14:paraId="2C60EB95" w14:textId="77777777" w:rsidR="00E30DA3" w:rsidRPr="00AA3DF0" w:rsidRDefault="00E30DA3" w:rsidP="00C92108">
      <w:pPr>
        <w:pStyle w:val="Header"/>
        <w:rPr>
          <w:szCs w:val="22"/>
          <w:lang w:val="sl-SI"/>
        </w:rPr>
      </w:pPr>
    </w:p>
    <w:p w14:paraId="3361F514" w14:textId="176C2F57" w:rsidR="000F1DCB" w:rsidRPr="00AA3DF0" w:rsidRDefault="000F1DCB" w:rsidP="00C92108">
      <w:pPr>
        <w:pStyle w:val="Header"/>
        <w:rPr>
          <w:i/>
          <w:szCs w:val="22"/>
          <w:lang w:val="sl-SI"/>
        </w:rPr>
      </w:pPr>
      <w:r w:rsidRPr="00AA3DF0">
        <w:rPr>
          <w:i/>
          <w:szCs w:val="22"/>
          <w:lang w:val="sl-SI"/>
        </w:rPr>
        <w:t>Monitoring</w:t>
      </w:r>
    </w:p>
    <w:p w14:paraId="3361F515" w14:textId="77777777" w:rsidR="000F1DCB" w:rsidRPr="00AA3DF0" w:rsidRDefault="000F1DCB" w:rsidP="00C92108">
      <w:pPr>
        <w:pStyle w:val="Header"/>
        <w:tabs>
          <w:tab w:val="clear" w:pos="4536"/>
          <w:tab w:val="clear" w:pos="9072"/>
          <w:tab w:val="left" w:pos="284"/>
        </w:tabs>
        <w:rPr>
          <w:szCs w:val="22"/>
          <w:lang w:val="sl-SI"/>
        </w:rPr>
      </w:pPr>
    </w:p>
    <w:p w14:paraId="3361F516" w14:textId="4604A8E0" w:rsidR="000F1DCB" w:rsidRPr="00AA3DF0" w:rsidRDefault="000F1DCB" w:rsidP="00C92108">
      <w:pPr>
        <w:pStyle w:val="Header"/>
        <w:tabs>
          <w:tab w:val="clear" w:pos="4536"/>
          <w:tab w:val="clear" w:pos="9072"/>
          <w:tab w:val="left" w:pos="284"/>
        </w:tabs>
        <w:rPr>
          <w:szCs w:val="22"/>
          <w:lang w:val="sl-SI"/>
        </w:rPr>
      </w:pPr>
      <w:r w:rsidRPr="00AA3DF0">
        <w:rPr>
          <w:szCs w:val="22"/>
          <w:lang w:val="sl-SI"/>
        </w:rPr>
        <w:t>Kada se terapija varfarinom započinje standardnim dozama, svakog ili svakog drugog dana u prvim danima l</w:t>
      </w:r>
      <w:r w:rsidR="00E30DA3" w:rsidRPr="00AA3DF0">
        <w:rPr>
          <w:szCs w:val="22"/>
          <w:lang w:val="sl-SI"/>
        </w:rPr>
        <w:t>ij</w:t>
      </w:r>
      <w:r w:rsidRPr="00AA3DF0">
        <w:rPr>
          <w:szCs w:val="22"/>
          <w:lang w:val="sl-SI"/>
        </w:rPr>
        <w:t>ečenja treba određivati vr</w:t>
      </w:r>
      <w:r w:rsidR="00E30DA3" w:rsidRPr="00AA3DF0">
        <w:rPr>
          <w:szCs w:val="22"/>
          <w:lang w:val="sl-SI"/>
        </w:rPr>
        <w:t>ij</w:t>
      </w:r>
      <w:r w:rsidRPr="00AA3DF0">
        <w:rPr>
          <w:szCs w:val="22"/>
          <w:lang w:val="sl-SI"/>
        </w:rPr>
        <w:t>ednosti INR. Jednom kada se INR stabilizuje u zacrtanom opsegu, može da se određuje i u dužim vremenskim intervalima.</w:t>
      </w:r>
    </w:p>
    <w:p w14:paraId="3361F517" w14:textId="77777777" w:rsidR="000F1DCB" w:rsidRPr="00AA3DF0" w:rsidRDefault="000F1DCB" w:rsidP="00C92108">
      <w:pPr>
        <w:pStyle w:val="Header"/>
        <w:rPr>
          <w:szCs w:val="22"/>
          <w:lang w:val="sl-SI"/>
        </w:rPr>
      </w:pPr>
    </w:p>
    <w:p w14:paraId="3361F518" w14:textId="55F9C982" w:rsidR="000F1DCB" w:rsidRPr="00AA3DF0" w:rsidRDefault="000F1DCB" w:rsidP="00C92108">
      <w:pPr>
        <w:pStyle w:val="Header"/>
        <w:rPr>
          <w:szCs w:val="22"/>
          <w:lang w:val="sl-SI"/>
        </w:rPr>
      </w:pPr>
      <w:r w:rsidRPr="00AA3DF0">
        <w:rPr>
          <w:szCs w:val="22"/>
          <w:lang w:val="sl-SI"/>
        </w:rPr>
        <w:t>Vr</w:t>
      </w:r>
      <w:r w:rsidR="00E30DA3" w:rsidRPr="00AA3DF0">
        <w:rPr>
          <w:szCs w:val="22"/>
          <w:lang w:val="sl-SI"/>
        </w:rPr>
        <w:t>ij</w:t>
      </w:r>
      <w:r w:rsidRPr="00AA3DF0">
        <w:rPr>
          <w:szCs w:val="22"/>
          <w:lang w:val="sl-SI"/>
        </w:rPr>
        <w:t>ednosti INR treba kontrolisati češće kod pacijenata sa povećanim rizikom od prekom</w:t>
      </w:r>
      <w:r w:rsidR="00E30DA3" w:rsidRPr="00AA3DF0">
        <w:rPr>
          <w:szCs w:val="22"/>
          <w:lang w:val="sl-SI"/>
        </w:rPr>
        <w:t>j</w:t>
      </w:r>
      <w:r w:rsidRPr="00AA3DF0">
        <w:rPr>
          <w:szCs w:val="22"/>
          <w:lang w:val="sl-SI"/>
        </w:rPr>
        <w:t>erne koagulacije, npr. pacijenti sa teškom hipertenzijom, bolestima jetre ili bubrega.</w:t>
      </w:r>
    </w:p>
    <w:p w14:paraId="3361F519" w14:textId="77777777" w:rsidR="000F1DCB" w:rsidRPr="00AA3DF0" w:rsidRDefault="000F1DCB" w:rsidP="00C92108">
      <w:pPr>
        <w:pStyle w:val="Header"/>
        <w:rPr>
          <w:szCs w:val="22"/>
          <w:lang w:val="sl-SI"/>
        </w:rPr>
      </w:pPr>
    </w:p>
    <w:p w14:paraId="3361F51A" w14:textId="77777777" w:rsidR="000F1DCB" w:rsidRPr="00AA3DF0" w:rsidRDefault="000F1DCB" w:rsidP="00C92108">
      <w:pPr>
        <w:pStyle w:val="Header"/>
        <w:rPr>
          <w:szCs w:val="22"/>
          <w:lang w:val="sl-SI"/>
        </w:rPr>
      </w:pPr>
      <w:r w:rsidRPr="00AA3DF0">
        <w:rPr>
          <w:szCs w:val="22"/>
          <w:lang w:val="sl-SI"/>
        </w:rPr>
        <w:t>Pacijente kod kojih može biti otežana saradnja (loša adherenca), potrebno je češće kontrolisati.</w:t>
      </w:r>
    </w:p>
    <w:p w14:paraId="3361F51B" w14:textId="77777777" w:rsidR="000F1DCB" w:rsidRPr="00AA3DF0" w:rsidRDefault="000F1DCB" w:rsidP="00C92108">
      <w:pPr>
        <w:pStyle w:val="Header"/>
        <w:rPr>
          <w:szCs w:val="22"/>
          <w:lang w:val="sl-SI"/>
        </w:rPr>
      </w:pPr>
    </w:p>
    <w:p w14:paraId="3361F51C" w14:textId="77777777" w:rsidR="000F1DCB" w:rsidRPr="00AA3DF0" w:rsidRDefault="000F1DCB" w:rsidP="00C92108">
      <w:pPr>
        <w:pStyle w:val="Header"/>
        <w:rPr>
          <w:i/>
          <w:szCs w:val="22"/>
          <w:lang w:val="sl-SI"/>
        </w:rPr>
      </w:pPr>
      <w:r w:rsidRPr="00AA3DF0">
        <w:rPr>
          <w:i/>
          <w:szCs w:val="22"/>
          <w:lang w:val="sl-SI"/>
        </w:rPr>
        <w:t>Trombofilija</w:t>
      </w:r>
    </w:p>
    <w:p w14:paraId="3361F51D" w14:textId="77777777" w:rsidR="000F1DCB" w:rsidRPr="00AA3DF0" w:rsidRDefault="000F1DCB" w:rsidP="00C92108">
      <w:pPr>
        <w:pStyle w:val="Header"/>
        <w:tabs>
          <w:tab w:val="clear" w:pos="4536"/>
          <w:tab w:val="clear" w:pos="9072"/>
          <w:tab w:val="left" w:pos="284"/>
        </w:tabs>
        <w:rPr>
          <w:szCs w:val="22"/>
          <w:lang w:val="sl-SI"/>
        </w:rPr>
      </w:pPr>
    </w:p>
    <w:p w14:paraId="3361F51E" w14:textId="7796DF17" w:rsidR="000F1DCB" w:rsidRPr="00AA3DF0" w:rsidRDefault="000F1DCB" w:rsidP="00C92108">
      <w:pPr>
        <w:pStyle w:val="Header"/>
        <w:rPr>
          <w:szCs w:val="22"/>
          <w:lang w:val="sl-SI"/>
        </w:rPr>
      </w:pPr>
      <w:r w:rsidRPr="00AA3DF0">
        <w:rPr>
          <w:szCs w:val="22"/>
          <w:lang w:val="sl-SI"/>
        </w:rPr>
        <w:t>Pacijenti sa nedostatkom C proteina su pod rizikom od razvoja nekroze kože kada započinju l</w:t>
      </w:r>
      <w:r w:rsidR="00E30DA3" w:rsidRPr="00AA3DF0">
        <w:rPr>
          <w:szCs w:val="22"/>
          <w:lang w:val="sl-SI"/>
        </w:rPr>
        <w:t>ij</w:t>
      </w:r>
      <w:r w:rsidRPr="00AA3DF0">
        <w:rPr>
          <w:szCs w:val="22"/>
          <w:lang w:val="sl-SI"/>
        </w:rPr>
        <w:t>ečenje varfarinom. Kod ovih pacijenata, l</w:t>
      </w:r>
      <w:r w:rsidR="00E30DA3" w:rsidRPr="00AA3DF0">
        <w:rPr>
          <w:szCs w:val="22"/>
          <w:lang w:val="sl-SI"/>
        </w:rPr>
        <w:t>ij</w:t>
      </w:r>
      <w:r w:rsidRPr="00AA3DF0">
        <w:rPr>
          <w:szCs w:val="22"/>
          <w:lang w:val="sl-SI"/>
        </w:rPr>
        <w:t xml:space="preserve">ečenje treba započeti bez pune početne doze varfarina iako je heparin već dat. </w:t>
      </w:r>
    </w:p>
    <w:p w14:paraId="3361F51F" w14:textId="77777777" w:rsidR="000F1DCB" w:rsidRPr="00AA3DF0" w:rsidRDefault="000F1DCB" w:rsidP="00C92108">
      <w:pPr>
        <w:pStyle w:val="Header"/>
        <w:rPr>
          <w:szCs w:val="22"/>
          <w:lang w:val="sl-SI"/>
        </w:rPr>
      </w:pPr>
    </w:p>
    <w:p w14:paraId="3361F520" w14:textId="77777777" w:rsidR="000F1DCB" w:rsidRPr="00AA3DF0" w:rsidRDefault="000F1DCB" w:rsidP="00C92108">
      <w:pPr>
        <w:pStyle w:val="Header"/>
        <w:rPr>
          <w:szCs w:val="22"/>
          <w:lang w:val="sl-SI"/>
        </w:rPr>
      </w:pPr>
      <w:r w:rsidRPr="00AA3DF0">
        <w:rPr>
          <w:szCs w:val="22"/>
          <w:lang w:val="sl-SI"/>
        </w:rPr>
        <w:t>Pacijenti sa nedostatkom S proteina, takođe mogu biti pod rizikom i u ovim okolnostima se preporučuje sporo uvođenje terapije varfarinom.</w:t>
      </w:r>
    </w:p>
    <w:p w14:paraId="3361F521" w14:textId="77777777" w:rsidR="000F1DCB" w:rsidRPr="00AA3DF0" w:rsidRDefault="000F1DCB" w:rsidP="00C92108">
      <w:pPr>
        <w:pStyle w:val="Header"/>
        <w:rPr>
          <w:szCs w:val="22"/>
          <w:u w:val="single"/>
          <w:lang w:val="sl-SI"/>
        </w:rPr>
      </w:pPr>
    </w:p>
    <w:p w14:paraId="3361F522" w14:textId="77777777" w:rsidR="000F1DCB" w:rsidRPr="00AA3DF0" w:rsidRDefault="000F1DCB" w:rsidP="00C92108">
      <w:pPr>
        <w:pStyle w:val="Header"/>
        <w:rPr>
          <w:szCs w:val="22"/>
          <w:u w:val="single"/>
          <w:lang w:val="sl-SI"/>
        </w:rPr>
      </w:pPr>
      <w:r w:rsidRPr="00AA3DF0">
        <w:rPr>
          <w:szCs w:val="22"/>
          <w:u w:val="single"/>
          <w:lang w:val="sl-SI"/>
        </w:rPr>
        <w:t>Rizik od krvarenja</w:t>
      </w:r>
    </w:p>
    <w:p w14:paraId="3361F523" w14:textId="77777777" w:rsidR="000F1DCB" w:rsidRPr="00AA3DF0" w:rsidRDefault="000F1DCB" w:rsidP="00C92108">
      <w:pPr>
        <w:pStyle w:val="Header"/>
        <w:tabs>
          <w:tab w:val="clear" w:pos="4536"/>
          <w:tab w:val="clear" w:pos="9072"/>
          <w:tab w:val="left" w:pos="284"/>
        </w:tabs>
        <w:rPr>
          <w:szCs w:val="22"/>
          <w:lang w:val="sl-SI"/>
        </w:rPr>
      </w:pPr>
    </w:p>
    <w:p w14:paraId="3361F524" w14:textId="0A1CE0E7" w:rsidR="000F1DCB" w:rsidRPr="00AA3DF0" w:rsidRDefault="000F1DCB" w:rsidP="00C92108">
      <w:pPr>
        <w:pStyle w:val="Header"/>
        <w:rPr>
          <w:szCs w:val="22"/>
          <w:lang w:val="sl-SI"/>
        </w:rPr>
      </w:pPr>
      <w:r w:rsidRPr="00AA3DF0">
        <w:rPr>
          <w:szCs w:val="22"/>
          <w:lang w:val="sl-SI"/>
        </w:rPr>
        <w:t>Najčešće neželjeno dejstvo svih antikoagulanasa je krvarenje. Varfarin treba davati oprezno pacijentima kod kojih postoji rizik od ozbiljnih krvarenja (npr. istovremena prim</w:t>
      </w:r>
      <w:r w:rsidR="00E30DA3" w:rsidRPr="00AA3DF0">
        <w:rPr>
          <w:szCs w:val="22"/>
          <w:lang w:val="sl-SI"/>
        </w:rPr>
        <w:t>j</w:t>
      </w:r>
      <w:r w:rsidRPr="00AA3DF0">
        <w:rPr>
          <w:szCs w:val="22"/>
          <w:lang w:val="sl-SI"/>
        </w:rPr>
        <w:t>ena nesteroidnih antiinflamatornih l</w:t>
      </w:r>
      <w:r w:rsidR="00E30DA3" w:rsidRPr="00AA3DF0">
        <w:rPr>
          <w:szCs w:val="22"/>
          <w:lang w:val="sl-SI"/>
        </w:rPr>
        <w:t>j</w:t>
      </w:r>
      <w:r w:rsidRPr="00AA3DF0">
        <w:rPr>
          <w:szCs w:val="22"/>
          <w:lang w:val="sl-SI"/>
        </w:rPr>
        <w:t>ekova, nedavni ishemijski moždani udar, bakterijski endokarditis, ranije gastrointestinalno krvarenje).</w:t>
      </w:r>
    </w:p>
    <w:p w14:paraId="3361F525" w14:textId="77777777" w:rsidR="000F1DCB" w:rsidRPr="00AA3DF0" w:rsidRDefault="000F1DCB" w:rsidP="00C92108">
      <w:pPr>
        <w:pStyle w:val="Header"/>
        <w:rPr>
          <w:szCs w:val="22"/>
          <w:lang w:val="sl-SI"/>
        </w:rPr>
      </w:pPr>
    </w:p>
    <w:p w14:paraId="3361F526" w14:textId="670C825B" w:rsidR="000F1DCB" w:rsidRPr="00AA3DF0" w:rsidRDefault="000F1DCB" w:rsidP="00C92108">
      <w:pPr>
        <w:pStyle w:val="Header"/>
        <w:rPr>
          <w:szCs w:val="22"/>
          <w:lang w:val="sl-SI"/>
        </w:rPr>
      </w:pPr>
      <w:r w:rsidRPr="00AA3DF0">
        <w:rPr>
          <w:szCs w:val="22"/>
          <w:lang w:val="sl-SI"/>
        </w:rPr>
        <w:t>Faktori rizika za nastanak krvarenja uključuju visok intenzitet antikoagulacije (INR &gt;4,0), životno doba ≥ 65, izuzetno prom</w:t>
      </w:r>
      <w:r w:rsidR="00E30DA3" w:rsidRPr="00AA3DF0">
        <w:rPr>
          <w:szCs w:val="22"/>
          <w:lang w:val="sl-SI"/>
        </w:rPr>
        <w:t>j</w:t>
      </w:r>
      <w:r w:rsidRPr="00AA3DF0">
        <w:rPr>
          <w:szCs w:val="22"/>
          <w:lang w:val="sl-SI"/>
        </w:rPr>
        <w:t>enljive vr</w:t>
      </w:r>
      <w:r w:rsidR="00E30DA3" w:rsidRPr="00AA3DF0">
        <w:rPr>
          <w:szCs w:val="22"/>
          <w:lang w:val="sl-SI"/>
        </w:rPr>
        <w:t>ij</w:t>
      </w:r>
      <w:r w:rsidRPr="00AA3DF0">
        <w:rPr>
          <w:szCs w:val="22"/>
          <w:lang w:val="sl-SI"/>
        </w:rPr>
        <w:t>ednosti INR, krvarenje iz gastrointestinalnog trakta u anamnezi, nekontrolisanu hipertenziju, cerebrovaskularnu bolest, ozbiljno srčano oboljenje, rizik od padanja, anemiju, malignitet, traumu, bubrežnu insuficijenciju, istovremenu prim</w:t>
      </w:r>
      <w:r w:rsidR="00E30DA3" w:rsidRPr="00AA3DF0">
        <w:rPr>
          <w:szCs w:val="22"/>
          <w:lang w:val="sl-SI"/>
        </w:rPr>
        <w:t>j</w:t>
      </w:r>
      <w:r w:rsidRPr="00AA3DF0">
        <w:rPr>
          <w:szCs w:val="22"/>
          <w:lang w:val="sl-SI"/>
        </w:rPr>
        <w:t>enu drugih l</w:t>
      </w:r>
      <w:r w:rsidR="00E30DA3" w:rsidRPr="00AA3DF0">
        <w:rPr>
          <w:szCs w:val="22"/>
          <w:lang w:val="sl-SI"/>
        </w:rPr>
        <w:t>j</w:t>
      </w:r>
      <w:r w:rsidRPr="00AA3DF0">
        <w:rPr>
          <w:szCs w:val="22"/>
          <w:lang w:val="sl-SI"/>
        </w:rPr>
        <w:t>ekova (vid</w:t>
      </w:r>
      <w:r w:rsidR="00E30DA3" w:rsidRPr="00AA3DF0">
        <w:rPr>
          <w:szCs w:val="22"/>
          <w:lang w:val="sl-SI"/>
        </w:rPr>
        <w:t>j</w:t>
      </w:r>
      <w:r w:rsidRPr="00AA3DF0">
        <w:rPr>
          <w:szCs w:val="22"/>
          <w:lang w:val="sl-SI"/>
        </w:rPr>
        <w:t xml:space="preserve">eti </w:t>
      </w:r>
      <w:r w:rsidR="00E30DA3" w:rsidRPr="00AA3DF0">
        <w:rPr>
          <w:szCs w:val="22"/>
          <w:lang w:val="sl-SI"/>
        </w:rPr>
        <w:t>dio</w:t>
      </w:r>
      <w:r w:rsidRPr="00AA3DF0">
        <w:rPr>
          <w:szCs w:val="22"/>
          <w:lang w:val="sl-SI"/>
        </w:rPr>
        <w:t xml:space="preserve"> 4.5). Kod svih pacijenata koji se l</w:t>
      </w:r>
      <w:r w:rsidR="00E30DA3" w:rsidRPr="00AA3DF0">
        <w:rPr>
          <w:szCs w:val="22"/>
          <w:lang w:val="sl-SI"/>
        </w:rPr>
        <w:t>ij</w:t>
      </w:r>
      <w:r w:rsidRPr="00AA3DF0">
        <w:rPr>
          <w:szCs w:val="22"/>
          <w:lang w:val="sl-SI"/>
        </w:rPr>
        <w:t xml:space="preserve">eče varfarinom potrebno je redovno praćenje INR. Kod onih kod kojih je rizik od krvarenja povećan, </w:t>
      </w:r>
      <w:r w:rsidRPr="00AA3DF0">
        <w:rPr>
          <w:szCs w:val="22"/>
          <w:lang w:val="sl-SI"/>
        </w:rPr>
        <w:lastRenderedPageBreak/>
        <w:t>potrebno je češće kontrolisanje INR, pažljivo prilagođavanje doze ka željenom INR i kraće trajanje terapije. Pacijentima treba ukazati na preduzimanje m</w:t>
      </w:r>
      <w:r w:rsidR="00E30DA3" w:rsidRPr="00AA3DF0">
        <w:rPr>
          <w:szCs w:val="22"/>
          <w:lang w:val="sl-SI"/>
        </w:rPr>
        <w:t>j</w:t>
      </w:r>
      <w:r w:rsidRPr="00AA3DF0">
        <w:rPr>
          <w:szCs w:val="22"/>
          <w:lang w:val="sl-SI"/>
        </w:rPr>
        <w:t>era za minimiziranje rizika od krvarenja kao i na to da odmah obav</w:t>
      </w:r>
      <w:r w:rsidR="00E30DA3" w:rsidRPr="00AA3DF0">
        <w:rPr>
          <w:szCs w:val="22"/>
          <w:lang w:val="sl-SI"/>
        </w:rPr>
        <w:t>ij</w:t>
      </w:r>
      <w:r w:rsidRPr="00AA3DF0">
        <w:rPr>
          <w:szCs w:val="22"/>
          <w:lang w:val="sl-SI"/>
        </w:rPr>
        <w:t>este l</w:t>
      </w:r>
      <w:r w:rsidR="00E30DA3" w:rsidRPr="00AA3DF0">
        <w:rPr>
          <w:szCs w:val="22"/>
          <w:lang w:val="sl-SI"/>
        </w:rPr>
        <w:t>j</w:t>
      </w:r>
      <w:r w:rsidRPr="00AA3DF0">
        <w:rPr>
          <w:szCs w:val="22"/>
          <w:lang w:val="sl-SI"/>
        </w:rPr>
        <w:t>ekara o znacima i simptomima krvarenja.</w:t>
      </w:r>
    </w:p>
    <w:p w14:paraId="3361F527" w14:textId="77777777" w:rsidR="000F1DCB" w:rsidRPr="00AA3DF0" w:rsidRDefault="000F1DCB" w:rsidP="00C92108">
      <w:pPr>
        <w:pStyle w:val="Header"/>
        <w:rPr>
          <w:szCs w:val="22"/>
          <w:lang w:val="sl-SI"/>
        </w:rPr>
      </w:pPr>
    </w:p>
    <w:p w14:paraId="3361F528" w14:textId="10EB2367" w:rsidR="000F1DCB" w:rsidRPr="00AA3DF0" w:rsidRDefault="000F1DCB" w:rsidP="00C92108">
      <w:pPr>
        <w:pStyle w:val="Header"/>
        <w:rPr>
          <w:szCs w:val="22"/>
          <w:lang w:val="sl-SI"/>
        </w:rPr>
      </w:pPr>
      <w:r w:rsidRPr="00AA3DF0">
        <w:rPr>
          <w:szCs w:val="22"/>
          <w:lang w:val="sl-SI"/>
        </w:rPr>
        <w:t>Proveravanje vr</w:t>
      </w:r>
      <w:r w:rsidR="00E30DA3" w:rsidRPr="00AA3DF0">
        <w:rPr>
          <w:szCs w:val="22"/>
          <w:lang w:val="sl-SI"/>
        </w:rPr>
        <w:t>ij</w:t>
      </w:r>
      <w:r w:rsidRPr="00AA3DF0">
        <w:rPr>
          <w:szCs w:val="22"/>
          <w:lang w:val="sl-SI"/>
        </w:rPr>
        <w:t>ednosti INR i smanjenje i</w:t>
      </w:r>
      <w:r w:rsidR="00787759" w:rsidRPr="00AA3DF0">
        <w:rPr>
          <w:szCs w:val="22"/>
          <w:lang w:val="sl-SI"/>
        </w:rPr>
        <w:t>li</w:t>
      </w:r>
      <w:r w:rsidRPr="00AA3DF0">
        <w:rPr>
          <w:szCs w:val="22"/>
          <w:lang w:val="sl-SI"/>
        </w:rPr>
        <w:t xml:space="preserve"> preskakanje doza zavisno od vr</w:t>
      </w:r>
      <w:r w:rsidR="00E30DA3" w:rsidRPr="00AA3DF0">
        <w:rPr>
          <w:szCs w:val="22"/>
          <w:lang w:val="sl-SI"/>
        </w:rPr>
        <w:t>ij</w:t>
      </w:r>
      <w:r w:rsidRPr="00AA3DF0">
        <w:rPr>
          <w:szCs w:val="22"/>
          <w:lang w:val="sl-SI"/>
        </w:rPr>
        <w:t>ednosti INR je ključno, nakon konsultacija ako je neophodno. Ukoliko je vr</w:t>
      </w:r>
      <w:r w:rsidR="00E30DA3" w:rsidRPr="00AA3DF0">
        <w:rPr>
          <w:szCs w:val="22"/>
          <w:lang w:val="sl-SI"/>
        </w:rPr>
        <w:t>ij</w:t>
      </w:r>
      <w:r w:rsidRPr="00AA3DF0">
        <w:rPr>
          <w:szCs w:val="22"/>
          <w:lang w:val="sl-SI"/>
        </w:rPr>
        <w:t>ednost INR previsoka, treba smanjiti dozu ili prekinuti l</w:t>
      </w:r>
      <w:r w:rsidR="00E30DA3" w:rsidRPr="00AA3DF0">
        <w:rPr>
          <w:szCs w:val="22"/>
          <w:lang w:val="sl-SI"/>
        </w:rPr>
        <w:t>ij</w:t>
      </w:r>
      <w:r w:rsidRPr="00AA3DF0">
        <w:rPr>
          <w:szCs w:val="22"/>
          <w:lang w:val="sl-SI"/>
        </w:rPr>
        <w:t>ečenje varfarinom; ponekad će biti neophodno preokrenuti antikoagulaciju. INR je potrebno prov</w:t>
      </w:r>
      <w:r w:rsidR="00E30DA3" w:rsidRPr="00AA3DF0">
        <w:rPr>
          <w:szCs w:val="22"/>
          <w:lang w:val="sl-SI"/>
        </w:rPr>
        <w:t>j</w:t>
      </w:r>
      <w:r w:rsidRPr="00AA3DF0">
        <w:rPr>
          <w:szCs w:val="22"/>
          <w:lang w:val="sl-SI"/>
        </w:rPr>
        <w:t>eravati unutar 2 - 3 dana da bi se sa sigurnošću utvrdilo da njegova vr</w:t>
      </w:r>
      <w:r w:rsidR="00E30DA3" w:rsidRPr="00AA3DF0">
        <w:rPr>
          <w:szCs w:val="22"/>
          <w:lang w:val="sl-SI"/>
        </w:rPr>
        <w:t>ij</w:t>
      </w:r>
      <w:r w:rsidRPr="00AA3DF0">
        <w:rPr>
          <w:szCs w:val="22"/>
          <w:lang w:val="sl-SI"/>
        </w:rPr>
        <w:t>ednost pada.</w:t>
      </w:r>
    </w:p>
    <w:p w14:paraId="3361F529" w14:textId="77777777" w:rsidR="000F1DCB" w:rsidRPr="00AA3DF0" w:rsidRDefault="000F1DCB" w:rsidP="00C92108">
      <w:pPr>
        <w:pStyle w:val="Header"/>
        <w:tabs>
          <w:tab w:val="clear" w:pos="4536"/>
          <w:tab w:val="clear" w:pos="9072"/>
          <w:tab w:val="left" w:pos="284"/>
        </w:tabs>
        <w:rPr>
          <w:color w:val="FF0000"/>
          <w:szCs w:val="22"/>
          <w:lang w:val="sl-SI"/>
        </w:rPr>
      </w:pPr>
    </w:p>
    <w:p w14:paraId="3361F52A" w14:textId="71C474EB" w:rsidR="000F1DCB" w:rsidRPr="00AA3DF0" w:rsidRDefault="000F1DCB" w:rsidP="00C92108">
      <w:pPr>
        <w:pStyle w:val="Header"/>
        <w:tabs>
          <w:tab w:val="clear" w:pos="4536"/>
          <w:tab w:val="clear" w:pos="9072"/>
          <w:tab w:val="left" w:pos="284"/>
        </w:tabs>
        <w:rPr>
          <w:szCs w:val="22"/>
          <w:lang w:val="sl-SI"/>
        </w:rPr>
      </w:pPr>
      <w:r w:rsidRPr="00AA3DF0">
        <w:rPr>
          <w:szCs w:val="22"/>
          <w:lang w:val="sl-SI"/>
        </w:rPr>
        <w:t>Bilo kakva istovremena prim</w:t>
      </w:r>
      <w:r w:rsidR="00E30DA3" w:rsidRPr="00AA3DF0">
        <w:rPr>
          <w:szCs w:val="22"/>
          <w:lang w:val="sl-SI"/>
        </w:rPr>
        <w:t>j</w:t>
      </w:r>
      <w:r w:rsidRPr="00AA3DF0">
        <w:rPr>
          <w:szCs w:val="22"/>
          <w:lang w:val="sl-SI"/>
        </w:rPr>
        <w:t>ena sa drugim antitrombocitnim l</w:t>
      </w:r>
      <w:r w:rsidR="00E30DA3" w:rsidRPr="00AA3DF0">
        <w:rPr>
          <w:szCs w:val="22"/>
          <w:lang w:val="sl-SI"/>
        </w:rPr>
        <w:t>j</w:t>
      </w:r>
      <w:r w:rsidRPr="00AA3DF0">
        <w:rPr>
          <w:szCs w:val="22"/>
          <w:lang w:val="sl-SI"/>
        </w:rPr>
        <w:t>ekovima zaht</w:t>
      </w:r>
      <w:r w:rsidR="00E30DA3" w:rsidRPr="00AA3DF0">
        <w:rPr>
          <w:szCs w:val="22"/>
          <w:lang w:val="sl-SI"/>
        </w:rPr>
        <w:t>ij</w:t>
      </w:r>
      <w:r w:rsidRPr="00AA3DF0">
        <w:rPr>
          <w:szCs w:val="22"/>
          <w:lang w:val="sl-SI"/>
        </w:rPr>
        <w:t>eva oprez zbog povećanog rizika od krvarenja.</w:t>
      </w:r>
    </w:p>
    <w:p w14:paraId="3361F52B" w14:textId="77777777" w:rsidR="000F1DCB" w:rsidRPr="00AA3DF0" w:rsidRDefault="000F1DCB" w:rsidP="00C92108">
      <w:pPr>
        <w:pStyle w:val="Header"/>
        <w:rPr>
          <w:szCs w:val="22"/>
          <w:u w:val="single"/>
          <w:lang w:val="sl-SI"/>
        </w:rPr>
      </w:pPr>
    </w:p>
    <w:p w14:paraId="3361F52C" w14:textId="77777777" w:rsidR="000F1DCB" w:rsidRPr="00AA3DF0" w:rsidRDefault="000F1DCB" w:rsidP="00C92108">
      <w:pPr>
        <w:pStyle w:val="Header"/>
        <w:rPr>
          <w:szCs w:val="22"/>
          <w:u w:val="single"/>
          <w:lang w:val="sl-SI"/>
        </w:rPr>
      </w:pPr>
      <w:r w:rsidRPr="00AA3DF0">
        <w:rPr>
          <w:szCs w:val="22"/>
          <w:u w:val="single"/>
          <w:lang w:val="sl-SI"/>
        </w:rPr>
        <w:t>Krvarenje</w:t>
      </w:r>
    </w:p>
    <w:p w14:paraId="3361F52D" w14:textId="77777777" w:rsidR="000F1DCB" w:rsidRPr="00AA3DF0" w:rsidRDefault="000F1DCB" w:rsidP="00C92108">
      <w:pPr>
        <w:pStyle w:val="Header"/>
        <w:rPr>
          <w:szCs w:val="22"/>
          <w:lang w:val="sl-SI"/>
        </w:rPr>
      </w:pPr>
    </w:p>
    <w:p w14:paraId="3361F52E" w14:textId="779F091C" w:rsidR="000F1DCB" w:rsidRPr="00AA3DF0" w:rsidRDefault="000F1DCB" w:rsidP="00C92108">
      <w:pPr>
        <w:pStyle w:val="Header"/>
        <w:rPr>
          <w:szCs w:val="22"/>
          <w:lang w:val="sl-SI"/>
        </w:rPr>
      </w:pPr>
      <w:r w:rsidRPr="00AA3DF0">
        <w:rPr>
          <w:szCs w:val="22"/>
          <w:lang w:val="sl-SI"/>
        </w:rPr>
        <w:t>Krvarenje može da ukaže na prekom</w:t>
      </w:r>
      <w:r w:rsidR="00E30DA3" w:rsidRPr="00AA3DF0">
        <w:rPr>
          <w:szCs w:val="22"/>
          <w:lang w:val="sl-SI"/>
        </w:rPr>
        <w:t>j</w:t>
      </w:r>
      <w:r w:rsidRPr="00AA3DF0">
        <w:rPr>
          <w:szCs w:val="22"/>
          <w:lang w:val="sl-SI"/>
        </w:rPr>
        <w:t>ernu dozu un</w:t>
      </w:r>
      <w:r w:rsidR="00E30DA3" w:rsidRPr="00AA3DF0">
        <w:rPr>
          <w:szCs w:val="22"/>
          <w:lang w:val="sl-SI"/>
        </w:rPr>
        <w:t>ij</w:t>
      </w:r>
      <w:r w:rsidRPr="00AA3DF0">
        <w:rPr>
          <w:szCs w:val="22"/>
          <w:lang w:val="sl-SI"/>
        </w:rPr>
        <w:t>etog varfarina. Za sav</w:t>
      </w:r>
      <w:r w:rsidR="00E30DA3" w:rsidRPr="00AA3DF0">
        <w:rPr>
          <w:szCs w:val="22"/>
          <w:lang w:val="sl-SI"/>
        </w:rPr>
        <w:t>j</w:t>
      </w:r>
      <w:r w:rsidRPr="00AA3DF0">
        <w:rPr>
          <w:szCs w:val="22"/>
          <w:lang w:val="sl-SI"/>
        </w:rPr>
        <w:t>et u vezi sa l</w:t>
      </w:r>
      <w:r w:rsidR="00E30DA3" w:rsidRPr="00AA3DF0">
        <w:rPr>
          <w:szCs w:val="22"/>
          <w:lang w:val="sl-SI"/>
        </w:rPr>
        <w:t>ij</w:t>
      </w:r>
      <w:r w:rsidRPr="00AA3DF0">
        <w:rPr>
          <w:szCs w:val="22"/>
          <w:lang w:val="sl-SI"/>
        </w:rPr>
        <w:t>ečenjem krvarenja vid</w:t>
      </w:r>
      <w:r w:rsidR="00E30DA3" w:rsidRPr="00AA3DF0">
        <w:rPr>
          <w:szCs w:val="22"/>
          <w:lang w:val="sl-SI"/>
        </w:rPr>
        <w:t>j</w:t>
      </w:r>
      <w:r w:rsidRPr="00AA3DF0">
        <w:rPr>
          <w:szCs w:val="22"/>
          <w:lang w:val="sl-SI"/>
        </w:rPr>
        <w:t xml:space="preserve">eti </w:t>
      </w:r>
      <w:r w:rsidR="00E30DA3" w:rsidRPr="00AA3DF0">
        <w:rPr>
          <w:szCs w:val="22"/>
          <w:lang w:val="sl-SI"/>
        </w:rPr>
        <w:t xml:space="preserve">dio </w:t>
      </w:r>
      <w:r w:rsidRPr="00AA3DF0">
        <w:rPr>
          <w:szCs w:val="22"/>
          <w:lang w:val="sl-SI"/>
        </w:rPr>
        <w:t>4.9.</w:t>
      </w:r>
    </w:p>
    <w:p w14:paraId="3361F52F" w14:textId="77777777" w:rsidR="000F1DCB" w:rsidRPr="00AA3DF0" w:rsidRDefault="000F1DCB" w:rsidP="00C92108">
      <w:pPr>
        <w:pStyle w:val="Header"/>
        <w:rPr>
          <w:szCs w:val="22"/>
          <w:lang w:val="sl-SI"/>
        </w:rPr>
      </w:pPr>
    </w:p>
    <w:p w14:paraId="3361F530" w14:textId="1DDC4E34" w:rsidR="000F1DCB" w:rsidRPr="00AA3DF0" w:rsidRDefault="000F1DCB" w:rsidP="00C92108">
      <w:pPr>
        <w:pStyle w:val="Header"/>
        <w:rPr>
          <w:szCs w:val="22"/>
          <w:lang w:val="sl-SI"/>
        </w:rPr>
      </w:pPr>
      <w:r w:rsidRPr="00AA3DF0">
        <w:rPr>
          <w:szCs w:val="22"/>
          <w:lang w:val="sl-SI"/>
        </w:rPr>
        <w:t>Neočekivano krvarenje kod davanja terapijskih doza treba uv</w:t>
      </w:r>
      <w:r w:rsidR="00E30DA3" w:rsidRPr="00AA3DF0">
        <w:rPr>
          <w:szCs w:val="22"/>
          <w:lang w:val="sl-SI"/>
        </w:rPr>
        <w:t>ij</w:t>
      </w:r>
      <w:r w:rsidRPr="00AA3DF0">
        <w:rPr>
          <w:szCs w:val="22"/>
          <w:lang w:val="sl-SI"/>
        </w:rPr>
        <w:t>ek ispitati i pratiti vr</w:t>
      </w:r>
      <w:r w:rsidR="00E30DA3" w:rsidRPr="00AA3DF0">
        <w:rPr>
          <w:szCs w:val="22"/>
          <w:lang w:val="sl-SI"/>
        </w:rPr>
        <w:t>ij</w:t>
      </w:r>
      <w:r w:rsidRPr="00AA3DF0">
        <w:rPr>
          <w:szCs w:val="22"/>
          <w:lang w:val="sl-SI"/>
        </w:rPr>
        <w:t>ednosti INR.</w:t>
      </w:r>
    </w:p>
    <w:p w14:paraId="3361F531" w14:textId="77777777" w:rsidR="000F1DCB" w:rsidRPr="00AA3DF0" w:rsidRDefault="000F1DCB" w:rsidP="00C92108">
      <w:pPr>
        <w:pStyle w:val="Header"/>
        <w:tabs>
          <w:tab w:val="clear" w:pos="4536"/>
          <w:tab w:val="clear" w:pos="9072"/>
          <w:tab w:val="left" w:pos="284"/>
        </w:tabs>
        <w:rPr>
          <w:color w:val="FF0000"/>
          <w:szCs w:val="22"/>
          <w:lang w:val="sl-SI"/>
        </w:rPr>
      </w:pPr>
    </w:p>
    <w:p w14:paraId="3361F532" w14:textId="77777777" w:rsidR="000F1DCB" w:rsidRPr="00AA3DF0" w:rsidRDefault="000F1DCB" w:rsidP="00C92108">
      <w:pPr>
        <w:pStyle w:val="Header"/>
        <w:rPr>
          <w:szCs w:val="22"/>
          <w:u w:val="single"/>
          <w:lang w:val="sl-SI"/>
        </w:rPr>
      </w:pPr>
      <w:r w:rsidRPr="00AA3DF0">
        <w:rPr>
          <w:szCs w:val="22"/>
          <w:u w:val="single"/>
          <w:lang w:val="sl-SI"/>
        </w:rPr>
        <w:t>Ishemijski moždani udar</w:t>
      </w:r>
    </w:p>
    <w:p w14:paraId="3361F533" w14:textId="77777777" w:rsidR="000F1DCB" w:rsidRPr="00AA3DF0" w:rsidRDefault="000F1DCB" w:rsidP="00C92108">
      <w:pPr>
        <w:pStyle w:val="Header"/>
        <w:rPr>
          <w:szCs w:val="22"/>
          <w:lang w:val="sl-SI"/>
        </w:rPr>
      </w:pPr>
    </w:p>
    <w:p w14:paraId="3361F534" w14:textId="1E88ABC0" w:rsidR="000F1DCB" w:rsidRPr="00AA3DF0" w:rsidRDefault="000F1DCB" w:rsidP="00C92108">
      <w:pPr>
        <w:pStyle w:val="Header"/>
        <w:rPr>
          <w:szCs w:val="22"/>
          <w:lang w:val="sl-SI"/>
        </w:rPr>
      </w:pPr>
      <w:r w:rsidRPr="00AA3DF0">
        <w:rPr>
          <w:szCs w:val="22"/>
          <w:lang w:val="sl-SI"/>
        </w:rPr>
        <w:t>Antikoagulaciona terapija nakon ishemijskog moždanog udara povećava rizik od sekundarnog krvarenja u d</w:t>
      </w:r>
      <w:r w:rsidR="00E30DA3" w:rsidRPr="00AA3DF0">
        <w:rPr>
          <w:szCs w:val="22"/>
          <w:lang w:val="sl-SI"/>
        </w:rPr>
        <w:t>ij</w:t>
      </w:r>
      <w:r w:rsidRPr="00AA3DF0">
        <w:rPr>
          <w:szCs w:val="22"/>
          <w:lang w:val="sl-SI"/>
        </w:rPr>
        <w:t>elu mozga koji je zahvaćen infarktom. Kod pacijenata sa atrijalnom fibrilacijom, dugotrajno l</w:t>
      </w:r>
      <w:r w:rsidR="007532FD" w:rsidRPr="00AA3DF0">
        <w:rPr>
          <w:szCs w:val="22"/>
          <w:lang w:val="sl-SI"/>
        </w:rPr>
        <w:t>ij</w:t>
      </w:r>
      <w:r w:rsidRPr="00AA3DF0">
        <w:rPr>
          <w:szCs w:val="22"/>
          <w:lang w:val="sl-SI"/>
        </w:rPr>
        <w:t>ečenje varfarinom je korisno, ali postoji mali rizik od rane rekurentne embolije i stoga je opravdan prekid u l</w:t>
      </w:r>
      <w:r w:rsidR="007532FD" w:rsidRPr="00AA3DF0">
        <w:rPr>
          <w:szCs w:val="22"/>
          <w:lang w:val="sl-SI"/>
        </w:rPr>
        <w:t>ij</w:t>
      </w:r>
      <w:r w:rsidRPr="00AA3DF0">
        <w:rPr>
          <w:szCs w:val="22"/>
          <w:lang w:val="sl-SI"/>
        </w:rPr>
        <w:t>ečenju nakon ishemijskog moždanog udara. L</w:t>
      </w:r>
      <w:r w:rsidR="007532FD" w:rsidRPr="00AA3DF0">
        <w:rPr>
          <w:szCs w:val="22"/>
          <w:lang w:val="sl-SI"/>
        </w:rPr>
        <w:t>ij</w:t>
      </w:r>
      <w:r w:rsidRPr="00AA3DF0">
        <w:rPr>
          <w:szCs w:val="22"/>
          <w:lang w:val="sl-SI"/>
        </w:rPr>
        <w:t>ečenje varfarinom treba ponovo započeti 2-14 dana nakon ishemijskog moždanog udara, u zavisnosti od veličine infarktne zone i od krvnog pritiska. Kod pacijenata sa velikim embolijskim udarom ili kod onih sa nekontrolisanom hipertenzijom, l</w:t>
      </w:r>
      <w:r w:rsidR="007532FD" w:rsidRPr="00AA3DF0">
        <w:rPr>
          <w:szCs w:val="22"/>
          <w:lang w:val="sl-SI"/>
        </w:rPr>
        <w:t>ij</w:t>
      </w:r>
      <w:r w:rsidRPr="00AA3DF0">
        <w:rPr>
          <w:szCs w:val="22"/>
          <w:lang w:val="sl-SI"/>
        </w:rPr>
        <w:t>ečenje varfarinom treba prekinuti tokom 14 dana.</w:t>
      </w:r>
    </w:p>
    <w:p w14:paraId="3361F535" w14:textId="77777777" w:rsidR="000F1DCB" w:rsidRPr="00AA3DF0" w:rsidRDefault="000F1DCB" w:rsidP="00C92108">
      <w:pPr>
        <w:pStyle w:val="Header"/>
        <w:tabs>
          <w:tab w:val="clear" w:pos="4536"/>
          <w:tab w:val="clear" w:pos="9072"/>
          <w:tab w:val="left" w:pos="284"/>
        </w:tabs>
        <w:rPr>
          <w:szCs w:val="22"/>
          <w:lang w:val="sl-SI"/>
        </w:rPr>
      </w:pPr>
    </w:p>
    <w:p w14:paraId="3361F536" w14:textId="77777777" w:rsidR="000F1DCB" w:rsidRPr="00AA3DF0" w:rsidRDefault="000F1DCB" w:rsidP="00BD2EA8">
      <w:pPr>
        <w:pStyle w:val="Header"/>
        <w:rPr>
          <w:szCs w:val="22"/>
          <w:u w:val="single"/>
          <w:lang w:val="sl-SI"/>
        </w:rPr>
      </w:pPr>
      <w:r w:rsidRPr="00AA3DF0">
        <w:rPr>
          <w:szCs w:val="22"/>
          <w:u w:val="single"/>
          <w:lang w:val="sl-SI"/>
        </w:rPr>
        <w:t>Kalcifilaksa</w:t>
      </w:r>
    </w:p>
    <w:p w14:paraId="3361F537" w14:textId="77777777" w:rsidR="000F1DCB" w:rsidRPr="00AA3DF0" w:rsidRDefault="000F1DCB" w:rsidP="00BD2EA8">
      <w:pPr>
        <w:pStyle w:val="Header"/>
        <w:rPr>
          <w:szCs w:val="22"/>
          <w:u w:val="single"/>
          <w:lang w:val="sl-SI"/>
        </w:rPr>
      </w:pPr>
    </w:p>
    <w:p w14:paraId="3361F538" w14:textId="3B35E9AC" w:rsidR="000F1DCB" w:rsidRPr="00AA3DF0" w:rsidRDefault="000F1DCB" w:rsidP="00BD2EA8">
      <w:pPr>
        <w:pStyle w:val="Header"/>
        <w:rPr>
          <w:szCs w:val="22"/>
          <w:lang w:val="sr-Latn-CS"/>
        </w:rPr>
      </w:pPr>
      <w:r w:rsidRPr="00AA3DF0">
        <w:rPr>
          <w:szCs w:val="22"/>
          <w:lang w:val="sl-SI"/>
        </w:rPr>
        <w:t>Kalcifilaksa je r</w:t>
      </w:r>
      <w:r w:rsidR="007532FD" w:rsidRPr="00AA3DF0">
        <w:rPr>
          <w:szCs w:val="22"/>
          <w:lang w:val="sl-SI"/>
        </w:rPr>
        <w:t>ij</w:t>
      </w:r>
      <w:r w:rsidRPr="00AA3DF0">
        <w:rPr>
          <w:szCs w:val="22"/>
          <w:lang w:val="sl-SI"/>
        </w:rPr>
        <w:t>edak sindrom vaskularne kalcifikacije sa nekrozom kože, udružen sa visokom stopom mortaliteta. Stanje je uglavnom prim</w:t>
      </w:r>
      <w:r w:rsidR="007532FD" w:rsidRPr="00AA3DF0">
        <w:rPr>
          <w:szCs w:val="22"/>
          <w:lang w:val="sl-SI"/>
        </w:rPr>
        <w:t>ij</w:t>
      </w:r>
      <w:r w:rsidRPr="00AA3DF0">
        <w:rPr>
          <w:szCs w:val="22"/>
          <w:lang w:val="sl-SI"/>
        </w:rPr>
        <w:t>ećeno kod pacijenata u terminalnom stadijumu bubrežne bolesti na dijalizi ili kod pacijenata sa poznatim faktorima rizika kao što su nedostatak proteina C ili S, hiperfosfatemija, hiperkalcemija ili hipoalbuminemija. R</w:t>
      </w:r>
      <w:r w:rsidR="007532FD" w:rsidRPr="00AA3DF0">
        <w:rPr>
          <w:szCs w:val="22"/>
          <w:lang w:val="sl-SI"/>
        </w:rPr>
        <w:t>ij</w:t>
      </w:r>
      <w:r w:rsidRPr="00AA3DF0">
        <w:rPr>
          <w:szCs w:val="22"/>
          <w:lang w:val="sl-SI"/>
        </w:rPr>
        <w:t>etki slučajevi kalcifilakse su prijavljeni kod pacijenata koji uzimaju varfarin, takođe u odsustvu bubrežne bolesti. U slučaju dijagnoze kalcifilakse, treba započeti odgovarajuće l</w:t>
      </w:r>
      <w:r w:rsidR="007532FD" w:rsidRPr="00AA3DF0">
        <w:rPr>
          <w:szCs w:val="22"/>
          <w:lang w:val="sl-SI"/>
        </w:rPr>
        <w:t>ij</w:t>
      </w:r>
      <w:r w:rsidRPr="00AA3DF0">
        <w:rPr>
          <w:szCs w:val="22"/>
          <w:lang w:val="sl-SI"/>
        </w:rPr>
        <w:t>ečenje i razmotriti prekid terapije varfarinom.</w:t>
      </w:r>
    </w:p>
    <w:p w14:paraId="3361F539" w14:textId="77777777" w:rsidR="000F1DCB" w:rsidRPr="00AA3DF0" w:rsidRDefault="000F1DCB" w:rsidP="00C92108">
      <w:pPr>
        <w:pStyle w:val="Header"/>
        <w:tabs>
          <w:tab w:val="clear" w:pos="4536"/>
          <w:tab w:val="clear" w:pos="9072"/>
          <w:tab w:val="left" w:pos="1875"/>
        </w:tabs>
        <w:rPr>
          <w:szCs w:val="22"/>
          <w:u w:val="single"/>
          <w:lang w:val="sl-SI"/>
        </w:rPr>
      </w:pPr>
    </w:p>
    <w:p w14:paraId="3361F53A" w14:textId="77777777" w:rsidR="000F1DCB" w:rsidRPr="00AA3DF0" w:rsidRDefault="000F1DCB" w:rsidP="00C92108">
      <w:pPr>
        <w:pStyle w:val="Header"/>
        <w:tabs>
          <w:tab w:val="clear" w:pos="4536"/>
          <w:tab w:val="clear" w:pos="9072"/>
          <w:tab w:val="left" w:pos="1875"/>
        </w:tabs>
        <w:rPr>
          <w:szCs w:val="22"/>
          <w:u w:val="single"/>
          <w:lang w:val="sl-SI"/>
        </w:rPr>
      </w:pPr>
      <w:r w:rsidRPr="00AA3DF0">
        <w:rPr>
          <w:szCs w:val="22"/>
          <w:u w:val="single"/>
          <w:lang w:val="sl-SI"/>
        </w:rPr>
        <w:t>Operacije</w:t>
      </w:r>
    </w:p>
    <w:p w14:paraId="3361F53B" w14:textId="77777777" w:rsidR="000F1DCB" w:rsidRPr="00AA3DF0" w:rsidRDefault="000F1DCB" w:rsidP="00C92108">
      <w:pPr>
        <w:pStyle w:val="Header"/>
        <w:rPr>
          <w:szCs w:val="22"/>
          <w:lang w:val="sl-SI"/>
        </w:rPr>
      </w:pPr>
    </w:p>
    <w:p w14:paraId="3361F53C" w14:textId="77777777" w:rsidR="000F1DCB" w:rsidRPr="00AA3DF0" w:rsidRDefault="000F1DCB" w:rsidP="00C92108">
      <w:pPr>
        <w:pStyle w:val="Header"/>
        <w:rPr>
          <w:szCs w:val="22"/>
          <w:lang w:val="sl-SI"/>
        </w:rPr>
      </w:pPr>
      <w:r w:rsidRPr="00AA3DF0">
        <w:rPr>
          <w:szCs w:val="22"/>
          <w:lang w:val="sl-SI"/>
        </w:rPr>
        <w:t>Operativni zahvati kod kojih ne postoji rizik od teškog krvarenja, mogu se sprovesti kada je INR &lt;2,5.</w:t>
      </w:r>
    </w:p>
    <w:p w14:paraId="3361F53D" w14:textId="77777777" w:rsidR="000F1DCB" w:rsidRPr="00AA3DF0" w:rsidRDefault="000F1DCB" w:rsidP="00C92108">
      <w:pPr>
        <w:pStyle w:val="Header"/>
        <w:rPr>
          <w:szCs w:val="22"/>
          <w:lang w:val="sl-SI"/>
        </w:rPr>
      </w:pPr>
    </w:p>
    <w:p w14:paraId="3361F53E" w14:textId="7CDF0C90" w:rsidR="000F1DCB" w:rsidRPr="00AA3DF0" w:rsidRDefault="000F1DCB" w:rsidP="00C92108">
      <w:pPr>
        <w:pStyle w:val="Header"/>
        <w:rPr>
          <w:szCs w:val="22"/>
          <w:lang w:val="sl-SI"/>
        </w:rPr>
      </w:pPr>
      <w:r w:rsidRPr="00AA3DF0">
        <w:rPr>
          <w:szCs w:val="22"/>
          <w:lang w:val="sl-SI"/>
        </w:rPr>
        <w:t>Kod operacija sa rizikom od teškog krvarenja, prim</w:t>
      </w:r>
      <w:r w:rsidR="007532FD" w:rsidRPr="00AA3DF0">
        <w:rPr>
          <w:szCs w:val="22"/>
          <w:lang w:val="sl-SI"/>
        </w:rPr>
        <w:t>j</w:t>
      </w:r>
      <w:r w:rsidRPr="00AA3DF0">
        <w:rPr>
          <w:szCs w:val="22"/>
          <w:lang w:val="sl-SI"/>
        </w:rPr>
        <w:t>enu varfarina treba prekinuti 3 dana pr</w:t>
      </w:r>
      <w:r w:rsidR="007532FD" w:rsidRPr="00AA3DF0">
        <w:rPr>
          <w:szCs w:val="22"/>
          <w:lang w:val="sl-SI"/>
        </w:rPr>
        <w:t>ij</w:t>
      </w:r>
      <w:r w:rsidRPr="00AA3DF0">
        <w:rPr>
          <w:szCs w:val="22"/>
          <w:lang w:val="sl-SI"/>
        </w:rPr>
        <w:t>e operacije.</w:t>
      </w:r>
    </w:p>
    <w:p w14:paraId="3361F53F" w14:textId="77777777" w:rsidR="000F1DCB" w:rsidRPr="00AA3DF0" w:rsidRDefault="000F1DCB" w:rsidP="00C92108">
      <w:pPr>
        <w:pStyle w:val="Header"/>
        <w:rPr>
          <w:szCs w:val="22"/>
          <w:lang w:val="sl-SI"/>
        </w:rPr>
      </w:pPr>
    </w:p>
    <w:p w14:paraId="3361F540" w14:textId="74287150" w:rsidR="000F1DCB" w:rsidRPr="00AA3DF0" w:rsidRDefault="000F1DCB" w:rsidP="00C92108">
      <w:pPr>
        <w:pStyle w:val="Header"/>
        <w:rPr>
          <w:szCs w:val="22"/>
          <w:lang w:val="sl-SI"/>
        </w:rPr>
      </w:pPr>
      <w:r w:rsidRPr="00AA3DF0">
        <w:rPr>
          <w:szCs w:val="22"/>
          <w:lang w:val="sl-SI"/>
        </w:rPr>
        <w:t>Tamo gd</w:t>
      </w:r>
      <w:r w:rsidR="007532FD" w:rsidRPr="00AA3DF0">
        <w:rPr>
          <w:szCs w:val="22"/>
          <w:lang w:val="sl-SI"/>
        </w:rPr>
        <w:t>j</w:t>
      </w:r>
      <w:r w:rsidRPr="00AA3DF0">
        <w:rPr>
          <w:szCs w:val="22"/>
          <w:lang w:val="sl-SI"/>
        </w:rPr>
        <w:t>e je neophodno nastaviti sa antikoagulantnom terapijom, kao npr. kod rizika od po život opasne tromboembolije, treba smanjiti vr</w:t>
      </w:r>
      <w:r w:rsidR="007532FD" w:rsidRPr="00AA3DF0">
        <w:rPr>
          <w:szCs w:val="22"/>
          <w:lang w:val="sl-SI"/>
        </w:rPr>
        <w:t>ij</w:t>
      </w:r>
      <w:r w:rsidRPr="00AA3DF0">
        <w:rPr>
          <w:szCs w:val="22"/>
          <w:lang w:val="sl-SI"/>
        </w:rPr>
        <w:t>ednost INR na &lt;2,5 i treba započeti prim</w:t>
      </w:r>
      <w:r w:rsidR="007532FD" w:rsidRPr="00AA3DF0">
        <w:rPr>
          <w:szCs w:val="22"/>
          <w:lang w:val="sl-SI"/>
        </w:rPr>
        <w:t>j</w:t>
      </w:r>
      <w:r w:rsidRPr="00AA3DF0">
        <w:rPr>
          <w:szCs w:val="22"/>
          <w:lang w:val="sl-SI"/>
        </w:rPr>
        <w:t>enu heparina.</w:t>
      </w:r>
    </w:p>
    <w:p w14:paraId="3361F541" w14:textId="77777777" w:rsidR="000F1DCB" w:rsidRPr="00AA3DF0" w:rsidRDefault="000F1DCB" w:rsidP="00C92108">
      <w:pPr>
        <w:pStyle w:val="Header"/>
        <w:rPr>
          <w:szCs w:val="22"/>
          <w:lang w:val="sl-SI"/>
        </w:rPr>
      </w:pPr>
    </w:p>
    <w:p w14:paraId="3361F542" w14:textId="4D4F63EC" w:rsidR="000F1DCB" w:rsidRPr="00AA3DF0" w:rsidRDefault="000F1DCB" w:rsidP="00C92108">
      <w:pPr>
        <w:pStyle w:val="Header"/>
        <w:rPr>
          <w:szCs w:val="22"/>
          <w:lang w:val="sl-SI"/>
        </w:rPr>
      </w:pPr>
      <w:r w:rsidRPr="00AA3DF0">
        <w:rPr>
          <w:szCs w:val="22"/>
          <w:lang w:val="sl-SI"/>
        </w:rPr>
        <w:t>Ukoliko je operacija neophodna a l</w:t>
      </w:r>
      <w:r w:rsidR="007532FD" w:rsidRPr="00AA3DF0">
        <w:rPr>
          <w:szCs w:val="22"/>
          <w:lang w:val="sl-SI"/>
        </w:rPr>
        <w:t>ij</w:t>
      </w:r>
      <w:r w:rsidRPr="00AA3DF0">
        <w:rPr>
          <w:szCs w:val="22"/>
          <w:lang w:val="sl-SI"/>
        </w:rPr>
        <w:t>ečenje varfarinom se ne može prekinuti 3 dana pr</w:t>
      </w:r>
      <w:r w:rsidR="007532FD" w:rsidRPr="00AA3DF0">
        <w:rPr>
          <w:szCs w:val="22"/>
          <w:lang w:val="sl-SI"/>
        </w:rPr>
        <w:t>ij</w:t>
      </w:r>
      <w:r w:rsidRPr="00AA3DF0">
        <w:rPr>
          <w:szCs w:val="22"/>
          <w:lang w:val="sl-SI"/>
        </w:rPr>
        <w:t>e nje, antikoagulantno dejstvo se može preokrenuti niskim dozama vitamina K.</w:t>
      </w:r>
    </w:p>
    <w:p w14:paraId="3361F543" w14:textId="77777777" w:rsidR="000F1DCB" w:rsidRPr="00AA3DF0" w:rsidRDefault="000F1DCB" w:rsidP="00C92108">
      <w:pPr>
        <w:pStyle w:val="Header"/>
        <w:rPr>
          <w:szCs w:val="22"/>
          <w:lang w:val="sl-SI"/>
        </w:rPr>
      </w:pPr>
    </w:p>
    <w:p w14:paraId="3361F544" w14:textId="75C5BA13" w:rsidR="000F1DCB" w:rsidRPr="00AA3DF0" w:rsidRDefault="000F1DCB" w:rsidP="00C92108">
      <w:pPr>
        <w:pStyle w:val="Header"/>
        <w:rPr>
          <w:szCs w:val="22"/>
          <w:lang w:val="sl-SI"/>
        </w:rPr>
      </w:pPr>
      <w:r w:rsidRPr="00AA3DF0">
        <w:rPr>
          <w:szCs w:val="22"/>
          <w:lang w:val="sl-SI"/>
        </w:rPr>
        <w:t>Vr</w:t>
      </w:r>
      <w:r w:rsidR="007532FD" w:rsidRPr="00AA3DF0">
        <w:rPr>
          <w:szCs w:val="22"/>
          <w:lang w:val="sl-SI"/>
        </w:rPr>
        <w:t>ij</w:t>
      </w:r>
      <w:r w:rsidRPr="00AA3DF0">
        <w:rPr>
          <w:szCs w:val="22"/>
          <w:lang w:val="sl-SI"/>
        </w:rPr>
        <w:t>eme ponovne prim</w:t>
      </w:r>
      <w:r w:rsidR="007532FD" w:rsidRPr="00AA3DF0">
        <w:rPr>
          <w:szCs w:val="22"/>
          <w:lang w:val="sl-SI"/>
        </w:rPr>
        <w:t>j</w:t>
      </w:r>
      <w:r w:rsidRPr="00AA3DF0">
        <w:rPr>
          <w:szCs w:val="22"/>
          <w:lang w:val="sl-SI"/>
        </w:rPr>
        <w:t>ene varfarina nakon operacije zavisi od rizika od postoperativnog krvarenja. U najvećem broju slučajeva, l</w:t>
      </w:r>
      <w:r w:rsidR="007532FD" w:rsidRPr="00AA3DF0">
        <w:rPr>
          <w:szCs w:val="22"/>
          <w:lang w:val="sl-SI"/>
        </w:rPr>
        <w:t>ij</w:t>
      </w:r>
      <w:r w:rsidRPr="00AA3DF0">
        <w:rPr>
          <w:szCs w:val="22"/>
          <w:lang w:val="sl-SI"/>
        </w:rPr>
        <w:t>ečenje varfarinom se može ponovo započeti onda kada je pacijent sposoban za oralnu prim</w:t>
      </w:r>
      <w:r w:rsidR="007532FD" w:rsidRPr="00AA3DF0">
        <w:rPr>
          <w:szCs w:val="22"/>
          <w:lang w:val="sl-SI"/>
        </w:rPr>
        <w:t>j</w:t>
      </w:r>
      <w:r w:rsidRPr="00AA3DF0">
        <w:rPr>
          <w:szCs w:val="22"/>
          <w:lang w:val="sl-SI"/>
        </w:rPr>
        <w:t>enu l</w:t>
      </w:r>
      <w:r w:rsidR="007532FD" w:rsidRPr="00AA3DF0">
        <w:rPr>
          <w:szCs w:val="22"/>
          <w:lang w:val="sl-SI"/>
        </w:rPr>
        <w:t>ij</w:t>
      </w:r>
      <w:r w:rsidRPr="00AA3DF0">
        <w:rPr>
          <w:szCs w:val="22"/>
          <w:lang w:val="sl-SI"/>
        </w:rPr>
        <w:t>eka.</w:t>
      </w:r>
    </w:p>
    <w:p w14:paraId="3361F545" w14:textId="77777777" w:rsidR="000F1DCB" w:rsidRPr="00AA3DF0" w:rsidRDefault="000F1DCB" w:rsidP="00C92108">
      <w:pPr>
        <w:pStyle w:val="Header"/>
        <w:rPr>
          <w:szCs w:val="22"/>
          <w:u w:val="single"/>
          <w:lang w:val="sl-SI"/>
        </w:rPr>
      </w:pPr>
    </w:p>
    <w:p w14:paraId="3361F546" w14:textId="77777777" w:rsidR="000F1DCB" w:rsidRPr="00AA3DF0" w:rsidRDefault="000F1DCB" w:rsidP="00C92108">
      <w:pPr>
        <w:pStyle w:val="Header"/>
        <w:rPr>
          <w:szCs w:val="22"/>
          <w:u w:val="single"/>
          <w:lang w:val="sl-SI"/>
        </w:rPr>
      </w:pPr>
      <w:r w:rsidRPr="00AA3DF0">
        <w:rPr>
          <w:szCs w:val="22"/>
          <w:u w:val="single"/>
          <w:lang w:val="sl-SI"/>
        </w:rPr>
        <w:t>Oralna hirurgija</w:t>
      </w:r>
    </w:p>
    <w:p w14:paraId="3361F547" w14:textId="77777777" w:rsidR="000F1DCB" w:rsidRPr="00AA3DF0" w:rsidRDefault="000F1DCB" w:rsidP="00C92108">
      <w:pPr>
        <w:pStyle w:val="Header"/>
        <w:rPr>
          <w:szCs w:val="22"/>
          <w:lang w:val="sl-SI"/>
        </w:rPr>
      </w:pPr>
    </w:p>
    <w:p w14:paraId="3361F548" w14:textId="41DFA28F" w:rsidR="000F1DCB" w:rsidRPr="00AA3DF0" w:rsidRDefault="000F1DCB" w:rsidP="00C92108">
      <w:pPr>
        <w:pStyle w:val="Header"/>
        <w:rPr>
          <w:szCs w:val="22"/>
          <w:lang w:val="sl-SI"/>
        </w:rPr>
      </w:pPr>
      <w:r w:rsidRPr="00AA3DF0">
        <w:rPr>
          <w:szCs w:val="22"/>
          <w:lang w:val="sl-SI"/>
        </w:rPr>
        <w:t>Prim</w:t>
      </w:r>
      <w:r w:rsidR="007532FD" w:rsidRPr="00AA3DF0">
        <w:rPr>
          <w:szCs w:val="22"/>
          <w:lang w:val="sl-SI"/>
        </w:rPr>
        <w:t>j</w:t>
      </w:r>
      <w:r w:rsidRPr="00AA3DF0">
        <w:rPr>
          <w:szCs w:val="22"/>
          <w:lang w:val="sl-SI"/>
        </w:rPr>
        <w:t>enu varfarina ne treba prekinuti pr</w:t>
      </w:r>
      <w:r w:rsidR="007532FD" w:rsidRPr="00AA3DF0">
        <w:rPr>
          <w:szCs w:val="22"/>
          <w:lang w:val="sl-SI"/>
        </w:rPr>
        <w:t>ij</w:t>
      </w:r>
      <w:r w:rsidRPr="00AA3DF0">
        <w:rPr>
          <w:szCs w:val="22"/>
          <w:lang w:val="sl-SI"/>
        </w:rPr>
        <w:t>e rutinske oralne hirurgije, npr. vađenja zuba.</w:t>
      </w:r>
    </w:p>
    <w:p w14:paraId="3361F549" w14:textId="5DB725F2" w:rsidR="000F1DCB" w:rsidRPr="00AA3DF0" w:rsidRDefault="000F1DCB" w:rsidP="00C92108">
      <w:pPr>
        <w:pStyle w:val="Header"/>
        <w:rPr>
          <w:szCs w:val="22"/>
          <w:u w:val="single"/>
          <w:lang w:val="sl-SI"/>
        </w:rPr>
      </w:pPr>
      <w:r w:rsidRPr="00AA3DF0">
        <w:rPr>
          <w:szCs w:val="22"/>
          <w:u w:val="single"/>
          <w:lang w:val="sl-SI"/>
        </w:rPr>
        <w:lastRenderedPageBreak/>
        <w:t>Aktivni peptički ulkus</w:t>
      </w:r>
    </w:p>
    <w:p w14:paraId="3361F54A" w14:textId="77777777" w:rsidR="000F1DCB" w:rsidRPr="00AA3DF0" w:rsidRDefault="000F1DCB" w:rsidP="00C92108">
      <w:pPr>
        <w:pStyle w:val="Header"/>
        <w:rPr>
          <w:szCs w:val="22"/>
          <w:lang w:val="sl-SI"/>
        </w:rPr>
      </w:pPr>
    </w:p>
    <w:p w14:paraId="3361F54B" w14:textId="3CF269DA" w:rsidR="000F1DCB" w:rsidRPr="00AA3DF0" w:rsidRDefault="000F1DCB" w:rsidP="00C92108">
      <w:pPr>
        <w:pStyle w:val="Header"/>
        <w:rPr>
          <w:szCs w:val="22"/>
          <w:lang w:val="sl-SI"/>
        </w:rPr>
      </w:pPr>
      <w:r w:rsidRPr="00AA3DF0">
        <w:rPr>
          <w:szCs w:val="22"/>
          <w:lang w:val="sl-SI"/>
        </w:rPr>
        <w:t>Zbog visokog rizika od krvarenja, pacijente sa aktivnim peptičkim ulkusom treba l</w:t>
      </w:r>
      <w:r w:rsidR="007532FD" w:rsidRPr="00AA3DF0">
        <w:rPr>
          <w:szCs w:val="22"/>
          <w:lang w:val="sl-SI"/>
        </w:rPr>
        <w:t>ij</w:t>
      </w:r>
      <w:r w:rsidRPr="00AA3DF0">
        <w:rPr>
          <w:szCs w:val="22"/>
          <w:lang w:val="sl-SI"/>
        </w:rPr>
        <w:t>ečiti sa oprezom. Ove pacijente treba redovno pregledati i informisati o tome kako da prepoznaju krvarenje i šta da čine u slučaju da se to desi.</w:t>
      </w:r>
    </w:p>
    <w:p w14:paraId="3361F54C" w14:textId="77777777" w:rsidR="000F1DCB" w:rsidRPr="00AA3DF0" w:rsidRDefault="000F1DCB" w:rsidP="00C92108">
      <w:pPr>
        <w:pStyle w:val="Header"/>
        <w:rPr>
          <w:szCs w:val="22"/>
          <w:lang w:val="sl-SI"/>
        </w:rPr>
      </w:pPr>
    </w:p>
    <w:p w14:paraId="3361F54D" w14:textId="77777777" w:rsidR="000F1DCB" w:rsidRPr="00AA3DF0" w:rsidRDefault="000F1DCB" w:rsidP="00C92108">
      <w:pPr>
        <w:pStyle w:val="Header"/>
        <w:rPr>
          <w:szCs w:val="22"/>
          <w:u w:val="single"/>
          <w:lang w:val="sl-SI"/>
        </w:rPr>
      </w:pPr>
      <w:r w:rsidRPr="00AA3DF0">
        <w:rPr>
          <w:szCs w:val="22"/>
          <w:u w:val="single"/>
          <w:lang w:val="sl-SI"/>
        </w:rPr>
        <w:t>Interakcije</w:t>
      </w:r>
    </w:p>
    <w:p w14:paraId="3361F54E" w14:textId="77777777" w:rsidR="000F1DCB" w:rsidRPr="00AA3DF0" w:rsidRDefault="000F1DCB" w:rsidP="00C92108">
      <w:pPr>
        <w:pStyle w:val="Header"/>
        <w:rPr>
          <w:szCs w:val="22"/>
          <w:lang w:val="sl-SI"/>
        </w:rPr>
      </w:pPr>
    </w:p>
    <w:p w14:paraId="3361F54F" w14:textId="344852BE" w:rsidR="000F1DCB" w:rsidRPr="00AA3DF0" w:rsidRDefault="000F1DCB" w:rsidP="00C92108">
      <w:pPr>
        <w:pStyle w:val="Header"/>
        <w:rPr>
          <w:szCs w:val="22"/>
          <w:lang w:val="sl-SI"/>
        </w:rPr>
      </w:pPr>
      <w:r w:rsidRPr="00AA3DF0">
        <w:rPr>
          <w:szCs w:val="22"/>
          <w:lang w:val="sl-SI"/>
        </w:rPr>
        <w:t>Mnogi l</w:t>
      </w:r>
      <w:r w:rsidR="007532FD" w:rsidRPr="00AA3DF0">
        <w:rPr>
          <w:szCs w:val="22"/>
          <w:lang w:val="sl-SI"/>
        </w:rPr>
        <w:t>j</w:t>
      </w:r>
      <w:r w:rsidRPr="00AA3DF0">
        <w:rPr>
          <w:szCs w:val="22"/>
          <w:lang w:val="sl-SI"/>
        </w:rPr>
        <w:t>ekovi i sastojci hrane reaguju sa varfarinom i utiču na protrombinsko vr</w:t>
      </w:r>
      <w:r w:rsidR="007532FD" w:rsidRPr="00AA3DF0">
        <w:rPr>
          <w:szCs w:val="22"/>
          <w:lang w:val="sl-SI"/>
        </w:rPr>
        <w:t>ij</w:t>
      </w:r>
      <w:r w:rsidRPr="00AA3DF0">
        <w:rPr>
          <w:szCs w:val="22"/>
          <w:lang w:val="sl-SI"/>
        </w:rPr>
        <w:t>eme (vid</w:t>
      </w:r>
      <w:r w:rsidR="007532FD" w:rsidRPr="00AA3DF0">
        <w:rPr>
          <w:szCs w:val="22"/>
          <w:lang w:val="sl-SI"/>
        </w:rPr>
        <w:t>j</w:t>
      </w:r>
      <w:r w:rsidRPr="00AA3DF0">
        <w:rPr>
          <w:szCs w:val="22"/>
          <w:lang w:val="sl-SI"/>
        </w:rPr>
        <w:t xml:space="preserve">eti </w:t>
      </w:r>
      <w:r w:rsidR="007532FD" w:rsidRPr="00AA3DF0">
        <w:rPr>
          <w:szCs w:val="22"/>
          <w:lang w:val="sl-SI"/>
        </w:rPr>
        <w:t>dio</w:t>
      </w:r>
      <w:r w:rsidRPr="00AA3DF0">
        <w:rPr>
          <w:szCs w:val="22"/>
          <w:lang w:val="sl-SI"/>
        </w:rPr>
        <w:t xml:space="preserve"> 4.5). Svaka prom</w:t>
      </w:r>
      <w:r w:rsidR="007532FD" w:rsidRPr="00AA3DF0">
        <w:rPr>
          <w:szCs w:val="22"/>
          <w:lang w:val="sl-SI"/>
        </w:rPr>
        <w:t>j</w:t>
      </w:r>
      <w:r w:rsidRPr="00AA3DF0">
        <w:rPr>
          <w:szCs w:val="22"/>
          <w:lang w:val="sl-SI"/>
        </w:rPr>
        <w:t>ena u terapiji, uključujući l</w:t>
      </w:r>
      <w:r w:rsidR="007532FD" w:rsidRPr="00AA3DF0">
        <w:rPr>
          <w:szCs w:val="22"/>
          <w:lang w:val="sl-SI"/>
        </w:rPr>
        <w:t>j</w:t>
      </w:r>
      <w:r w:rsidRPr="00AA3DF0">
        <w:rPr>
          <w:szCs w:val="22"/>
          <w:lang w:val="sl-SI"/>
        </w:rPr>
        <w:t xml:space="preserve">ekove </w:t>
      </w:r>
      <w:r w:rsidR="00B35F77" w:rsidRPr="00AA3DF0">
        <w:rPr>
          <w:szCs w:val="22"/>
          <w:lang w:val="sl-SI"/>
        </w:rPr>
        <w:t xml:space="preserve">bez recepta </w:t>
      </w:r>
      <w:r w:rsidRPr="00AA3DF0">
        <w:rPr>
          <w:szCs w:val="22"/>
          <w:lang w:val="sl-SI"/>
        </w:rPr>
        <w:t xml:space="preserve">koje pacijent sam uzima, opravdava pojačano kontrolisanje INR. Pacijente treba </w:t>
      </w:r>
      <w:r w:rsidR="0027356D" w:rsidRPr="00AA3DF0">
        <w:rPr>
          <w:szCs w:val="22"/>
          <w:lang w:val="sl-SI"/>
        </w:rPr>
        <w:t>sav</w:t>
      </w:r>
      <w:r w:rsidR="007532FD" w:rsidRPr="00AA3DF0">
        <w:rPr>
          <w:szCs w:val="22"/>
          <w:lang w:val="sl-SI"/>
        </w:rPr>
        <w:t>j</w:t>
      </w:r>
      <w:r w:rsidR="0027356D" w:rsidRPr="00AA3DF0">
        <w:rPr>
          <w:szCs w:val="22"/>
          <w:lang w:val="sl-SI"/>
        </w:rPr>
        <w:t>etovati</w:t>
      </w:r>
      <w:r w:rsidRPr="00AA3DF0">
        <w:rPr>
          <w:szCs w:val="22"/>
          <w:lang w:val="sl-SI"/>
        </w:rPr>
        <w:t xml:space="preserve"> da pr</w:t>
      </w:r>
      <w:r w:rsidR="007532FD" w:rsidRPr="00AA3DF0">
        <w:rPr>
          <w:szCs w:val="22"/>
          <w:lang w:val="sl-SI"/>
        </w:rPr>
        <w:t>ij</w:t>
      </w:r>
      <w:r w:rsidRPr="00AA3DF0">
        <w:rPr>
          <w:szCs w:val="22"/>
          <w:lang w:val="sl-SI"/>
        </w:rPr>
        <w:t>e započinjanja uzimanja bilo kog drugog l</w:t>
      </w:r>
      <w:r w:rsidR="007532FD" w:rsidRPr="00AA3DF0">
        <w:rPr>
          <w:szCs w:val="22"/>
          <w:lang w:val="sl-SI"/>
        </w:rPr>
        <w:t>ij</w:t>
      </w:r>
      <w:r w:rsidRPr="00AA3DF0">
        <w:rPr>
          <w:szCs w:val="22"/>
          <w:lang w:val="sl-SI"/>
        </w:rPr>
        <w:t>eka (uključujući i one koji se nabavljaju bez l</w:t>
      </w:r>
      <w:r w:rsidR="007532FD" w:rsidRPr="00AA3DF0">
        <w:rPr>
          <w:szCs w:val="22"/>
          <w:lang w:val="sl-SI"/>
        </w:rPr>
        <w:t>j</w:t>
      </w:r>
      <w:r w:rsidRPr="00AA3DF0">
        <w:rPr>
          <w:szCs w:val="22"/>
          <w:lang w:val="sl-SI"/>
        </w:rPr>
        <w:t>ekarskog recepta, biljne l</w:t>
      </w:r>
      <w:r w:rsidR="007532FD" w:rsidRPr="00AA3DF0">
        <w:rPr>
          <w:szCs w:val="22"/>
          <w:lang w:val="sl-SI"/>
        </w:rPr>
        <w:t>j</w:t>
      </w:r>
      <w:r w:rsidRPr="00AA3DF0">
        <w:rPr>
          <w:szCs w:val="22"/>
          <w:lang w:val="sl-SI"/>
        </w:rPr>
        <w:t>ekove i vitaminske preparate) o tome obav</w:t>
      </w:r>
      <w:r w:rsidR="007532FD" w:rsidRPr="00AA3DF0">
        <w:rPr>
          <w:szCs w:val="22"/>
          <w:lang w:val="sl-SI"/>
        </w:rPr>
        <w:t>ij</w:t>
      </w:r>
      <w:r w:rsidRPr="00AA3DF0">
        <w:rPr>
          <w:szCs w:val="22"/>
          <w:lang w:val="sl-SI"/>
        </w:rPr>
        <w:t>este svog l</w:t>
      </w:r>
      <w:r w:rsidR="007532FD" w:rsidRPr="00AA3DF0">
        <w:rPr>
          <w:szCs w:val="22"/>
          <w:lang w:val="sl-SI"/>
        </w:rPr>
        <w:t>j</w:t>
      </w:r>
      <w:r w:rsidRPr="00AA3DF0">
        <w:rPr>
          <w:szCs w:val="22"/>
          <w:lang w:val="sl-SI"/>
        </w:rPr>
        <w:t>ekara.</w:t>
      </w:r>
    </w:p>
    <w:p w14:paraId="3361F550" w14:textId="77777777" w:rsidR="000F1DCB" w:rsidRPr="00AA3DF0" w:rsidRDefault="000F1DCB" w:rsidP="00C92108">
      <w:pPr>
        <w:pStyle w:val="Header"/>
        <w:tabs>
          <w:tab w:val="clear" w:pos="4536"/>
          <w:tab w:val="clear" w:pos="9072"/>
          <w:tab w:val="left" w:pos="284"/>
        </w:tabs>
        <w:rPr>
          <w:szCs w:val="22"/>
          <w:lang w:val="sl-SI"/>
        </w:rPr>
      </w:pPr>
    </w:p>
    <w:p w14:paraId="3361F551" w14:textId="3BCF7ED2" w:rsidR="000F1DCB" w:rsidRPr="00AA3DF0" w:rsidRDefault="000F1DCB" w:rsidP="00C92108">
      <w:pPr>
        <w:pStyle w:val="Header"/>
        <w:rPr>
          <w:szCs w:val="22"/>
          <w:u w:val="single"/>
          <w:lang w:val="sl-SI"/>
        </w:rPr>
      </w:pPr>
      <w:r w:rsidRPr="00AA3DF0">
        <w:rPr>
          <w:szCs w:val="22"/>
          <w:u w:val="single"/>
          <w:lang w:val="sl-SI"/>
        </w:rPr>
        <w:t>Poremećaji tireoidne</w:t>
      </w:r>
      <w:r w:rsidRPr="00AA3DF0" w:rsidDel="009F5324">
        <w:rPr>
          <w:szCs w:val="22"/>
          <w:u w:val="single"/>
          <w:lang w:val="sl-SI"/>
        </w:rPr>
        <w:t xml:space="preserve"> </w:t>
      </w:r>
      <w:r w:rsidRPr="00AA3DF0">
        <w:rPr>
          <w:szCs w:val="22"/>
          <w:u w:val="single"/>
          <w:lang w:val="sl-SI"/>
        </w:rPr>
        <w:t>žl</w:t>
      </w:r>
      <w:r w:rsidR="007532FD" w:rsidRPr="00AA3DF0">
        <w:rPr>
          <w:szCs w:val="22"/>
          <w:u w:val="single"/>
          <w:lang w:val="sl-SI"/>
        </w:rPr>
        <w:t>ij</w:t>
      </w:r>
      <w:r w:rsidRPr="00AA3DF0">
        <w:rPr>
          <w:szCs w:val="22"/>
          <w:u w:val="single"/>
          <w:lang w:val="sl-SI"/>
        </w:rPr>
        <w:t>ezde</w:t>
      </w:r>
    </w:p>
    <w:p w14:paraId="3361F552" w14:textId="77777777" w:rsidR="000F1DCB" w:rsidRPr="00AA3DF0" w:rsidRDefault="000F1DCB" w:rsidP="00C92108">
      <w:pPr>
        <w:pStyle w:val="Header"/>
        <w:rPr>
          <w:szCs w:val="22"/>
          <w:lang w:val="sl-SI"/>
        </w:rPr>
      </w:pPr>
    </w:p>
    <w:p w14:paraId="3361F553" w14:textId="0A824442" w:rsidR="000F1DCB" w:rsidRPr="00AA3DF0" w:rsidRDefault="000F1DCB" w:rsidP="00C92108">
      <w:pPr>
        <w:pStyle w:val="Header"/>
        <w:rPr>
          <w:szCs w:val="22"/>
          <w:lang w:val="sl-SI"/>
        </w:rPr>
      </w:pPr>
      <w:r w:rsidRPr="00AA3DF0">
        <w:rPr>
          <w:szCs w:val="22"/>
          <w:lang w:val="sl-SI"/>
        </w:rPr>
        <w:t>Brzina metabolizma varfarina zavisi od stanja tireoidne žl</w:t>
      </w:r>
      <w:r w:rsidR="007532FD" w:rsidRPr="00AA3DF0">
        <w:rPr>
          <w:szCs w:val="22"/>
          <w:lang w:val="sl-SI"/>
        </w:rPr>
        <w:t>ij</w:t>
      </w:r>
      <w:r w:rsidRPr="00AA3DF0">
        <w:rPr>
          <w:szCs w:val="22"/>
          <w:lang w:val="sl-SI"/>
        </w:rPr>
        <w:t>ezde. Zbog toga pacijente sa hiper- ili hipotireoidizmom treba pažljivo pratiti kod započinjanja terapije varfarinom.</w:t>
      </w:r>
    </w:p>
    <w:p w14:paraId="3361F554" w14:textId="77777777" w:rsidR="000F1DCB" w:rsidRPr="00AA3DF0" w:rsidRDefault="000F1DCB" w:rsidP="00C92108">
      <w:pPr>
        <w:pStyle w:val="Header"/>
        <w:rPr>
          <w:szCs w:val="22"/>
          <w:u w:val="single"/>
          <w:lang w:val="sl-SI"/>
        </w:rPr>
      </w:pPr>
    </w:p>
    <w:p w14:paraId="3361F555" w14:textId="4281410A" w:rsidR="000F1DCB" w:rsidRPr="00AA3DF0" w:rsidRDefault="000F1DCB" w:rsidP="00C92108">
      <w:pPr>
        <w:pStyle w:val="Header"/>
        <w:rPr>
          <w:szCs w:val="22"/>
          <w:u w:val="single"/>
          <w:lang w:val="sl-SI"/>
        </w:rPr>
      </w:pPr>
      <w:r w:rsidRPr="00AA3DF0">
        <w:rPr>
          <w:szCs w:val="22"/>
          <w:u w:val="single"/>
          <w:lang w:val="sl-SI"/>
        </w:rPr>
        <w:t>Dodatne okolnosti kada su možda potrebne prom</w:t>
      </w:r>
      <w:r w:rsidR="007532FD" w:rsidRPr="00AA3DF0">
        <w:rPr>
          <w:szCs w:val="22"/>
          <w:u w:val="single"/>
          <w:lang w:val="sl-SI"/>
        </w:rPr>
        <w:t>j</w:t>
      </w:r>
      <w:r w:rsidRPr="00AA3DF0">
        <w:rPr>
          <w:szCs w:val="22"/>
          <w:u w:val="single"/>
          <w:lang w:val="sl-SI"/>
        </w:rPr>
        <w:t>ene u doziranju</w:t>
      </w:r>
    </w:p>
    <w:p w14:paraId="3361F556" w14:textId="77777777" w:rsidR="000F1DCB" w:rsidRPr="00AA3DF0" w:rsidRDefault="000F1DCB" w:rsidP="00C92108">
      <w:pPr>
        <w:pStyle w:val="Header"/>
        <w:tabs>
          <w:tab w:val="clear" w:pos="4536"/>
          <w:tab w:val="clear" w:pos="9072"/>
          <w:tab w:val="left" w:pos="284"/>
        </w:tabs>
        <w:rPr>
          <w:szCs w:val="22"/>
          <w:lang w:val="sl-SI"/>
        </w:rPr>
      </w:pPr>
    </w:p>
    <w:p w14:paraId="3361F557" w14:textId="73A8E4C9" w:rsidR="000F1DCB" w:rsidRPr="00AA3DF0" w:rsidRDefault="000F1DCB" w:rsidP="00C92108">
      <w:pPr>
        <w:pStyle w:val="Header"/>
        <w:rPr>
          <w:szCs w:val="22"/>
          <w:lang w:val="sl-SI"/>
        </w:rPr>
      </w:pPr>
      <w:r w:rsidRPr="00AA3DF0">
        <w:rPr>
          <w:szCs w:val="22"/>
          <w:lang w:val="sl-SI"/>
        </w:rPr>
        <w:t>Sl</w:t>
      </w:r>
      <w:r w:rsidR="007532FD" w:rsidRPr="00AA3DF0">
        <w:rPr>
          <w:szCs w:val="22"/>
          <w:lang w:val="sl-SI"/>
        </w:rPr>
        <w:t>j</w:t>
      </w:r>
      <w:r w:rsidRPr="00AA3DF0">
        <w:rPr>
          <w:szCs w:val="22"/>
          <w:lang w:val="sl-SI"/>
        </w:rPr>
        <w:t>edeće situacije mogu da dovedu do pojačanog dejstva varfarina i neophodnog smanjenja doze:</w:t>
      </w:r>
    </w:p>
    <w:p w14:paraId="3361F558" w14:textId="77777777" w:rsidR="000F1DCB" w:rsidRPr="00AA3DF0" w:rsidRDefault="000F1DCB" w:rsidP="00C92108">
      <w:pPr>
        <w:pStyle w:val="Header"/>
        <w:rPr>
          <w:szCs w:val="22"/>
          <w:lang w:val="sl-SI"/>
        </w:rPr>
      </w:pPr>
    </w:p>
    <w:p w14:paraId="3361F559" w14:textId="315DF027" w:rsidR="000F1DCB" w:rsidRPr="00AA3DF0" w:rsidRDefault="000F1DCB" w:rsidP="00C92108">
      <w:pPr>
        <w:pStyle w:val="Header"/>
        <w:numPr>
          <w:ilvl w:val="0"/>
          <w:numId w:val="6"/>
        </w:numPr>
        <w:rPr>
          <w:szCs w:val="22"/>
          <w:lang w:val="sl-SI"/>
        </w:rPr>
      </w:pPr>
      <w:r w:rsidRPr="00AA3DF0">
        <w:rPr>
          <w:szCs w:val="22"/>
          <w:lang w:val="sl-SI"/>
        </w:rPr>
        <w:t>Gubitak t</w:t>
      </w:r>
      <w:r w:rsidR="007532FD" w:rsidRPr="00AA3DF0">
        <w:rPr>
          <w:szCs w:val="22"/>
          <w:lang w:val="sl-SI"/>
        </w:rPr>
        <w:t>j</w:t>
      </w:r>
      <w:r w:rsidRPr="00AA3DF0">
        <w:rPr>
          <w:szCs w:val="22"/>
          <w:lang w:val="sl-SI"/>
        </w:rPr>
        <w:t>elesne mase</w:t>
      </w:r>
    </w:p>
    <w:p w14:paraId="3361F55A" w14:textId="2B101E5B" w:rsidR="000F1DCB" w:rsidRPr="00AA3DF0" w:rsidRDefault="000F1DCB" w:rsidP="00C92108">
      <w:pPr>
        <w:pStyle w:val="Header"/>
        <w:numPr>
          <w:ilvl w:val="0"/>
          <w:numId w:val="6"/>
        </w:numPr>
        <w:rPr>
          <w:szCs w:val="22"/>
          <w:lang w:val="sl-SI"/>
        </w:rPr>
      </w:pPr>
      <w:r w:rsidRPr="00AA3DF0">
        <w:rPr>
          <w:szCs w:val="22"/>
          <w:lang w:val="sl-SI"/>
        </w:rPr>
        <w:t>Akutn</w:t>
      </w:r>
      <w:r w:rsidR="001F2456" w:rsidRPr="00AA3DF0">
        <w:rPr>
          <w:szCs w:val="22"/>
          <w:lang w:val="sl-SI"/>
        </w:rPr>
        <w:t>a bolest</w:t>
      </w:r>
    </w:p>
    <w:p w14:paraId="3361F55B" w14:textId="77777777" w:rsidR="000F1DCB" w:rsidRPr="00AA3DF0" w:rsidRDefault="000F1DCB" w:rsidP="00C92108">
      <w:pPr>
        <w:pStyle w:val="Header"/>
        <w:numPr>
          <w:ilvl w:val="0"/>
          <w:numId w:val="6"/>
        </w:numPr>
        <w:rPr>
          <w:szCs w:val="22"/>
          <w:lang w:val="sl-SI"/>
        </w:rPr>
      </w:pPr>
      <w:r w:rsidRPr="00AA3DF0">
        <w:rPr>
          <w:szCs w:val="22"/>
          <w:lang w:val="sl-SI"/>
        </w:rPr>
        <w:t>Prestanak pušenja</w:t>
      </w:r>
    </w:p>
    <w:p w14:paraId="3361F55C" w14:textId="77777777" w:rsidR="000F1DCB" w:rsidRPr="00AA3DF0" w:rsidRDefault="000F1DCB" w:rsidP="00C92108">
      <w:pPr>
        <w:pStyle w:val="Header"/>
        <w:rPr>
          <w:szCs w:val="22"/>
          <w:lang w:val="sl-SI"/>
        </w:rPr>
      </w:pPr>
    </w:p>
    <w:p w14:paraId="3361F55D" w14:textId="2C567F55" w:rsidR="000F1DCB" w:rsidRPr="00AA3DF0" w:rsidRDefault="000F1DCB" w:rsidP="00C92108">
      <w:pPr>
        <w:pStyle w:val="Header"/>
        <w:rPr>
          <w:szCs w:val="22"/>
          <w:lang w:val="sl-SI"/>
        </w:rPr>
      </w:pPr>
      <w:r w:rsidRPr="00AA3DF0">
        <w:rPr>
          <w:szCs w:val="22"/>
          <w:lang w:val="sl-SI"/>
        </w:rPr>
        <w:t>Sl</w:t>
      </w:r>
      <w:r w:rsidR="007532FD" w:rsidRPr="00AA3DF0">
        <w:rPr>
          <w:szCs w:val="22"/>
          <w:lang w:val="sl-SI"/>
        </w:rPr>
        <w:t>j</w:t>
      </w:r>
      <w:r w:rsidRPr="00AA3DF0">
        <w:rPr>
          <w:szCs w:val="22"/>
          <w:lang w:val="sl-SI"/>
        </w:rPr>
        <w:t>edeće situacije mogu da dovedu do smanjenja dejstva varfarina i neophodnog povećanja doze l</w:t>
      </w:r>
      <w:r w:rsidR="007532FD" w:rsidRPr="00AA3DF0">
        <w:rPr>
          <w:szCs w:val="22"/>
          <w:lang w:val="sl-SI"/>
        </w:rPr>
        <w:t>ij</w:t>
      </w:r>
      <w:r w:rsidRPr="00AA3DF0">
        <w:rPr>
          <w:szCs w:val="22"/>
          <w:lang w:val="sl-SI"/>
        </w:rPr>
        <w:t>eka:</w:t>
      </w:r>
    </w:p>
    <w:p w14:paraId="3361F55E" w14:textId="77777777" w:rsidR="000F1DCB" w:rsidRPr="00AA3DF0" w:rsidRDefault="000F1DCB" w:rsidP="00C92108">
      <w:pPr>
        <w:pStyle w:val="Header"/>
        <w:rPr>
          <w:szCs w:val="22"/>
          <w:lang w:val="sl-SI"/>
        </w:rPr>
      </w:pPr>
    </w:p>
    <w:p w14:paraId="3361F55F" w14:textId="0D5FB141" w:rsidR="000F1DCB" w:rsidRPr="00AA3DF0" w:rsidRDefault="000F1DCB" w:rsidP="00C92108">
      <w:pPr>
        <w:pStyle w:val="Header"/>
        <w:numPr>
          <w:ilvl w:val="0"/>
          <w:numId w:val="7"/>
        </w:numPr>
        <w:rPr>
          <w:szCs w:val="22"/>
          <w:lang w:val="sl-SI"/>
        </w:rPr>
      </w:pPr>
      <w:r w:rsidRPr="00AA3DF0">
        <w:rPr>
          <w:szCs w:val="22"/>
          <w:lang w:val="sl-SI"/>
        </w:rPr>
        <w:t>Povećanje t</w:t>
      </w:r>
      <w:r w:rsidR="007532FD" w:rsidRPr="00AA3DF0">
        <w:rPr>
          <w:szCs w:val="22"/>
          <w:lang w:val="sl-SI"/>
        </w:rPr>
        <w:t>j</w:t>
      </w:r>
      <w:r w:rsidRPr="00AA3DF0">
        <w:rPr>
          <w:szCs w:val="22"/>
          <w:lang w:val="sl-SI"/>
        </w:rPr>
        <w:t>elesne mase</w:t>
      </w:r>
    </w:p>
    <w:p w14:paraId="3361F560" w14:textId="77777777" w:rsidR="000F1DCB" w:rsidRPr="00AA3DF0" w:rsidRDefault="000F1DCB" w:rsidP="00C92108">
      <w:pPr>
        <w:pStyle w:val="Header"/>
        <w:numPr>
          <w:ilvl w:val="0"/>
          <w:numId w:val="7"/>
        </w:numPr>
        <w:rPr>
          <w:szCs w:val="22"/>
          <w:lang w:val="sl-SI"/>
        </w:rPr>
      </w:pPr>
      <w:r w:rsidRPr="00AA3DF0">
        <w:rPr>
          <w:szCs w:val="22"/>
          <w:lang w:val="sl-SI"/>
        </w:rPr>
        <w:t>Dijareja</w:t>
      </w:r>
    </w:p>
    <w:p w14:paraId="5C73D11C" w14:textId="04393E71" w:rsidR="008B4752" w:rsidRPr="00AA3DF0" w:rsidRDefault="000F1DCB" w:rsidP="008B4752">
      <w:pPr>
        <w:pStyle w:val="Header"/>
        <w:numPr>
          <w:ilvl w:val="0"/>
          <w:numId w:val="7"/>
        </w:numPr>
        <w:rPr>
          <w:szCs w:val="22"/>
          <w:lang w:val="sl-SI"/>
        </w:rPr>
      </w:pPr>
      <w:r w:rsidRPr="00AA3DF0">
        <w:rPr>
          <w:szCs w:val="22"/>
          <w:lang w:val="sl-SI"/>
        </w:rPr>
        <w:t>Povraćanje</w:t>
      </w:r>
    </w:p>
    <w:p w14:paraId="3361F562" w14:textId="04393E71" w:rsidR="000F1DCB" w:rsidRPr="00AA3DF0" w:rsidRDefault="000F1DCB" w:rsidP="00C92108">
      <w:pPr>
        <w:pStyle w:val="Header"/>
        <w:tabs>
          <w:tab w:val="clear" w:pos="4536"/>
          <w:tab w:val="clear" w:pos="9072"/>
          <w:tab w:val="left" w:pos="284"/>
        </w:tabs>
        <w:rPr>
          <w:szCs w:val="22"/>
          <w:lang w:val="sl-SI"/>
        </w:rPr>
      </w:pPr>
    </w:p>
    <w:p w14:paraId="28A0C09D" w14:textId="77777777" w:rsidR="008B4752" w:rsidRPr="00AA3DF0" w:rsidRDefault="008B4752" w:rsidP="008B4752">
      <w:pPr>
        <w:pStyle w:val="Header"/>
        <w:rPr>
          <w:szCs w:val="22"/>
          <w:u w:val="single"/>
          <w:lang w:val="sl-SI"/>
        </w:rPr>
      </w:pPr>
      <w:r w:rsidRPr="00AA3DF0">
        <w:rPr>
          <w:szCs w:val="22"/>
          <w:u w:val="single"/>
          <w:lang w:val="sl-SI"/>
        </w:rPr>
        <w:t>Nefropatija povezana sa antikoagulansima</w:t>
      </w:r>
    </w:p>
    <w:p w14:paraId="3A0A0B72" w14:textId="77777777" w:rsidR="008B4752" w:rsidRPr="00AA3DF0" w:rsidRDefault="008B4752" w:rsidP="008B4752">
      <w:pPr>
        <w:pStyle w:val="Header"/>
        <w:rPr>
          <w:szCs w:val="22"/>
          <w:u w:val="single"/>
          <w:lang w:val="sl-SI"/>
        </w:rPr>
      </w:pPr>
    </w:p>
    <w:p w14:paraId="4B6D45FC" w14:textId="6415813C" w:rsidR="008B4752" w:rsidRPr="00AA3DF0" w:rsidRDefault="008B4752" w:rsidP="008B4752">
      <w:pPr>
        <w:pStyle w:val="Header"/>
        <w:rPr>
          <w:szCs w:val="22"/>
          <w:lang w:val="sl-SI"/>
        </w:rPr>
      </w:pPr>
      <w:r w:rsidRPr="00AA3DF0">
        <w:rPr>
          <w:szCs w:val="22"/>
          <w:lang w:val="sl-SI"/>
        </w:rPr>
        <w:t>Kod pacijenata sa izm</w:t>
      </w:r>
      <w:r w:rsidR="007532FD" w:rsidRPr="00AA3DF0">
        <w:rPr>
          <w:szCs w:val="22"/>
          <w:lang w:val="sl-SI"/>
        </w:rPr>
        <w:t>ij</w:t>
      </w:r>
      <w:r w:rsidRPr="00AA3DF0">
        <w:rPr>
          <w:szCs w:val="22"/>
          <w:lang w:val="sl-SI"/>
        </w:rPr>
        <w:t>enjen</w:t>
      </w:r>
      <w:r w:rsidR="00003C7E" w:rsidRPr="00AA3DF0">
        <w:rPr>
          <w:szCs w:val="22"/>
          <w:lang w:val="sl-SI"/>
        </w:rPr>
        <w:t xml:space="preserve">om funkcijom </w:t>
      </w:r>
      <w:r w:rsidRPr="00AA3DF0">
        <w:rPr>
          <w:szCs w:val="22"/>
          <w:lang w:val="sl-SI"/>
        </w:rPr>
        <w:t>glomerula ili sa bubrežnim poremećajima u anamnezi, može doći do akutne bubrežne insuficijencije, v</w:t>
      </w:r>
      <w:r w:rsidR="007532FD" w:rsidRPr="00AA3DF0">
        <w:rPr>
          <w:szCs w:val="22"/>
          <w:lang w:val="sl-SI"/>
        </w:rPr>
        <w:t>j</w:t>
      </w:r>
      <w:r w:rsidRPr="00AA3DF0">
        <w:rPr>
          <w:szCs w:val="22"/>
          <w:lang w:val="sl-SI"/>
        </w:rPr>
        <w:t>erovatno kao posl</w:t>
      </w:r>
      <w:r w:rsidR="007532FD" w:rsidRPr="00AA3DF0">
        <w:rPr>
          <w:szCs w:val="22"/>
          <w:lang w:val="sl-SI"/>
        </w:rPr>
        <w:t>j</w:t>
      </w:r>
      <w:r w:rsidRPr="00AA3DF0">
        <w:rPr>
          <w:szCs w:val="22"/>
          <w:lang w:val="sl-SI"/>
        </w:rPr>
        <w:t>edica prekom</w:t>
      </w:r>
      <w:r w:rsidR="007532FD" w:rsidRPr="00AA3DF0">
        <w:rPr>
          <w:szCs w:val="22"/>
          <w:lang w:val="sl-SI"/>
        </w:rPr>
        <w:t>j</w:t>
      </w:r>
      <w:r w:rsidRPr="00AA3DF0">
        <w:rPr>
          <w:szCs w:val="22"/>
          <w:lang w:val="sl-SI"/>
        </w:rPr>
        <w:t>erne antikoagulacije i hematurije. Zab</w:t>
      </w:r>
      <w:r w:rsidR="007532FD" w:rsidRPr="00AA3DF0">
        <w:rPr>
          <w:szCs w:val="22"/>
          <w:lang w:val="sl-SI"/>
        </w:rPr>
        <w:t>i</w:t>
      </w:r>
      <w:r w:rsidRPr="00AA3DF0">
        <w:rPr>
          <w:szCs w:val="22"/>
          <w:lang w:val="sl-SI"/>
        </w:rPr>
        <w:t>l</w:t>
      </w:r>
      <w:r w:rsidR="007532FD" w:rsidRPr="00AA3DF0">
        <w:rPr>
          <w:szCs w:val="22"/>
          <w:lang w:val="sl-SI"/>
        </w:rPr>
        <w:t>j</w:t>
      </w:r>
      <w:r w:rsidRPr="00AA3DF0">
        <w:rPr>
          <w:szCs w:val="22"/>
          <w:lang w:val="sl-SI"/>
        </w:rPr>
        <w:t>eženo je nekoliko slučajeva kod pacijenata bez prethodnog oboljenja bubrega. Kod pacijenata sa supraterapijskim vr</w:t>
      </w:r>
      <w:r w:rsidR="007532FD" w:rsidRPr="00AA3DF0">
        <w:rPr>
          <w:szCs w:val="22"/>
          <w:lang w:val="sl-SI"/>
        </w:rPr>
        <w:t>ij</w:t>
      </w:r>
      <w:r w:rsidRPr="00AA3DF0">
        <w:rPr>
          <w:szCs w:val="22"/>
          <w:lang w:val="sl-SI"/>
        </w:rPr>
        <w:t>ednostima INR-a i hematurijom (uključujući mikroskopsku) preporučuje se pažljivo praćenje pacijenta, uključujući proc</w:t>
      </w:r>
      <w:r w:rsidR="007532FD" w:rsidRPr="00AA3DF0">
        <w:rPr>
          <w:szCs w:val="22"/>
          <w:lang w:val="sl-SI"/>
        </w:rPr>
        <w:t>j</w:t>
      </w:r>
      <w:r w:rsidRPr="00AA3DF0">
        <w:rPr>
          <w:szCs w:val="22"/>
          <w:lang w:val="sl-SI"/>
        </w:rPr>
        <w:t>enu bubrežne funkcije.</w:t>
      </w:r>
    </w:p>
    <w:p w14:paraId="5EE22523" w14:textId="77777777" w:rsidR="008B4752" w:rsidRPr="00AA3DF0" w:rsidRDefault="008B4752" w:rsidP="008B4752">
      <w:pPr>
        <w:pStyle w:val="Header"/>
        <w:rPr>
          <w:szCs w:val="22"/>
          <w:u w:val="single"/>
          <w:lang w:val="sl-SI"/>
        </w:rPr>
      </w:pPr>
    </w:p>
    <w:p w14:paraId="3361F563" w14:textId="3A22AA0A" w:rsidR="000F1DCB" w:rsidRPr="00AA3DF0" w:rsidRDefault="000F1DCB" w:rsidP="008B4752">
      <w:pPr>
        <w:pStyle w:val="Header"/>
        <w:rPr>
          <w:szCs w:val="22"/>
          <w:u w:val="single"/>
          <w:lang w:val="sl-SI"/>
        </w:rPr>
      </w:pPr>
      <w:r w:rsidRPr="00AA3DF0">
        <w:rPr>
          <w:szCs w:val="22"/>
          <w:u w:val="single"/>
          <w:lang w:val="sl-SI"/>
        </w:rPr>
        <w:t>Ostala upozorenja</w:t>
      </w:r>
    </w:p>
    <w:p w14:paraId="3361F564" w14:textId="77777777" w:rsidR="000F1DCB" w:rsidRPr="00AA3DF0" w:rsidRDefault="000F1DCB" w:rsidP="00C92108">
      <w:pPr>
        <w:pStyle w:val="Header"/>
        <w:rPr>
          <w:szCs w:val="22"/>
          <w:lang w:val="sl-SI"/>
        </w:rPr>
      </w:pPr>
    </w:p>
    <w:p w14:paraId="3361F565" w14:textId="77777777" w:rsidR="000F1DCB" w:rsidRPr="00AA3DF0" w:rsidRDefault="000F1DCB" w:rsidP="00C92108">
      <w:pPr>
        <w:pStyle w:val="Header"/>
        <w:rPr>
          <w:szCs w:val="22"/>
          <w:lang w:val="sl-SI"/>
        </w:rPr>
      </w:pPr>
      <w:r w:rsidRPr="00AA3DF0">
        <w:rPr>
          <w:szCs w:val="22"/>
          <w:lang w:val="sl-SI"/>
        </w:rPr>
        <w:t>Na stečenu ili urođenu rezistenciju na varfarin treba posumnjati ukoliko su za postizanje željenog antikoagulantnog dejstva varfarina potrebne veće dnevne doze od uobičajenih.</w:t>
      </w:r>
    </w:p>
    <w:p w14:paraId="5DD67D14" w14:textId="77777777" w:rsidR="009D4B15" w:rsidRPr="00AA3DF0" w:rsidRDefault="009D4B15" w:rsidP="00C92108">
      <w:pPr>
        <w:pStyle w:val="Header"/>
        <w:tabs>
          <w:tab w:val="clear" w:pos="4536"/>
          <w:tab w:val="clear" w:pos="9072"/>
          <w:tab w:val="left" w:pos="284"/>
        </w:tabs>
        <w:rPr>
          <w:szCs w:val="22"/>
          <w:lang w:val="sl-SI"/>
        </w:rPr>
      </w:pPr>
    </w:p>
    <w:p w14:paraId="3361F567" w14:textId="77777777" w:rsidR="000F1DCB" w:rsidRPr="00AA3DF0" w:rsidRDefault="000F1DCB" w:rsidP="00C92108">
      <w:pPr>
        <w:pStyle w:val="Header"/>
        <w:rPr>
          <w:szCs w:val="22"/>
          <w:u w:val="single"/>
          <w:lang w:val="sl-SI"/>
        </w:rPr>
      </w:pPr>
      <w:r w:rsidRPr="00AA3DF0">
        <w:rPr>
          <w:szCs w:val="22"/>
          <w:u w:val="single"/>
          <w:lang w:val="sl-SI"/>
        </w:rPr>
        <w:t>Genetske informacije</w:t>
      </w:r>
    </w:p>
    <w:p w14:paraId="3361F568" w14:textId="77777777" w:rsidR="000F1DCB" w:rsidRPr="00AA3DF0" w:rsidRDefault="000F1DCB" w:rsidP="00C92108">
      <w:pPr>
        <w:pStyle w:val="Header"/>
        <w:rPr>
          <w:szCs w:val="22"/>
          <w:lang w:val="sl-SI"/>
        </w:rPr>
      </w:pPr>
    </w:p>
    <w:p w14:paraId="3361F569" w14:textId="77777777" w:rsidR="000F1DCB" w:rsidRPr="00AA3DF0" w:rsidRDefault="000F1DCB" w:rsidP="00C92108">
      <w:pPr>
        <w:pStyle w:val="Header"/>
        <w:rPr>
          <w:bCs/>
          <w:szCs w:val="22"/>
          <w:lang w:val="sl-SI"/>
        </w:rPr>
      </w:pPr>
      <w:r w:rsidRPr="00AA3DF0">
        <w:rPr>
          <w:szCs w:val="22"/>
          <w:lang w:val="sl-SI"/>
        </w:rPr>
        <w:t xml:space="preserve">Genetska varijabilnost, pogotovo u vezi sa CYP2C9 i VKORC1, može značajno da utiče na doziranje varfarina. </w:t>
      </w:r>
      <w:r w:rsidRPr="00AA3DF0">
        <w:rPr>
          <w:bCs/>
          <w:szCs w:val="22"/>
          <w:lang w:val="sl-SI"/>
        </w:rPr>
        <w:t>Neophodan je poseban oprez kada se ovaj polimorfizama javlja kod članova porodice.</w:t>
      </w:r>
    </w:p>
    <w:p w14:paraId="5622889F" w14:textId="77777777" w:rsidR="00736175" w:rsidRPr="00AA3DF0" w:rsidRDefault="00736175" w:rsidP="00C92108">
      <w:pPr>
        <w:pStyle w:val="Header"/>
        <w:rPr>
          <w:bCs/>
          <w:szCs w:val="22"/>
          <w:lang w:val="sl-SI"/>
        </w:rPr>
      </w:pPr>
    </w:p>
    <w:p w14:paraId="3361F56A" w14:textId="52BA74E0" w:rsidR="000F1DCB" w:rsidRPr="00AA3DF0" w:rsidRDefault="001F2456" w:rsidP="00C92108">
      <w:pPr>
        <w:pStyle w:val="Header"/>
        <w:rPr>
          <w:bCs/>
          <w:szCs w:val="22"/>
          <w:lang w:val="sl-SI"/>
        </w:rPr>
      </w:pPr>
      <w:r w:rsidRPr="00AA3DF0">
        <w:rPr>
          <w:bCs/>
          <w:szCs w:val="22"/>
          <w:lang w:val="sl-SI"/>
        </w:rPr>
        <w:t>Pomoćne supstance:</w:t>
      </w:r>
    </w:p>
    <w:p w14:paraId="3361F56B" w14:textId="57172930" w:rsidR="000F1DCB" w:rsidRPr="00AA3DF0" w:rsidRDefault="000F1DCB">
      <w:pPr>
        <w:pStyle w:val="Header"/>
        <w:rPr>
          <w:szCs w:val="22"/>
          <w:lang w:val="sl-SI"/>
        </w:rPr>
      </w:pPr>
      <w:r w:rsidRPr="00AA3DF0">
        <w:rPr>
          <w:bCs/>
          <w:szCs w:val="22"/>
          <w:lang w:val="sl-SI"/>
        </w:rPr>
        <w:t>Ovaj l</w:t>
      </w:r>
      <w:r w:rsidR="007532FD" w:rsidRPr="00AA3DF0">
        <w:rPr>
          <w:bCs/>
          <w:szCs w:val="22"/>
          <w:lang w:val="sl-SI"/>
        </w:rPr>
        <w:t>ij</w:t>
      </w:r>
      <w:r w:rsidRPr="00AA3DF0">
        <w:rPr>
          <w:bCs/>
          <w:szCs w:val="22"/>
          <w:lang w:val="sl-SI"/>
        </w:rPr>
        <w:t>ek sadrži laktozu monohidrat. Pacijenti sa r</w:t>
      </w:r>
      <w:r w:rsidR="007532FD" w:rsidRPr="00AA3DF0">
        <w:rPr>
          <w:bCs/>
          <w:szCs w:val="22"/>
          <w:lang w:val="sl-SI"/>
        </w:rPr>
        <w:t>ij</w:t>
      </w:r>
      <w:r w:rsidRPr="00AA3DF0">
        <w:rPr>
          <w:bCs/>
          <w:szCs w:val="22"/>
          <w:lang w:val="sl-SI"/>
        </w:rPr>
        <w:t>etkim nasl</w:t>
      </w:r>
      <w:r w:rsidR="007532FD" w:rsidRPr="00AA3DF0">
        <w:rPr>
          <w:bCs/>
          <w:szCs w:val="22"/>
          <w:lang w:val="sl-SI"/>
        </w:rPr>
        <w:t>j</w:t>
      </w:r>
      <w:r w:rsidRPr="00AA3DF0">
        <w:rPr>
          <w:bCs/>
          <w:szCs w:val="22"/>
          <w:lang w:val="sl-SI"/>
        </w:rPr>
        <w:t>ednim oboljenjem intolerancije na galaktozu, nedostatkom laktaze ili glukozno-galaktoznom malapsorpcijom ne sm</w:t>
      </w:r>
      <w:r w:rsidR="007532FD" w:rsidRPr="00AA3DF0">
        <w:rPr>
          <w:bCs/>
          <w:szCs w:val="22"/>
          <w:lang w:val="sl-SI"/>
        </w:rPr>
        <w:t>i</w:t>
      </w:r>
      <w:r w:rsidRPr="00AA3DF0">
        <w:rPr>
          <w:bCs/>
          <w:szCs w:val="22"/>
          <w:lang w:val="sl-SI"/>
        </w:rPr>
        <w:t>ju koristiti ovaj l</w:t>
      </w:r>
      <w:r w:rsidR="007532FD" w:rsidRPr="00AA3DF0">
        <w:rPr>
          <w:bCs/>
          <w:szCs w:val="22"/>
          <w:lang w:val="sl-SI"/>
        </w:rPr>
        <w:t>ij</w:t>
      </w:r>
      <w:r w:rsidRPr="00AA3DF0">
        <w:rPr>
          <w:bCs/>
          <w:szCs w:val="22"/>
          <w:lang w:val="sl-SI"/>
        </w:rPr>
        <w:t>ek.</w:t>
      </w:r>
    </w:p>
    <w:p w14:paraId="3361F56C" w14:textId="77777777" w:rsidR="000F1DCB" w:rsidRPr="00AA3DF0" w:rsidRDefault="000F1DCB" w:rsidP="00923865">
      <w:pPr>
        <w:rPr>
          <w:b/>
          <w:bCs/>
          <w:szCs w:val="22"/>
          <w:lang w:val="sl-SI"/>
        </w:rPr>
      </w:pPr>
    </w:p>
    <w:p w14:paraId="512FC574" w14:textId="77777777" w:rsidR="00344C2A" w:rsidRDefault="00344C2A" w:rsidP="00923865">
      <w:pPr>
        <w:rPr>
          <w:b/>
          <w:bCs/>
          <w:szCs w:val="22"/>
          <w:lang w:val="pl-PL"/>
        </w:rPr>
      </w:pPr>
    </w:p>
    <w:p w14:paraId="23C45D81" w14:textId="77777777" w:rsidR="00344C2A" w:rsidRDefault="00344C2A" w:rsidP="00923865">
      <w:pPr>
        <w:rPr>
          <w:b/>
          <w:bCs/>
          <w:szCs w:val="22"/>
          <w:lang w:val="pl-PL"/>
        </w:rPr>
      </w:pPr>
    </w:p>
    <w:p w14:paraId="21E8EBB9" w14:textId="77777777" w:rsidR="00344C2A" w:rsidRDefault="00344C2A" w:rsidP="00923865">
      <w:pPr>
        <w:rPr>
          <w:b/>
          <w:bCs/>
          <w:szCs w:val="22"/>
          <w:lang w:val="pl-PL"/>
        </w:rPr>
      </w:pPr>
    </w:p>
    <w:p w14:paraId="3361F56D" w14:textId="26122A2E" w:rsidR="000F1DCB" w:rsidRPr="00AA3DF0" w:rsidRDefault="000F1DCB" w:rsidP="00923865">
      <w:pPr>
        <w:rPr>
          <w:b/>
          <w:bCs/>
          <w:szCs w:val="22"/>
          <w:lang w:val="pl-PL"/>
        </w:rPr>
      </w:pPr>
      <w:r w:rsidRPr="00AA3DF0">
        <w:rPr>
          <w:b/>
          <w:bCs/>
          <w:szCs w:val="22"/>
          <w:lang w:val="pl-PL"/>
        </w:rPr>
        <w:lastRenderedPageBreak/>
        <w:t>4.5. Interakcije sa drugim l</w:t>
      </w:r>
      <w:r w:rsidR="007532FD" w:rsidRPr="00AA3DF0">
        <w:rPr>
          <w:b/>
          <w:bCs/>
          <w:szCs w:val="22"/>
          <w:lang w:val="pl-PL"/>
        </w:rPr>
        <w:t>j</w:t>
      </w:r>
      <w:r w:rsidRPr="00AA3DF0">
        <w:rPr>
          <w:b/>
          <w:bCs/>
          <w:szCs w:val="22"/>
          <w:lang w:val="pl-PL"/>
        </w:rPr>
        <w:t>ekovima i druge vrste interakcija</w:t>
      </w:r>
    </w:p>
    <w:p w14:paraId="3361F56E" w14:textId="77777777" w:rsidR="000F1DCB" w:rsidRPr="00AA3DF0" w:rsidRDefault="000F1DCB" w:rsidP="00C92108">
      <w:pPr>
        <w:pStyle w:val="NoSpacing"/>
        <w:jc w:val="both"/>
        <w:rPr>
          <w:rFonts w:ascii="Times New Roman" w:hAnsi="Times New Roman"/>
          <w:lang w:val="pl-PL"/>
        </w:rPr>
      </w:pPr>
    </w:p>
    <w:p w14:paraId="3361F56F" w14:textId="14CECFF9"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Varfarin ima usku terapijsku širinu, pa je kod istovremene prim</w:t>
      </w:r>
      <w:r w:rsidR="007532FD" w:rsidRPr="00AA3DF0">
        <w:rPr>
          <w:rFonts w:ascii="Times New Roman" w:hAnsi="Times New Roman"/>
          <w:lang w:val="sl-SI"/>
        </w:rPr>
        <w:t>j</w:t>
      </w:r>
      <w:r w:rsidRPr="00AA3DF0">
        <w:rPr>
          <w:rFonts w:ascii="Times New Roman" w:hAnsi="Times New Roman"/>
          <w:lang w:val="sl-SI"/>
        </w:rPr>
        <w:t>ene drugih l</w:t>
      </w:r>
      <w:r w:rsidR="007532FD" w:rsidRPr="00AA3DF0">
        <w:rPr>
          <w:rFonts w:ascii="Times New Roman" w:hAnsi="Times New Roman"/>
          <w:lang w:val="sl-SI"/>
        </w:rPr>
        <w:t>j</w:t>
      </w:r>
      <w:r w:rsidRPr="00AA3DF0">
        <w:rPr>
          <w:rFonts w:ascii="Times New Roman" w:hAnsi="Times New Roman"/>
          <w:lang w:val="sl-SI"/>
        </w:rPr>
        <w:t xml:space="preserve">ekova neophodan oprez. Treba se upoznati sa </w:t>
      </w:r>
      <w:r w:rsidRPr="00AA3DF0">
        <w:rPr>
          <w:rFonts w:ascii="Times New Roman" w:hAnsi="Times New Roman"/>
          <w:i/>
          <w:lang w:val="sl-SI"/>
        </w:rPr>
        <w:t>Sažetkom karakteristika l</w:t>
      </w:r>
      <w:r w:rsidR="007532FD" w:rsidRPr="00AA3DF0">
        <w:rPr>
          <w:rFonts w:ascii="Times New Roman" w:hAnsi="Times New Roman"/>
          <w:i/>
          <w:lang w:val="sl-SI"/>
        </w:rPr>
        <w:t>ij</w:t>
      </w:r>
      <w:r w:rsidRPr="00AA3DF0">
        <w:rPr>
          <w:rFonts w:ascii="Times New Roman" w:hAnsi="Times New Roman"/>
          <w:i/>
          <w:lang w:val="sl-SI"/>
        </w:rPr>
        <w:t>eka</w:t>
      </w:r>
      <w:r w:rsidRPr="00AA3DF0">
        <w:rPr>
          <w:rFonts w:ascii="Times New Roman" w:hAnsi="Times New Roman"/>
          <w:lang w:val="sl-SI"/>
        </w:rPr>
        <w:t xml:space="preserve"> za svaki novi </w:t>
      </w:r>
      <w:r w:rsidR="001F2456" w:rsidRPr="00AA3DF0">
        <w:rPr>
          <w:rFonts w:ascii="Times New Roman" w:hAnsi="Times New Roman"/>
          <w:lang w:val="sl-SI"/>
        </w:rPr>
        <w:t>istovremeno prim</w:t>
      </w:r>
      <w:r w:rsidR="007532FD" w:rsidRPr="00AA3DF0">
        <w:rPr>
          <w:rFonts w:ascii="Times New Roman" w:hAnsi="Times New Roman"/>
          <w:lang w:val="sl-SI"/>
        </w:rPr>
        <w:t>ij</w:t>
      </w:r>
      <w:r w:rsidR="001F2456" w:rsidRPr="00AA3DF0">
        <w:rPr>
          <w:rFonts w:ascii="Times New Roman" w:hAnsi="Times New Roman"/>
          <w:lang w:val="sl-SI"/>
        </w:rPr>
        <w:t>enjen</w:t>
      </w:r>
      <w:r w:rsidRPr="00AA3DF0">
        <w:rPr>
          <w:rFonts w:ascii="Times New Roman" w:hAnsi="Times New Roman"/>
          <w:lang w:val="sl-SI"/>
        </w:rPr>
        <w:t xml:space="preserve"> l</w:t>
      </w:r>
      <w:r w:rsidR="007532FD" w:rsidRPr="00AA3DF0">
        <w:rPr>
          <w:rFonts w:ascii="Times New Roman" w:hAnsi="Times New Roman"/>
          <w:lang w:val="sl-SI"/>
        </w:rPr>
        <w:t>ij</w:t>
      </w:r>
      <w:r w:rsidRPr="00AA3DF0">
        <w:rPr>
          <w:rFonts w:ascii="Times New Roman" w:hAnsi="Times New Roman"/>
          <w:lang w:val="sl-SI"/>
        </w:rPr>
        <w:t>ek, kao posebnim vodičem za prilagođavanje doze varfarina i terapijski monitoring. Ukoliko informacije nisu dostupne, treba računati na mogućnost interakcija. Pojačanu kontrolu potrebno je uzeti u obzir kod započinjanja bilo koje nove terapije ako postoji bilo kakva sumnja na interakcije.</w:t>
      </w:r>
    </w:p>
    <w:p w14:paraId="3361F574" w14:textId="77777777" w:rsidR="000F1DCB" w:rsidRPr="00AA3DF0" w:rsidRDefault="000F1DCB" w:rsidP="00C92108">
      <w:pPr>
        <w:pStyle w:val="NoSpacing"/>
        <w:jc w:val="both"/>
        <w:rPr>
          <w:rFonts w:ascii="Times New Roman" w:hAnsi="Times New Roman"/>
          <w:b/>
          <w:lang w:val="sl-SI"/>
        </w:rPr>
      </w:pPr>
    </w:p>
    <w:p w14:paraId="3361F575" w14:textId="77777777" w:rsidR="000F1DCB" w:rsidRPr="00AA3DF0" w:rsidRDefault="000F1DCB" w:rsidP="00C92108">
      <w:pPr>
        <w:pStyle w:val="NoSpacing"/>
        <w:jc w:val="both"/>
        <w:rPr>
          <w:rFonts w:ascii="Times New Roman" w:hAnsi="Times New Roman"/>
          <w:b/>
          <w:lang w:val="sl-SI"/>
        </w:rPr>
      </w:pPr>
      <w:r w:rsidRPr="00AA3DF0">
        <w:rPr>
          <w:rFonts w:ascii="Times New Roman" w:hAnsi="Times New Roman"/>
          <w:b/>
          <w:lang w:val="sl-SI"/>
        </w:rPr>
        <w:t>Farmakodinamske interakcije</w:t>
      </w:r>
    </w:p>
    <w:p w14:paraId="3361F576" w14:textId="77777777" w:rsidR="000F1DCB" w:rsidRPr="00AA3DF0" w:rsidRDefault="000F1DCB" w:rsidP="00C92108">
      <w:pPr>
        <w:pStyle w:val="Header"/>
        <w:tabs>
          <w:tab w:val="clear" w:pos="4536"/>
          <w:tab w:val="clear" w:pos="9072"/>
          <w:tab w:val="left" w:pos="284"/>
        </w:tabs>
        <w:rPr>
          <w:szCs w:val="22"/>
          <w:lang w:val="sl-SI"/>
        </w:rPr>
      </w:pPr>
    </w:p>
    <w:p w14:paraId="3361F577" w14:textId="5E39797C" w:rsidR="000F1DCB" w:rsidRPr="00AA3DF0" w:rsidRDefault="000F1DCB" w:rsidP="00C92108">
      <w:pPr>
        <w:pStyle w:val="NoSpacing"/>
        <w:jc w:val="both"/>
        <w:rPr>
          <w:rFonts w:ascii="Times New Roman" w:hAnsi="Times New Roman"/>
          <w:u w:val="single"/>
          <w:lang w:val="sl-SI"/>
        </w:rPr>
      </w:pPr>
      <w:r w:rsidRPr="00AA3DF0">
        <w:rPr>
          <w:rFonts w:ascii="Times New Roman" w:hAnsi="Times New Roman"/>
          <w:u w:val="single"/>
          <w:lang w:val="sl-SI"/>
        </w:rPr>
        <w:t>L</w:t>
      </w:r>
      <w:r w:rsidR="007532FD" w:rsidRPr="00AA3DF0">
        <w:rPr>
          <w:rFonts w:ascii="Times New Roman" w:hAnsi="Times New Roman"/>
          <w:u w:val="single"/>
          <w:lang w:val="sl-SI"/>
        </w:rPr>
        <w:t>j</w:t>
      </w:r>
      <w:r w:rsidRPr="00AA3DF0">
        <w:rPr>
          <w:rFonts w:ascii="Times New Roman" w:hAnsi="Times New Roman"/>
          <w:u w:val="single"/>
          <w:lang w:val="sl-SI"/>
        </w:rPr>
        <w:t>ekovi čija je prim</w:t>
      </w:r>
      <w:r w:rsidR="007532FD" w:rsidRPr="00AA3DF0">
        <w:rPr>
          <w:rFonts w:ascii="Times New Roman" w:hAnsi="Times New Roman"/>
          <w:u w:val="single"/>
          <w:lang w:val="sl-SI"/>
        </w:rPr>
        <w:t>j</w:t>
      </w:r>
      <w:r w:rsidRPr="00AA3DF0">
        <w:rPr>
          <w:rFonts w:ascii="Times New Roman" w:hAnsi="Times New Roman"/>
          <w:u w:val="single"/>
          <w:lang w:val="sl-SI"/>
        </w:rPr>
        <w:t>ena kontraindikovana</w:t>
      </w:r>
    </w:p>
    <w:p w14:paraId="3361F578" w14:textId="77777777" w:rsidR="000F1DCB" w:rsidRPr="00AA3DF0" w:rsidRDefault="000F1DCB" w:rsidP="00C92108">
      <w:pPr>
        <w:pStyle w:val="Header"/>
        <w:tabs>
          <w:tab w:val="clear" w:pos="4536"/>
          <w:tab w:val="clear" w:pos="9072"/>
          <w:tab w:val="left" w:pos="284"/>
        </w:tabs>
        <w:rPr>
          <w:szCs w:val="22"/>
          <w:lang w:val="sl-SI"/>
        </w:rPr>
      </w:pPr>
    </w:p>
    <w:p w14:paraId="3361F579" w14:textId="51EB1F4F"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Istovremena prim</w:t>
      </w:r>
      <w:r w:rsidR="007532FD" w:rsidRPr="00AA3DF0">
        <w:rPr>
          <w:rFonts w:ascii="Times New Roman" w:hAnsi="Times New Roman"/>
          <w:lang w:val="sl-SI"/>
        </w:rPr>
        <w:t>j</w:t>
      </w:r>
      <w:r w:rsidRPr="00AA3DF0">
        <w:rPr>
          <w:rFonts w:ascii="Times New Roman" w:hAnsi="Times New Roman"/>
          <w:lang w:val="sl-SI"/>
        </w:rPr>
        <w:t>ena l</w:t>
      </w:r>
      <w:r w:rsidR="007532FD" w:rsidRPr="00AA3DF0">
        <w:rPr>
          <w:rFonts w:ascii="Times New Roman" w:hAnsi="Times New Roman"/>
          <w:lang w:val="sl-SI"/>
        </w:rPr>
        <w:t>j</w:t>
      </w:r>
      <w:r w:rsidRPr="00AA3DF0">
        <w:rPr>
          <w:rFonts w:ascii="Times New Roman" w:hAnsi="Times New Roman"/>
          <w:lang w:val="sl-SI"/>
        </w:rPr>
        <w:t>ekova koji se koriste u l</w:t>
      </w:r>
      <w:r w:rsidR="007532FD" w:rsidRPr="00AA3DF0">
        <w:rPr>
          <w:rFonts w:ascii="Times New Roman" w:hAnsi="Times New Roman"/>
          <w:lang w:val="sl-SI"/>
        </w:rPr>
        <w:t>ij</w:t>
      </w:r>
      <w:r w:rsidRPr="00AA3DF0">
        <w:rPr>
          <w:rFonts w:ascii="Times New Roman" w:hAnsi="Times New Roman"/>
          <w:lang w:val="sl-SI"/>
        </w:rPr>
        <w:t>ečenju ili prevenciji tromboze ili prim</w:t>
      </w:r>
      <w:r w:rsidR="007532FD" w:rsidRPr="00AA3DF0">
        <w:rPr>
          <w:rFonts w:ascii="Times New Roman" w:hAnsi="Times New Roman"/>
          <w:lang w:val="sl-SI"/>
        </w:rPr>
        <w:t>j</w:t>
      </w:r>
      <w:r w:rsidRPr="00AA3DF0">
        <w:rPr>
          <w:rFonts w:ascii="Times New Roman" w:hAnsi="Times New Roman"/>
          <w:lang w:val="sl-SI"/>
        </w:rPr>
        <w:t>ena drugih l</w:t>
      </w:r>
      <w:r w:rsidR="007532FD" w:rsidRPr="00AA3DF0">
        <w:rPr>
          <w:rFonts w:ascii="Times New Roman" w:hAnsi="Times New Roman"/>
          <w:lang w:val="sl-SI"/>
        </w:rPr>
        <w:t>j</w:t>
      </w:r>
      <w:r w:rsidRPr="00AA3DF0">
        <w:rPr>
          <w:rFonts w:ascii="Times New Roman" w:hAnsi="Times New Roman"/>
          <w:lang w:val="sl-SI"/>
        </w:rPr>
        <w:t>ekova sa neželjenim dejstvom na hemostazu, može povećati farmakološko dejstvo varfarina, povećavajući tako rizik od krvarenja.</w:t>
      </w:r>
    </w:p>
    <w:p w14:paraId="3361F57A" w14:textId="77777777" w:rsidR="000F1DCB" w:rsidRPr="00AA3DF0" w:rsidRDefault="000F1DCB" w:rsidP="00C92108">
      <w:pPr>
        <w:pStyle w:val="NoSpacing"/>
        <w:jc w:val="both"/>
        <w:rPr>
          <w:rFonts w:ascii="Times New Roman" w:hAnsi="Times New Roman"/>
          <w:lang w:val="sl-SI"/>
        </w:rPr>
      </w:pPr>
    </w:p>
    <w:p w14:paraId="3361F57B" w14:textId="77777777"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Fibrinolitici poput streptokinaze i alteplaze, kontraindikovani su kod pacijenata koji uzimaju varfarin.</w:t>
      </w:r>
    </w:p>
    <w:p w14:paraId="3361F57C" w14:textId="77777777" w:rsidR="000F1DCB" w:rsidRPr="00AA3DF0" w:rsidRDefault="000F1DCB" w:rsidP="00C92108">
      <w:pPr>
        <w:pStyle w:val="NoSpacing"/>
        <w:jc w:val="both"/>
        <w:rPr>
          <w:rFonts w:ascii="Times New Roman" w:hAnsi="Times New Roman"/>
          <w:u w:val="single"/>
          <w:lang w:val="sl-SI"/>
        </w:rPr>
      </w:pPr>
    </w:p>
    <w:p w14:paraId="3361F57D" w14:textId="2610E2CC" w:rsidR="000F1DCB" w:rsidRPr="00AA3DF0" w:rsidRDefault="000F1DCB" w:rsidP="00C92108">
      <w:pPr>
        <w:pStyle w:val="NoSpacing"/>
        <w:jc w:val="both"/>
        <w:rPr>
          <w:rFonts w:ascii="Times New Roman" w:hAnsi="Times New Roman"/>
          <w:u w:val="single"/>
          <w:lang w:val="sl-SI"/>
        </w:rPr>
      </w:pPr>
      <w:r w:rsidRPr="00AA3DF0">
        <w:rPr>
          <w:rFonts w:ascii="Times New Roman" w:hAnsi="Times New Roman"/>
          <w:u w:val="single"/>
          <w:lang w:val="sl-SI"/>
        </w:rPr>
        <w:t>L</w:t>
      </w:r>
      <w:r w:rsidR="007532FD" w:rsidRPr="00AA3DF0">
        <w:rPr>
          <w:rFonts w:ascii="Times New Roman" w:hAnsi="Times New Roman"/>
          <w:u w:val="single"/>
          <w:lang w:val="sl-SI"/>
        </w:rPr>
        <w:t>j</w:t>
      </w:r>
      <w:r w:rsidRPr="00AA3DF0">
        <w:rPr>
          <w:rFonts w:ascii="Times New Roman" w:hAnsi="Times New Roman"/>
          <w:u w:val="single"/>
          <w:lang w:val="sl-SI"/>
        </w:rPr>
        <w:t>ekovi koje bi trebalo izb</w:t>
      </w:r>
      <w:r w:rsidR="007532FD" w:rsidRPr="00AA3DF0">
        <w:rPr>
          <w:rFonts w:ascii="Times New Roman" w:hAnsi="Times New Roman"/>
          <w:u w:val="single"/>
          <w:lang w:val="sl-SI"/>
        </w:rPr>
        <w:t>j</w:t>
      </w:r>
      <w:r w:rsidRPr="00AA3DF0">
        <w:rPr>
          <w:rFonts w:ascii="Times New Roman" w:hAnsi="Times New Roman"/>
          <w:u w:val="single"/>
          <w:lang w:val="sl-SI"/>
        </w:rPr>
        <w:t>eći, ako je moguće</w:t>
      </w:r>
    </w:p>
    <w:p w14:paraId="3361F57E" w14:textId="77777777" w:rsidR="000F1DCB" w:rsidRPr="00AA3DF0" w:rsidRDefault="000F1DCB" w:rsidP="00C92108">
      <w:pPr>
        <w:pStyle w:val="NoSpacing"/>
        <w:jc w:val="both"/>
        <w:rPr>
          <w:rFonts w:ascii="Times New Roman" w:hAnsi="Times New Roman"/>
          <w:lang w:val="sl-SI"/>
        </w:rPr>
      </w:pPr>
    </w:p>
    <w:p w14:paraId="3361F57F" w14:textId="0533BDBD"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Sl</w:t>
      </w:r>
      <w:r w:rsidR="007532FD" w:rsidRPr="00AA3DF0">
        <w:rPr>
          <w:rFonts w:ascii="Times New Roman" w:hAnsi="Times New Roman"/>
          <w:lang w:val="sl-SI"/>
        </w:rPr>
        <w:t>j</w:t>
      </w:r>
      <w:r w:rsidRPr="00AA3DF0">
        <w:rPr>
          <w:rFonts w:ascii="Times New Roman" w:hAnsi="Times New Roman"/>
          <w:lang w:val="sl-SI"/>
        </w:rPr>
        <w:t>edeće l</w:t>
      </w:r>
      <w:r w:rsidR="007532FD" w:rsidRPr="00AA3DF0">
        <w:rPr>
          <w:rFonts w:ascii="Times New Roman" w:hAnsi="Times New Roman"/>
          <w:lang w:val="sl-SI"/>
        </w:rPr>
        <w:t>j</w:t>
      </w:r>
      <w:r w:rsidRPr="00AA3DF0">
        <w:rPr>
          <w:rFonts w:ascii="Times New Roman" w:hAnsi="Times New Roman"/>
          <w:lang w:val="sl-SI"/>
        </w:rPr>
        <w:t>ekove bi trebalo izb</w:t>
      </w:r>
      <w:r w:rsidR="007532FD" w:rsidRPr="00AA3DF0">
        <w:rPr>
          <w:rFonts w:ascii="Times New Roman" w:hAnsi="Times New Roman"/>
          <w:lang w:val="sl-SI"/>
        </w:rPr>
        <w:t>j</w:t>
      </w:r>
      <w:r w:rsidRPr="00AA3DF0">
        <w:rPr>
          <w:rFonts w:ascii="Times New Roman" w:hAnsi="Times New Roman"/>
          <w:lang w:val="sl-SI"/>
        </w:rPr>
        <w:t>eći ili prim</w:t>
      </w:r>
      <w:r w:rsidR="007532FD" w:rsidRPr="00AA3DF0">
        <w:rPr>
          <w:rFonts w:ascii="Times New Roman" w:hAnsi="Times New Roman"/>
          <w:lang w:val="sl-SI"/>
        </w:rPr>
        <w:t>j</w:t>
      </w:r>
      <w:r w:rsidRPr="00AA3DF0">
        <w:rPr>
          <w:rFonts w:ascii="Times New Roman" w:hAnsi="Times New Roman"/>
          <w:lang w:val="sl-SI"/>
        </w:rPr>
        <w:t>enjivati sa oprezom uz pojačanu kliničku i laboratorijsku kontrolu:</w:t>
      </w:r>
    </w:p>
    <w:p w14:paraId="3361F580" w14:textId="77777777" w:rsidR="000F1DCB" w:rsidRPr="00AA3DF0" w:rsidRDefault="000F1DCB" w:rsidP="00C92108">
      <w:pPr>
        <w:pStyle w:val="Header"/>
        <w:tabs>
          <w:tab w:val="clear" w:pos="4536"/>
          <w:tab w:val="clear" w:pos="9072"/>
          <w:tab w:val="left" w:pos="284"/>
        </w:tabs>
        <w:rPr>
          <w:szCs w:val="22"/>
          <w:lang w:val="sl-SI"/>
        </w:rPr>
      </w:pPr>
    </w:p>
    <w:p w14:paraId="3361F581"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Klopidogrel</w:t>
      </w:r>
    </w:p>
    <w:p w14:paraId="3361F582"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NSAIL (uključujući aspirin i COX-2 specifične NSAIL)</w:t>
      </w:r>
    </w:p>
    <w:p w14:paraId="3361F583"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Sulfinpirazon</w:t>
      </w:r>
    </w:p>
    <w:p w14:paraId="3361F584"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Inhibitori trombina, kao što su bivalirudin, dabigatran</w:t>
      </w:r>
    </w:p>
    <w:p w14:paraId="3361F585"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Dipiridamol</w:t>
      </w:r>
    </w:p>
    <w:p w14:paraId="3361F586"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Nefrakcionisani heparini i derivati heparina, heparini male molekulske mase</w:t>
      </w:r>
    </w:p>
    <w:p w14:paraId="3361F587"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Fondaparinuks, rivaroksaban</w:t>
      </w:r>
    </w:p>
    <w:p w14:paraId="3361F588"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Antagonisti glikoprotein IIb/IIIa receptora, kao što su eptifibatid, tirofiban i abciksimab</w:t>
      </w:r>
    </w:p>
    <w:p w14:paraId="3361F589"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Prostaciklin</w:t>
      </w:r>
    </w:p>
    <w:p w14:paraId="3361F58A" w14:textId="7777777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Antidepresivi (SSRI i SNRI)</w:t>
      </w:r>
    </w:p>
    <w:p w14:paraId="3361F58B" w14:textId="2D029F67" w:rsidR="000F1DCB" w:rsidRPr="00AA3DF0" w:rsidRDefault="000F1DCB" w:rsidP="00C92108">
      <w:pPr>
        <w:pStyle w:val="NoSpacing"/>
        <w:numPr>
          <w:ilvl w:val="0"/>
          <w:numId w:val="8"/>
        </w:numPr>
        <w:jc w:val="both"/>
        <w:rPr>
          <w:rFonts w:ascii="Times New Roman" w:hAnsi="Times New Roman"/>
          <w:lang w:val="sl-SI"/>
        </w:rPr>
      </w:pPr>
      <w:r w:rsidRPr="00AA3DF0">
        <w:rPr>
          <w:rFonts w:ascii="Times New Roman" w:hAnsi="Times New Roman"/>
          <w:lang w:val="sl-SI"/>
        </w:rPr>
        <w:t>Ostali l</w:t>
      </w:r>
      <w:r w:rsidR="007532FD" w:rsidRPr="00AA3DF0">
        <w:rPr>
          <w:rFonts w:ascii="Times New Roman" w:hAnsi="Times New Roman"/>
          <w:lang w:val="sl-SI"/>
        </w:rPr>
        <w:t>j</w:t>
      </w:r>
      <w:r w:rsidRPr="00AA3DF0">
        <w:rPr>
          <w:rFonts w:ascii="Times New Roman" w:hAnsi="Times New Roman"/>
          <w:lang w:val="sl-SI"/>
        </w:rPr>
        <w:t>ekovi koji inhibiraju hemostazu, zgrušavanje krvi ili dejstvo trombocita</w:t>
      </w:r>
    </w:p>
    <w:p w14:paraId="3361F58C" w14:textId="77777777" w:rsidR="000F1DCB" w:rsidRPr="00AA3DF0" w:rsidRDefault="000F1DCB" w:rsidP="00C92108">
      <w:pPr>
        <w:pStyle w:val="Header"/>
        <w:tabs>
          <w:tab w:val="clear" w:pos="4536"/>
          <w:tab w:val="clear" w:pos="9072"/>
          <w:tab w:val="left" w:pos="284"/>
        </w:tabs>
        <w:rPr>
          <w:szCs w:val="22"/>
          <w:lang w:val="sl-SI"/>
        </w:rPr>
      </w:pPr>
    </w:p>
    <w:p w14:paraId="3361F58D" w14:textId="2476EFE5"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Niske doze aspirina sa varfarinom mogu da imaju ulogu kod nekih pacijenata ali je veći rizik od nastanka gastrointestinalnih krvarenja. Varfarin se može dati zajedno sa heparinom na samom početku terapije dok se ne uspostavi odgovarajuća vr</w:t>
      </w:r>
      <w:r w:rsidR="005C298B" w:rsidRPr="00AA3DF0">
        <w:rPr>
          <w:rFonts w:ascii="Times New Roman" w:hAnsi="Times New Roman"/>
          <w:lang w:val="sl-SI"/>
        </w:rPr>
        <w:t>ij</w:t>
      </w:r>
      <w:r w:rsidRPr="00AA3DF0">
        <w:rPr>
          <w:rFonts w:ascii="Times New Roman" w:hAnsi="Times New Roman"/>
          <w:lang w:val="sl-SI"/>
        </w:rPr>
        <w:t>ednost INR.</w:t>
      </w:r>
    </w:p>
    <w:p w14:paraId="3361F58E" w14:textId="77777777" w:rsidR="000F1DCB" w:rsidRPr="00AA3DF0" w:rsidRDefault="000F1DCB" w:rsidP="00C92108">
      <w:pPr>
        <w:pStyle w:val="Header"/>
        <w:tabs>
          <w:tab w:val="clear" w:pos="4536"/>
          <w:tab w:val="clear" w:pos="9072"/>
          <w:tab w:val="left" w:pos="284"/>
        </w:tabs>
        <w:rPr>
          <w:szCs w:val="22"/>
          <w:lang w:val="sl-SI"/>
        </w:rPr>
      </w:pPr>
    </w:p>
    <w:p w14:paraId="3361F58F" w14:textId="77777777" w:rsidR="000F1DCB" w:rsidRPr="00AA3DF0" w:rsidRDefault="000F1DCB" w:rsidP="00C92108">
      <w:pPr>
        <w:pStyle w:val="NoSpacing"/>
        <w:jc w:val="both"/>
        <w:rPr>
          <w:rFonts w:ascii="Times New Roman" w:hAnsi="Times New Roman"/>
          <w:b/>
          <w:lang w:val="sl-SI"/>
        </w:rPr>
      </w:pPr>
      <w:r w:rsidRPr="00AA3DF0">
        <w:rPr>
          <w:rFonts w:ascii="Times New Roman" w:hAnsi="Times New Roman"/>
          <w:b/>
          <w:lang w:val="sl-SI"/>
        </w:rPr>
        <w:t>Metaboličke interakcije</w:t>
      </w:r>
    </w:p>
    <w:p w14:paraId="3361F590" w14:textId="77777777" w:rsidR="000F1DCB" w:rsidRPr="00AA3DF0" w:rsidRDefault="000F1DCB" w:rsidP="00C92108">
      <w:pPr>
        <w:pStyle w:val="Header"/>
        <w:tabs>
          <w:tab w:val="clear" w:pos="4536"/>
          <w:tab w:val="clear" w:pos="9072"/>
          <w:tab w:val="left" w:pos="284"/>
        </w:tabs>
        <w:rPr>
          <w:szCs w:val="22"/>
          <w:lang w:val="sl-SI"/>
        </w:rPr>
      </w:pPr>
    </w:p>
    <w:p w14:paraId="3361F591" w14:textId="01C6C1AE"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Varfarin je m</w:t>
      </w:r>
      <w:r w:rsidR="005C298B" w:rsidRPr="00AA3DF0">
        <w:rPr>
          <w:rFonts w:ascii="Times New Roman" w:hAnsi="Times New Roman"/>
          <w:lang w:val="sl-SI"/>
        </w:rPr>
        <w:t>j</w:t>
      </w:r>
      <w:r w:rsidRPr="00AA3DF0">
        <w:rPr>
          <w:rFonts w:ascii="Times New Roman" w:hAnsi="Times New Roman"/>
          <w:lang w:val="sl-SI"/>
        </w:rPr>
        <w:t>ešavina enantiomera koji se metabolišu pomoću različitih citohroma CYPP450. R-varfarin se metaboliše prvenstveno pomoću CYP1A2 i CYP3A4. S-varfarin se metaboliše prvenstveno preko CYP2C9. Na efikasnost varfarina najviše utiče izm</w:t>
      </w:r>
      <w:r w:rsidR="005C298B" w:rsidRPr="00AA3DF0">
        <w:rPr>
          <w:rFonts w:ascii="Times New Roman" w:hAnsi="Times New Roman"/>
          <w:lang w:val="sl-SI"/>
        </w:rPr>
        <w:t>ij</w:t>
      </w:r>
      <w:r w:rsidRPr="00AA3DF0">
        <w:rPr>
          <w:rFonts w:ascii="Times New Roman" w:hAnsi="Times New Roman"/>
          <w:lang w:val="sl-SI"/>
        </w:rPr>
        <w:t>enjen metabolizam S-varfarina.</w:t>
      </w:r>
    </w:p>
    <w:p w14:paraId="3361F592" w14:textId="77777777" w:rsidR="000F1DCB" w:rsidRPr="00AA3DF0" w:rsidRDefault="000F1DCB" w:rsidP="00C92108">
      <w:pPr>
        <w:pStyle w:val="NoSpacing"/>
        <w:jc w:val="both"/>
        <w:rPr>
          <w:rFonts w:ascii="Times New Roman" w:hAnsi="Times New Roman"/>
          <w:lang w:val="sl-SI"/>
        </w:rPr>
      </w:pPr>
    </w:p>
    <w:p w14:paraId="3361F593" w14:textId="18E3CB19"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L</w:t>
      </w:r>
      <w:r w:rsidR="005C298B" w:rsidRPr="00AA3DF0">
        <w:rPr>
          <w:rFonts w:ascii="Times New Roman" w:hAnsi="Times New Roman"/>
          <w:lang w:val="sl-SI"/>
        </w:rPr>
        <w:t>j</w:t>
      </w:r>
      <w:r w:rsidRPr="00AA3DF0">
        <w:rPr>
          <w:rFonts w:ascii="Times New Roman" w:hAnsi="Times New Roman"/>
          <w:lang w:val="sl-SI"/>
        </w:rPr>
        <w:t>ekovi koji stupaju u kompeticiju kao supstrati za ove citohrome ili inhibiraju njihovu aktivnost, mogu povećati koncentracije varfarina u plazmi i INR, potencijalno povećavajući rizik od krvarenja. Kada se ovi l</w:t>
      </w:r>
      <w:r w:rsidR="005C298B" w:rsidRPr="00AA3DF0">
        <w:rPr>
          <w:rFonts w:ascii="Times New Roman" w:hAnsi="Times New Roman"/>
          <w:lang w:val="sl-SI"/>
        </w:rPr>
        <w:t>j</w:t>
      </w:r>
      <w:r w:rsidRPr="00AA3DF0">
        <w:rPr>
          <w:rFonts w:ascii="Times New Roman" w:hAnsi="Times New Roman"/>
          <w:lang w:val="sl-SI"/>
        </w:rPr>
        <w:t>ekovi prim</w:t>
      </w:r>
      <w:r w:rsidR="005C298B" w:rsidRPr="00AA3DF0">
        <w:rPr>
          <w:rFonts w:ascii="Times New Roman" w:hAnsi="Times New Roman"/>
          <w:lang w:val="sl-SI"/>
        </w:rPr>
        <w:t>j</w:t>
      </w:r>
      <w:r w:rsidRPr="00AA3DF0">
        <w:rPr>
          <w:rFonts w:ascii="Times New Roman" w:hAnsi="Times New Roman"/>
          <w:lang w:val="sl-SI"/>
        </w:rPr>
        <w:t>enjuju istovremeno, treba smanjiti dozu varfarina i pojačati kontrolu terapije.</w:t>
      </w:r>
    </w:p>
    <w:p w14:paraId="3361F595" w14:textId="2FB8E182"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Nasuprot gore navedenom, l</w:t>
      </w:r>
      <w:r w:rsidR="005C298B" w:rsidRPr="00AA3DF0">
        <w:rPr>
          <w:rFonts w:ascii="Times New Roman" w:hAnsi="Times New Roman"/>
          <w:lang w:val="sl-SI"/>
        </w:rPr>
        <w:t>j</w:t>
      </w:r>
      <w:r w:rsidRPr="00AA3DF0">
        <w:rPr>
          <w:rFonts w:ascii="Times New Roman" w:hAnsi="Times New Roman"/>
          <w:lang w:val="sl-SI"/>
        </w:rPr>
        <w:t>ekovi koji indukuju ove metaboličke puteve mogu smanjiti koncentracije varfarina u plazmi i INR, vodeći ka slabijem dejstvu. Kada se ovi l</w:t>
      </w:r>
      <w:r w:rsidR="005C298B" w:rsidRPr="00AA3DF0">
        <w:rPr>
          <w:rFonts w:ascii="Times New Roman" w:hAnsi="Times New Roman"/>
          <w:lang w:val="sl-SI"/>
        </w:rPr>
        <w:t>j</w:t>
      </w:r>
      <w:r w:rsidRPr="00AA3DF0">
        <w:rPr>
          <w:rFonts w:ascii="Times New Roman" w:hAnsi="Times New Roman"/>
          <w:lang w:val="sl-SI"/>
        </w:rPr>
        <w:t>ekovi prim</w:t>
      </w:r>
      <w:r w:rsidR="005C298B" w:rsidRPr="00AA3DF0">
        <w:rPr>
          <w:rFonts w:ascii="Times New Roman" w:hAnsi="Times New Roman"/>
          <w:lang w:val="sl-SI"/>
        </w:rPr>
        <w:t>j</w:t>
      </w:r>
      <w:r w:rsidRPr="00AA3DF0">
        <w:rPr>
          <w:rFonts w:ascii="Times New Roman" w:hAnsi="Times New Roman"/>
          <w:lang w:val="sl-SI"/>
        </w:rPr>
        <w:t>enjuju istovremeno, treba povećati dozu varfarina i pojačati kontrolu terapije.</w:t>
      </w:r>
    </w:p>
    <w:p w14:paraId="3361F596" w14:textId="77777777" w:rsidR="000F1DCB" w:rsidRPr="00AA3DF0" w:rsidRDefault="000F1DCB" w:rsidP="00C92108">
      <w:pPr>
        <w:pStyle w:val="NoSpacing"/>
        <w:jc w:val="both"/>
        <w:rPr>
          <w:rFonts w:ascii="Times New Roman" w:hAnsi="Times New Roman"/>
          <w:lang w:val="sl-SI"/>
        </w:rPr>
      </w:pPr>
    </w:p>
    <w:p w14:paraId="3361F597" w14:textId="17028FBD"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Postoje male podgrupe l</w:t>
      </w:r>
      <w:r w:rsidR="005C298B" w:rsidRPr="00AA3DF0">
        <w:rPr>
          <w:rFonts w:ascii="Times New Roman" w:hAnsi="Times New Roman"/>
          <w:lang w:val="sl-SI"/>
        </w:rPr>
        <w:t>j</w:t>
      </w:r>
      <w:r w:rsidRPr="00AA3DF0">
        <w:rPr>
          <w:rFonts w:ascii="Times New Roman" w:hAnsi="Times New Roman"/>
          <w:lang w:val="sl-SI"/>
        </w:rPr>
        <w:t>ekova za koje je poznato da ulaze u interakcije; međutim njihovo kliničko dejstvo na INR je različito. U tim slučajevima se sav</w:t>
      </w:r>
      <w:r w:rsidR="005C298B" w:rsidRPr="00AA3DF0">
        <w:rPr>
          <w:rFonts w:ascii="Times New Roman" w:hAnsi="Times New Roman"/>
          <w:lang w:val="sl-SI"/>
        </w:rPr>
        <w:t>j</w:t>
      </w:r>
      <w:r w:rsidRPr="00AA3DF0">
        <w:rPr>
          <w:rFonts w:ascii="Times New Roman" w:hAnsi="Times New Roman"/>
          <w:lang w:val="sl-SI"/>
        </w:rPr>
        <w:t>etuje pojačan monitoring kod započinjanja i prekidanja terapije.</w:t>
      </w:r>
    </w:p>
    <w:p w14:paraId="3361F598" w14:textId="77777777" w:rsidR="000F1DCB" w:rsidRPr="00AA3DF0" w:rsidRDefault="000F1DCB" w:rsidP="00C92108">
      <w:pPr>
        <w:pStyle w:val="NoSpacing"/>
        <w:jc w:val="both"/>
        <w:rPr>
          <w:rFonts w:ascii="Times New Roman" w:hAnsi="Times New Roman"/>
          <w:color w:val="FF0000"/>
          <w:lang w:val="sl-SI"/>
        </w:rPr>
      </w:pPr>
    </w:p>
    <w:p w14:paraId="3361F599" w14:textId="58510DE4"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Treba takođe voditi računa u slučaju prestanka prim</w:t>
      </w:r>
      <w:r w:rsidR="005C298B" w:rsidRPr="00AA3DF0">
        <w:rPr>
          <w:rFonts w:ascii="Times New Roman" w:hAnsi="Times New Roman"/>
          <w:lang w:val="sl-SI"/>
        </w:rPr>
        <w:t>j</w:t>
      </w:r>
      <w:r w:rsidRPr="00AA3DF0">
        <w:rPr>
          <w:rFonts w:ascii="Times New Roman" w:hAnsi="Times New Roman"/>
          <w:lang w:val="sl-SI"/>
        </w:rPr>
        <w:t xml:space="preserve">ene ili smanjenja doze metaboličkog inhibitora ili induktora zbog tzv. </w:t>
      </w:r>
      <w:r w:rsidRPr="00AA3DF0">
        <w:rPr>
          <w:rFonts w:ascii="Times New Roman" w:hAnsi="Times New Roman"/>
          <w:i/>
          <w:lang w:val="sl-SI"/>
        </w:rPr>
        <w:t>offset</w:t>
      </w:r>
      <w:r w:rsidRPr="00AA3DF0">
        <w:rPr>
          <w:rFonts w:ascii="Times New Roman" w:hAnsi="Times New Roman"/>
          <w:lang w:val="sl-SI"/>
        </w:rPr>
        <w:t xml:space="preserve"> efekta.</w:t>
      </w:r>
    </w:p>
    <w:p w14:paraId="3361F59A" w14:textId="77777777" w:rsidR="000F1DCB" w:rsidRPr="00AA3DF0" w:rsidRDefault="000F1DCB" w:rsidP="00C92108">
      <w:pPr>
        <w:pStyle w:val="Header"/>
        <w:tabs>
          <w:tab w:val="clear" w:pos="4536"/>
          <w:tab w:val="clear" w:pos="9072"/>
          <w:tab w:val="left" w:pos="284"/>
        </w:tabs>
        <w:rPr>
          <w:szCs w:val="22"/>
          <w:lang w:val="sl-SI"/>
        </w:rPr>
      </w:pPr>
    </w:p>
    <w:p w14:paraId="3361F59C" w14:textId="57A49411" w:rsidR="000F1DCB" w:rsidRPr="00AA3DF0" w:rsidRDefault="000F1DCB" w:rsidP="005C298B">
      <w:pPr>
        <w:pStyle w:val="NoSpacing"/>
        <w:jc w:val="both"/>
        <w:rPr>
          <w:rFonts w:ascii="Times New Roman" w:hAnsi="Times New Roman"/>
          <w:lang w:val="sl-SI"/>
        </w:rPr>
      </w:pPr>
      <w:r w:rsidRPr="00AA3DF0">
        <w:rPr>
          <w:rFonts w:ascii="Times New Roman" w:hAnsi="Times New Roman"/>
          <w:lang w:val="sl-SI"/>
        </w:rPr>
        <w:lastRenderedPageBreak/>
        <w:t>U nastavku su navedeni l</w:t>
      </w:r>
      <w:r w:rsidR="005C298B" w:rsidRPr="00AA3DF0">
        <w:rPr>
          <w:rFonts w:ascii="Times New Roman" w:hAnsi="Times New Roman"/>
          <w:lang w:val="sl-SI"/>
        </w:rPr>
        <w:t>j</w:t>
      </w:r>
      <w:r w:rsidRPr="00AA3DF0">
        <w:rPr>
          <w:rFonts w:ascii="Times New Roman" w:hAnsi="Times New Roman"/>
          <w:lang w:val="sl-SI"/>
        </w:rPr>
        <w:t>ekovi za koje je poznato da klinički značajno interaguju sa varfarinom.</w:t>
      </w:r>
    </w:p>
    <w:p w14:paraId="3361F59E" w14:textId="77777777" w:rsidR="000F1DCB" w:rsidRPr="00AA3DF0" w:rsidRDefault="000F1DCB" w:rsidP="00C92108">
      <w:pPr>
        <w:pStyle w:val="NoSpacing"/>
        <w:jc w:val="both"/>
        <w:rPr>
          <w:rFonts w:ascii="Times New Roman" w:hAnsi="Times New Roman"/>
          <w:u w:val="single"/>
          <w:lang w:val="sl-SI"/>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0F1DCB" w:rsidRPr="00AA3DF0" w14:paraId="3361F5A0" w14:textId="77777777" w:rsidTr="00EB3D5F">
        <w:trPr>
          <w:trHeight w:val="525"/>
        </w:trPr>
        <w:tc>
          <w:tcPr>
            <w:tcW w:w="9540" w:type="dxa"/>
            <w:vAlign w:val="center"/>
          </w:tcPr>
          <w:p w14:paraId="3361F59F" w14:textId="5FD13973" w:rsidR="000F1DCB" w:rsidRPr="00AA3DF0" w:rsidRDefault="000F1DCB" w:rsidP="00EB3D5F">
            <w:pPr>
              <w:pStyle w:val="NoSpacing"/>
              <w:tabs>
                <w:tab w:val="left" w:pos="284"/>
              </w:tabs>
              <w:spacing w:before="120" w:after="120"/>
              <w:jc w:val="both"/>
              <w:rPr>
                <w:rFonts w:ascii="Times New Roman" w:hAnsi="Times New Roman"/>
                <w:b/>
                <w:lang w:val="sl-SI"/>
              </w:rPr>
            </w:pPr>
            <w:r w:rsidRPr="00AA3DF0">
              <w:rPr>
                <w:rFonts w:ascii="Times New Roman" w:hAnsi="Times New Roman"/>
                <w:b/>
                <w:lang w:val="sl-SI"/>
              </w:rPr>
              <w:t>L</w:t>
            </w:r>
            <w:r w:rsidR="005C298B" w:rsidRPr="00AA3DF0">
              <w:rPr>
                <w:rFonts w:ascii="Times New Roman" w:hAnsi="Times New Roman"/>
                <w:b/>
                <w:lang w:val="sl-SI"/>
              </w:rPr>
              <w:t>j</w:t>
            </w:r>
            <w:r w:rsidRPr="00AA3DF0">
              <w:rPr>
                <w:rFonts w:ascii="Times New Roman" w:hAnsi="Times New Roman"/>
                <w:b/>
                <w:lang w:val="sl-SI"/>
              </w:rPr>
              <w:t>ekovi koji pojačavaju dejstvo varfarina</w:t>
            </w:r>
          </w:p>
        </w:tc>
      </w:tr>
      <w:tr w:rsidR="000F1DCB" w:rsidRPr="00AA3DF0" w14:paraId="3361F5A5" w14:textId="77777777" w:rsidTr="00EB3D5F">
        <w:trPr>
          <w:trHeight w:val="1794"/>
        </w:trPr>
        <w:tc>
          <w:tcPr>
            <w:tcW w:w="9540" w:type="dxa"/>
            <w:vAlign w:val="center"/>
          </w:tcPr>
          <w:p w14:paraId="3361F5A1" w14:textId="77777777" w:rsidR="000F1DCB" w:rsidRPr="00AA3DF0" w:rsidRDefault="000F1DCB" w:rsidP="00EB3D5F">
            <w:pPr>
              <w:pStyle w:val="NoSpacing"/>
              <w:tabs>
                <w:tab w:val="left" w:pos="284"/>
              </w:tabs>
              <w:spacing w:before="120" w:after="120"/>
              <w:rPr>
                <w:rFonts w:ascii="Times New Roman" w:hAnsi="Times New Roman"/>
                <w:lang w:val="sl-SI"/>
              </w:rPr>
            </w:pPr>
            <w:r w:rsidRPr="00AA3DF0">
              <w:rPr>
                <w:rFonts w:ascii="Times New Roman" w:hAnsi="Times New Roman"/>
                <w:lang w:val="sl-SI"/>
              </w:rPr>
              <w:t>alopurinol, kapecitabin, erlotinib, disulfiram, azolni antimikotici (ketokonazol, flukonazol itd.)</w:t>
            </w:r>
          </w:p>
          <w:p w14:paraId="3361F5A2" w14:textId="21B7EE41" w:rsidR="000F1DCB" w:rsidRPr="00AA3DF0" w:rsidRDefault="000F1DCB" w:rsidP="00EB3D5F">
            <w:pPr>
              <w:pStyle w:val="NoSpacing"/>
              <w:tabs>
                <w:tab w:val="left" w:pos="284"/>
              </w:tabs>
              <w:spacing w:before="120" w:after="120"/>
              <w:rPr>
                <w:rFonts w:ascii="Times New Roman" w:hAnsi="Times New Roman"/>
                <w:lang w:val="sl-SI"/>
              </w:rPr>
            </w:pPr>
            <w:r w:rsidRPr="00AA3DF0">
              <w:rPr>
                <w:rFonts w:ascii="Times New Roman" w:hAnsi="Times New Roman"/>
                <w:lang w:val="sl-SI"/>
              </w:rPr>
              <w:t>omeprazol, paracetamol (produžena redovna prim</w:t>
            </w:r>
            <w:r w:rsidR="00FA31E0" w:rsidRPr="00AA3DF0">
              <w:rPr>
                <w:rFonts w:ascii="Times New Roman" w:hAnsi="Times New Roman"/>
                <w:lang w:val="sl-SI"/>
              </w:rPr>
              <w:t>j</w:t>
            </w:r>
            <w:r w:rsidRPr="00AA3DF0">
              <w:rPr>
                <w:rFonts w:ascii="Times New Roman" w:hAnsi="Times New Roman"/>
                <w:lang w:val="sl-SI"/>
              </w:rPr>
              <w:t>ena), propafenon, amjodaron, tamoksifen, metilfenidat</w:t>
            </w:r>
          </w:p>
          <w:p w14:paraId="3361F5A3" w14:textId="77777777" w:rsidR="000F1DCB" w:rsidRPr="00AA3DF0" w:rsidRDefault="000F1DCB" w:rsidP="00EB3D5F">
            <w:pPr>
              <w:pStyle w:val="NoSpacing"/>
              <w:tabs>
                <w:tab w:val="left" w:pos="284"/>
              </w:tabs>
              <w:spacing w:before="120" w:after="120"/>
              <w:rPr>
                <w:rFonts w:ascii="Times New Roman" w:hAnsi="Times New Roman"/>
                <w:lang w:val="sl-SI"/>
              </w:rPr>
            </w:pPr>
            <w:r w:rsidRPr="00AA3DF0">
              <w:rPr>
                <w:rFonts w:ascii="Times New Roman" w:hAnsi="Times New Roman"/>
                <w:lang w:val="sl-SI"/>
              </w:rPr>
              <w:t>zafirlukast, fibrati, statini (ne pravastatin; prvenstveno se odnosi na fluvastatin)</w:t>
            </w:r>
          </w:p>
          <w:p w14:paraId="3361F5A4" w14:textId="77777777" w:rsidR="000F1DCB" w:rsidRPr="00AA3DF0" w:rsidRDefault="000F1DCB" w:rsidP="00EB3D5F">
            <w:pPr>
              <w:pStyle w:val="NoSpacing"/>
              <w:tabs>
                <w:tab w:val="left" w:pos="284"/>
              </w:tabs>
              <w:spacing w:before="120" w:after="120"/>
              <w:rPr>
                <w:rFonts w:ascii="Times New Roman" w:hAnsi="Times New Roman"/>
                <w:lang w:val="sl-SI"/>
              </w:rPr>
            </w:pPr>
            <w:r w:rsidRPr="00AA3DF0">
              <w:rPr>
                <w:rFonts w:ascii="Times New Roman" w:hAnsi="Times New Roman"/>
                <w:lang w:val="sl-SI"/>
              </w:rPr>
              <w:t xml:space="preserve">eritromicin, sulfametoksazol, metronidazol </w:t>
            </w:r>
          </w:p>
        </w:tc>
      </w:tr>
      <w:tr w:rsidR="000F1DCB" w:rsidRPr="00AA3DF0" w14:paraId="3361F5A7" w14:textId="77777777" w:rsidTr="00EB3D5F">
        <w:trPr>
          <w:trHeight w:val="444"/>
        </w:trPr>
        <w:tc>
          <w:tcPr>
            <w:tcW w:w="9540" w:type="dxa"/>
            <w:vAlign w:val="center"/>
          </w:tcPr>
          <w:p w14:paraId="3361F5A6" w14:textId="7895D27B" w:rsidR="000F1DCB" w:rsidRPr="00AA3DF0" w:rsidRDefault="000F1DCB" w:rsidP="00EB3D5F">
            <w:pPr>
              <w:pStyle w:val="NoSpacing"/>
              <w:tabs>
                <w:tab w:val="left" w:pos="284"/>
              </w:tabs>
              <w:spacing w:before="120" w:after="120"/>
              <w:jc w:val="both"/>
              <w:rPr>
                <w:rFonts w:ascii="Times New Roman" w:hAnsi="Times New Roman"/>
                <w:b/>
                <w:lang w:val="sl-SI"/>
              </w:rPr>
            </w:pPr>
            <w:r w:rsidRPr="00AA3DF0">
              <w:rPr>
                <w:rFonts w:ascii="Times New Roman" w:hAnsi="Times New Roman"/>
                <w:b/>
                <w:lang w:val="sl-SI"/>
              </w:rPr>
              <w:t>L</w:t>
            </w:r>
            <w:r w:rsidR="005C298B" w:rsidRPr="00AA3DF0">
              <w:rPr>
                <w:rFonts w:ascii="Times New Roman" w:hAnsi="Times New Roman"/>
                <w:b/>
                <w:lang w:val="sl-SI"/>
              </w:rPr>
              <w:t>j</w:t>
            </w:r>
            <w:r w:rsidRPr="00AA3DF0">
              <w:rPr>
                <w:rFonts w:ascii="Times New Roman" w:hAnsi="Times New Roman"/>
                <w:b/>
                <w:lang w:val="sl-SI"/>
              </w:rPr>
              <w:t>ekovi koji antagonizuju dejstvo varfarina</w:t>
            </w:r>
          </w:p>
        </w:tc>
      </w:tr>
      <w:tr w:rsidR="000F1DCB" w:rsidRPr="00AA3DF0" w14:paraId="3361F5A9" w14:textId="77777777" w:rsidTr="00EB3D5F">
        <w:trPr>
          <w:trHeight w:val="597"/>
        </w:trPr>
        <w:tc>
          <w:tcPr>
            <w:tcW w:w="9540" w:type="dxa"/>
            <w:vAlign w:val="center"/>
          </w:tcPr>
          <w:p w14:paraId="3361F5A8" w14:textId="77777777" w:rsidR="000F1DCB" w:rsidRPr="00AA3DF0" w:rsidRDefault="000F1DCB" w:rsidP="004A4CC5">
            <w:pPr>
              <w:pStyle w:val="NoSpacing"/>
              <w:tabs>
                <w:tab w:val="left" w:pos="284"/>
              </w:tabs>
              <w:spacing w:before="120" w:after="120"/>
              <w:jc w:val="both"/>
              <w:rPr>
                <w:rFonts w:ascii="Times New Roman" w:hAnsi="Times New Roman"/>
                <w:lang w:val="sl-SI"/>
              </w:rPr>
            </w:pPr>
            <w:r w:rsidRPr="00AA3DF0">
              <w:rPr>
                <w:rFonts w:ascii="Times New Roman" w:hAnsi="Times New Roman"/>
                <w:lang w:val="sl-SI"/>
              </w:rPr>
              <w:t>barbiturati, primidon, karbamazepin, grizeofulvin, oralni kontraceptivi, rifampicin, azatioprin, fenitoin</w:t>
            </w:r>
          </w:p>
        </w:tc>
      </w:tr>
      <w:tr w:rsidR="000F1DCB" w:rsidRPr="00AA3DF0" w14:paraId="3361F5AB" w14:textId="77777777" w:rsidTr="00EB3D5F">
        <w:trPr>
          <w:trHeight w:val="426"/>
        </w:trPr>
        <w:tc>
          <w:tcPr>
            <w:tcW w:w="9540" w:type="dxa"/>
            <w:vAlign w:val="center"/>
          </w:tcPr>
          <w:p w14:paraId="3361F5AA" w14:textId="26B8B37E" w:rsidR="000F1DCB" w:rsidRPr="00AA3DF0" w:rsidRDefault="000F1DCB" w:rsidP="00EB3D5F">
            <w:pPr>
              <w:pStyle w:val="NoSpacing"/>
              <w:tabs>
                <w:tab w:val="left" w:pos="284"/>
              </w:tabs>
              <w:spacing w:before="120" w:after="120"/>
              <w:jc w:val="both"/>
              <w:rPr>
                <w:rFonts w:ascii="Times New Roman" w:hAnsi="Times New Roman"/>
                <w:b/>
                <w:lang w:val="sl-SI"/>
              </w:rPr>
            </w:pPr>
            <w:r w:rsidRPr="00AA3DF0">
              <w:rPr>
                <w:rFonts w:ascii="Times New Roman" w:hAnsi="Times New Roman"/>
                <w:b/>
                <w:lang w:val="sl-SI"/>
              </w:rPr>
              <w:t>L</w:t>
            </w:r>
            <w:r w:rsidR="005C298B" w:rsidRPr="00AA3DF0">
              <w:rPr>
                <w:rFonts w:ascii="Times New Roman" w:hAnsi="Times New Roman"/>
                <w:b/>
                <w:lang w:val="sl-SI"/>
              </w:rPr>
              <w:t>j</w:t>
            </w:r>
            <w:r w:rsidRPr="00AA3DF0">
              <w:rPr>
                <w:rFonts w:ascii="Times New Roman" w:hAnsi="Times New Roman"/>
                <w:b/>
                <w:lang w:val="sl-SI"/>
              </w:rPr>
              <w:t>ekovi sa varijabilnim dejstvom</w:t>
            </w:r>
          </w:p>
        </w:tc>
      </w:tr>
      <w:tr w:rsidR="000F1DCB" w:rsidRPr="00AA3DF0" w14:paraId="3361F5AD" w14:textId="77777777" w:rsidTr="00EB3D5F">
        <w:trPr>
          <w:trHeight w:val="633"/>
        </w:trPr>
        <w:tc>
          <w:tcPr>
            <w:tcW w:w="9540" w:type="dxa"/>
            <w:vAlign w:val="center"/>
          </w:tcPr>
          <w:p w14:paraId="3361F5AC" w14:textId="77777777" w:rsidR="000F1DCB" w:rsidRPr="00AA3DF0" w:rsidRDefault="000F1DCB" w:rsidP="00EB3D5F">
            <w:pPr>
              <w:pStyle w:val="NoSpacing"/>
              <w:tabs>
                <w:tab w:val="left" w:pos="284"/>
              </w:tabs>
              <w:spacing w:before="120" w:after="120"/>
              <w:jc w:val="both"/>
              <w:rPr>
                <w:rFonts w:ascii="Times New Roman" w:hAnsi="Times New Roman"/>
                <w:lang w:val="sl-SI"/>
              </w:rPr>
            </w:pPr>
            <w:r w:rsidRPr="00AA3DF0">
              <w:rPr>
                <w:rFonts w:ascii="Times New Roman" w:hAnsi="Times New Roman"/>
                <w:lang w:val="sl-SI"/>
              </w:rPr>
              <w:t>kortikosteroidi, nevirapin, ritonavir</w:t>
            </w:r>
          </w:p>
        </w:tc>
      </w:tr>
    </w:tbl>
    <w:p w14:paraId="3361F5AE" w14:textId="77777777" w:rsidR="000F1DCB" w:rsidRPr="00AA3DF0" w:rsidRDefault="000F1DCB" w:rsidP="00C92108">
      <w:pPr>
        <w:pStyle w:val="NoSpacing"/>
        <w:jc w:val="both"/>
        <w:rPr>
          <w:rFonts w:ascii="Times New Roman" w:hAnsi="Times New Roman"/>
          <w:u w:val="single"/>
          <w:lang w:val="sl-SI"/>
        </w:rPr>
      </w:pPr>
    </w:p>
    <w:p w14:paraId="3361F5AF" w14:textId="16CAB787" w:rsidR="000F1DCB" w:rsidRPr="00AA3DF0" w:rsidRDefault="000F1DCB" w:rsidP="00C92108">
      <w:pPr>
        <w:pStyle w:val="NoSpacing"/>
        <w:jc w:val="both"/>
        <w:rPr>
          <w:rFonts w:ascii="Times New Roman" w:hAnsi="Times New Roman"/>
          <w:b/>
          <w:lang w:val="sl-SI"/>
        </w:rPr>
      </w:pPr>
      <w:r w:rsidRPr="00AA3DF0">
        <w:rPr>
          <w:rFonts w:ascii="Times New Roman" w:hAnsi="Times New Roman"/>
          <w:b/>
          <w:lang w:val="sl-SI"/>
        </w:rPr>
        <w:t>Interakcije sa ostalim l</w:t>
      </w:r>
      <w:r w:rsidR="005C298B" w:rsidRPr="00AA3DF0">
        <w:rPr>
          <w:rFonts w:ascii="Times New Roman" w:hAnsi="Times New Roman"/>
          <w:b/>
          <w:lang w:val="sl-SI"/>
        </w:rPr>
        <w:t>j</w:t>
      </w:r>
      <w:r w:rsidRPr="00AA3DF0">
        <w:rPr>
          <w:rFonts w:ascii="Times New Roman" w:hAnsi="Times New Roman"/>
          <w:b/>
          <w:lang w:val="sl-SI"/>
        </w:rPr>
        <w:t>ekovima</w:t>
      </w:r>
    </w:p>
    <w:p w14:paraId="3361F5B0" w14:textId="77777777" w:rsidR="000F1DCB" w:rsidRPr="00AA3DF0" w:rsidRDefault="000F1DCB" w:rsidP="00C92108">
      <w:pPr>
        <w:pStyle w:val="Header"/>
        <w:tabs>
          <w:tab w:val="clear" w:pos="4536"/>
          <w:tab w:val="clear" w:pos="9072"/>
          <w:tab w:val="left" w:pos="284"/>
        </w:tabs>
        <w:rPr>
          <w:szCs w:val="22"/>
          <w:lang w:val="sl-SI"/>
        </w:rPr>
      </w:pPr>
    </w:p>
    <w:p w14:paraId="3361F5B1" w14:textId="77777777"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Antibiotici širokog spektra mogu pojačati dejstvo varfarina dovodeći do smanjenja digestivne flore koja stvara vitamin K. Slično tome, orlistat može da smanji resorpciju K vitamina. Moguće je da holestiramin i sukralfat smanjuju resorpciju varfarina.</w:t>
      </w:r>
    </w:p>
    <w:p w14:paraId="3361F5B2" w14:textId="77777777" w:rsidR="000F1DCB" w:rsidRPr="00AA3DF0" w:rsidRDefault="000F1DCB" w:rsidP="00C92108">
      <w:pPr>
        <w:pStyle w:val="NoSpacing"/>
        <w:jc w:val="both"/>
        <w:rPr>
          <w:rFonts w:ascii="Times New Roman" w:hAnsi="Times New Roman"/>
          <w:lang w:val="sl-SI"/>
        </w:rPr>
      </w:pPr>
    </w:p>
    <w:p w14:paraId="3361F5B3" w14:textId="24E43CD0"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Povećana vr</w:t>
      </w:r>
      <w:r w:rsidR="005C298B" w:rsidRPr="00AA3DF0">
        <w:rPr>
          <w:rFonts w:ascii="Times New Roman" w:hAnsi="Times New Roman"/>
          <w:lang w:val="sl-SI"/>
        </w:rPr>
        <w:t>ij</w:t>
      </w:r>
      <w:r w:rsidRPr="00AA3DF0">
        <w:rPr>
          <w:rFonts w:ascii="Times New Roman" w:hAnsi="Times New Roman"/>
          <w:lang w:val="sl-SI"/>
        </w:rPr>
        <w:t>ednost INR je zab</w:t>
      </w:r>
      <w:r w:rsidR="005C298B" w:rsidRPr="00AA3DF0">
        <w:rPr>
          <w:rFonts w:ascii="Times New Roman" w:hAnsi="Times New Roman"/>
          <w:lang w:val="sl-SI"/>
        </w:rPr>
        <w:t>i</w:t>
      </w:r>
      <w:r w:rsidRPr="00AA3DF0">
        <w:rPr>
          <w:rFonts w:ascii="Times New Roman" w:hAnsi="Times New Roman"/>
          <w:lang w:val="sl-SI"/>
        </w:rPr>
        <w:t>l</w:t>
      </w:r>
      <w:r w:rsidR="005C298B" w:rsidRPr="00AA3DF0">
        <w:rPr>
          <w:rFonts w:ascii="Times New Roman" w:hAnsi="Times New Roman"/>
          <w:lang w:val="sl-SI"/>
        </w:rPr>
        <w:t>j</w:t>
      </w:r>
      <w:r w:rsidRPr="00AA3DF0">
        <w:rPr>
          <w:rFonts w:ascii="Times New Roman" w:hAnsi="Times New Roman"/>
          <w:lang w:val="sl-SI"/>
        </w:rPr>
        <w:t>ežena kod pacijenata koji su uzimali glukozamin i varfarin. Ova kombinacija l</w:t>
      </w:r>
      <w:r w:rsidR="005C298B" w:rsidRPr="00AA3DF0">
        <w:rPr>
          <w:rFonts w:ascii="Times New Roman" w:hAnsi="Times New Roman"/>
          <w:lang w:val="sl-SI"/>
        </w:rPr>
        <w:t>j</w:t>
      </w:r>
      <w:r w:rsidRPr="00AA3DF0">
        <w:rPr>
          <w:rFonts w:ascii="Times New Roman" w:hAnsi="Times New Roman"/>
          <w:lang w:val="sl-SI"/>
        </w:rPr>
        <w:t>ekova se ne preporučuje.</w:t>
      </w:r>
    </w:p>
    <w:p w14:paraId="3361F5B4" w14:textId="77777777" w:rsidR="000F1DCB" w:rsidRPr="00AA3DF0" w:rsidRDefault="000F1DCB" w:rsidP="00C92108">
      <w:pPr>
        <w:pStyle w:val="Header"/>
        <w:tabs>
          <w:tab w:val="clear" w:pos="4536"/>
          <w:tab w:val="clear" w:pos="9072"/>
          <w:tab w:val="left" w:pos="284"/>
        </w:tabs>
        <w:rPr>
          <w:szCs w:val="22"/>
          <w:lang w:val="sl-SI"/>
        </w:rPr>
      </w:pPr>
    </w:p>
    <w:p w14:paraId="3361F5B5" w14:textId="77777777" w:rsidR="000F1DCB" w:rsidRPr="00AA3DF0" w:rsidRDefault="000F1DCB" w:rsidP="00C92108">
      <w:pPr>
        <w:pStyle w:val="NoSpacing"/>
        <w:jc w:val="both"/>
        <w:rPr>
          <w:rFonts w:ascii="Times New Roman" w:hAnsi="Times New Roman"/>
          <w:b/>
          <w:lang w:val="sl-SI"/>
        </w:rPr>
      </w:pPr>
      <w:r w:rsidRPr="00AA3DF0">
        <w:rPr>
          <w:rFonts w:ascii="Times New Roman" w:hAnsi="Times New Roman"/>
          <w:b/>
          <w:lang w:val="sl-SI"/>
        </w:rPr>
        <w:t>Interakcije sa biljnim preparatima</w:t>
      </w:r>
    </w:p>
    <w:p w14:paraId="3361F5B6" w14:textId="77777777" w:rsidR="000F1DCB" w:rsidRPr="00AA3DF0" w:rsidRDefault="000F1DCB" w:rsidP="00C92108">
      <w:pPr>
        <w:pStyle w:val="Header"/>
        <w:tabs>
          <w:tab w:val="clear" w:pos="4536"/>
          <w:tab w:val="clear" w:pos="9072"/>
          <w:tab w:val="left" w:pos="284"/>
        </w:tabs>
        <w:rPr>
          <w:szCs w:val="22"/>
          <w:lang w:val="sl-SI"/>
        </w:rPr>
      </w:pPr>
    </w:p>
    <w:p w14:paraId="3361F5B7" w14:textId="0294600A"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Biljni preparati koji sadrže kantarion (</w:t>
      </w:r>
      <w:r w:rsidRPr="00AA3DF0">
        <w:rPr>
          <w:rFonts w:ascii="Times New Roman" w:hAnsi="Times New Roman"/>
          <w:i/>
          <w:lang w:val="sl-SI"/>
        </w:rPr>
        <w:t>Hypericum perforatum</w:t>
      </w:r>
      <w:r w:rsidRPr="00AA3DF0">
        <w:rPr>
          <w:rFonts w:ascii="Times New Roman" w:hAnsi="Times New Roman"/>
          <w:lang w:val="sl-SI"/>
        </w:rPr>
        <w:t>) se ne sm</w:t>
      </w:r>
      <w:r w:rsidR="005C298B" w:rsidRPr="00AA3DF0">
        <w:rPr>
          <w:rFonts w:ascii="Times New Roman" w:hAnsi="Times New Roman"/>
          <w:lang w:val="sl-SI"/>
        </w:rPr>
        <w:t>i</w:t>
      </w:r>
      <w:r w:rsidRPr="00AA3DF0">
        <w:rPr>
          <w:rFonts w:ascii="Times New Roman" w:hAnsi="Times New Roman"/>
          <w:lang w:val="sl-SI"/>
        </w:rPr>
        <w:t>ju uzimati tokom prim</w:t>
      </w:r>
      <w:r w:rsidR="005C298B" w:rsidRPr="00AA3DF0">
        <w:rPr>
          <w:rFonts w:ascii="Times New Roman" w:hAnsi="Times New Roman"/>
          <w:lang w:val="sl-SI"/>
        </w:rPr>
        <w:t>j</w:t>
      </w:r>
      <w:r w:rsidRPr="00AA3DF0">
        <w:rPr>
          <w:rFonts w:ascii="Times New Roman" w:hAnsi="Times New Roman"/>
          <w:lang w:val="sl-SI"/>
        </w:rPr>
        <w:t xml:space="preserve">ene varfarina zbog dokazanog rizika od smanjenja koncentracije varfarina u plazmi i slabljenja njegovog kliničkog </w:t>
      </w:r>
      <w:r w:rsidR="0071015B" w:rsidRPr="00AA3DF0">
        <w:rPr>
          <w:rFonts w:ascii="Times New Roman" w:hAnsi="Times New Roman"/>
          <w:lang w:val="sl-SI"/>
        </w:rPr>
        <w:t>dejstva</w:t>
      </w:r>
      <w:r w:rsidRPr="00AA3DF0">
        <w:rPr>
          <w:rFonts w:ascii="Times New Roman" w:hAnsi="Times New Roman"/>
          <w:lang w:val="sl-SI"/>
        </w:rPr>
        <w:t>.</w:t>
      </w:r>
    </w:p>
    <w:p w14:paraId="3361F5B8" w14:textId="77777777" w:rsidR="000F1DCB" w:rsidRPr="00AA3DF0" w:rsidRDefault="000F1DCB" w:rsidP="00C92108">
      <w:pPr>
        <w:pStyle w:val="Header"/>
        <w:tabs>
          <w:tab w:val="clear" w:pos="4536"/>
          <w:tab w:val="clear" w:pos="9072"/>
          <w:tab w:val="left" w:pos="284"/>
        </w:tabs>
        <w:rPr>
          <w:szCs w:val="22"/>
          <w:lang w:val="sl-SI"/>
        </w:rPr>
      </w:pPr>
    </w:p>
    <w:p w14:paraId="3361F5B9" w14:textId="0D327AC0"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 xml:space="preserve">Mnogi drugi biljni proizvodi imaju teorijski </w:t>
      </w:r>
      <w:r w:rsidR="0071015B" w:rsidRPr="00AA3DF0">
        <w:rPr>
          <w:rFonts w:ascii="Times New Roman" w:hAnsi="Times New Roman"/>
          <w:lang w:val="sl-SI"/>
        </w:rPr>
        <w:t>uticaj</w:t>
      </w:r>
      <w:r w:rsidRPr="00AA3DF0">
        <w:rPr>
          <w:rFonts w:ascii="Times New Roman" w:hAnsi="Times New Roman"/>
          <w:lang w:val="sl-SI"/>
        </w:rPr>
        <w:t xml:space="preserve"> na varfarin, međutim većina ovih interakcija nije dokazana. Uopšteno govoreći, pacijenti koji koriste varfarin, trebalo bi da izb</w:t>
      </w:r>
      <w:r w:rsidR="005C298B" w:rsidRPr="00AA3DF0">
        <w:rPr>
          <w:rFonts w:ascii="Times New Roman" w:hAnsi="Times New Roman"/>
          <w:lang w:val="sl-SI"/>
        </w:rPr>
        <w:t>j</w:t>
      </w:r>
      <w:r w:rsidRPr="00AA3DF0">
        <w:rPr>
          <w:rFonts w:ascii="Times New Roman" w:hAnsi="Times New Roman"/>
          <w:lang w:val="sl-SI"/>
        </w:rPr>
        <w:t>egavaju istovremenu prim</w:t>
      </w:r>
      <w:r w:rsidR="005C298B" w:rsidRPr="00AA3DF0">
        <w:rPr>
          <w:rFonts w:ascii="Times New Roman" w:hAnsi="Times New Roman"/>
          <w:lang w:val="sl-SI"/>
        </w:rPr>
        <w:t>j</w:t>
      </w:r>
      <w:r w:rsidRPr="00AA3DF0">
        <w:rPr>
          <w:rFonts w:ascii="Times New Roman" w:hAnsi="Times New Roman"/>
          <w:lang w:val="sl-SI"/>
        </w:rPr>
        <w:t>enu biljnih l</w:t>
      </w:r>
      <w:r w:rsidR="005C298B" w:rsidRPr="00AA3DF0">
        <w:rPr>
          <w:rFonts w:ascii="Times New Roman" w:hAnsi="Times New Roman"/>
          <w:lang w:val="sl-SI"/>
        </w:rPr>
        <w:t>j</w:t>
      </w:r>
      <w:r w:rsidRPr="00AA3DF0">
        <w:rPr>
          <w:rFonts w:ascii="Times New Roman" w:hAnsi="Times New Roman"/>
          <w:lang w:val="sl-SI"/>
        </w:rPr>
        <w:t>ekova i dodataka ishrani. Treba im reći da potraže sav</w:t>
      </w:r>
      <w:r w:rsidR="005C298B" w:rsidRPr="00AA3DF0">
        <w:rPr>
          <w:rFonts w:ascii="Times New Roman" w:hAnsi="Times New Roman"/>
          <w:lang w:val="sl-SI"/>
        </w:rPr>
        <w:t>j</w:t>
      </w:r>
      <w:r w:rsidRPr="00AA3DF0">
        <w:rPr>
          <w:rFonts w:ascii="Times New Roman" w:hAnsi="Times New Roman"/>
          <w:lang w:val="sl-SI"/>
        </w:rPr>
        <w:t>et l</w:t>
      </w:r>
      <w:r w:rsidR="005C298B" w:rsidRPr="00AA3DF0">
        <w:rPr>
          <w:rFonts w:ascii="Times New Roman" w:hAnsi="Times New Roman"/>
          <w:lang w:val="sl-SI"/>
        </w:rPr>
        <w:t>j</w:t>
      </w:r>
      <w:r w:rsidRPr="00AA3DF0">
        <w:rPr>
          <w:rFonts w:ascii="Times New Roman" w:hAnsi="Times New Roman"/>
          <w:lang w:val="sl-SI"/>
        </w:rPr>
        <w:t>ekara ako uzimaju nešto od navedenog, pošto se u tom slučaju preporučuje češći monitoring.</w:t>
      </w:r>
    </w:p>
    <w:p w14:paraId="3361F5BA" w14:textId="77777777" w:rsidR="000F1DCB" w:rsidRPr="00AA3DF0" w:rsidRDefault="000F1DCB" w:rsidP="00C92108">
      <w:pPr>
        <w:pStyle w:val="NoSpacing"/>
        <w:jc w:val="both"/>
        <w:rPr>
          <w:rFonts w:ascii="Times New Roman" w:hAnsi="Times New Roman"/>
          <w:lang w:val="sl-SI"/>
        </w:rPr>
      </w:pPr>
    </w:p>
    <w:p w14:paraId="3361F5BB" w14:textId="77777777" w:rsidR="000F1DCB" w:rsidRPr="00AA3DF0" w:rsidRDefault="000F1DCB" w:rsidP="00C92108">
      <w:pPr>
        <w:pStyle w:val="NoSpacing"/>
        <w:jc w:val="both"/>
        <w:rPr>
          <w:rFonts w:ascii="Times New Roman" w:hAnsi="Times New Roman"/>
          <w:b/>
          <w:lang w:val="sl-SI"/>
        </w:rPr>
      </w:pPr>
      <w:r w:rsidRPr="00AA3DF0">
        <w:rPr>
          <w:rFonts w:ascii="Times New Roman" w:hAnsi="Times New Roman"/>
          <w:b/>
          <w:lang w:val="sl-SI"/>
        </w:rPr>
        <w:t>Alkohol</w:t>
      </w:r>
    </w:p>
    <w:p w14:paraId="3361F5BC" w14:textId="77777777" w:rsidR="000F1DCB" w:rsidRPr="00AA3DF0" w:rsidRDefault="000F1DCB" w:rsidP="00C92108">
      <w:pPr>
        <w:pStyle w:val="NoSpacing"/>
        <w:jc w:val="both"/>
        <w:rPr>
          <w:rFonts w:ascii="Times New Roman" w:hAnsi="Times New Roman"/>
          <w:lang w:val="sl-SI"/>
        </w:rPr>
      </w:pPr>
    </w:p>
    <w:p w14:paraId="3361F5BD" w14:textId="5C6A6172"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Akutna ingestija velike količine alkohola može da inhibira metabolizam varfarina i poveća vr</w:t>
      </w:r>
      <w:r w:rsidR="005C298B" w:rsidRPr="00AA3DF0">
        <w:rPr>
          <w:rFonts w:ascii="Times New Roman" w:hAnsi="Times New Roman"/>
          <w:lang w:val="sl-SI"/>
        </w:rPr>
        <w:t>ij</w:t>
      </w:r>
      <w:r w:rsidRPr="00AA3DF0">
        <w:rPr>
          <w:rFonts w:ascii="Times New Roman" w:hAnsi="Times New Roman"/>
          <w:lang w:val="sl-SI"/>
        </w:rPr>
        <w:t>ednost INR. Nasuprot tome, hronični unos velikih količina alkohola može da indukuje metabolizam varfarina. Um</w:t>
      </w:r>
      <w:r w:rsidR="005C298B" w:rsidRPr="00AA3DF0">
        <w:rPr>
          <w:rFonts w:ascii="Times New Roman" w:hAnsi="Times New Roman"/>
          <w:lang w:val="sl-SI"/>
        </w:rPr>
        <w:t>j</w:t>
      </w:r>
      <w:r w:rsidRPr="00AA3DF0">
        <w:rPr>
          <w:rFonts w:ascii="Times New Roman" w:hAnsi="Times New Roman"/>
          <w:lang w:val="sl-SI"/>
        </w:rPr>
        <w:t>ereno konzumiranje alkohola se može dozvoliti.</w:t>
      </w:r>
    </w:p>
    <w:p w14:paraId="3361F5BE" w14:textId="77777777" w:rsidR="000F1DCB" w:rsidRPr="00AA3DF0" w:rsidRDefault="000F1DCB" w:rsidP="00C92108">
      <w:pPr>
        <w:pStyle w:val="NoSpacing"/>
        <w:jc w:val="both"/>
        <w:rPr>
          <w:rFonts w:ascii="Times New Roman" w:hAnsi="Times New Roman"/>
          <w:lang w:val="sl-SI"/>
        </w:rPr>
      </w:pPr>
    </w:p>
    <w:p w14:paraId="3361F5BF" w14:textId="77777777" w:rsidR="000F1DCB" w:rsidRPr="00AA3DF0" w:rsidRDefault="000F1DCB" w:rsidP="00C92108">
      <w:pPr>
        <w:pStyle w:val="NoSpacing"/>
        <w:jc w:val="both"/>
        <w:rPr>
          <w:rFonts w:ascii="Times New Roman" w:hAnsi="Times New Roman"/>
          <w:b/>
          <w:lang w:val="sl-SI"/>
        </w:rPr>
      </w:pPr>
      <w:r w:rsidRPr="00AA3DF0">
        <w:rPr>
          <w:rFonts w:ascii="Times New Roman" w:hAnsi="Times New Roman"/>
          <w:b/>
          <w:lang w:val="sl-SI"/>
        </w:rPr>
        <w:t>Interakcije sa hranom i dodacima ishrani</w:t>
      </w:r>
    </w:p>
    <w:p w14:paraId="3361F5C0" w14:textId="77777777" w:rsidR="000F1DCB" w:rsidRPr="00AA3DF0" w:rsidRDefault="000F1DCB" w:rsidP="00C92108">
      <w:pPr>
        <w:pStyle w:val="Header"/>
        <w:tabs>
          <w:tab w:val="clear" w:pos="4536"/>
          <w:tab w:val="clear" w:pos="9072"/>
          <w:tab w:val="left" w:pos="284"/>
        </w:tabs>
        <w:rPr>
          <w:szCs w:val="22"/>
          <w:lang w:val="sl-SI"/>
        </w:rPr>
      </w:pPr>
    </w:p>
    <w:p w14:paraId="3361F5C1" w14:textId="5DD8B3B1"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Individualni slučajevi ukazuju na moguće interakcije varfarina i soka od brusnice; u većini slučajeva vode ka povećanju INR ili epizodi krvarenja. Pacijente treba sav</w:t>
      </w:r>
      <w:r w:rsidR="005C298B" w:rsidRPr="00AA3DF0">
        <w:rPr>
          <w:rFonts w:ascii="Times New Roman" w:hAnsi="Times New Roman"/>
          <w:lang w:val="sl-SI"/>
        </w:rPr>
        <w:t>j</w:t>
      </w:r>
      <w:r w:rsidRPr="00AA3DF0">
        <w:rPr>
          <w:rFonts w:ascii="Times New Roman" w:hAnsi="Times New Roman"/>
          <w:lang w:val="sl-SI"/>
        </w:rPr>
        <w:t>etovati da izb</w:t>
      </w:r>
      <w:r w:rsidR="005C298B" w:rsidRPr="00AA3DF0">
        <w:rPr>
          <w:rFonts w:ascii="Times New Roman" w:hAnsi="Times New Roman"/>
          <w:lang w:val="sl-SI"/>
        </w:rPr>
        <w:t>j</w:t>
      </w:r>
      <w:r w:rsidRPr="00AA3DF0">
        <w:rPr>
          <w:rFonts w:ascii="Times New Roman" w:hAnsi="Times New Roman"/>
          <w:lang w:val="sl-SI"/>
        </w:rPr>
        <w:t>egavaju proizvode od brusnice. Pojačan nadzor i kontrolu INR treba uzeti u obzir za svakog pacijenta koji koristi varfarin i redovno uzima sok od brusnice.</w:t>
      </w:r>
    </w:p>
    <w:p w14:paraId="3361F5C2" w14:textId="77777777" w:rsidR="000F1DCB" w:rsidRPr="00AA3DF0" w:rsidRDefault="000F1DCB" w:rsidP="00C92108">
      <w:pPr>
        <w:pStyle w:val="NoSpacing"/>
        <w:jc w:val="both"/>
        <w:rPr>
          <w:rFonts w:ascii="Times New Roman" w:hAnsi="Times New Roman"/>
          <w:lang w:val="sl-SI"/>
        </w:rPr>
      </w:pPr>
    </w:p>
    <w:p w14:paraId="3361F5C3" w14:textId="08C36390"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Ograničeni dokazi ukazuju na to da sok od grejpfruta može da uzrokuje blag porast vr</w:t>
      </w:r>
      <w:r w:rsidR="005C298B" w:rsidRPr="00AA3DF0">
        <w:rPr>
          <w:rFonts w:ascii="Times New Roman" w:hAnsi="Times New Roman"/>
          <w:lang w:val="sl-SI"/>
        </w:rPr>
        <w:t>ij</w:t>
      </w:r>
      <w:r w:rsidRPr="00AA3DF0">
        <w:rPr>
          <w:rFonts w:ascii="Times New Roman" w:hAnsi="Times New Roman"/>
          <w:lang w:val="sl-SI"/>
        </w:rPr>
        <w:t>ednosti INR kod nekih pacijenata koji uzimaju varfarin.</w:t>
      </w:r>
    </w:p>
    <w:p w14:paraId="3361F5C4" w14:textId="77777777" w:rsidR="000F1DCB" w:rsidRPr="00AA3DF0" w:rsidRDefault="000F1DCB" w:rsidP="00C92108">
      <w:pPr>
        <w:pStyle w:val="Header"/>
        <w:tabs>
          <w:tab w:val="clear" w:pos="4536"/>
          <w:tab w:val="clear" w:pos="9072"/>
          <w:tab w:val="left" w:pos="284"/>
        </w:tabs>
        <w:rPr>
          <w:szCs w:val="22"/>
          <w:lang w:val="sl-SI"/>
        </w:rPr>
      </w:pPr>
    </w:p>
    <w:p w14:paraId="3361F5C5" w14:textId="0D4B4A70" w:rsidR="000F1DCB" w:rsidRPr="00AA3DF0" w:rsidRDefault="000F1DCB" w:rsidP="00C92108">
      <w:pPr>
        <w:pStyle w:val="Header"/>
        <w:tabs>
          <w:tab w:val="clear" w:pos="4536"/>
          <w:tab w:val="clear" w:pos="9072"/>
          <w:tab w:val="left" w:pos="284"/>
        </w:tabs>
        <w:rPr>
          <w:szCs w:val="22"/>
          <w:lang w:val="sl-SI"/>
        </w:rPr>
      </w:pPr>
      <w:r w:rsidRPr="00AA3DF0">
        <w:rPr>
          <w:szCs w:val="22"/>
          <w:lang w:val="sl-SI"/>
        </w:rPr>
        <w:lastRenderedPageBreak/>
        <w:t>Neke vrste hrane kao što su: džigerica, brokoli, prokelj i zeleno</w:t>
      </w:r>
      <w:r w:rsidR="0071015B" w:rsidRPr="00AA3DF0">
        <w:rPr>
          <w:szCs w:val="22"/>
          <w:lang w:val="sl-SI"/>
        </w:rPr>
        <w:t xml:space="preserve"> </w:t>
      </w:r>
      <w:r w:rsidRPr="00AA3DF0">
        <w:rPr>
          <w:szCs w:val="22"/>
          <w:lang w:val="sl-SI"/>
        </w:rPr>
        <w:t>lisnato povrće, sadrže velike količine vitamina K. Iznenadne prom</w:t>
      </w:r>
      <w:r w:rsidR="005C298B" w:rsidRPr="00AA3DF0">
        <w:rPr>
          <w:szCs w:val="22"/>
          <w:lang w:val="sl-SI"/>
        </w:rPr>
        <w:t>j</w:t>
      </w:r>
      <w:r w:rsidRPr="00AA3DF0">
        <w:rPr>
          <w:szCs w:val="22"/>
          <w:lang w:val="sl-SI"/>
        </w:rPr>
        <w:t>ene u ishrani mogu potencijalno da utiču na kontrolu antikoagulacije. Stoga, pacijente treba informisati o potrebi da potraže sav</w:t>
      </w:r>
      <w:r w:rsidR="005C298B" w:rsidRPr="00AA3DF0">
        <w:rPr>
          <w:szCs w:val="22"/>
          <w:lang w:val="sl-SI"/>
        </w:rPr>
        <w:t>j</w:t>
      </w:r>
      <w:r w:rsidRPr="00AA3DF0">
        <w:rPr>
          <w:szCs w:val="22"/>
          <w:lang w:val="sl-SI"/>
        </w:rPr>
        <w:t>et l</w:t>
      </w:r>
      <w:r w:rsidR="005C298B" w:rsidRPr="00AA3DF0">
        <w:rPr>
          <w:szCs w:val="22"/>
          <w:lang w:val="sl-SI"/>
        </w:rPr>
        <w:t>j</w:t>
      </w:r>
      <w:r w:rsidRPr="00AA3DF0">
        <w:rPr>
          <w:szCs w:val="22"/>
          <w:lang w:val="sl-SI"/>
        </w:rPr>
        <w:t>ekara pr</w:t>
      </w:r>
      <w:r w:rsidR="005C298B" w:rsidRPr="00AA3DF0">
        <w:rPr>
          <w:szCs w:val="22"/>
          <w:lang w:val="sl-SI"/>
        </w:rPr>
        <w:t>ij</w:t>
      </w:r>
      <w:r w:rsidRPr="00AA3DF0">
        <w:rPr>
          <w:szCs w:val="22"/>
          <w:lang w:val="sl-SI"/>
        </w:rPr>
        <w:t>e nego što uvedu velike izm</w:t>
      </w:r>
      <w:r w:rsidR="005C298B" w:rsidRPr="00AA3DF0">
        <w:rPr>
          <w:szCs w:val="22"/>
          <w:lang w:val="sl-SI"/>
        </w:rPr>
        <w:t>j</w:t>
      </w:r>
      <w:r w:rsidRPr="00AA3DF0">
        <w:rPr>
          <w:szCs w:val="22"/>
          <w:lang w:val="sl-SI"/>
        </w:rPr>
        <w:t>ene u ishrani.</w:t>
      </w:r>
    </w:p>
    <w:p w14:paraId="3361F5C6" w14:textId="33A6D9EC" w:rsidR="000F1DCB" w:rsidRPr="00AA3DF0" w:rsidRDefault="000C2FFE" w:rsidP="00C92108">
      <w:pPr>
        <w:pStyle w:val="Header"/>
        <w:tabs>
          <w:tab w:val="clear" w:pos="4536"/>
          <w:tab w:val="clear" w:pos="9072"/>
          <w:tab w:val="left" w:pos="284"/>
        </w:tabs>
        <w:rPr>
          <w:szCs w:val="22"/>
          <w:lang w:val="sl-SI"/>
        </w:rPr>
      </w:pPr>
      <w:r w:rsidRPr="00AA3DF0">
        <w:rPr>
          <w:szCs w:val="22"/>
          <w:lang w:val="sl-SI"/>
        </w:rPr>
        <w:t>Podaci o mogućim interakcijama sa glukozaminom su ograni</w:t>
      </w:r>
      <w:r w:rsidRPr="00AA3DF0">
        <w:rPr>
          <w:szCs w:val="22"/>
          <w:lang w:val="sr-Latn-RS"/>
        </w:rPr>
        <w:t>čeni</w:t>
      </w:r>
      <w:r w:rsidRPr="00AA3DF0">
        <w:rPr>
          <w:szCs w:val="22"/>
          <w:lang w:val="sl-SI"/>
        </w:rPr>
        <w:t>, ali je zab</w:t>
      </w:r>
      <w:r w:rsidR="005C298B" w:rsidRPr="00AA3DF0">
        <w:rPr>
          <w:szCs w:val="22"/>
          <w:lang w:val="sl-SI"/>
        </w:rPr>
        <w:t>i</w:t>
      </w:r>
      <w:r w:rsidRPr="00AA3DF0">
        <w:rPr>
          <w:szCs w:val="22"/>
          <w:lang w:val="sl-SI"/>
        </w:rPr>
        <w:t>l</w:t>
      </w:r>
      <w:r w:rsidR="005C298B" w:rsidRPr="00AA3DF0">
        <w:rPr>
          <w:szCs w:val="22"/>
          <w:lang w:val="sl-SI"/>
        </w:rPr>
        <w:t>j</w:t>
      </w:r>
      <w:r w:rsidRPr="00AA3DF0">
        <w:rPr>
          <w:szCs w:val="22"/>
          <w:lang w:val="sl-SI"/>
        </w:rPr>
        <w:t>ežen porast INR sa oralnim antagonistima vitamina K. Pažljivije treba pratiti pacijente koji su na oralnoj terapiji antagonistima vitamina K u vr</w:t>
      </w:r>
      <w:r w:rsidR="005C298B" w:rsidRPr="00AA3DF0">
        <w:rPr>
          <w:szCs w:val="22"/>
          <w:lang w:val="sl-SI"/>
        </w:rPr>
        <w:t>ij</w:t>
      </w:r>
      <w:r w:rsidRPr="00AA3DF0">
        <w:rPr>
          <w:szCs w:val="22"/>
          <w:lang w:val="sl-SI"/>
        </w:rPr>
        <w:t>eme započinjanja ili prekida terapije glukozaminom.</w:t>
      </w:r>
    </w:p>
    <w:p w14:paraId="3361F5C7" w14:textId="475ED64C" w:rsidR="000F1DCB" w:rsidRPr="00AA3DF0" w:rsidRDefault="000F1DCB" w:rsidP="00C92108">
      <w:pPr>
        <w:pStyle w:val="NoSpacing"/>
        <w:jc w:val="both"/>
        <w:rPr>
          <w:rFonts w:ascii="Times New Roman" w:hAnsi="Times New Roman"/>
          <w:lang w:val="sl-SI"/>
        </w:rPr>
      </w:pPr>
      <w:r w:rsidRPr="00AA3DF0">
        <w:rPr>
          <w:rFonts w:ascii="Times New Roman" w:hAnsi="Times New Roman"/>
          <w:lang w:val="sl-SI"/>
        </w:rPr>
        <w:t xml:space="preserve">Mnogi drugi dodaci ishrani (suplementi) imaju teorijski </w:t>
      </w:r>
      <w:r w:rsidR="0071015B" w:rsidRPr="00AA3DF0">
        <w:rPr>
          <w:rFonts w:ascii="Times New Roman" w:hAnsi="Times New Roman"/>
          <w:lang w:val="sl-SI"/>
        </w:rPr>
        <w:t>uticaj</w:t>
      </w:r>
      <w:r w:rsidRPr="00AA3DF0">
        <w:rPr>
          <w:rFonts w:ascii="Times New Roman" w:hAnsi="Times New Roman"/>
          <w:lang w:val="sl-SI"/>
        </w:rPr>
        <w:t xml:space="preserve"> na varfarin; međutim većina ovih interakcija nije dokazana. Uopšteno govoreći, pacijenti koji koriste varfarin, trebalo bi da izb</w:t>
      </w:r>
      <w:r w:rsidR="005C298B" w:rsidRPr="00AA3DF0">
        <w:rPr>
          <w:rFonts w:ascii="Times New Roman" w:hAnsi="Times New Roman"/>
          <w:lang w:val="sl-SI"/>
        </w:rPr>
        <w:t>j</w:t>
      </w:r>
      <w:r w:rsidRPr="00AA3DF0">
        <w:rPr>
          <w:rFonts w:ascii="Times New Roman" w:hAnsi="Times New Roman"/>
          <w:lang w:val="sl-SI"/>
        </w:rPr>
        <w:t>egavaju istovremenu prim</w:t>
      </w:r>
      <w:r w:rsidR="005C298B" w:rsidRPr="00AA3DF0">
        <w:rPr>
          <w:rFonts w:ascii="Times New Roman" w:hAnsi="Times New Roman"/>
          <w:lang w:val="sl-SI"/>
        </w:rPr>
        <w:t>j</w:t>
      </w:r>
      <w:r w:rsidRPr="00AA3DF0">
        <w:rPr>
          <w:rFonts w:ascii="Times New Roman" w:hAnsi="Times New Roman"/>
          <w:lang w:val="sl-SI"/>
        </w:rPr>
        <w:t>enu dodataka ishrani. Treba im reći da potraže sav</w:t>
      </w:r>
      <w:r w:rsidR="005C298B" w:rsidRPr="00AA3DF0">
        <w:rPr>
          <w:rFonts w:ascii="Times New Roman" w:hAnsi="Times New Roman"/>
          <w:lang w:val="sl-SI"/>
        </w:rPr>
        <w:t>j</w:t>
      </w:r>
      <w:r w:rsidRPr="00AA3DF0">
        <w:rPr>
          <w:rFonts w:ascii="Times New Roman" w:hAnsi="Times New Roman"/>
          <w:lang w:val="sl-SI"/>
        </w:rPr>
        <w:t>et l</w:t>
      </w:r>
      <w:r w:rsidR="005C298B" w:rsidRPr="00AA3DF0">
        <w:rPr>
          <w:rFonts w:ascii="Times New Roman" w:hAnsi="Times New Roman"/>
          <w:lang w:val="sl-SI"/>
        </w:rPr>
        <w:t>j</w:t>
      </w:r>
      <w:r w:rsidRPr="00AA3DF0">
        <w:rPr>
          <w:rFonts w:ascii="Times New Roman" w:hAnsi="Times New Roman"/>
          <w:lang w:val="sl-SI"/>
        </w:rPr>
        <w:t>ekara ako uzimaju neki od dodataka ishrani, pošto se u tom slučaju preporučuje češći monitoring.</w:t>
      </w:r>
    </w:p>
    <w:p w14:paraId="3361F5C8" w14:textId="77777777" w:rsidR="000F1DCB" w:rsidRPr="00AA3DF0" w:rsidRDefault="000F1DCB" w:rsidP="00C92108">
      <w:pPr>
        <w:pStyle w:val="NoSpacing"/>
        <w:jc w:val="both"/>
        <w:rPr>
          <w:rFonts w:ascii="Times New Roman" w:hAnsi="Times New Roman"/>
          <w:b/>
          <w:lang w:val="sl-SI"/>
        </w:rPr>
      </w:pPr>
    </w:p>
    <w:p w14:paraId="3361F5C9" w14:textId="77777777" w:rsidR="000F1DCB" w:rsidRPr="00AA3DF0" w:rsidRDefault="000F1DCB" w:rsidP="00C92108">
      <w:pPr>
        <w:pStyle w:val="NoSpacing"/>
        <w:jc w:val="both"/>
        <w:rPr>
          <w:rFonts w:ascii="Times New Roman" w:hAnsi="Times New Roman"/>
          <w:b/>
          <w:lang w:val="sl-SI"/>
        </w:rPr>
      </w:pPr>
      <w:r w:rsidRPr="00AA3DF0">
        <w:rPr>
          <w:rFonts w:ascii="Times New Roman" w:hAnsi="Times New Roman"/>
          <w:b/>
          <w:lang w:val="sl-SI"/>
        </w:rPr>
        <w:t>Laboratorijski testovi</w:t>
      </w:r>
    </w:p>
    <w:p w14:paraId="3361F5CA" w14:textId="77777777" w:rsidR="000F1DCB" w:rsidRPr="00AA3DF0" w:rsidRDefault="000F1DCB" w:rsidP="00C92108">
      <w:pPr>
        <w:pStyle w:val="NoSpacing"/>
        <w:jc w:val="both"/>
        <w:rPr>
          <w:rFonts w:ascii="Times New Roman" w:hAnsi="Times New Roman"/>
          <w:lang w:val="sl-SI"/>
        </w:rPr>
      </w:pPr>
    </w:p>
    <w:p w14:paraId="3361F5CB" w14:textId="5BD5D6BD" w:rsidR="000F1DCB" w:rsidRPr="00AA3DF0" w:rsidRDefault="000F1DCB" w:rsidP="00C92108">
      <w:pPr>
        <w:rPr>
          <w:szCs w:val="22"/>
          <w:lang w:val="sl-SI"/>
        </w:rPr>
      </w:pPr>
      <w:r w:rsidRPr="00AA3DF0">
        <w:rPr>
          <w:szCs w:val="22"/>
          <w:lang w:val="sl-SI"/>
        </w:rPr>
        <w:t>Heparini i danaparoid mogu da produže protrombinsko vr</w:t>
      </w:r>
      <w:r w:rsidR="005C298B" w:rsidRPr="00AA3DF0">
        <w:rPr>
          <w:szCs w:val="22"/>
          <w:lang w:val="sl-SI"/>
        </w:rPr>
        <w:t>ij</w:t>
      </w:r>
      <w:r w:rsidRPr="00AA3DF0">
        <w:rPr>
          <w:szCs w:val="22"/>
          <w:lang w:val="sl-SI"/>
        </w:rPr>
        <w:t>eme, te je potreban dovoljan vremenski interval nakon njihove prim</w:t>
      </w:r>
      <w:r w:rsidR="005C298B" w:rsidRPr="00AA3DF0">
        <w:rPr>
          <w:szCs w:val="22"/>
          <w:lang w:val="sl-SI"/>
        </w:rPr>
        <w:t>j</w:t>
      </w:r>
      <w:r w:rsidRPr="00AA3DF0">
        <w:rPr>
          <w:szCs w:val="22"/>
          <w:lang w:val="sl-SI"/>
        </w:rPr>
        <w:t>ene da bi se izveo test.</w:t>
      </w:r>
    </w:p>
    <w:p w14:paraId="3361F5CC" w14:textId="77777777" w:rsidR="000F1DCB" w:rsidRPr="00AA3DF0" w:rsidRDefault="000F1DCB" w:rsidP="00923865">
      <w:pPr>
        <w:rPr>
          <w:szCs w:val="22"/>
          <w:lang w:val="sl-SI"/>
        </w:rPr>
      </w:pPr>
    </w:p>
    <w:p w14:paraId="3361F5CD" w14:textId="77777777" w:rsidR="000F1DCB" w:rsidRPr="00AA3DF0" w:rsidRDefault="000F1DCB" w:rsidP="00923865">
      <w:pPr>
        <w:rPr>
          <w:b/>
          <w:bCs/>
          <w:szCs w:val="22"/>
          <w:lang w:val="sl-SI"/>
        </w:rPr>
      </w:pPr>
      <w:r w:rsidRPr="00AA3DF0">
        <w:rPr>
          <w:b/>
          <w:bCs/>
          <w:szCs w:val="22"/>
          <w:lang w:val="sl-SI"/>
        </w:rPr>
        <w:t>4.6. Plodnost, trudnoća i dojenje</w:t>
      </w:r>
    </w:p>
    <w:p w14:paraId="3361F5CE" w14:textId="77777777" w:rsidR="000F1DCB" w:rsidRPr="00AA3DF0" w:rsidRDefault="000F1DCB" w:rsidP="00C92108">
      <w:pPr>
        <w:pStyle w:val="Header"/>
        <w:rPr>
          <w:szCs w:val="22"/>
          <w:u w:val="single"/>
          <w:lang w:val="sl-SI"/>
        </w:rPr>
      </w:pPr>
    </w:p>
    <w:p w14:paraId="3361F5CF" w14:textId="77777777" w:rsidR="000F1DCB" w:rsidRPr="00AA3DF0" w:rsidRDefault="000F1DCB" w:rsidP="00C92108">
      <w:pPr>
        <w:pStyle w:val="Header"/>
        <w:rPr>
          <w:szCs w:val="22"/>
          <w:u w:val="single"/>
          <w:lang w:val="sl-SI"/>
        </w:rPr>
      </w:pPr>
      <w:r w:rsidRPr="00AA3DF0">
        <w:rPr>
          <w:szCs w:val="22"/>
          <w:u w:val="single"/>
          <w:lang w:val="sl-SI"/>
        </w:rPr>
        <w:t>Trudnoća</w:t>
      </w:r>
    </w:p>
    <w:p w14:paraId="3361F5D0" w14:textId="77777777" w:rsidR="000F1DCB" w:rsidRPr="00AA3DF0" w:rsidRDefault="000F1DCB" w:rsidP="00C92108">
      <w:pPr>
        <w:pStyle w:val="Header"/>
        <w:rPr>
          <w:szCs w:val="22"/>
          <w:lang w:val="sl-SI"/>
        </w:rPr>
      </w:pPr>
    </w:p>
    <w:p w14:paraId="3361F5D1" w14:textId="4B3806AD" w:rsidR="000F1DCB" w:rsidRPr="00AA3DF0" w:rsidRDefault="0071015B" w:rsidP="00C92108">
      <w:pPr>
        <w:pStyle w:val="Header"/>
        <w:rPr>
          <w:szCs w:val="22"/>
          <w:lang w:val="sl-SI"/>
        </w:rPr>
      </w:pPr>
      <w:r w:rsidRPr="00AA3DF0">
        <w:rPr>
          <w:szCs w:val="22"/>
          <w:lang w:val="sl-SI"/>
        </w:rPr>
        <w:t>Na osnovu</w:t>
      </w:r>
      <w:r w:rsidR="000F1DCB" w:rsidRPr="00AA3DF0">
        <w:rPr>
          <w:szCs w:val="22"/>
          <w:lang w:val="sl-SI"/>
        </w:rPr>
        <w:t xml:space="preserve"> iskust</w:t>
      </w:r>
      <w:r w:rsidRPr="00AA3DF0">
        <w:rPr>
          <w:szCs w:val="22"/>
          <w:lang w:val="sl-SI"/>
        </w:rPr>
        <w:t>va</w:t>
      </w:r>
      <w:r w:rsidR="000F1DCB" w:rsidRPr="00AA3DF0">
        <w:rPr>
          <w:szCs w:val="22"/>
          <w:lang w:val="sl-SI"/>
        </w:rPr>
        <w:t xml:space="preserve"> </w:t>
      </w:r>
      <w:r w:rsidRPr="00AA3DF0">
        <w:rPr>
          <w:szCs w:val="22"/>
          <w:lang w:val="sl-SI"/>
        </w:rPr>
        <w:t>kod</w:t>
      </w:r>
      <w:r w:rsidR="000F1DCB" w:rsidRPr="00AA3DF0">
        <w:rPr>
          <w:szCs w:val="22"/>
          <w:lang w:val="sl-SI"/>
        </w:rPr>
        <w:t xml:space="preserve"> ljud</w:t>
      </w:r>
      <w:r w:rsidRPr="00AA3DF0">
        <w:rPr>
          <w:szCs w:val="22"/>
          <w:lang w:val="sl-SI"/>
        </w:rPr>
        <w:t>i</w:t>
      </w:r>
      <w:r w:rsidR="000F1DCB" w:rsidRPr="00AA3DF0">
        <w:rPr>
          <w:szCs w:val="22"/>
          <w:lang w:val="sl-SI"/>
        </w:rPr>
        <w:t xml:space="preserve">, varfarin </w:t>
      </w:r>
      <w:r w:rsidRPr="00AA3DF0">
        <w:rPr>
          <w:szCs w:val="22"/>
          <w:lang w:val="sl-SI"/>
        </w:rPr>
        <w:t>dovodi do</w:t>
      </w:r>
      <w:r w:rsidR="000F1DCB" w:rsidRPr="00AA3DF0">
        <w:rPr>
          <w:szCs w:val="22"/>
          <w:lang w:val="sl-SI"/>
        </w:rPr>
        <w:t xml:space="preserve"> kongenitaln</w:t>
      </w:r>
      <w:r w:rsidRPr="00AA3DF0">
        <w:rPr>
          <w:szCs w:val="22"/>
          <w:lang w:val="sl-SI"/>
        </w:rPr>
        <w:t>ih</w:t>
      </w:r>
      <w:r w:rsidR="000F1DCB" w:rsidRPr="00AA3DF0">
        <w:rPr>
          <w:szCs w:val="22"/>
          <w:lang w:val="sl-SI"/>
        </w:rPr>
        <w:t xml:space="preserve"> malformacij</w:t>
      </w:r>
      <w:r w:rsidRPr="00AA3DF0">
        <w:rPr>
          <w:szCs w:val="22"/>
          <w:lang w:val="sl-SI"/>
        </w:rPr>
        <w:t>a</w:t>
      </w:r>
      <w:r w:rsidR="000F1DCB" w:rsidRPr="00AA3DF0">
        <w:rPr>
          <w:szCs w:val="22"/>
          <w:lang w:val="sl-SI"/>
        </w:rPr>
        <w:t xml:space="preserve"> i smrt</w:t>
      </w:r>
      <w:r w:rsidRPr="00AA3DF0">
        <w:rPr>
          <w:szCs w:val="22"/>
          <w:lang w:val="sl-SI"/>
        </w:rPr>
        <w:t>i</w:t>
      </w:r>
      <w:r w:rsidR="000F1DCB" w:rsidRPr="00AA3DF0">
        <w:rPr>
          <w:szCs w:val="22"/>
          <w:lang w:val="sl-SI"/>
        </w:rPr>
        <w:t xml:space="preserve"> ploda kada se </w:t>
      </w:r>
      <w:r w:rsidRPr="00AA3DF0">
        <w:rPr>
          <w:szCs w:val="22"/>
          <w:lang w:val="sl-SI"/>
        </w:rPr>
        <w:t>upotrebljava</w:t>
      </w:r>
      <w:r w:rsidR="000F1DCB" w:rsidRPr="00AA3DF0">
        <w:rPr>
          <w:szCs w:val="22"/>
          <w:lang w:val="sl-SI"/>
        </w:rPr>
        <w:t xml:space="preserve"> </w:t>
      </w:r>
      <w:r w:rsidRPr="00AA3DF0">
        <w:rPr>
          <w:szCs w:val="22"/>
          <w:lang w:val="sl-SI"/>
        </w:rPr>
        <w:t>u toku</w:t>
      </w:r>
      <w:r w:rsidR="000F1DCB" w:rsidRPr="00AA3DF0">
        <w:rPr>
          <w:szCs w:val="22"/>
          <w:lang w:val="sl-SI"/>
        </w:rPr>
        <w:t xml:space="preserve"> trudnoće.</w:t>
      </w:r>
    </w:p>
    <w:p w14:paraId="3361F5D2" w14:textId="77777777" w:rsidR="000F1DCB" w:rsidRPr="00AA3DF0" w:rsidRDefault="000F1DCB" w:rsidP="00C92108">
      <w:pPr>
        <w:pStyle w:val="Header"/>
        <w:rPr>
          <w:szCs w:val="22"/>
          <w:lang w:val="sl-SI"/>
        </w:rPr>
      </w:pPr>
    </w:p>
    <w:p w14:paraId="3361F5D3" w14:textId="39354589" w:rsidR="000F1DCB" w:rsidRPr="00AA3DF0" w:rsidRDefault="000F1DCB" w:rsidP="00C92108">
      <w:pPr>
        <w:pStyle w:val="Header"/>
        <w:rPr>
          <w:szCs w:val="22"/>
          <w:lang w:val="sl-SI"/>
        </w:rPr>
      </w:pPr>
      <w:r w:rsidRPr="00AA3DF0">
        <w:rPr>
          <w:szCs w:val="22"/>
          <w:lang w:val="sl-SI"/>
        </w:rPr>
        <w:t>Varfarin je kontraindikovan za vr</w:t>
      </w:r>
      <w:r w:rsidR="005C298B" w:rsidRPr="00AA3DF0">
        <w:rPr>
          <w:szCs w:val="22"/>
          <w:lang w:val="sl-SI"/>
        </w:rPr>
        <w:t>ij</w:t>
      </w:r>
      <w:r w:rsidRPr="00AA3DF0">
        <w:rPr>
          <w:szCs w:val="22"/>
          <w:lang w:val="sl-SI"/>
        </w:rPr>
        <w:t>eme trudnoće u prvom i trećem trimestru.</w:t>
      </w:r>
    </w:p>
    <w:p w14:paraId="3361F5D4" w14:textId="77777777" w:rsidR="000F1DCB" w:rsidRPr="00AA3DF0" w:rsidRDefault="000F1DCB" w:rsidP="00C92108">
      <w:pPr>
        <w:pStyle w:val="Header"/>
        <w:rPr>
          <w:szCs w:val="22"/>
          <w:lang w:val="sl-SI"/>
        </w:rPr>
      </w:pPr>
    </w:p>
    <w:p w14:paraId="3361F5D5" w14:textId="7D774519" w:rsidR="000F1DCB" w:rsidRPr="00AA3DF0" w:rsidRDefault="000F1DCB" w:rsidP="00C92108">
      <w:pPr>
        <w:pStyle w:val="Header"/>
        <w:rPr>
          <w:szCs w:val="22"/>
          <w:lang w:val="sl-SI"/>
        </w:rPr>
      </w:pPr>
      <w:r w:rsidRPr="00AA3DF0">
        <w:rPr>
          <w:szCs w:val="22"/>
          <w:lang w:val="sl-SI"/>
        </w:rPr>
        <w:t xml:space="preserve">Žene u </w:t>
      </w:r>
      <w:r w:rsidR="0071015B" w:rsidRPr="00AA3DF0">
        <w:rPr>
          <w:szCs w:val="22"/>
          <w:lang w:val="sl-SI"/>
        </w:rPr>
        <w:t>reproduktivnom</w:t>
      </w:r>
      <w:r w:rsidRPr="00AA3DF0">
        <w:rPr>
          <w:szCs w:val="22"/>
          <w:lang w:val="sl-SI"/>
        </w:rPr>
        <w:t xml:space="preserve"> periodu koje uzimaju varfarin </w:t>
      </w:r>
      <w:r w:rsidR="0071015B" w:rsidRPr="00AA3DF0">
        <w:rPr>
          <w:szCs w:val="22"/>
          <w:lang w:val="sl-SI"/>
        </w:rPr>
        <w:t>moraju</w:t>
      </w:r>
      <w:r w:rsidRPr="00AA3DF0">
        <w:rPr>
          <w:szCs w:val="22"/>
          <w:lang w:val="sl-SI"/>
        </w:rPr>
        <w:t xml:space="preserve"> da koriste efektivn</w:t>
      </w:r>
      <w:r w:rsidR="0071015B" w:rsidRPr="00AA3DF0">
        <w:rPr>
          <w:szCs w:val="22"/>
          <w:lang w:val="sl-SI"/>
        </w:rPr>
        <w:t>u</w:t>
      </w:r>
      <w:r w:rsidRPr="00AA3DF0">
        <w:rPr>
          <w:szCs w:val="22"/>
          <w:lang w:val="sl-SI"/>
        </w:rPr>
        <w:t xml:space="preserve"> kontracepcij</w:t>
      </w:r>
      <w:r w:rsidR="0071015B" w:rsidRPr="00AA3DF0">
        <w:rPr>
          <w:szCs w:val="22"/>
          <w:lang w:val="sl-SI"/>
        </w:rPr>
        <w:t>u</w:t>
      </w:r>
      <w:r w:rsidRPr="00AA3DF0">
        <w:rPr>
          <w:szCs w:val="22"/>
          <w:lang w:val="sl-SI"/>
        </w:rPr>
        <w:t xml:space="preserve"> tokom terapije.</w:t>
      </w:r>
    </w:p>
    <w:p w14:paraId="3361F5D6" w14:textId="77777777" w:rsidR="000F1DCB" w:rsidRPr="00AA3DF0" w:rsidRDefault="000F1DCB" w:rsidP="00C92108">
      <w:pPr>
        <w:pStyle w:val="Header"/>
        <w:tabs>
          <w:tab w:val="clear" w:pos="4536"/>
          <w:tab w:val="clear" w:pos="9072"/>
          <w:tab w:val="left" w:pos="284"/>
        </w:tabs>
        <w:rPr>
          <w:szCs w:val="22"/>
          <w:lang w:val="sl-SI"/>
        </w:rPr>
      </w:pPr>
    </w:p>
    <w:p w14:paraId="3361F5D7" w14:textId="77777777" w:rsidR="000F1DCB" w:rsidRPr="00AA3DF0" w:rsidRDefault="000F1DCB" w:rsidP="00C92108">
      <w:pPr>
        <w:pStyle w:val="Header"/>
        <w:rPr>
          <w:szCs w:val="22"/>
          <w:u w:val="single"/>
          <w:lang w:val="sl-SI"/>
        </w:rPr>
      </w:pPr>
      <w:r w:rsidRPr="00AA3DF0">
        <w:rPr>
          <w:szCs w:val="22"/>
          <w:u w:val="single"/>
          <w:lang w:val="sl-SI"/>
        </w:rPr>
        <w:t>Dojenje</w:t>
      </w:r>
    </w:p>
    <w:p w14:paraId="3361F5D8" w14:textId="77777777" w:rsidR="000F1DCB" w:rsidRPr="00AA3DF0" w:rsidRDefault="000F1DCB" w:rsidP="00C92108">
      <w:pPr>
        <w:pStyle w:val="Header"/>
        <w:rPr>
          <w:szCs w:val="22"/>
          <w:lang w:val="sl-SI"/>
        </w:rPr>
      </w:pPr>
    </w:p>
    <w:p w14:paraId="3361F5D9" w14:textId="232CAAD5" w:rsidR="000F1DCB" w:rsidRPr="00AA3DF0" w:rsidRDefault="000F1DCB" w:rsidP="00C92108">
      <w:pPr>
        <w:pStyle w:val="Header"/>
        <w:rPr>
          <w:szCs w:val="22"/>
          <w:lang w:val="sl-SI"/>
        </w:rPr>
      </w:pPr>
      <w:r w:rsidRPr="00AA3DF0">
        <w:rPr>
          <w:szCs w:val="22"/>
          <w:lang w:val="sl-SI"/>
        </w:rPr>
        <w:t>Varfarin se izlučuje u majčino ml</w:t>
      </w:r>
      <w:r w:rsidR="005C298B" w:rsidRPr="00AA3DF0">
        <w:rPr>
          <w:szCs w:val="22"/>
          <w:lang w:val="sl-SI"/>
        </w:rPr>
        <w:t>ij</w:t>
      </w:r>
      <w:r w:rsidRPr="00AA3DF0">
        <w:rPr>
          <w:szCs w:val="22"/>
          <w:lang w:val="sl-SI"/>
        </w:rPr>
        <w:t xml:space="preserve">eko u maloj količini. Međutim, ne očekuje se da će terapijske doze varfarina imati dejstvo na odojče. Varfarin se može koristiti u toku dojenja. </w:t>
      </w:r>
    </w:p>
    <w:p w14:paraId="3361F5DA" w14:textId="77777777" w:rsidR="000F1DCB" w:rsidRPr="00AA3DF0" w:rsidRDefault="000F1DCB" w:rsidP="00923865">
      <w:pPr>
        <w:rPr>
          <w:szCs w:val="22"/>
          <w:lang w:val="sl-SI"/>
        </w:rPr>
      </w:pPr>
    </w:p>
    <w:p w14:paraId="70C658E1" w14:textId="77777777" w:rsidR="007C0F3C" w:rsidRPr="00AA3DF0" w:rsidRDefault="007C0F3C" w:rsidP="007C0F3C">
      <w:pPr>
        <w:rPr>
          <w:szCs w:val="22"/>
          <w:u w:val="single"/>
          <w:lang w:val="sl-SI"/>
        </w:rPr>
      </w:pPr>
      <w:r w:rsidRPr="00AA3DF0">
        <w:rPr>
          <w:szCs w:val="22"/>
          <w:u w:val="single"/>
          <w:lang w:val="sl-SI"/>
        </w:rPr>
        <w:t>Plodnost</w:t>
      </w:r>
    </w:p>
    <w:p w14:paraId="2A2CB1E8" w14:textId="044C9ABE" w:rsidR="007C0F3C" w:rsidRPr="00AA3DF0" w:rsidRDefault="007C0F3C" w:rsidP="007C0F3C">
      <w:pPr>
        <w:rPr>
          <w:szCs w:val="22"/>
          <w:lang w:val="sl-SI"/>
        </w:rPr>
      </w:pPr>
      <w:r w:rsidRPr="00AA3DF0">
        <w:rPr>
          <w:szCs w:val="22"/>
          <w:lang w:val="sl-SI"/>
        </w:rPr>
        <w:t>Nema raspoloživih podataka.</w:t>
      </w:r>
    </w:p>
    <w:p w14:paraId="09D91536" w14:textId="77777777" w:rsidR="007C0F3C" w:rsidRPr="00AA3DF0" w:rsidRDefault="007C0F3C" w:rsidP="007C0F3C">
      <w:pPr>
        <w:rPr>
          <w:szCs w:val="22"/>
          <w:lang w:val="sl-SI"/>
        </w:rPr>
      </w:pPr>
    </w:p>
    <w:p w14:paraId="3361F5DB" w14:textId="078741F1" w:rsidR="000F1DCB" w:rsidRPr="00AA3DF0" w:rsidRDefault="000F1DCB" w:rsidP="00923865">
      <w:pPr>
        <w:rPr>
          <w:b/>
          <w:bCs/>
          <w:spacing w:val="-8"/>
          <w:szCs w:val="22"/>
          <w:lang w:val="sl-SI"/>
        </w:rPr>
      </w:pPr>
      <w:r w:rsidRPr="00AA3DF0">
        <w:rPr>
          <w:b/>
          <w:bCs/>
          <w:spacing w:val="-8"/>
          <w:szCs w:val="22"/>
          <w:lang w:val="sl-SI"/>
        </w:rPr>
        <w:t xml:space="preserve">4.7. </w:t>
      </w:r>
      <w:r w:rsidRPr="00AA3DF0">
        <w:rPr>
          <w:b/>
          <w:bCs/>
          <w:spacing w:val="-8"/>
          <w:szCs w:val="22"/>
          <w:lang w:val="sr-Latn-CS"/>
        </w:rPr>
        <w:t>Uticaj l</w:t>
      </w:r>
      <w:r w:rsidR="005C298B" w:rsidRPr="00AA3DF0">
        <w:rPr>
          <w:b/>
          <w:bCs/>
          <w:spacing w:val="-8"/>
          <w:szCs w:val="22"/>
          <w:lang w:val="sr-Latn-CS"/>
        </w:rPr>
        <w:t>ij</w:t>
      </w:r>
      <w:r w:rsidRPr="00AA3DF0">
        <w:rPr>
          <w:b/>
          <w:bCs/>
          <w:spacing w:val="-8"/>
          <w:szCs w:val="22"/>
          <w:lang w:val="sr-Latn-CS"/>
        </w:rPr>
        <w:t>eka na sposobnost upravljanja vozilima i rukovanja mašinama</w:t>
      </w:r>
    </w:p>
    <w:p w14:paraId="3361F5DC" w14:textId="77777777" w:rsidR="000F1DCB" w:rsidRPr="00AA3DF0" w:rsidRDefault="000F1DCB" w:rsidP="00C92108">
      <w:pPr>
        <w:pStyle w:val="Header"/>
        <w:tabs>
          <w:tab w:val="clear" w:pos="4536"/>
          <w:tab w:val="clear" w:pos="9072"/>
          <w:tab w:val="left" w:pos="284"/>
        </w:tabs>
        <w:rPr>
          <w:szCs w:val="22"/>
          <w:lang w:val="sl-SI"/>
        </w:rPr>
      </w:pPr>
    </w:p>
    <w:p w14:paraId="3361F5DD" w14:textId="77777777" w:rsidR="000F1DCB" w:rsidRPr="00AA3DF0" w:rsidRDefault="000F1DCB" w:rsidP="00C92108">
      <w:pPr>
        <w:pStyle w:val="Header"/>
        <w:tabs>
          <w:tab w:val="clear" w:pos="4536"/>
          <w:tab w:val="clear" w:pos="9072"/>
          <w:tab w:val="left" w:pos="284"/>
        </w:tabs>
        <w:rPr>
          <w:szCs w:val="22"/>
          <w:lang w:val="sl-SI"/>
        </w:rPr>
      </w:pPr>
      <w:r w:rsidRPr="00AA3DF0">
        <w:rPr>
          <w:szCs w:val="22"/>
          <w:lang w:val="sl-SI"/>
        </w:rPr>
        <w:t>Varfarin ne utiče na sposobnost upravljanja vozilima i rukovanja mašinama.</w:t>
      </w:r>
    </w:p>
    <w:p w14:paraId="3361F5DE" w14:textId="77777777" w:rsidR="000F1DCB" w:rsidRPr="00AA3DF0" w:rsidRDefault="000F1DCB" w:rsidP="00923865">
      <w:pPr>
        <w:rPr>
          <w:szCs w:val="22"/>
          <w:lang w:val="sv-SE"/>
        </w:rPr>
      </w:pPr>
    </w:p>
    <w:p w14:paraId="3361F5DF" w14:textId="77777777" w:rsidR="000F1DCB" w:rsidRPr="00AA3DF0" w:rsidRDefault="000F1DCB" w:rsidP="00923865">
      <w:pPr>
        <w:rPr>
          <w:b/>
          <w:bCs/>
          <w:szCs w:val="22"/>
          <w:lang w:val="sv-SE"/>
        </w:rPr>
      </w:pPr>
      <w:r w:rsidRPr="00AA3DF0">
        <w:rPr>
          <w:b/>
          <w:bCs/>
          <w:szCs w:val="22"/>
          <w:lang w:val="sv-SE"/>
        </w:rPr>
        <w:t>4.8. Neželjena dejstva</w:t>
      </w:r>
    </w:p>
    <w:p w14:paraId="3361F5E0" w14:textId="77777777" w:rsidR="000F1DCB" w:rsidRPr="00AA3DF0" w:rsidRDefault="000F1DCB" w:rsidP="00923865">
      <w:pPr>
        <w:rPr>
          <w:noProof/>
          <w:szCs w:val="22"/>
          <w:u w:val="single"/>
          <w:lang w:val="hr-HR"/>
        </w:rPr>
      </w:pPr>
    </w:p>
    <w:p w14:paraId="3361F5E1" w14:textId="6E346F25" w:rsidR="000F1DCB" w:rsidRPr="00AA3DF0" w:rsidRDefault="000F1DCB" w:rsidP="00334FE5">
      <w:pPr>
        <w:autoSpaceDE w:val="0"/>
        <w:autoSpaceDN w:val="0"/>
        <w:adjustRightInd w:val="0"/>
        <w:rPr>
          <w:noProof/>
          <w:szCs w:val="22"/>
          <w:u w:val="single"/>
          <w:lang w:val="hr-HR"/>
        </w:rPr>
      </w:pPr>
      <w:r w:rsidRPr="00AA3DF0">
        <w:rPr>
          <w:szCs w:val="22"/>
          <w:lang w:val="sr-Latn-CS"/>
        </w:rPr>
        <w:t>Sl</w:t>
      </w:r>
      <w:r w:rsidR="005C298B" w:rsidRPr="00AA3DF0">
        <w:rPr>
          <w:szCs w:val="22"/>
          <w:lang w:val="sr-Latn-CS"/>
        </w:rPr>
        <w:t>j</w:t>
      </w:r>
      <w:r w:rsidRPr="00AA3DF0">
        <w:rPr>
          <w:szCs w:val="22"/>
          <w:lang w:val="sr-Latn-CS"/>
        </w:rPr>
        <w:t>edeće neželjene reakcije su klasifikovane po klasama sistema organa i rangirane po</w:t>
      </w:r>
      <w:r w:rsidRPr="00AA3DF0">
        <w:rPr>
          <w:szCs w:val="22"/>
          <w:lang w:val="sl-SI"/>
        </w:rPr>
        <w:t xml:space="preserve"> učestalosti, koja je definisana kao: veoma često (≥1/10); često (≥1/100 do &lt;1/10); povremeno (≥1/1000 do &lt;1/100); r</w:t>
      </w:r>
      <w:r w:rsidR="005C298B" w:rsidRPr="00AA3DF0">
        <w:rPr>
          <w:szCs w:val="22"/>
          <w:lang w:val="sl-SI"/>
        </w:rPr>
        <w:t>ij</w:t>
      </w:r>
      <w:r w:rsidRPr="00AA3DF0">
        <w:rPr>
          <w:szCs w:val="22"/>
          <w:lang w:val="sl-SI"/>
        </w:rPr>
        <w:t>etko (≥1/10000 do &lt;1/1000); veoma r</w:t>
      </w:r>
      <w:r w:rsidR="005C298B" w:rsidRPr="00AA3DF0">
        <w:rPr>
          <w:szCs w:val="22"/>
          <w:lang w:val="sl-SI"/>
        </w:rPr>
        <w:t>ij</w:t>
      </w:r>
      <w:r w:rsidRPr="00AA3DF0">
        <w:rPr>
          <w:szCs w:val="22"/>
          <w:lang w:val="sl-SI"/>
        </w:rPr>
        <w:t>etko  (&lt;1/10000) i nepoznato (ne može se proc</w:t>
      </w:r>
      <w:r w:rsidR="005C298B" w:rsidRPr="00AA3DF0">
        <w:rPr>
          <w:szCs w:val="22"/>
          <w:lang w:val="sl-SI"/>
        </w:rPr>
        <w:t>ij</w:t>
      </w:r>
      <w:r w:rsidRPr="00AA3DF0">
        <w:rPr>
          <w:szCs w:val="22"/>
          <w:lang w:val="sl-SI"/>
        </w:rPr>
        <w:t>eniti na osnovu dostupnih podataka).</w:t>
      </w:r>
    </w:p>
    <w:p w14:paraId="3361F5E2" w14:textId="77777777" w:rsidR="000F1DCB" w:rsidRPr="00AA3DF0" w:rsidRDefault="000F1DCB" w:rsidP="00334FE5">
      <w:pPr>
        <w:rPr>
          <w:szCs w:val="22"/>
          <w:lang w:val="hr-HR"/>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455"/>
        <w:gridCol w:w="3872"/>
      </w:tblGrid>
      <w:tr w:rsidR="000F1DCB" w:rsidRPr="00AA3DF0" w14:paraId="3361F5E6" w14:textId="77777777" w:rsidTr="00EB3D5F">
        <w:trPr>
          <w:trHeight w:val="561"/>
        </w:trPr>
        <w:tc>
          <w:tcPr>
            <w:tcW w:w="3420" w:type="dxa"/>
            <w:vAlign w:val="center"/>
          </w:tcPr>
          <w:p w14:paraId="3361F5E3" w14:textId="77777777" w:rsidR="000F1DCB" w:rsidRPr="00AA3DF0" w:rsidRDefault="000F1DCB" w:rsidP="00EB3D5F">
            <w:pPr>
              <w:autoSpaceDE w:val="0"/>
              <w:autoSpaceDN w:val="0"/>
              <w:adjustRightInd w:val="0"/>
              <w:jc w:val="left"/>
              <w:rPr>
                <w:noProof/>
                <w:szCs w:val="22"/>
                <w:u w:val="single"/>
                <w:lang w:val="hr-HR"/>
              </w:rPr>
            </w:pPr>
            <w:r w:rsidRPr="00AA3DF0">
              <w:rPr>
                <w:b/>
                <w:bCs/>
                <w:color w:val="000000"/>
                <w:szCs w:val="22"/>
              </w:rPr>
              <w:t>Klasa sistema</w:t>
            </w:r>
            <w:r w:rsidRPr="00AA3DF0">
              <w:rPr>
                <w:b/>
                <w:bCs/>
                <w:color w:val="000000"/>
                <w:szCs w:val="22"/>
                <w:lang w:val="hr-HR"/>
              </w:rPr>
              <w:t xml:space="preserve"> </w:t>
            </w:r>
            <w:r w:rsidRPr="00AA3DF0">
              <w:rPr>
                <w:b/>
                <w:bCs/>
                <w:color w:val="000000"/>
                <w:szCs w:val="22"/>
              </w:rPr>
              <w:t>organa</w:t>
            </w:r>
          </w:p>
        </w:tc>
        <w:tc>
          <w:tcPr>
            <w:tcW w:w="2455" w:type="dxa"/>
            <w:vAlign w:val="center"/>
          </w:tcPr>
          <w:p w14:paraId="3361F5E4" w14:textId="77777777" w:rsidR="000F1DCB" w:rsidRPr="00AA3DF0" w:rsidRDefault="000F1DCB" w:rsidP="00EB3D5F">
            <w:pPr>
              <w:autoSpaceDE w:val="0"/>
              <w:autoSpaceDN w:val="0"/>
              <w:adjustRightInd w:val="0"/>
              <w:jc w:val="left"/>
              <w:rPr>
                <w:b/>
                <w:noProof/>
                <w:szCs w:val="22"/>
                <w:lang w:val="hr-HR"/>
              </w:rPr>
            </w:pPr>
            <w:r w:rsidRPr="00AA3DF0">
              <w:rPr>
                <w:b/>
                <w:noProof/>
                <w:szCs w:val="22"/>
                <w:lang w:val="hr-HR"/>
              </w:rPr>
              <w:t>Učestalost</w:t>
            </w:r>
          </w:p>
        </w:tc>
        <w:tc>
          <w:tcPr>
            <w:tcW w:w="3872" w:type="dxa"/>
            <w:vAlign w:val="center"/>
          </w:tcPr>
          <w:p w14:paraId="3361F5E5" w14:textId="77777777" w:rsidR="000F1DCB" w:rsidRPr="00AA3DF0" w:rsidRDefault="000F1DCB" w:rsidP="00EB3D5F">
            <w:pPr>
              <w:autoSpaceDE w:val="0"/>
              <w:autoSpaceDN w:val="0"/>
              <w:adjustRightInd w:val="0"/>
              <w:jc w:val="left"/>
              <w:rPr>
                <w:noProof/>
                <w:szCs w:val="22"/>
                <w:u w:val="single"/>
                <w:lang w:val="hr-HR"/>
              </w:rPr>
            </w:pPr>
            <w:r w:rsidRPr="00AA3DF0">
              <w:rPr>
                <w:b/>
                <w:bCs/>
                <w:color w:val="000000"/>
                <w:szCs w:val="22"/>
              </w:rPr>
              <w:t>Ne</w:t>
            </w:r>
            <w:r w:rsidRPr="00AA3DF0">
              <w:rPr>
                <w:b/>
                <w:bCs/>
                <w:color w:val="000000"/>
                <w:szCs w:val="22"/>
                <w:lang w:val="hr-HR"/>
              </w:rPr>
              <w:t>ž</w:t>
            </w:r>
            <w:r w:rsidRPr="00AA3DF0">
              <w:rPr>
                <w:b/>
                <w:bCs/>
                <w:color w:val="000000"/>
                <w:szCs w:val="22"/>
              </w:rPr>
              <w:t>eljene</w:t>
            </w:r>
            <w:r w:rsidRPr="00AA3DF0">
              <w:rPr>
                <w:b/>
                <w:bCs/>
                <w:color w:val="000000"/>
                <w:szCs w:val="22"/>
                <w:lang w:val="hr-HR"/>
              </w:rPr>
              <w:t xml:space="preserve"> </w:t>
            </w:r>
            <w:r w:rsidRPr="00AA3DF0">
              <w:rPr>
                <w:b/>
                <w:bCs/>
                <w:color w:val="000000"/>
                <w:szCs w:val="22"/>
              </w:rPr>
              <w:t>reakcije</w:t>
            </w:r>
          </w:p>
        </w:tc>
      </w:tr>
      <w:tr w:rsidR="000F1DCB" w:rsidRPr="00AA3DF0" w14:paraId="3361F5EA" w14:textId="77777777" w:rsidTr="00EB3D5F">
        <w:trPr>
          <w:trHeight w:val="552"/>
        </w:trPr>
        <w:tc>
          <w:tcPr>
            <w:tcW w:w="3420" w:type="dxa"/>
            <w:vAlign w:val="center"/>
          </w:tcPr>
          <w:p w14:paraId="3361F5E7" w14:textId="77777777" w:rsidR="000F1DCB" w:rsidRPr="00AA3DF0" w:rsidRDefault="000F1DCB" w:rsidP="00EB3D5F">
            <w:pPr>
              <w:tabs>
                <w:tab w:val="clear" w:pos="284"/>
              </w:tabs>
              <w:jc w:val="left"/>
              <w:rPr>
                <w:color w:val="000000"/>
                <w:szCs w:val="22"/>
                <w:lang w:val="hr-HR"/>
              </w:rPr>
            </w:pPr>
            <w:r w:rsidRPr="00AA3DF0">
              <w:rPr>
                <w:color w:val="000000"/>
                <w:szCs w:val="22"/>
              </w:rPr>
              <w:t>Infekcije</w:t>
            </w:r>
            <w:r w:rsidRPr="00AA3DF0">
              <w:rPr>
                <w:color w:val="000000"/>
                <w:szCs w:val="22"/>
                <w:lang w:val="hr-HR"/>
              </w:rPr>
              <w:t xml:space="preserve"> </w:t>
            </w:r>
            <w:r w:rsidRPr="00AA3DF0">
              <w:rPr>
                <w:color w:val="000000"/>
                <w:szCs w:val="22"/>
              </w:rPr>
              <w:t>i</w:t>
            </w:r>
            <w:r w:rsidRPr="00AA3DF0">
              <w:rPr>
                <w:color w:val="000000"/>
                <w:szCs w:val="22"/>
                <w:lang w:val="hr-HR"/>
              </w:rPr>
              <w:t xml:space="preserve"> </w:t>
            </w:r>
            <w:r w:rsidRPr="00AA3DF0">
              <w:rPr>
                <w:color w:val="000000"/>
                <w:szCs w:val="22"/>
              </w:rPr>
              <w:t>infestacije</w:t>
            </w:r>
          </w:p>
        </w:tc>
        <w:tc>
          <w:tcPr>
            <w:tcW w:w="2455" w:type="dxa"/>
            <w:vAlign w:val="center"/>
          </w:tcPr>
          <w:p w14:paraId="3361F5E8" w14:textId="77777777" w:rsidR="000F1DCB" w:rsidRPr="00AA3DF0" w:rsidRDefault="000F1DCB" w:rsidP="00EB3D5F">
            <w:pPr>
              <w:autoSpaceDE w:val="0"/>
              <w:autoSpaceDN w:val="0"/>
              <w:adjustRightInd w:val="0"/>
              <w:jc w:val="left"/>
              <w:rPr>
                <w:noProof/>
                <w:szCs w:val="22"/>
                <w:lang w:val="hr-HR"/>
              </w:rPr>
            </w:pPr>
            <w:r w:rsidRPr="00AA3DF0">
              <w:rPr>
                <w:noProof/>
                <w:szCs w:val="22"/>
                <w:lang w:val="hr-HR"/>
              </w:rPr>
              <w:t>Nepoznata</w:t>
            </w:r>
          </w:p>
        </w:tc>
        <w:tc>
          <w:tcPr>
            <w:tcW w:w="3872" w:type="dxa"/>
            <w:vAlign w:val="center"/>
          </w:tcPr>
          <w:p w14:paraId="3361F5E9" w14:textId="77777777" w:rsidR="000F1DCB" w:rsidRPr="00AA3DF0" w:rsidRDefault="000F1DCB" w:rsidP="00EB3D5F">
            <w:pPr>
              <w:tabs>
                <w:tab w:val="clear" w:pos="284"/>
              </w:tabs>
              <w:jc w:val="left"/>
              <w:rPr>
                <w:color w:val="000000"/>
                <w:szCs w:val="22"/>
                <w:lang w:val="hr-HR"/>
              </w:rPr>
            </w:pPr>
            <w:r w:rsidRPr="00AA3DF0">
              <w:rPr>
                <w:color w:val="000000"/>
                <w:szCs w:val="22"/>
              </w:rPr>
              <w:t>Groznica</w:t>
            </w:r>
          </w:p>
        </w:tc>
      </w:tr>
      <w:tr w:rsidR="000F1DCB" w:rsidRPr="00AA3DF0" w14:paraId="3361F5EE" w14:textId="77777777" w:rsidTr="00EB3D5F">
        <w:trPr>
          <w:trHeight w:val="588"/>
        </w:trPr>
        <w:tc>
          <w:tcPr>
            <w:tcW w:w="3420" w:type="dxa"/>
            <w:vAlign w:val="center"/>
          </w:tcPr>
          <w:p w14:paraId="3361F5EB" w14:textId="400C8CD4" w:rsidR="000F1DCB" w:rsidRPr="00AA3DF0" w:rsidRDefault="000F1DCB" w:rsidP="00EB3D5F">
            <w:pPr>
              <w:tabs>
                <w:tab w:val="clear" w:pos="284"/>
              </w:tabs>
              <w:jc w:val="left"/>
              <w:rPr>
                <w:color w:val="000000"/>
                <w:szCs w:val="22"/>
                <w:lang w:val="hr-HR"/>
              </w:rPr>
            </w:pPr>
            <w:r w:rsidRPr="00AA3DF0">
              <w:rPr>
                <w:color w:val="000000"/>
                <w:szCs w:val="22"/>
              </w:rPr>
              <w:t>Poremećaji imunog sistema</w:t>
            </w:r>
          </w:p>
        </w:tc>
        <w:tc>
          <w:tcPr>
            <w:tcW w:w="2455" w:type="dxa"/>
            <w:vAlign w:val="center"/>
          </w:tcPr>
          <w:p w14:paraId="3361F5EC" w14:textId="77777777" w:rsidR="000F1DCB" w:rsidRPr="00AA3DF0" w:rsidRDefault="000F1DCB" w:rsidP="00EB3D5F">
            <w:pPr>
              <w:autoSpaceDE w:val="0"/>
              <w:autoSpaceDN w:val="0"/>
              <w:adjustRightInd w:val="0"/>
              <w:jc w:val="left"/>
              <w:rPr>
                <w:noProof/>
                <w:szCs w:val="22"/>
                <w:lang w:val="hr-HR"/>
              </w:rPr>
            </w:pPr>
            <w:r w:rsidRPr="00AA3DF0">
              <w:rPr>
                <w:noProof/>
                <w:szCs w:val="22"/>
                <w:lang w:val="hr-HR"/>
              </w:rPr>
              <w:t>Nepoznata</w:t>
            </w:r>
          </w:p>
        </w:tc>
        <w:tc>
          <w:tcPr>
            <w:tcW w:w="3872" w:type="dxa"/>
            <w:vAlign w:val="center"/>
          </w:tcPr>
          <w:p w14:paraId="3361F5ED" w14:textId="3C837B74" w:rsidR="000F1DCB" w:rsidRPr="00AA3DF0" w:rsidRDefault="000F1DCB" w:rsidP="00EB3D5F">
            <w:pPr>
              <w:tabs>
                <w:tab w:val="clear" w:pos="284"/>
              </w:tabs>
              <w:jc w:val="left"/>
              <w:rPr>
                <w:color w:val="000000"/>
                <w:szCs w:val="22"/>
                <w:lang w:val="hr-HR"/>
              </w:rPr>
            </w:pPr>
            <w:r w:rsidRPr="00AA3DF0">
              <w:rPr>
                <w:color w:val="000000"/>
                <w:szCs w:val="22"/>
              </w:rPr>
              <w:t>Preos</w:t>
            </w:r>
            <w:r w:rsidR="005C298B" w:rsidRPr="00AA3DF0">
              <w:rPr>
                <w:color w:val="000000"/>
                <w:szCs w:val="22"/>
              </w:rPr>
              <w:t>j</w:t>
            </w:r>
            <w:r w:rsidRPr="00AA3DF0">
              <w:rPr>
                <w:color w:val="000000"/>
                <w:szCs w:val="22"/>
              </w:rPr>
              <w:t>etljivost</w:t>
            </w:r>
          </w:p>
        </w:tc>
      </w:tr>
      <w:tr w:rsidR="000F1DCB" w:rsidRPr="00AA3DF0" w14:paraId="3361F5F3" w14:textId="77777777" w:rsidTr="00EB3D5F">
        <w:trPr>
          <w:trHeight w:val="642"/>
        </w:trPr>
        <w:tc>
          <w:tcPr>
            <w:tcW w:w="3420" w:type="dxa"/>
            <w:vAlign w:val="center"/>
          </w:tcPr>
          <w:p w14:paraId="3361F5EF" w14:textId="77777777" w:rsidR="000F1DCB" w:rsidRPr="00AA3DF0" w:rsidRDefault="000F1DCB" w:rsidP="00EB3D5F">
            <w:pPr>
              <w:autoSpaceDE w:val="0"/>
              <w:autoSpaceDN w:val="0"/>
              <w:adjustRightInd w:val="0"/>
              <w:jc w:val="left"/>
              <w:rPr>
                <w:noProof/>
                <w:szCs w:val="22"/>
                <w:u w:val="single"/>
                <w:lang w:val="hr-HR"/>
              </w:rPr>
            </w:pPr>
            <w:r w:rsidRPr="00AA3DF0">
              <w:rPr>
                <w:color w:val="000000"/>
                <w:szCs w:val="22"/>
              </w:rPr>
              <w:t>Poremećaji nervnog sistema</w:t>
            </w:r>
          </w:p>
        </w:tc>
        <w:tc>
          <w:tcPr>
            <w:tcW w:w="2455" w:type="dxa"/>
            <w:vAlign w:val="center"/>
          </w:tcPr>
          <w:p w14:paraId="3361F5F0" w14:textId="77777777" w:rsidR="000F1DCB" w:rsidRPr="00AA3DF0" w:rsidRDefault="000F1DCB" w:rsidP="00EB3D5F">
            <w:pPr>
              <w:autoSpaceDE w:val="0"/>
              <w:autoSpaceDN w:val="0"/>
              <w:adjustRightInd w:val="0"/>
              <w:jc w:val="left"/>
              <w:rPr>
                <w:noProof/>
                <w:szCs w:val="22"/>
                <w:u w:val="single"/>
                <w:lang w:val="hr-HR"/>
              </w:rPr>
            </w:pPr>
            <w:r w:rsidRPr="00AA3DF0">
              <w:rPr>
                <w:noProof/>
                <w:szCs w:val="22"/>
                <w:lang w:val="hr-HR"/>
              </w:rPr>
              <w:t>Nepoznata</w:t>
            </w:r>
          </w:p>
        </w:tc>
        <w:tc>
          <w:tcPr>
            <w:tcW w:w="3872" w:type="dxa"/>
            <w:vAlign w:val="center"/>
          </w:tcPr>
          <w:p w14:paraId="3361F5F1" w14:textId="77777777" w:rsidR="000F1DCB" w:rsidRPr="00AA3DF0" w:rsidRDefault="000F1DCB" w:rsidP="00EB3D5F">
            <w:pPr>
              <w:autoSpaceDE w:val="0"/>
              <w:autoSpaceDN w:val="0"/>
              <w:adjustRightInd w:val="0"/>
              <w:jc w:val="left"/>
              <w:rPr>
                <w:color w:val="000000"/>
                <w:szCs w:val="22"/>
                <w:lang w:val="pl-PL"/>
              </w:rPr>
            </w:pPr>
            <w:r w:rsidRPr="00AA3DF0">
              <w:rPr>
                <w:color w:val="000000"/>
                <w:szCs w:val="22"/>
                <w:lang w:val="pl-PL"/>
              </w:rPr>
              <w:t>Cerebralna hemoragija;</w:t>
            </w:r>
          </w:p>
          <w:p w14:paraId="3361F5F2" w14:textId="77777777" w:rsidR="000F1DCB" w:rsidRPr="00AA3DF0" w:rsidRDefault="000F1DCB" w:rsidP="00EB3D5F">
            <w:pPr>
              <w:autoSpaceDE w:val="0"/>
              <w:autoSpaceDN w:val="0"/>
              <w:adjustRightInd w:val="0"/>
              <w:jc w:val="left"/>
              <w:rPr>
                <w:noProof/>
                <w:szCs w:val="22"/>
                <w:u w:val="single"/>
                <w:lang w:val="pl-PL"/>
              </w:rPr>
            </w:pPr>
            <w:r w:rsidRPr="00AA3DF0">
              <w:rPr>
                <w:color w:val="000000"/>
                <w:szCs w:val="22"/>
                <w:lang w:val="pl-PL"/>
              </w:rPr>
              <w:t>Cerebralni subduralni hematom</w:t>
            </w:r>
          </w:p>
        </w:tc>
      </w:tr>
      <w:tr w:rsidR="000F1DCB" w:rsidRPr="00AA3DF0" w14:paraId="3361F5F7" w14:textId="77777777" w:rsidTr="00EB3D5F">
        <w:trPr>
          <w:trHeight w:val="588"/>
        </w:trPr>
        <w:tc>
          <w:tcPr>
            <w:tcW w:w="3420" w:type="dxa"/>
            <w:vAlign w:val="center"/>
          </w:tcPr>
          <w:p w14:paraId="3361F5F4" w14:textId="77777777" w:rsidR="000F1DCB" w:rsidRPr="00AA3DF0" w:rsidRDefault="000F1DCB" w:rsidP="00EB3D5F">
            <w:pPr>
              <w:autoSpaceDE w:val="0"/>
              <w:autoSpaceDN w:val="0"/>
              <w:adjustRightInd w:val="0"/>
              <w:jc w:val="left"/>
              <w:rPr>
                <w:noProof/>
                <w:szCs w:val="22"/>
                <w:u w:val="single"/>
                <w:lang w:val="hr-HR"/>
              </w:rPr>
            </w:pPr>
            <w:r w:rsidRPr="00AA3DF0">
              <w:rPr>
                <w:color w:val="000000"/>
                <w:szCs w:val="22"/>
              </w:rPr>
              <w:lastRenderedPageBreak/>
              <w:t>Vaskularni poremećaji</w:t>
            </w:r>
          </w:p>
        </w:tc>
        <w:tc>
          <w:tcPr>
            <w:tcW w:w="2455" w:type="dxa"/>
            <w:vAlign w:val="center"/>
          </w:tcPr>
          <w:p w14:paraId="3361F5F5" w14:textId="77777777" w:rsidR="000F1DCB" w:rsidRPr="00AA3DF0" w:rsidRDefault="000F1DCB" w:rsidP="00EB3D5F">
            <w:pPr>
              <w:autoSpaceDE w:val="0"/>
              <w:autoSpaceDN w:val="0"/>
              <w:adjustRightInd w:val="0"/>
              <w:jc w:val="left"/>
              <w:rPr>
                <w:noProof/>
                <w:szCs w:val="22"/>
                <w:u w:val="single"/>
                <w:lang w:val="hr-HR"/>
              </w:rPr>
            </w:pPr>
            <w:r w:rsidRPr="00AA3DF0">
              <w:rPr>
                <w:noProof/>
                <w:szCs w:val="22"/>
                <w:lang w:val="hr-HR"/>
              </w:rPr>
              <w:t>Nepoznata</w:t>
            </w:r>
          </w:p>
        </w:tc>
        <w:tc>
          <w:tcPr>
            <w:tcW w:w="3872" w:type="dxa"/>
            <w:vAlign w:val="center"/>
          </w:tcPr>
          <w:p w14:paraId="3361F5F6" w14:textId="77777777" w:rsidR="000F1DCB" w:rsidRPr="00AA3DF0" w:rsidRDefault="000F1DCB" w:rsidP="00EB3D5F">
            <w:pPr>
              <w:autoSpaceDE w:val="0"/>
              <w:autoSpaceDN w:val="0"/>
              <w:adjustRightInd w:val="0"/>
              <w:jc w:val="left"/>
              <w:rPr>
                <w:noProof/>
                <w:szCs w:val="22"/>
                <w:u w:val="single"/>
                <w:lang w:val="hr-HR"/>
              </w:rPr>
            </w:pPr>
            <w:r w:rsidRPr="00AA3DF0">
              <w:rPr>
                <w:color w:val="000000"/>
                <w:szCs w:val="22"/>
              </w:rPr>
              <w:t>Hemoragija</w:t>
            </w:r>
          </w:p>
        </w:tc>
      </w:tr>
      <w:tr w:rsidR="000F1DCB" w:rsidRPr="00AA3DF0" w14:paraId="3361F5FB" w14:textId="77777777" w:rsidTr="00EB3D5F">
        <w:trPr>
          <w:trHeight w:val="660"/>
        </w:trPr>
        <w:tc>
          <w:tcPr>
            <w:tcW w:w="3420" w:type="dxa"/>
            <w:vAlign w:val="center"/>
          </w:tcPr>
          <w:p w14:paraId="3361F5F8" w14:textId="77777777" w:rsidR="000F1DCB" w:rsidRPr="00AA3DF0" w:rsidRDefault="000F1DCB" w:rsidP="00EB3D5F">
            <w:pPr>
              <w:autoSpaceDE w:val="0"/>
              <w:autoSpaceDN w:val="0"/>
              <w:adjustRightInd w:val="0"/>
              <w:jc w:val="left"/>
              <w:rPr>
                <w:noProof/>
                <w:szCs w:val="22"/>
                <w:u w:val="single"/>
                <w:lang w:val="hr-HR"/>
              </w:rPr>
            </w:pPr>
            <w:r w:rsidRPr="00AA3DF0">
              <w:rPr>
                <w:color w:val="000000"/>
                <w:szCs w:val="22"/>
                <w:lang w:val="it-IT"/>
              </w:rPr>
              <w:t>Respiratorni, torakalni i medijastinalni poremećaji</w:t>
            </w:r>
          </w:p>
        </w:tc>
        <w:tc>
          <w:tcPr>
            <w:tcW w:w="2455" w:type="dxa"/>
            <w:vAlign w:val="center"/>
          </w:tcPr>
          <w:p w14:paraId="3361F5F9" w14:textId="77777777" w:rsidR="000F1DCB" w:rsidRPr="00AA3DF0" w:rsidRDefault="000F1DCB" w:rsidP="00EB3D5F">
            <w:pPr>
              <w:autoSpaceDE w:val="0"/>
              <w:autoSpaceDN w:val="0"/>
              <w:adjustRightInd w:val="0"/>
              <w:jc w:val="left"/>
              <w:rPr>
                <w:noProof/>
                <w:szCs w:val="22"/>
                <w:u w:val="single"/>
                <w:lang w:val="hr-HR"/>
              </w:rPr>
            </w:pPr>
            <w:r w:rsidRPr="00AA3DF0">
              <w:rPr>
                <w:noProof/>
                <w:szCs w:val="22"/>
                <w:lang w:val="hr-HR"/>
              </w:rPr>
              <w:t>Nepoznata</w:t>
            </w:r>
          </w:p>
        </w:tc>
        <w:tc>
          <w:tcPr>
            <w:tcW w:w="3872" w:type="dxa"/>
            <w:vAlign w:val="center"/>
          </w:tcPr>
          <w:p w14:paraId="3361F5FA" w14:textId="77777777" w:rsidR="000F1DCB" w:rsidRPr="00AA3DF0" w:rsidRDefault="000F1DCB" w:rsidP="00884CEB">
            <w:pPr>
              <w:autoSpaceDE w:val="0"/>
              <w:autoSpaceDN w:val="0"/>
              <w:adjustRightInd w:val="0"/>
              <w:jc w:val="left"/>
              <w:rPr>
                <w:noProof/>
                <w:szCs w:val="22"/>
                <w:u w:val="single"/>
                <w:lang w:val="hr-HR"/>
              </w:rPr>
            </w:pPr>
            <w:r w:rsidRPr="00AA3DF0">
              <w:rPr>
                <w:color w:val="000000"/>
                <w:szCs w:val="22"/>
              </w:rPr>
              <w:t>Hemotoraks, epistaksa</w:t>
            </w:r>
          </w:p>
        </w:tc>
      </w:tr>
      <w:tr w:rsidR="000F1DCB" w:rsidRPr="00AA3DF0" w14:paraId="3361F5FF" w14:textId="77777777" w:rsidTr="00EB3D5F">
        <w:trPr>
          <w:trHeight w:val="1065"/>
        </w:trPr>
        <w:tc>
          <w:tcPr>
            <w:tcW w:w="3420" w:type="dxa"/>
            <w:vAlign w:val="center"/>
          </w:tcPr>
          <w:p w14:paraId="3361F5FC" w14:textId="77777777" w:rsidR="000F1DCB" w:rsidRPr="00AA3DF0" w:rsidRDefault="000F1DCB" w:rsidP="00EB3D5F">
            <w:pPr>
              <w:autoSpaceDE w:val="0"/>
              <w:autoSpaceDN w:val="0"/>
              <w:adjustRightInd w:val="0"/>
              <w:jc w:val="left"/>
              <w:rPr>
                <w:noProof/>
                <w:szCs w:val="22"/>
                <w:u w:val="single"/>
                <w:lang w:val="hr-HR"/>
              </w:rPr>
            </w:pPr>
            <w:r w:rsidRPr="00AA3DF0">
              <w:rPr>
                <w:color w:val="000000"/>
                <w:szCs w:val="22"/>
              </w:rPr>
              <w:t>Gastrointestinalni poremećaji</w:t>
            </w:r>
          </w:p>
        </w:tc>
        <w:tc>
          <w:tcPr>
            <w:tcW w:w="2455" w:type="dxa"/>
            <w:vAlign w:val="center"/>
          </w:tcPr>
          <w:p w14:paraId="3361F5FD" w14:textId="77777777" w:rsidR="000F1DCB" w:rsidRPr="00AA3DF0" w:rsidRDefault="000F1DCB" w:rsidP="00EB3D5F">
            <w:pPr>
              <w:autoSpaceDE w:val="0"/>
              <w:autoSpaceDN w:val="0"/>
              <w:adjustRightInd w:val="0"/>
              <w:jc w:val="left"/>
              <w:rPr>
                <w:noProof/>
                <w:szCs w:val="22"/>
                <w:u w:val="single"/>
                <w:lang w:val="hr-HR"/>
              </w:rPr>
            </w:pPr>
            <w:r w:rsidRPr="00AA3DF0">
              <w:rPr>
                <w:noProof/>
                <w:szCs w:val="22"/>
                <w:lang w:val="hr-HR"/>
              </w:rPr>
              <w:t>Nepoznata</w:t>
            </w:r>
          </w:p>
        </w:tc>
        <w:tc>
          <w:tcPr>
            <w:tcW w:w="3872" w:type="dxa"/>
            <w:vAlign w:val="center"/>
          </w:tcPr>
          <w:p w14:paraId="3361F5FE" w14:textId="77777777" w:rsidR="000F1DCB" w:rsidRPr="00AA3DF0" w:rsidRDefault="000F1DCB" w:rsidP="00EB3D5F">
            <w:pPr>
              <w:autoSpaceDE w:val="0"/>
              <w:autoSpaceDN w:val="0"/>
              <w:adjustRightInd w:val="0"/>
              <w:jc w:val="left"/>
              <w:rPr>
                <w:color w:val="000000"/>
                <w:szCs w:val="22"/>
                <w:lang w:val="hr-HR"/>
              </w:rPr>
            </w:pPr>
            <w:r w:rsidRPr="00AA3DF0">
              <w:rPr>
                <w:color w:val="000000"/>
                <w:szCs w:val="22"/>
                <w:lang w:val="hr-HR"/>
              </w:rPr>
              <w:t>G</w:t>
            </w:r>
            <w:r w:rsidRPr="00AA3DF0">
              <w:rPr>
                <w:color w:val="000000"/>
                <w:szCs w:val="22"/>
                <w:lang w:val="pt-BR"/>
              </w:rPr>
              <w:t>astrointestinalna hemoragija</w:t>
            </w:r>
            <w:r w:rsidRPr="00AA3DF0">
              <w:rPr>
                <w:color w:val="000000"/>
                <w:szCs w:val="22"/>
                <w:lang w:val="hr-HR"/>
              </w:rPr>
              <w:t xml:space="preserve">, </w:t>
            </w:r>
            <w:r w:rsidRPr="00AA3DF0">
              <w:rPr>
                <w:color w:val="000000"/>
                <w:szCs w:val="22"/>
                <w:lang w:val="pt-BR"/>
              </w:rPr>
              <w:t>rektalna</w:t>
            </w:r>
            <w:r w:rsidRPr="00AA3DF0">
              <w:rPr>
                <w:color w:val="000000"/>
                <w:szCs w:val="22"/>
                <w:lang w:val="hr-HR"/>
              </w:rPr>
              <w:t xml:space="preserve"> </w:t>
            </w:r>
            <w:r w:rsidRPr="00AA3DF0">
              <w:rPr>
                <w:color w:val="000000"/>
                <w:szCs w:val="22"/>
                <w:lang w:val="pt-BR"/>
              </w:rPr>
              <w:t>hemoragija</w:t>
            </w:r>
            <w:r w:rsidRPr="00AA3DF0">
              <w:rPr>
                <w:color w:val="000000"/>
                <w:szCs w:val="22"/>
                <w:lang w:val="hr-HR"/>
              </w:rPr>
              <w:t xml:space="preserve">, </w:t>
            </w:r>
            <w:r w:rsidRPr="00AA3DF0">
              <w:rPr>
                <w:color w:val="000000"/>
                <w:szCs w:val="22"/>
                <w:lang w:val="pt-BR"/>
              </w:rPr>
              <w:t>hematemeza</w:t>
            </w:r>
            <w:r w:rsidRPr="00AA3DF0">
              <w:rPr>
                <w:color w:val="000000"/>
                <w:szCs w:val="22"/>
                <w:lang w:val="hr-HR"/>
              </w:rPr>
              <w:t xml:space="preserve">, </w:t>
            </w:r>
            <w:r w:rsidRPr="00AA3DF0">
              <w:rPr>
                <w:color w:val="000000"/>
                <w:szCs w:val="22"/>
                <w:lang w:val="pt-BR"/>
              </w:rPr>
              <w:t>pankreatitis</w:t>
            </w:r>
            <w:r w:rsidRPr="00AA3DF0">
              <w:rPr>
                <w:color w:val="000000"/>
                <w:szCs w:val="22"/>
                <w:lang w:val="hr-HR"/>
              </w:rPr>
              <w:t xml:space="preserve">, </w:t>
            </w:r>
            <w:r w:rsidRPr="00AA3DF0">
              <w:rPr>
                <w:color w:val="000000"/>
                <w:szCs w:val="22"/>
                <w:lang w:val="pt-BR"/>
              </w:rPr>
              <w:t>dijareja</w:t>
            </w:r>
            <w:r w:rsidRPr="00AA3DF0">
              <w:rPr>
                <w:color w:val="000000"/>
                <w:szCs w:val="22"/>
                <w:lang w:val="hr-HR"/>
              </w:rPr>
              <w:t xml:space="preserve">, </w:t>
            </w:r>
            <w:r w:rsidRPr="00AA3DF0">
              <w:rPr>
                <w:color w:val="000000"/>
                <w:szCs w:val="22"/>
                <w:lang w:val="pt-BR"/>
              </w:rPr>
              <w:t>mu</w:t>
            </w:r>
            <w:r w:rsidRPr="00AA3DF0">
              <w:rPr>
                <w:color w:val="000000"/>
                <w:szCs w:val="22"/>
                <w:lang w:val="hr-HR"/>
              </w:rPr>
              <w:t>č</w:t>
            </w:r>
            <w:r w:rsidRPr="00AA3DF0">
              <w:rPr>
                <w:color w:val="000000"/>
                <w:szCs w:val="22"/>
                <w:lang w:val="pt-BR"/>
              </w:rPr>
              <w:t>nina</w:t>
            </w:r>
            <w:r w:rsidRPr="00AA3DF0">
              <w:rPr>
                <w:color w:val="000000"/>
                <w:szCs w:val="22"/>
                <w:lang w:val="hr-HR"/>
              </w:rPr>
              <w:t xml:space="preserve">, </w:t>
            </w:r>
            <w:r w:rsidRPr="00AA3DF0">
              <w:rPr>
                <w:color w:val="000000"/>
                <w:szCs w:val="22"/>
                <w:lang w:val="pt-BR"/>
              </w:rPr>
              <w:t>povra</w:t>
            </w:r>
            <w:r w:rsidRPr="00AA3DF0">
              <w:rPr>
                <w:color w:val="000000"/>
                <w:szCs w:val="22"/>
                <w:lang w:val="hr-HR"/>
              </w:rPr>
              <w:t>ć</w:t>
            </w:r>
            <w:r w:rsidRPr="00AA3DF0">
              <w:rPr>
                <w:color w:val="000000"/>
                <w:szCs w:val="22"/>
                <w:lang w:val="pt-BR"/>
              </w:rPr>
              <w:t>anje</w:t>
            </w:r>
            <w:r w:rsidRPr="00AA3DF0">
              <w:rPr>
                <w:color w:val="000000"/>
                <w:szCs w:val="22"/>
                <w:lang w:val="hr-HR"/>
              </w:rPr>
              <w:t xml:space="preserve">, </w:t>
            </w:r>
            <w:r w:rsidRPr="00AA3DF0">
              <w:rPr>
                <w:color w:val="000000"/>
                <w:szCs w:val="22"/>
                <w:lang w:val="pt-BR"/>
              </w:rPr>
              <w:t>melena</w:t>
            </w:r>
          </w:p>
        </w:tc>
      </w:tr>
      <w:tr w:rsidR="000F1DCB" w:rsidRPr="00AA3DF0" w14:paraId="3361F603" w14:textId="77777777" w:rsidTr="00EB3D5F">
        <w:trPr>
          <w:trHeight w:val="678"/>
        </w:trPr>
        <w:tc>
          <w:tcPr>
            <w:tcW w:w="3420" w:type="dxa"/>
            <w:vAlign w:val="center"/>
          </w:tcPr>
          <w:p w14:paraId="3361F600" w14:textId="77777777" w:rsidR="000F1DCB" w:rsidRPr="00AA3DF0" w:rsidRDefault="000F1DCB" w:rsidP="00EB3D5F">
            <w:pPr>
              <w:autoSpaceDE w:val="0"/>
              <w:autoSpaceDN w:val="0"/>
              <w:adjustRightInd w:val="0"/>
              <w:jc w:val="left"/>
              <w:rPr>
                <w:noProof/>
                <w:szCs w:val="22"/>
                <w:u w:val="single"/>
                <w:lang w:val="hr-HR"/>
              </w:rPr>
            </w:pPr>
            <w:r w:rsidRPr="00AA3DF0">
              <w:rPr>
                <w:color w:val="000000"/>
                <w:szCs w:val="22"/>
              </w:rPr>
              <w:t>Hepatobilijarni poremećaji</w:t>
            </w:r>
          </w:p>
        </w:tc>
        <w:tc>
          <w:tcPr>
            <w:tcW w:w="2455" w:type="dxa"/>
            <w:vAlign w:val="center"/>
          </w:tcPr>
          <w:p w14:paraId="3361F601" w14:textId="77777777" w:rsidR="000F1DCB" w:rsidRPr="00AA3DF0" w:rsidRDefault="000F1DCB" w:rsidP="00EB3D5F">
            <w:pPr>
              <w:autoSpaceDE w:val="0"/>
              <w:autoSpaceDN w:val="0"/>
              <w:adjustRightInd w:val="0"/>
              <w:jc w:val="left"/>
              <w:rPr>
                <w:noProof/>
                <w:szCs w:val="22"/>
                <w:u w:val="single"/>
                <w:lang w:val="hr-HR"/>
              </w:rPr>
            </w:pPr>
            <w:r w:rsidRPr="00AA3DF0">
              <w:rPr>
                <w:noProof/>
                <w:szCs w:val="22"/>
                <w:lang w:val="hr-HR"/>
              </w:rPr>
              <w:t>Nepoznata</w:t>
            </w:r>
          </w:p>
        </w:tc>
        <w:tc>
          <w:tcPr>
            <w:tcW w:w="3872" w:type="dxa"/>
            <w:vAlign w:val="center"/>
          </w:tcPr>
          <w:p w14:paraId="3361F602" w14:textId="77777777" w:rsidR="000F1DCB" w:rsidRPr="00AA3DF0" w:rsidRDefault="000F1DCB" w:rsidP="00EB3D5F">
            <w:pPr>
              <w:autoSpaceDE w:val="0"/>
              <w:autoSpaceDN w:val="0"/>
              <w:adjustRightInd w:val="0"/>
              <w:jc w:val="left"/>
              <w:rPr>
                <w:noProof/>
                <w:szCs w:val="22"/>
                <w:u w:val="single"/>
                <w:lang w:val="hr-HR"/>
              </w:rPr>
            </w:pPr>
            <w:r w:rsidRPr="00AA3DF0">
              <w:rPr>
                <w:color w:val="000000"/>
                <w:szCs w:val="22"/>
              </w:rPr>
              <w:t>Žutica, poremećaj funkcije jetre</w:t>
            </w:r>
          </w:p>
        </w:tc>
      </w:tr>
      <w:tr w:rsidR="000F1DCB" w:rsidRPr="00AA3DF0" w14:paraId="3361F608" w14:textId="77777777" w:rsidTr="00EB3D5F">
        <w:trPr>
          <w:trHeight w:val="1353"/>
        </w:trPr>
        <w:tc>
          <w:tcPr>
            <w:tcW w:w="3420" w:type="dxa"/>
            <w:vAlign w:val="center"/>
          </w:tcPr>
          <w:p w14:paraId="3361F604" w14:textId="77777777" w:rsidR="000F1DCB" w:rsidRPr="00AA3DF0" w:rsidRDefault="000F1DCB" w:rsidP="00EB3D5F">
            <w:pPr>
              <w:autoSpaceDE w:val="0"/>
              <w:autoSpaceDN w:val="0"/>
              <w:adjustRightInd w:val="0"/>
              <w:jc w:val="left"/>
              <w:rPr>
                <w:noProof/>
                <w:szCs w:val="22"/>
                <w:u w:val="single"/>
                <w:lang w:val="hr-HR"/>
              </w:rPr>
            </w:pPr>
            <w:r w:rsidRPr="00AA3DF0">
              <w:rPr>
                <w:color w:val="000000"/>
                <w:szCs w:val="22"/>
                <w:lang w:val="pl-PL"/>
              </w:rPr>
              <w:t>Poreme</w:t>
            </w:r>
            <w:r w:rsidRPr="00AA3DF0">
              <w:rPr>
                <w:color w:val="000000"/>
                <w:szCs w:val="22"/>
                <w:lang w:val="hr-HR"/>
              </w:rPr>
              <w:t>ć</w:t>
            </w:r>
            <w:r w:rsidRPr="00AA3DF0">
              <w:rPr>
                <w:color w:val="000000"/>
                <w:szCs w:val="22"/>
                <w:lang w:val="pl-PL"/>
              </w:rPr>
              <w:t>aji</w:t>
            </w:r>
            <w:r w:rsidRPr="00AA3DF0">
              <w:rPr>
                <w:color w:val="000000"/>
                <w:szCs w:val="22"/>
                <w:lang w:val="hr-HR"/>
              </w:rPr>
              <w:t xml:space="preserve"> </w:t>
            </w:r>
            <w:r w:rsidRPr="00AA3DF0">
              <w:rPr>
                <w:color w:val="000000"/>
                <w:szCs w:val="22"/>
                <w:lang w:val="pl-PL"/>
              </w:rPr>
              <w:t>ko</w:t>
            </w:r>
            <w:r w:rsidRPr="00AA3DF0">
              <w:rPr>
                <w:color w:val="000000"/>
                <w:szCs w:val="22"/>
                <w:lang w:val="hr-HR"/>
              </w:rPr>
              <w:t>ž</w:t>
            </w:r>
            <w:r w:rsidRPr="00AA3DF0">
              <w:rPr>
                <w:color w:val="000000"/>
                <w:szCs w:val="22"/>
                <w:lang w:val="pl-PL"/>
              </w:rPr>
              <w:t>e</w:t>
            </w:r>
            <w:r w:rsidRPr="00AA3DF0">
              <w:rPr>
                <w:color w:val="000000"/>
                <w:szCs w:val="22"/>
                <w:lang w:val="hr-HR"/>
              </w:rPr>
              <w:t xml:space="preserve"> </w:t>
            </w:r>
            <w:r w:rsidRPr="00AA3DF0">
              <w:rPr>
                <w:color w:val="000000"/>
                <w:szCs w:val="22"/>
                <w:lang w:val="pl-PL"/>
              </w:rPr>
              <w:t>i</w:t>
            </w:r>
            <w:r w:rsidRPr="00AA3DF0">
              <w:rPr>
                <w:color w:val="000000"/>
                <w:szCs w:val="22"/>
                <w:lang w:val="hr-HR"/>
              </w:rPr>
              <w:t xml:space="preserve"> </w:t>
            </w:r>
            <w:r w:rsidRPr="00AA3DF0">
              <w:rPr>
                <w:color w:val="000000"/>
                <w:szCs w:val="22"/>
                <w:lang w:val="pl-PL"/>
              </w:rPr>
              <w:t>potko</w:t>
            </w:r>
            <w:r w:rsidRPr="00AA3DF0">
              <w:rPr>
                <w:color w:val="000000"/>
                <w:szCs w:val="22"/>
                <w:lang w:val="hr-HR"/>
              </w:rPr>
              <w:t>ž</w:t>
            </w:r>
            <w:r w:rsidRPr="00AA3DF0">
              <w:rPr>
                <w:color w:val="000000"/>
                <w:szCs w:val="22"/>
                <w:lang w:val="pl-PL"/>
              </w:rPr>
              <w:t>nog</w:t>
            </w:r>
            <w:r w:rsidRPr="00AA3DF0">
              <w:rPr>
                <w:color w:val="000000"/>
                <w:szCs w:val="22"/>
                <w:lang w:val="hr-HR"/>
              </w:rPr>
              <w:t xml:space="preserve"> </w:t>
            </w:r>
            <w:r w:rsidRPr="00AA3DF0">
              <w:rPr>
                <w:color w:val="000000"/>
                <w:szCs w:val="22"/>
                <w:lang w:val="pl-PL"/>
              </w:rPr>
              <w:t>tkiva</w:t>
            </w:r>
          </w:p>
        </w:tc>
        <w:tc>
          <w:tcPr>
            <w:tcW w:w="2455" w:type="dxa"/>
            <w:vAlign w:val="center"/>
          </w:tcPr>
          <w:p w14:paraId="3361F605" w14:textId="77777777" w:rsidR="000F1DCB" w:rsidRPr="00AA3DF0" w:rsidRDefault="000F1DCB" w:rsidP="00EB3D5F">
            <w:pPr>
              <w:autoSpaceDE w:val="0"/>
              <w:autoSpaceDN w:val="0"/>
              <w:adjustRightInd w:val="0"/>
              <w:jc w:val="left"/>
              <w:rPr>
                <w:noProof/>
                <w:szCs w:val="22"/>
                <w:u w:val="single"/>
                <w:lang w:val="hr-HR"/>
              </w:rPr>
            </w:pPr>
            <w:r w:rsidRPr="00AA3DF0">
              <w:rPr>
                <w:noProof/>
                <w:szCs w:val="22"/>
                <w:lang w:val="hr-HR"/>
              </w:rPr>
              <w:t>Nepoznata</w:t>
            </w:r>
          </w:p>
        </w:tc>
        <w:tc>
          <w:tcPr>
            <w:tcW w:w="3872" w:type="dxa"/>
            <w:vAlign w:val="center"/>
          </w:tcPr>
          <w:p w14:paraId="3361F607" w14:textId="4D5C00F3" w:rsidR="000F1DCB" w:rsidRPr="00AA3DF0" w:rsidRDefault="000F1DCB" w:rsidP="00EB3D5F">
            <w:pPr>
              <w:autoSpaceDE w:val="0"/>
              <w:autoSpaceDN w:val="0"/>
              <w:adjustRightInd w:val="0"/>
              <w:jc w:val="left"/>
              <w:rPr>
                <w:szCs w:val="22"/>
                <w:lang w:val="hr-HR"/>
              </w:rPr>
            </w:pPr>
            <w:r w:rsidRPr="00AA3DF0">
              <w:rPr>
                <w:szCs w:val="22"/>
                <w:lang w:val="pl-PL"/>
              </w:rPr>
              <w:t>Osip</w:t>
            </w:r>
            <w:r w:rsidRPr="00AA3DF0">
              <w:rPr>
                <w:szCs w:val="22"/>
                <w:lang w:val="hr-HR"/>
              </w:rPr>
              <w:t xml:space="preserve">, </w:t>
            </w:r>
            <w:r w:rsidRPr="00AA3DF0">
              <w:rPr>
                <w:szCs w:val="22"/>
                <w:lang w:val="pl-PL"/>
              </w:rPr>
              <w:t>alopecija</w:t>
            </w:r>
            <w:r w:rsidRPr="00AA3DF0">
              <w:rPr>
                <w:szCs w:val="22"/>
                <w:lang w:val="hr-HR"/>
              </w:rPr>
              <w:t xml:space="preserve">, </w:t>
            </w:r>
            <w:r w:rsidRPr="00AA3DF0">
              <w:rPr>
                <w:szCs w:val="22"/>
                <w:lang w:val="pl-PL"/>
              </w:rPr>
              <w:t>purpura</w:t>
            </w:r>
            <w:r w:rsidRPr="00AA3DF0">
              <w:rPr>
                <w:szCs w:val="22"/>
                <w:lang w:val="hr-HR"/>
              </w:rPr>
              <w:t xml:space="preserve">, </w:t>
            </w:r>
            <w:r w:rsidRPr="00AA3DF0">
              <w:rPr>
                <w:szCs w:val="22"/>
                <w:lang w:val="pl-PL"/>
              </w:rPr>
              <w:t>sindrom</w:t>
            </w:r>
            <w:r w:rsidRPr="00AA3DF0">
              <w:rPr>
                <w:szCs w:val="22"/>
                <w:lang w:val="hr-HR"/>
              </w:rPr>
              <w:t xml:space="preserve"> </w:t>
            </w:r>
            <w:r w:rsidR="00CF13EB" w:rsidRPr="00AA3DF0">
              <w:rPr>
                <w:szCs w:val="22"/>
                <w:lang w:val="hr-HR"/>
              </w:rPr>
              <w:t>„</w:t>
            </w:r>
            <w:r w:rsidRPr="00AA3DF0">
              <w:rPr>
                <w:szCs w:val="22"/>
                <w:lang w:val="pl-PL"/>
              </w:rPr>
              <w:t>plavi</w:t>
            </w:r>
            <w:r w:rsidRPr="00AA3DF0">
              <w:rPr>
                <w:szCs w:val="22"/>
                <w:lang w:val="hr-HR"/>
              </w:rPr>
              <w:t>č</w:t>
            </w:r>
            <w:r w:rsidRPr="00AA3DF0">
              <w:rPr>
                <w:szCs w:val="22"/>
                <w:lang w:val="pl-PL"/>
              </w:rPr>
              <w:t>astih</w:t>
            </w:r>
            <w:r w:rsidRPr="00AA3DF0">
              <w:rPr>
                <w:szCs w:val="22"/>
                <w:lang w:val="hr-HR"/>
              </w:rPr>
              <w:t xml:space="preserve"> </w:t>
            </w:r>
            <w:r w:rsidRPr="00AA3DF0">
              <w:rPr>
                <w:szCs w:val="22"/>
                <w:lang w:val="pl-PL"/>
              </w:rPr>
              <w:t>prstiju</w:t>
            </w:r>
            <w:r w:rsidR="00CF13EB" w:rsidRPr="00AA3DF0">
              <w:rPr>
                <w:szCs w:val="22"/>
                <w:lang w:val="pl-PL"/>
              </w:rPr>
              <w:t>”</w:t>
            </w:r>
            <w:r w:rsidRPr="00AA3DF0">
              <w:rPr>
                <w:szCs w:val="22"/>
                <w:lang w:val="hr-HR"/>
              </w:rPr>
              <w:t xml:space="preserve">, </w:t>
            </w:r>
            <w:r w:rsidRPr="00AA3DF0">
              <w:rPr>
                <w:szCs w:val="22"/>
                <w:lang w:val="pl-PL"/>
              </w:rPr>
              <w:t>eritematozne</w:t>
            </w:r>
            <w:r w:rsidRPr="00AA3DF0">
              <w:rPr>
                <w:szCs w:val="22"/>
                <w:lang w:val="hr-HR"/>
              </w:rPr>
              <w:t xml:space="preserve"> </w:t>
            </w:r>
            <w:r w:rsidRPr="00AA3DF0">
              <w:rPr>
                <w:szCs w:val="22"/>
                <w:lang w:val="pl-PL"/>
              </w:rPr>
              <w:t>ote</w:t>
            </w:r>
            <w:r w:rsidRPr="00AA3DF0">
              <w:rPr>
                <w:szCs w:val="22"/>
                <w:lang w:val="hr-HR"/>
              </w:rPr>
              <w:t>č</w:t>
            </w:r>
            <w:r w:rsidRPr="00AA3DF0">
              <w:rPr>
                <w:szCs w:val="22"/>
                <w:lang w:val="pl-PL"/>
              </w:rPr>
              <w:t>ene</w:t>
            </w:r>
            <w:r w:rsidRPr="00AA3DF0">
              <w:rPr>
                <w:szCs w:val="22"/>
                <w:lang w:val="hr-HR"/>
              </w:rPr>
              <w:t xml:space="preserve"> </w:t>
            </w:r>
            <w:r w:rsidRPr="00AA3DF0">
              <w:rPr>
                <w:szCs w:val="22"/>
                <w:lang w:val="pl-PL"/>
              </w:rPr>
              <w:t>prom</w:t>
            </w:r>
            <w:r w:rsidR="005C298B" w:rsidRPr="00AA3DF0">
              <w:rPr>
                <w:szCs w:val="22"/>
                <w:lang w:val="pl-PL"/>
              </w:rPr>
              <w:t>j</w:t>
            </w:r>
            <w:r w:rsidRPr="00AA3DF0">
              <w:rPr>
                <w:szCs w:val="22"/>
                <w:lang w:val="pl-PL"/>
              </w:rPr>
              <w:t>ene</w:t>
            </w:r>
            <w:r w:rsidRPr="00AA3DF0">
              <w:rPr>
                <w:szCs w:val="22"/>
                <w:lang w:val="hr-HR"/>
              </w:rPr>
              <w:t xml:space="preserve"> </w:t>
            </w:r>
            <w:r w:rsidRPr="00AA3DF0">
              <w:rPr>
                <w:szCs w:val="22"/>
                <w:lang w:val="pl-PL"/>
              </w:rPr>
              <w:t>na</w:t>
            </w:r>
            <w:r w:rsidRPr="00AA3DF0">
              <w:rPr>
                <w:szCs w:val="22"/>
                <w:lang w:val="hr-HR"/>
              </w:rPr>
              <w:t xml:space="preserve"> </w:t>
            </w:r>
            <w:r w:rsidRPr="00AA3DF0">
              <w:rPr>
                <w:szCs w:val="22"/>
                <w:lang w:val="pl-PL"/>
              </w:rPr>
              <w:t>ko</w:t>
            </w:r>
            <w:r w:rsidRPr="00AA3DF0">
              <w:rPr>
                <w:szCs w:val="22"/>
                <w:lang w:val="hr-HR"/>
              </w:rPr>
              <w:t>ž</w:t>
            </w:r>
            <w:r w:rsidRPr="00AA3DF0">
              <w:rPr>
                <w:szCs w:val="22"/>
                <w:lang w:val="pl-PL"/>
              </w:rPr>
              <w:t>i</w:t>
            </w:r>
            <w:r w:rsidRPr="00AA3DF0">
              <w:rPr>
                <w:szCs w:val="22"/>
                <w:lang w:val="hr-HR"/>
              </w:rPr>
              <w:t xml:space="preserve"> </w:t>
            </w:r>
            <w:r w:rsidRPr="00AA3DF0">
              <w:rPr>
                <w:szCs w:val="22"/>
                <w:lang w:val="pl-PL"/>
              </w:rPr>
              <w:t>koje</w:t>
            </w:r>
            <w:r w:rsidRPr="00AA3DF0">
              <w:rPr>
                <w:szCs w:val="22"/>
                <w:lang w:val="hr-HR"/>
              </w:rPr>
              <w:t xml:space="preserve"> </w:t>
            </w:r>
            <w:r w:rsidRPr="00AA3DF0">
              <w:rPr>
                <w:szCs w:val="22"/>
                <w:lang w:val="pl-PL"/>
              </w:rPr>
              <w:t>vode</w:t>
            </w:r>
            <w:r w:rsidRPr="00AA3DF0">
              <w:rPr>
                <w:szCs w:val="22"/>
                <w:lang w:val="hr-HR"/>
              </w:rPr>
              <w:t xml:space="preserve"> </w:t>
            </w:r>
            <w:r w:rsidRPr="00AA3DF0">
              <w:rPr>
                <w:szCs w:val="22"/>
                <w:lang w:val="pl-PL"/>
              </w:rPr>
              <w:t>ka</w:t>
            </w:r>
            <w:r w:rsidRPr="00AA3DF0">
              <w:rPr>
                <w:szCs w:val="22"/>
                <w:lang w:val="hr-HR"/>
              </w:rPr>
              <w:t xml:space="preserve"> </w:t>
            </w:r>
            <w:r w:rsidRPr="00AA3DF0">
              <w:rPr>
                <w:szCs w:val="22"/>
                <w:lang w:val="pl-PL"/>
              </w:rPr>
              <w:t>ekhimozi</w:t>
            </w:r>
            <w:r w:rsidRPr="00AA3DF0">
              <w:rPr>
                <w:szCs w:val="22"/>
                <w:lang w:val="hr-HR"/>
              </w:rPr>
              <w:t xml:space="preserve">, </w:t>
            </w:r>
            <w:r w:rsidRPr="00AA3DF0">
              <w:rPr>
                <w:szCs w:val="22"/>
                <w:lang w:val="pl-PL"/>
              </w:rPr>
              <w:t>infarkt</w:t>
            </w:r>
            <w:r w:rsidRPr="00AA3DF0">
              <w:rPr>
                <w:szCs w:val="22"/>
                <w:lang w:val="hr-HR"/>
              </w:rPr>
              <w:t xml:space="preserve"> </w:t>
            </w:r>
            <w:r w:rsidRPr="00AA3DF0">
              <w:rPr>
                <w:szCs w:val="22"/>
                <w:lang w:val="pl-PL"/>
              </w:rPr>
              <w:t>i</w:t>
            </w:r>
            <w:r w:rsidRPr="00AA3DF0">
              <w:rPr>
                <w:szCs w:val="22"/>
                <w:lang w:val="hr-HR"/>
              </w:rPr>
              <w:t xml:space="preserve"> </w:t>
            </w:r>
            <w:r w:rsidRPr="00AA3DF0">
              <w:rPr>
                <w:szCs w:val="22"/>
                <w:lang w:val="pl-PL"/>
              </w:rPr>
              <w:t>nekroza</w:t>
            </w:r>
            <w:r w:rsidRPr="00AA3DF0">
              <w:rPr>
                <w:szCs w:val="22"/>
                <w:lang w:val="hr-HR"/>
              </w:rPr>
              <w:t xml:space="preserve"> </w:t>
            </w:r>
            <w:r w:rsidRPr="00AA3DF0">
              <w:rPr>
                <w:szCs w:val="22"/>
                <w:lang w:val="pl-PL"/>
              </w:rPr>
              <w:t>ko</w:t>
            </w:r>
            <w:r w:rsidRPr="00AA3DF0">
              <w:rPr>
                <w:szCs w:val="22"/>
                <w:lang w:val="hr-HR"/>
              </w:rPr>
              <w:t>ž</w:t>
            </w:r>
            <w:r w:rsidRPr="00AA3DF0">
              <w:rPr>
                <w:szCs w:val="22"/>
                <w:lang w:val="pl-PL"/>
              </w:rPr>
              <w:t>e</w:t>
            </w:r>
            <w:r w:rsidRPr="00AA3DF0">
              <w:rPr>
                <w:szCs w:val="22"/>
                <w:lang w:val="hr-HR"/>
              </w:rPr>
              <w:t xml:space="preserve">, </w:t>
            </w:r>
            <w:r w:rsidRPr="00AA3DF0">
              <w:rPr>
                <w:szCs w:val="22"/>
                <w:lang w:val="pl-PL"/>
              </w:rPr>
              <w:t>kalcifilaksa</w:t>
            </w:r>
          </w:p>
        </w:tc>
      </w:tr>
      <w:tr w:rsidR="000F1DCB" w:rsidRPr="00AA3DF0" w14:paraId="3361F60C" w14:textId="77777777" w:rsidTr="00EB3D5F">
        <w:trPr>
          <w:trHeight w:val="678"/>
        </w:trPr>
        <w:tc>
          <w:tcPr>
            <w:tcW w:w="3420" w:type="dxa"/>
            <w:vAlign w:val="center"/>
          </w:tcPr>
          <w:p w14:paraId="3361F609" w14:textId="77777777" w:rsidR="000F1DCB" w:rsidRPr="00AA3DF0" w:rsidRDefault="000F1DCB" w:rsidP="00EB3D5F">
            <w:pPr>
              <w:autoSpaceDE w:val="0"/>
              <w:autoSpaceDN w:val="0"/>
              <w:adjustRightInd w:val="0"/>
              <w:jc w:val="left"/>
              <w:rPr>
                <w:color w:val="000000"/>
                <w:szCs w:val="22"/>
                <w:lang w:val="pl-PL"/>
              </w:rPr>
            </w:pPr>
            <w:r w:rsidRPr="00AA3DF0">
              <w:rPr>
                <w:color w:val="000000"/>
                <w:szCs w:val="22"/>
                <w:lang w:val="pl-PL"/>
              </w:rPr>
              <w:t>Poremećaji bubrega i urinarnog sistema</w:t>
            </w:r>
          </w:p>
        </w:tc>
        <w:tc>
          <w:tcPr>
            <w:tcW w:w="2455" w:type="dxa"/>
            <w:vAlign w:val="center"/>
          </w:tcPr>
          <w:p w14:paraId="3361F60A" w14:textId="77777777" w:rsidR="000F1DCB" w:rsidRPr="00AA3DF0" w:rsidRDefault="000F1DCB" w:rsidP="00EB3D5F">
            <w:pPr>
              <w:autoSpaceDE w:val="0"/>
              <w:autoSpaceDN w:val="0"/>
              <w:adjustRightInd w:val="0"/>
              <w:jc w:val="left"/>
              <w:rPr>
                <w:noProof/>
                <w:szCs w:val="22"/>
                <w:lang w:val="hr-HR"/>
              </w:rPr>
            </w:pPr>
            <w:r w:rsidRPr="00AA3DF0">
              <w:rPr>
                <w:noProof/>
                <w:szCs w:val="22"/>
                <w:lang w:val="hr-HR"/>
              </w:rPr>
              <w:t>Nepoznata</w:t>
            </w:r>
          </w:p>
        </w:tc>
        <w:tc>
          <w:tcPr>
            <w:tcW w:w="3872" w:type="dxa"/>
            <w:vAlign w:val="center"/>
          </w:tcPr>
          <w:p w14:paraId="31C7FAF5" w14:textId="67AB135B" w:rsidR="007C0F3C" w:rsidRPr="00AA3DF0" w:rsidRDefault="007C0F3C" w:rsidP="00EB3D5F">
            <w:pPr>
              <w:autoSpaceDE w:val="0"/>
              <w:autoSpaceDN w:val="0"/>
              <w:adjustRightInd w:val="0"/>
              <w:jc w:val="left"/>
              <w:rPr>
                <w:color w:val="000000"/>
                <w:szCs w:val="22"/>
              </w:rPr>
            </w:pPr>
            <w:r w:rsidRPr="00AA3DF0">
              <w:rPr>
                <w:color w:val="000000"/>
                <w:szCs w:val="22"/>
              </w:rPr>
              <w:t>Nefropatija povezana sa antikoagulansima (vid</w:t>
            </w:r>
            <w:r w:rsidR="005C298B" w:rsidRPr="00AA3DF0">
              <w:rPr>
                <w:color w:val="000000"/>
                <w:szCs w:val="22"/>
              </w:rPr>
              <w:t>j</w:t>
            </w:r>
            <w:r w:rsidRPr="00AA3DF0">
              <w:rPr>
                <w:color w:val="000000"/>
                <w:szCs w:val="22"/>
              </w:rPr>
              <w:t xml:space="preserve">eti </w:t>
            </w:r>
            <w:r w:rsidR="005C298B" w:rsidRPr="00AA3DF0">
              <w:rPr>
                <w:color w:val="000000"/>
                <w:szCs w:val="22"/>
              </w:rPr>
              <w:t>dio</w:t>
            </w:r>
            <w:r w:rsidRPr="00AA3DF0">
              <w:rPr>
                <w:color w:val="000000"/>
                <w:szCs w:val="22"/>
              </w:rPr>
              <w:t xml:space="preserve"> 4.4),</w:t>
            </w:r>
          </w:p>
          <w:p w14:paraId="3361F60B" w14:textId="77777777" w:rsidR="000F1DCB" w:rsidRPr="00AA3DF0" w:rsidRDefault="000F1DCB" w:rsidP="00EB3D5F">
            <w:pPr>
              <w:autoSpaceDE w:val="0"/>
              <w:autoSpaceDN w:val="0"/>
              <w:adjustRightInd w:val="0"/>
              <w:jc w:val="left"/>
              <w:rPr>
                <w:color w:val="000000"/>
                <w:szCs w:val="22"/>
                <w:lang w:val="pl-PL"/>
              </w:rPr>
            </w:pPr>
            <w:r w:rsidRPr="00AA3DF0">
              <w:rPr>
                <w:color w:val="000000"/>
                <w:szCs w:val="22"/>
              </w:rPr>
              <w:t>Hematurija</w:t>
            </w:r>
          </w:p>
        </w:tc>
      </w:tr>
      <w:tr w:rsidR="000F1DCB" w:rsidRPr="00AA3DF0" w14:paraId="3361F610" w14:textId="77777777" w:rsidTr="00EB3D5F">
        <w:trPr>
          <w:trHeight w:val="669"/>
        </w:trPr>
        <w:tc>
          <w:tcPr>
            <w:tcW w:w="3420" w:type="dxa"/>
            <w:vAlign w:val="center"/>
          </w:tcPr>
          <w:p w14:paraId="3361F60D" w14:textId="77777777" w:rsidR="000F1DCB" w:rsidRPr="00AA3DF0" w:rsidRDefault="000F1DCB" w:rsidP="00EB3D5F">
            <w:pPr>
              <w:autoSpaceDE w:val="0"/>
              <w:autoSpaceDN w:val="0"/>
              <w:adjustRightInd w:val="0"/>
              <w:jc w:val="left"/>
              <w:rPr>
                <w:szCs w:val="22"/>
                <w:lang w:val="pl-PL"/>
              </w:rPr>
            </w:pPr>
            <w:r w:rsidRPr="00AA3DF0">
              <w:rPr>
                <w:szCs w:val="22"/>
              </w:rPr>
              <w:t>Ispitivanja</w:t>
            </w:r>
          </w:p>
        </w:tc>
        <w:tc>
          <w:tcPr>
            <w:tcW w:w="2455" w:type="dxa"/>
            <w:vAlign w:val="center"/>
          </w:tcPr>
          <w:p w14:paraId="3361F60E" w14:textId="77777777" w:rsidR="000F1DCB" w:rsidRPr="00AA3DF0" w:rsidRDefault="000F1DCB" w:rsidP="00EB3D5F">
            <w:pPr>
              <w:autoSpaceDE w:val="0"/>
              <w:autoSpaceDN w:val="0"/>
              <w:adjustRightInd w:val="0"/>
              <w:jc w:val="left"/>
              <w:rPr>
                <w:noProof/>
                <w:szCs w:val="22"/>
                <w:lang w:val="hr-HR"/>
              </w:rPr>
            </w:pPr>
            <w:r w:rsidRPr="00AA3DF0">
              <w:rPr>
                <w:noProof/>
                <w:szCs w:val="22"/>
                <w:lang w:val="hr-HR"/>
              </w:rPr>
              <w:t>Nepoznata</w:t>
            </w:r>
          </w:p>
        </w:tc>
        <w:tc>
          <w:tcPr>
            <w:tcW w:w="3872" w:type="dxa"/>
            <w:vAlign w:val="center"/>
          </w:tcPr>
          <w:p w14:paraId="3361F60F" w14:textId="1E1AFEB5" w:rsidR="000F1DCB" w:rsidRPr="00AA3DF0" w:rsidRDefault="000F1DCB" w:rsidP="00EB3D5F">
            <w:pPr>
              <w:jc w:val="left"/>
              <w:rPr>
                <w:szCs w:val="22"/>
                <w:lang w:val="sr-Latn-CS"/>
              </w:rPr>
            </w:pPr>
            <w:r w:rsidRPr="00AA3DF0">
              <w:rPr>
                <w:szCs w:val="22"/>
                <w:lang w:val="sr-Latn-CS"/>
              </w:rPr>
              <w:t>Neobjašnjiv pad vr</w:t>
            </w:r>
            <w:r w:rsidR="005C298B" w:rsidRPr="00AA3DF0">
              <w:rPr>
                <w:szCs w:val="22"/>
                <w:lang w:val="sr-Latn-CS"/>
              </w:rPr>
              <w:t>ij</w:t>
            </w:r>
            <w:r w:rsidRPr="00AA3DF0">
              <w:rPr>
                <w:szCs w:val="22"/>
                <w:lang w:val="sr-Latn-CS"/>
              </w:rPr>
              <w:t>ednosti hematokrita, smanjenje vr</w:t>
            </w:r>
            <w:r w:rsidR="005C298B" w:rsidRPr="00AA3DF0">
              <w:rPr>
                <w:szCs w:val="22"/>
                <w:lang w:val="sr-Latn-CS"/>
              </w:rPr>
              <w:t>ij</w:t>
            </w:r>
            <w:r w:rsidRPr="00AA3DF0">
              <w:rPr>
                <w:szCs w:val="22"/>
                <w:lang w:val="sr-Latn-CS"/>
              </w:rPr>
              <w:t>ednosti hemoglobina</w:t>
            </w:r>
          </w:p>
        </w:tc>
      </w:tr>
    </w:tbl>
    <w:p w14:paraId="3361F612" w14:textId="77777777" w:rsidR="000F1DCB" w:rsidRPr="00AA3DF0" w:rsidRDefault="000F1DCB" w:rsidP="00C92108">
      <w:pPr>
        <w:autoSpaceDE w:val="0"/>
        <w:autoSpaceDN w:val="0"/>
        <w:adjustRightInd w:val="0"/>
        <w:rPr>
          <w:noProof/>
          <w:szCs w:val="22"/>
          <w:u w:val="single"/>
          <w:lang w:val="hr-HR"/>
        </w:rPr>
      </w:pPr>
    </w:p>
    <w:p w14:paraId="7CBAC0AE" w14:textId="77777777" w:rsidR="00B370AC" w:rsidRPr="00AA3DF0" w:rsidRDefault="00B370AC" w:rsidP="00B370AC">
      <w:pPr>
        <w:tabs>
          <w:tab w:val="clear" w:pos="284"/>
        </w:tabs>
        <w:spacing w:after="200" w:line="276" w:lineRule="auto"/>
        <w:jc w:val="left"/>
        <w:rPr>
          <w:rFonts w:eastAsia="Calibri"/>
          <w:szCs w:val="22"/>
          <w:u w:val="single"/>
          <w:lang w:val="sr-Latn-RS"/>
        </w:rPr>
      </w:pPr>
      <w:r w:rsidRPr="00AA3DF0">
        <w:rPr>
          <w:rFonts w:eastAsia="Calibri"/>
          <w:szCs w:val="22"/>
          <w:u w:val="single"/>
          <w:lang w:val="sr-Latn-RS"/>
        </w:rPr>
        <w:t>Prijavljivanje sumnji na neželjena dejstva</w:t>
      </w:r>
    </w:p>
    <w:p w14:paraId="237EC554" w14:textId="77777777" w:rsidR="00B370AC" w:rsidRPr="00AA3DF0" w:rsidRDefault="00B370AC" w:rsidP="00B370AC">
      <w:pPr>
        <w:tabs>
          <w:tab w:val="clear" w:pos="284"/>
        </w:tabs>
        <w:spacing w:after="200"/>
        <w:rPr>
          <w:rFonts w:eastAsia="Calibri"/>
          <w:szCs w:val="22"/>
          <w:lang w:val="sr-Latn-RS"/>
        </w:rPr>
      </w:pPr>
      <w:r w:rsidRPr="00AA3DF0">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164F391" w14:textId="77777777" w:rsidR="00B370AC" w:rsidRPr="00AA3DF0" w:rsidRDefault="00B370AC" w:rsidP="00B370AC">
      <w:pPr>
        <w:tabs>
          <w:tab w:val="clear" w:pos="284"/>
        </w:tabs>
        <w:rPr>
          <w:rFonts w:eastAsia="Calibri"/>
          <w:szCs w:val="22"/>
          <w:lang w:val="sr-Latn-RS"/>
        </w:rPr>
      </w:pPr>
      <w:r w:rsidRPr="00AA3DF0">
        <w:rPr>
          <w:rFonts w:eastAsia="Calibri"/>
          <w:szCs w:val="22"/>
          <w:lang w:val="sr-Latn-RS"/>
        </w:rPr>
        <w:t xml:space="preserve">Institut za ljekove i medicinska sredstva </w:t>
      </w:r>
    </w:p>
    <w:p w14:paraId="28E0E987" w14:textId="77777777" w:rsidR="00B370AC" w:rsidRPr="00AA3DF0" w:rsidRDefault="00B370AC" w:rsidP="00B370AC">
      <w:pPr>
        <w:tabs>
          <w:tab w:val="clear" w:pos="284"/>
        </w:tabs>
        <w:rPr>
          <w:rFonts w:eastAsia="Calibri"/>
          <w:szCs w:val="22"/>
          <w:lang w:val="sr-Latn-RS"/>
        </w:rPr>
      </w:pPr>
      <w:r w:rsidRPr="00AA3DF0">
        <w:rPr>
          <w:rFonts w:eastAsia="Calibri"/>
          <w:szCs w:val="22"/>
          <w:lang w:val="sr-Latn-RS"/>
        </w:rPr>
        <w:t>Odjeljenje za farmakovigilancu</w:t>
      </w:r>
    </w:p>
    <w:p w14:paraId="576BB071" w14:textId="77777777" w:rsidR="00B370AC" w:rsidRPr="00AA3DF0" w:rsidRDefault="00B370AC" w:rsidP="00B370AC">
      <w:pPr>
        <w:tabs>
          <w:tab w:val="clear" w:pos="284"/>
        </w:tabs>
        <w:rPr>
          <w:rFonts w:eastAsia="Calibri"/>
          <w:szCs w:val="22"/>
          <w:lang w:val="sr-Latn-RS"/>
        </w:rPr>
      </w:pPr>
      <w:r w:rsidRPr="00AA3DF0">
        <w:rPr>
          <w:rFonts w:eastAsia="Calibri"/>
          <w:szCs w:val="22"/>
          <w:lang w:val="sr-Latn-RS"/>
        </w:rPr>
        <w:t>Bulevar Ivana Crnojevića 64a, 81000 Podgorica</w:t>
      </w:r>
    </w:p>
    <w:p w14:paraId="595CB511" w14:textId="77777777" w:rsidR="00B370AC" w:rsidRPr="00AA3DF0" w:rsidRDefault="00B370AC" w:rsidP="00B370AC">
      <w:pPr>
        <w:tabs>
          <w:tab w:val="clear" w:pos="284"/>
        </w:tabs>
        <w:jc w:val="left"/>
        <w:rPr>
          <w:rFonts w:eastAsia="Calibri"/>
          <w:szCs w:val="22"/>
          <w:lang w:val="sr-Latn-RS"/>
        </w:rPr>
      </w:pPr>
    </w:p>
    <w:p w14:paraId="549B3B18" w14:textId="77777777" w:rsidR="00B370AC" w:rsidRPr="00AA3DF0" w:rsidRDefault="00B370AC" w:rsidP="00B370AC">
      <w:pPr>
        <w:tabs>
          <w:tab w:val="clear" w:pos="284"/>
        </w:tabs>
        <w:rPr>
          <w:rFonts w:eastAsia="Calibri"/>
          <w:szCs w:val="22"/>
          <w:lang w:val="sr-Latn-RS"/>
        </w:rPr>
      </w:pPr>
      <w:r w:rsidRPr="00AA3DF0">
        <w:rPr>
          <w:rFonts w:eastAsia="Calibri"/>
          <w:szCs w:val="22"/>
          <w:lang w:val="sr-Latn-RS"/>
        </w:rPr>
        <w:t>tel: +382 (0) 20 310 280</w:t>
      </w:r>
    </w:p>
    <w:p w14:paraId="6236F377" w14:textId="77777777" w:rsidR="00B370AC" w:rsidRPr="00AA3DF0" w:rsidRDefault="00B370AC" w:rsidP="00B370AC">
      <w:pPr>
        <w:tabs>
          <w:tab w:val="clear" w:pos="284"/>
          <w:tab w:val="left" w:pos="6720"/>
        </w:tabs>
        <w:rPr>
          <w:rFonts w:eastAsia="Calibri"/>
          <w:szCs w:val="22"/>
          <w:lang w:val="sr-Latn-RS"/>
        </w:rPr>
      </w:pPr>
      <w:r w:rsidRPr="00AA3DF0">
        <w:rPr>
          <w:rFonts w:eastAsia="Calibri"/>
          <w:szCs w:val="22"/>
          <w:lang w:val="sr-Latn-RS"/>
        </w:rPr>
        <w:t>fax: +382 (0) 20 310 581</w:t>
      </w:r>
      <w:r w:rsidRPr="00AA3DF0">
        <w:rPr>
          <w:rFonts w:eastAsia="Calibri"/>
          <w:szCs w:val="22"/>
          <w:lang w:val="sr-Latn-RS"/>
        </w:rPr>
        <w:tab/>
      </w:r>
    </w:p>
    <w:p w14:paraId="7126FDB6" w14:textId="77777777" w:rsidR="00B370AC" w:rsidRPr="00AA3DF0" w:rsidRDefault="00431081" w:rsidP="00B370AC">
      <w:pPr>
        <w:tabs>
          <w:tab w:val="clear" w:pos="284"/>
        </w:tabs>
        <w:rPr>
          <w:rFonts w:eastAsia="Calibri"/>
          <w:szCs w:val="22"/>
          <w:lang w:val="sr-Latn-RS"/>
        </w:rPr>
      </w:pPr>
      <w:hyperlink r:id="rId10" w:history="1">
        <w:r w:rsidR="00B370AC" w:rsidRPr="00AA3DF0">
          <w:rPr>
            <w:rFonts w:eastAsia="Calibri"/>
            <w:color w:val="0563C1"/>
            <w:szCs w:val="22"/>
            <w:u w:val="single"/>
            <w:lang w:val="sr-Latn-RS"/>
          </w:rPr>
          <w:t>www.cinmed.me</w:t>
        </w:r>
      </w:hyperlink>
    </w:p>
    <w:p w14:paraId="7FE01504" w14:textId="77777777" w:rsidR="00B370AC" w:rsidRPr="00AA3DF0" w:rsidRDefault="00431081" w:rsidP="00B370AC">
      <w:pPr>
        <w:tabs>
          <w:tab w:val="clear" w:pos="284"/>
        </w:tabs>
        <w:rPr>
          <w:rFonts w:eastAsia="Calibri"/>
          <w:color w:val="0000FF"/>
          <w:szCs w:val="22"/>
          <w:u w:val="single"/>
          <w:lang w:val="sr-Latn-RS"/>
        </w:rPr>
      </w:pPr>
      <w:hyperlink r:id="rId11" w:history="1">
        <w:r w:rsidR="00B370AC" w:rsidRPr="00AA3DF0">
          <w:rPr>
            <w:rFonts w:eastAsia="Calibri"/>
            <w:color w:val="0563C1"/>
            <w:szCs w:val="22"/>
            <w:u w:val="single"/>
            <w:lang w:val="sr-Latn-RS"/>
          </w:rPr>
          <w:t>nezeljenadejstva@cinmed.me</w:t>
        </w:r>
      </w:hyperlink>
    </w:p>
    <w:p w14:paraId="52933BDA" w14:textId="77777777" w:rsidR="00B370AC" w:rsidRPr="00AA3DF0" w:rsidRDefault="00B370AC" w:rsidP="00B370AC">
      <w:pPr>
        <w:tabs>
          <w:tab w:val="clear" w:pos="284"/>
        </w:tabs>
        <w:rPr>
          <w:rFonts w:eastAsia="Calibri"/>
          <w:szCs w:val="22"/>
          <w:lang w:val="sr-Latn-RS"/>
        </w:rPr>
      </w:pPr>
      <w:r w:rsidRPr="00AA3DF0">
        <w:rPr>
          <w:rFonts w:eastAsia="Calibri"/>
          <w:szCs w:val="22"/>
          <w:lang w:val="sr-Latn-RS"/>
        </w:rPr>
        <w:t>putem IS zdravstvene zaštite</w:t>
      </w:r>
    </w:p>
    <w:p w14:paraId="756C0EB5" w14:textId="77777777" w:rsidR="00B370AC" w:rsidRPr="00AA3DF0" w:rsidRDefault="00B370AC" w:rsidP="00B370AC">
      <w:pPr>
        <w:tabs>
          <w:tab w:val="clear" w:pos="284"/>
        </w:tabs>
        <w:rPr>
          <w:rFonts w:eastAsia="Calibri"/>
          <w:szCs w:val="22"/>
          <w:lang w:val="sr-Latn-RS"/>
        </w:rPr>
      </w:pPr>
      <w:r w:rsidRPr="00AA3DF0">
        <w:rPr>
          <w:rFonts w:eastAsia="Calibri"/>
          <w:szCs w:val="22"/>
          <w:lang w:val="sr-Latn-RS"/>
        </w:rPr>
        <w:t>QR kod za online prijavu sumnje na neželjeno dejstvo lijeka:</w:t>
      </w:r>
    </w:p>
    <w:p w14:paraId="4D7D20E7" w14:textId="77777777" w:rsidR="00B370AC" w:rsidRPr="00AA3DF0" w:rsidRDefault="00B370AC" w:rsidP="00B370AC">
      <w:pPr>
        <w:tabs>
          <w:tab w:val="clear" w:pos="284"/>
        </w:tabs>
        <w:rPr>
          <w:rFonts w:eastAsia="Calibri"/>
          <w:szCs w:val="22"/>
          <w:lang w:val="sr-Latn-RS"/>
        </w:rPr>
      </w:pPr>
    </w:p>
    <w:p w14:paraId="54640E2A" w14:textId="77777777" w:rsidR="00B370AC" w:rsidRPr="00AA3DF0" w:rsidRDefault="00B370AC" w:rsidP="00B370AC">
      <w:pPr>
        <w:tabs>
          <w:tab w:val="clear" w:pos="284"/>
        </w:tabs>
        <w:jc w:val="left"/>
        <w:rPr>
          <w:rFonts w:eastAsia="Calibri"/>
          <w:szCs w:val="22"/>
          <w:lang w:val="sr-Latn-RS"/>
        </w:rPr>
      </w:pPr>
      <w:r w:rsidRPr="00AA3DF0">
        <w:rPr>
          <w:noProof/>
          <w:szCs w:val="22"/>
          <w:lang w:val="sr-Latn-ME" w:eastAsia="sr-Latn-ME"/>
        </w:rPr>
        <w:drawing>
          <wp:inline distT="0" distB="0" distL="0" distR="0" wp14:anchorId="1D804FB4" wp14:editId="5E7E7C30">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361F61F" w14:textId="77777777" w:rsidR="000F1DCB" w:rsidRPr="00AA3DF0" w:rsidRDefault="000F1DCB" w:rsidP="00923865">
      <w:pPr>
        <w:rPr>
          <w:b/>
          <w:bCs/>
          <w:szCs w:val="22"/>
          <w:lang w:val="pl-PL"/>
        </w:rPr>
      </w:pPr>
    </w:p>
    <w:p w14:paraId="3361F620" w14:textId="77777777" w:rsidR="000F1DCB" w:rsidRPr="00AA3DF0" w:rsidRDefault="000F1DCB" w:rsidP="00923865">
      <w:pPr>
        <w:rPr>
          <w:b/>
          <w:bCs/>
          <w:szCs w:val="22"/>
          <w:lang w:val="pl-PL"/>
        </w:rPr>
      </w:pPr>
      <w:r w:rsidRPr="00AA3DF0">
        <w:rPr>
          <w:b/>
          <w:bCs/>
          <w:szCs w:val="22"/>
          <w:lang w:val="pl-PL"/>
        </w:rPr>
        <w:t>4.9. Predoziranje</w:t>
      </w:r>
    </w:p>
    <w:p w14:paraId="3361F621" w14:textId="77777777" w:rsidR="000F1DCB" w:rsidRPr="00AA3DF0" w:rsidRDefault="000F1DCB" w:rsidP="00C92108">
      <w:pPr>
        <w:pStyle w:val="Header"/>
        <w:rPr>
          <w:color w:val="FF0000"/>
          <w:szCs w:val="22"/>
          <w:lang w:val="sl-SI"/>
        </w:rPr>
      </w:pPr>
    </w:p>
    <w:p w14:paraId="3361F622" w14:textId="41FD5C81" w:rsidR="000F1DCB" w:rsidRPr="00AA3DF0" w:rsidRDefault="000F1DCB" w:rsidP="00C92108">
      <w:pPr>
        <w:pStyle w:val="Header"/>
        <w:rPr>
          <w:szCs w:val="22"/>
          <w:lang w:val="sl-SI"/>
        </w:rPr>
      </w:pPr>
      <w:r w:rsidRPr="00AA3DF0">
        <w:rPr>
          <w:szCs w:val="22"/>
          <w:lang w:val="sl-SI"/>
        </w:rPr>
        <w:t xml:space="preserve">Korist od </w:t>
      </w:r>
      <w:r w:rsidR="004F325D" w:rsidRPr="00AA3DF0">
        <w:rPr>
          <w:szCs w:val="22"/>
          <w:lang w:val="sl-SI"/>
        </w:rPr>
        <w:t>pražnjenja</w:t>
      </w:r>
      <w:r w:rsidRPr="00AA3DF0">
        <w:rPr>
          <w:szCs w:val="22"/>
          <w:lang w:val="sl-SI"/>
        </w:rPr>
        <w:t xml:space="preserve"> želuca nije sigurna. Ukoliko se pacijent pojavio u roku od jednog sata od unosa više od 0,25 mg/kg l</w:t>
      </w:r>
      <w:r w:rsidR="005C298B" w:rsidRPr="00AA3DF0">
        <w:rPr>
          <w:szCs w:val="22"/>
          <w:lang w:val="sl-SI"/>
        </w:rPr>
        <w:t>ij</w:t>
      </w:r>
      <w:r w:rsidRPr="00AA3DF0">
        <w:rPr>
          <w:szCs w:val="22"/>
          <w:lang w:val="sl-SI"/>
        </w:rPr>
        <w:t>eka ili više nego što je njegova terapijska doza, razmotriti prim</w:t>
      </w:r>
      <w:r w:rsidR="005C298B" w:rsidRPr="00AA3DF0">
        <w:rPr>
          <w:szCs w:val="22"/>
          <w:lang w:val="sl-SI"/>
        </w:rPr>
        <w:t>j</w:t>
      </w:r>
      <w:r w:rsidRPr="00AA3DF0">
        <w:rPr>
          <w:szCs w:val="22"/>
          <w:lang w:val="sl-SI"/>
        </w:rPr>
        <w:t>enu aktivnog uglja (50 g kod odraslih; 1 g/kg kod d</w:t>
      </w:r>
      <w:r w:rsidR="005C298B" w:rsidRPr="00AA3DF0">
        <w:rPr>
          <w:szCs w:val="22"/>
          <w:lang w:val="sl-SI"/>
        </w:rPr>
        <w:t>j</w:t>
      </w:r>
      <w:r w:rsidRPr="00AA3DF0">
        <w:rPr>
          <w:szCs w:val="22"/>
          <w:lang w:val="sl-SI"/>
        </w:rPr>
        <w:t>ece).</w:t>
      </w:r>
    </w:p>
    <w:p w14:paraId="3361F623" w14:textId="77777777" w:rsidR="000F1DCB" w:rsidRPr="00AA3DF0" w:rsidRDefault="000F1DCB" w:rsidP="00C92108">
      <w:pPr>
        <w:pStyle w:val="Header"/>
        <w:rPr>
          <w:szCs w:val="22"/>
          <w:u w:val="single"/>
          <w:lang w:val="sl-SI"/>
        </w:rPr>
      </w:pPr>
    </w:p>
    <w:p w14:paraId="3361F624" w14:textId="77777777" w:rsidR="000F1DCB" w:rsidRPr="00AA3DF0" w:rsidRDefault="000F1DCB" w:rsidP="00C92108">
      <w:pPr>
        <w:pStyle w:val="Header"/>
        <w:rPr>
          <w:szCs w:val="22"/>
          <w:u w:val="single"/>
          <w:lang w:val="sl-SI"/>
        </w:rPr>
      </w:pPr>
      <w:r w:rsidRPr="00AA3DF0">
        <w:rPr>
          <w:szCs w:val="22"/>
          <w:u w:val="single"/>
          <w:lang w:val="sl-SI"/>
        </w:rPr>
        <w:t>U slučaju krvarenja opasnih po život</w:t>
      </w:r>
    </w:p>
    <w:p w14:paraId="3361F625" w14:textId="77777777" w:rsidR="000F1DCB" w:rsidRPr="00AA3DF0" w:rsidRDefault="000F1DCB" w:rsidP="00C92108">
      <w:pPr>
        <w:pStyle w:val="Header"/>
        <w:tabs>
          <w:tab w:val="clear" w:pos="4536"/>
          <w:tab w:val="clear" w:pos="9072"/>
          <w:tab w:val="left" w:pos="284"/>
        </w:tabs>
        <w:rPr>
          <w:szCs w:val="22"/>
          <w:lang w:val="sl-SI"/>
        </w:rPr>
      </w:pPr>
    </w:p>
    <w:p w14:paraId="3361F626" w14:textId="3C2159C3" w:rsidR="000F1DCB" w:rsidRPr="00AA3DF0" w:rsidRDefault="000F1DCB" w:rsidP="00C92108">
      <w:pPr>
        <w:pStyle w:val="Header"/>
        <w:rPr>
          <w:szCs w:val="22"/>
          <w:lang w:val="sl-SI"/>
        </w:rPr>
      </w:pPr>
      <w:r w:rsidRPr="00AA3DF0">
        <w:rPr>
          <w:szCs w:val="22"/>
          <w:lang w:val="sl-SI"/>
        </w:rPr>
        <w:lastRenderedPageBreak/>
        <w:t>Prekinuti prim</w:t>
      </w:r>
      <w:r w:rsidR="005C298B" w:rsidRPr="00AA3DF0">
        <w:rPr>
          <w:szCs w:val="22"/>
          <w:lang w:val="sl-SI"/>
        </w:rPr>
        <w:t>j</w:t>
      </w:r>
      <w:r w:rsidRPr="00AA3DF0">
        <w:rPr>
          <w:szCs w:val="22"/>
          <w:lang w:val="sl-SI"/>
        </w:rPr>
        <w:t>enu varfarina, dati koncentrat protrombinskog kompleksa (faktori II, VII, IX i X) 30-50 jedinica/kg ili (ako koncentrat nije dostupan) sv</w:t>
      </w:r>
      <w:r w:rsidR="005C298B" w:rsidRPr="00AA3DF0">
        <w:rPr>
          <w:szCs w:val="22"/>
          <w:lang w:val="sl-SI"/>
        </w:rPr>
        <w:t>j</w:t>
      </w:r>
      <w:r w:rsidRPr="00AA3DF0">
        <w:rPr>
          <w:szCs w:val="22"/>
          <w:lang w:val="sl-SI"/>
        </w:rPr>
        <w:t>ežu smrznutu plazmu 15 m</w:t>
      </w:r>
      <w:r w:rsidR="005C298B" w:rsidRPr="00AA3DF0">
        <w:rPr>
          <w:szCs w:val="22"/>
          <w:lang w:val="sl-SI"/>
        </w:rPr>
        <w:t>l</w:t>
      </w:r>
      <w:r w:rsidRPr="00AA3DF0">
        <w:rPr>
          <w:szCs w:val="22"/>
          <w:lang w:val="sl-SI"/>
        </w:rPr>
        <w:t>/kg. Konsultovati hematologa ili Nacionalni centar za trovanje</w:t>
      </w:r>
      <w:r w:rsidR="00CF13EB" w:rsidRPr="00AA3DF0">
        <w:rPr>
          <w:szCs w:val="22"/>
          <w:lang w:val="sl-SI"/>
        </w:rPr>
        <w:t xml:space="preserve"> ili oboje</w:t>
      </w:r>
      <w:r w:rsidRPr="00AA3DF0">
        <w:rPr>
          <w:szCs w:val="22"/>
          <w:lang w:val="sl-SI"/>
        </w:rPr>
        <w:t>.</w:t>
      </w:r>
    </w:p>
    <w:p w14:paraId="3361F627" w14:textId="77777777" w:rsidR="000F1DCB" w:rsidRPr="00AA3DF0" w:rsidRDefault="000F1DCB" w:rsidP="00C92108">
      <w:pPr>
        <w:pStyle w:val="Header"/>
        <w:tabs>
          <w:tab w:val="clear" w:pos="4536"/>
          <w:tab w:val="clear" w:pos="9072"/>
          <w:tab w:val="left" w:pos="284"/>
        </w:tabs>
        <w:rPr>
          <w:szCs w:val="22"/>
          <w:lang w:val="sl-SI"/>
        </w:rPr>
      </w:pPr>
    </w:p>
    <w:p w14:paraId="3361F628" w14:textId="77777777" w:rsidR="000F1DCB" w:rsidRPr="00AA3DF0" w:rsidRDefault="000F1DCB" w:rsidP="00C92108">
      <w:pPr>
        <w:pStyle w:val="Header"/>
        <w:rPr>
          <w:szCs w:val="22"/>
          <w:u w:val="single"/>
          <w:lang w:val="sl-SI"/>
        </w:rPr>
      </w:pPr>
      <w:r w:rsidRPr="00AA3DF0">
        <w:rPr>
          <w:szCs w:val="22"/>
          <w:u w:val="single"/>
          <w:lang w:val="sl-SI"/>
        </w:rPr>
        <w:t>Kod krvarenja koja ne ugrožavaju život pacijenta</w:t>
      </w:r>
    </w:p>
    <w:p w14:paraId="3361F629" w14:textId="77777777" w:rsidR="000F1DCB" w:rsidRPr="00AA3DF0" w:rsidRDefault="000F1DCB" w:rsidP="00C92108">
      <w:pPr>
        <w:pStyle w:val="Header"/>
        <w:rPr>
          <w:szCs w:val="22"/>
          <w:lang w:val="sl-SI"/>
        </w:rPr>
      </w:pPr>
    </w:p>
    <w:p w14:paraId="3361F62A" w14:textId="6DA9A897" w:rsidR="000F1DCB" w:rsidRPr="00AA3DF0" w:rsidRDefault="000F1DCB" w:rsidP="00C92108">
      <w:pPr>
        <w:pStyle w:val="Header"/>
        <w:rPr>
          <w:szCs w:val="22"/>
          <w:lang w:val="sl-SI"/>
        </w:rPr>
      </w:pPr>
      <w:r w:rsidRPr="00AA3DF0">
        <w:rPr>
          <w:szCs w:val="22"/>
          <w:lang w:val="sl-SI"/>
        </w:rPr>
        <w:t>Kada se antikoagulantno dejstvo može obustaviti, daje se fitomenadion (vitamin K</w:t>
      </w:r>
      <w:r w:rsidRPr="00AA3DF0">
        <w:rPr>
          <w:szCs w:val="22"/>
          <w:vertAlign w:val="subscript"/>
          <w:lang w:val="sl-SI"/>
        </w:rPr>
        <w:t>1</w:t>
      </w:r>
      <w:r w:rsidRPr="00AA3DF0">
        <w:rPr>
          <w:szCs w:val="22"/>
          <w:lang w:val="sl-SI"/>
        </w:rPr>
        <w:t>) u vidu spore i.v. injekcije, 10- 20 mg kod odrasl</w:t>
      </w:r>
      <w:r w:rsidR="003035EB" w:rsidRPr="00AA3DF0">
        <w:rPr>
          <w:szCs w:val="22"/>
          <w:lang w:val="sl-SI"/>
        </w:rPr>
        <w:t>i</w:t>
      </w:r>
      <w:r w:rsidRPr="00AA3DF0">
        <w:rPr>
          <w:szCs w:val="22"/>
          <w:lang w:val="sl-SI"/>
        </w:rPr>
        <w:t>h (250 mikrograma/kg kod d</w:t>
      </w:r>
      <w:r w:rsidR="005C298B" w:rsidRPr="00AA3DF0">
        <w:rPr>
          <w:szCs w:val="22"/>
          <w:lang w:val="sl-SI"/>
        </w:rPr>
        <w:t>j</w:t>
      </w:r>
      <w:r w:rsidRPr="00AA3DF0">
        <w:rPr>
          <w:szCs w:val="22"/>
          <w:lang w:val="sl-SI"/>
        </w:rPr>
        <w:t>ece).</w:t>
      </w:r>
    </w:p>
    <w:p w14:paraId="3361F62B" w14:textId="77777777" w:rsidR="000F1DCB" w:rsidRPr="00AA3DF0" w:rsidRDefault="000F1DCB" w:rsidP="00C92108">
      <w:pPr>
        <w:pStyle w:val="Header"/>
        <w:rPr>
          <w:szCs w:val="22"/>
          <w:lang w:val="sl-SI"/>
        </w:rPr>
      </w:pPr>
    </w:p>
    <w:p w14:paraId="3361F62C" w14:textId="3EEBBAB0" w:rsidR="000F1DCB" w:rsidRPr="00AA3DF0" w:rsidRDefault="000F1DCB" w:rsidP="00C92108">
      <w:pPr>
        <w:pStyle w:val="Header"/>
        <w:rPr>
          <w:szCs w:val="22"/>
          <w:lang w:val="sl-SI"/>
        </w:rPr>
      </w:pPr>
      <w:r w:rsidRPr="00AA3DF0">
        <w:rPr>
          <w:szCs w:val="22"/>
          <w:lang w:val="sl-SI"/>
        </w:rPr>
        <w:t>Tamo gd</w:t>
      </w:r>
      <w:r w:rsidR="005C298B" w:rsidRPr="00AA3DF0">
        <w:rPr>
          <w:szCs w:val="22"/>
          <w:lang w:val="sl-SI"/>
        </w:rPr>
        <w:t>j</w:t>
      </w:r>
      <w:r w:rsidRPr="00AA3DF0">
        <w:rPr>
          <w:szCs w:val="22"/>
          <w:lang w:val="sl-SI"/>
        </w:rPr>
        <w:t>e je poželjna brza ponovna antikoagulacija (npr. kod zam</w:t>
      </w:r>
      <w:r w:rsidR="005C298B" w:rsidRPr="00AA3DF0">
        <w:rPr>
          <w:szCs w:val="22"/>
          <w:lang w:val="sl-SI"/>
        </w:rPr>
        <w:t>j</w:t>
      </w:r>
      <w:r w:rsidRPr="00AA3DF0">
        <w:rPr>
          <w:szCs w:val="22"/>
          <w:lang w:val="sl-SI"/>
        </w:rPr>
        <w:t>ene srčanih zalistaka), dati koncentrat protrombinskog kompleksa (faktori II, VII, IX i X) 30- 50 jedinica/kg ili (ako koncentrat nije dostupan) sv</w:t>
      </w:r>
      <w:r w:rsidR="005C298B" w:rsidRPr="00AA3DF0">
        <w:rPr>
          <w:szCs w:val="22"/>
          <w:lang w:val="sl-SI"/>
        </w:rPr>
        <w:t>j</w:t>
      </w:r>
      <w:r w:rsidRPr="00AA3DF0">
        <w:rPr>
          <w:szCs w:val="22"/>
          <w:lang w:val="sl-SI"/>
        </w:rPr>
        <w:t>ežu smrznutu plazmu 15 m</w:t>
      </w:r>
      <w:r w:rsidR="00E82616" w:rsidRPr="00AA3DF0">
        <w:rPr>
          <w:szCs w:val="22"/>
          <w:lang w:val="sl-SI"/>
        </w:rPr>
        <w:t>l</w:t>
      </w:r>
      <w:r w:rsidRPr="00AA3DF0">
        <w:rPr>
          <w:szCs w:val="22"/>
          <w:lang w:val="sl-SI"/>
        </w:rPr>
        <w:t xml:space="preserve">/kg. </w:t>
      </w:r>
    </w:p>
    <w:p w14:paraId="3361F62D" w14:textId="77777777" w:rsidR="000F1DCB" w:rsidRPr="00AA3DF0" w:rsidRDefault="000F1DCB" w:rsidP="00C92108">
      <w:pPr>
        <w:pStyle w:val="Header"/>
        <w:rPr>
          <w:szCs w:val="22"/>
          <w:lang w:val="sl-SI"/>
        </w:rPr>
      </w:pPr>
    </w:p>
    <w:p w14:paraId="3361F62E" w14:textId="77777777" w:rsidR="000F1DCB" w:rsidRPr="00AA3DF0" w:rsidRDefault="000F1DCB" w:rsidP="00C92108">
      <w:pPr>
        <w:pStyle w:val="Header"/>
        <w:rPr>
          <w:szCs w:val="22"/>
          <w:lang w:val="sl-SI"/>
        </w:rPr>
      </w:pPr>
      <w:r w:rsidRPr="00AA3DF0">
        <w:rPr>
          <w:szCs w:val="22"/>
          <w:lang w:val="sl-SI"/>
        </w:rPr>
        <w:t>Pratiti INR da bi se odredilo kada ponovo započeti normalnu terapiju. INR kontrolisati najmanje 48 sati nakon predoziranja.</w:t>
      </w:r>
    </w:p>
    <w:p w14:paraId="3361F62F" w14:textId="77777777" w:rsidR="000F1DCB" w:rsidRPr="00AA3DF0" w:rsidRDefault="000F1DCB" w:rsidP="00C92108">
      <w:pPr>
        <w:pStyle w:val="Header"/>
        <w:tabs>
          <w:tab w:val="clear" w:pos="4536"/>
          <w:tab w:val="clear" w:pos="9072"/>
          <w:tab w:val="left" w:pos="284"/>
        </w:tabs>
        <w:rPr>
          <w:szCs w:val="22"/>
          <w:lang w:val="sl-SI"/>
        </w:rPr>
      </w:pPr>
    </w:p>
    <w:p w14:paraId="3361F630" w14:textId="77777777" w:rsidR="000F1DCB" w:rsidRPr="00AA3DF0" w:rsidRDefault="000F1DCB" w:rsidP="00C92108">
      <w:pPr>
        <w:pStyle w:val="Header"/>
        <w:rPr>
          <w:szCs w:val="22"/>
          <w:u w:val="single"/>
          <w:lang w:val="sl-SI"/>
        </w:rPr>
      </w:pPr>
      <w:r w:rsidRPr="00AA3DF0">
        <w:rPr>
          <w:szCs w:val="22"/>
          <w:u w:val="single"/>
          <w:lang w:val="sl-SI"/>
        </w:rPr>
        <w:t>Kod pacijenata koji su na dugotrajnoj terapiji varfarinom i bez velikih krvarenja</w:t>
      </w:r>
    </w:p>
    <w:p w14:paraId="3361F631" w14:textId="77777777" w:rsidR="000F1DCB" w:rsidRPr="00AA3DF0" w:rsidRDefault="000F1DCB" w:rsidP="00C92108">
      <w:pPr>
        <w:pStyle w:val="Header"/>
        <w:tabs>
          <w:tab w:val="clear" w:pos="4536"/>
          <w:tab w:val="clear" w:pos="9072"/>
          <w:tab w:val="left" w:pos="284"/>
        </w:tabs>
        <w:rPr>
          <w:szCs w:val="22"/>
          <w:lang w:val="sl-SI"/>
        </w:rPr>
      </w:pPr>
    </w:p>
    <w:p w14:paraId="3361F632" w14:textId="7100864E" w:rsidR="000F1DCB" w:rsidRPr="00AA3DF0" w:rsidRDefault="000F1DCB" w:rsidP="00C92108">
      <w:pPr>
        <w:pStyle w:val="Header"/>
        <w:rPr>
          <w:szCs w:val="22"/>
          <w:lang w:val="sl-SI"/>
        </w:rPr>
      </w:pPr>
      <w:r w:rsidRPr="00AA3DF0">
        <w:rPr>
          <w:szCs w:val="22"/>
          <w:lang w:val="sl-SI"/>
        </w:rPr>
        <w:t>Kada je INR &gt;8,0, bez krvarenja ili je ono malo, prekida se prim</w:t>
      </w:r>
      <w:r w:rsidR="00E82616" w:rsidRPr="00AA3DF0">
        <w:rPr>
          <w:szCs w:val="22"/>
          <w:lang w:val="sl-SI"/>
        </w:rPr>
        <w:t>j</w:t>
      </w:r>
      <w:r w:rsidRPr="00AA3DF0">
        <w:rPr>
          <w:szCs w:val="22"/>
          <w:lang w:val="sl-SI"/>
        </w:rPr>
        <w:t>ena varfarina, daje se fitomenadion (vitamin K</w:t>
      </w:r>
      <w:r w:rsidRPr="00AA3DF0">
        <w:rPr>
          <w:szCs w:val="22"/>
          <w:vertAlign w:val="subscript"/>
          <w:lang w:val="sl-SI"/>
        </w:rPr>
        <w:t>1</w:t>
      </w:r>
      <w:r w:rsidRPr="00AA3DF0">
        <w:rPr>
          <w:szCs w:val="22"/>
          <w:lang w:val="sl-SI"/>
        </w:rPr>
        <w:t>), 0,5-1 mg za odrasle, 0,015-0,030 mg/kg (15-30 mikrograma/kg) za d</w:t>
      </w:r>
      <w:r w:rsidR="00E82616" w:rsidRPr="00AA3DF0">
        <w:rPr>
          <w:szCs w:val="22"/>
          <w:lang w:val="sl-SI"/>
        </w:rPr>
        <w:t>j</w:t>
      </w:r>
      <w:r w:rsidRPr="00AA3DF0">
        <w:rPr>
          <w:szCs w:val="22"/>
          <w:lang w:val="sl-SI"/>
        </w:rPr>
        <w:t>ecu, sporom i.v. injekcijom ili 5 mg oralno (za d</w:t>
      </w:r>
      <w:r w:rsidR="00E82616" w:rsidRPr="00AA3DF0">
        <w:rPr>
          <w:szCs w:val="22"/>
          <w:lang w:val="sl-SI"/>
        </w:rPr>
        <w:t>j</w:t>
      </w:r>
      <w:r w:rsidRPr="00AA3DF0">
        <w:rPr>
          <w:szCs w:val="22"/>
          <w:lang w:val="sl-SI"/>
        </w:rPr>
        <w:t>elimičnu reverziju antikoagulacije dati niže oralne doze fitomenadiona, npr. 0,5-2,5 mg koristeći intravenski preparat oralno); ponoviti dozu fitomenadiona ako je INR previsok i nakon 24 sata. Visoke doze fitomenadiona mogu u potpunosti preokrenuti dejstvo varfarina i učiniti da ponovno uspostavljanje antikoagulantnog dejstva bude otežano.</w:t>
      </w:r>
    </w:p>
    <w:p w14:paraId="3361F633" w14:textId="77777777" w:rsidR="000F1DCB" w:rsidRPr="00AA3DF0" w:rsidRDefault="000F1DCB" w:rsidP="00C92108">
      <w:pPr>
        <w:pStyle w:val="Header"/>
        <w:rPr>
          <w:szCs w:val="22"/>
          <w:lang w:val="sl-SI"/>
        </w:rPr>
      </w:pPr>
    </w:p>
    <w:p w14:paraId="3361F634" w14:textId="3C2D4B22" w:rsidR="000F1DCB" w:rsidRPr="00AA3DF0" w:rsidRDefault="000F1DCB" w:rsidP="00C92108">
      <w:pPr>
        <w:pStyle w:val="Header"/>
        <w:rPr>
          <w:szCs w:val="22"/>
          <w:lang w:val="sl-SI"/>
        </w:rPr>
      </w:pPr>
      <w:r w:rsidRPr="00AA3DF0">
        <w:rPr>
          <w:szCs w:val="22"/>
          <w:lang w:val="sl-SI"/>
        </w:rPr>
        <w:t>Kada je INR 6,0-8,0, bez krvarenja ili je ono malo, prekida se prim</w:t>
      </w:r>
      <w:r w:rsidR="00E82616" w:rsidRPr="00AA3DF0">
        <w:rPr>
          <w:szCs w:val="22"/>
          <w:lang w:val="sl-SI"/>
        </w:rPr>
        <w:t>j</w:t>
      </w:r>
      <w:r w:rsidRPr="00AA3DF0">
        <w:rPr>
          <w:szCs w:val="22"/>
          <w:lang w:val="sl-SI"/>
        </w:rPr>
        <w:t>ena varfarina, ponovo se nastavlja kad je INR &lt;5,0.</w:t>
      </w:r>
    </w:p>
    <w:p w14:paraId="3361F635" w14:textId="77777777" w:rsidR="000F1DCB" w:rsidRPr="00AA3DF0" w:rsidRDefault="000F1DCB" w:rsidP="00C92108">
      <w:pPr>
        <w:pStyle w:val="Header"/>
        <w:rPr>
          <w:szCs w:val="22"/>
          <w:lang w:val="sl-SI"/>
        </w:rPr>
      </w:pPr>
    </w:p>
    <w:p w14:paraId="3361F636" w14:textId="58D072F1" w:rsidR="000F1DCB" w:rsidRPr="00AA3DF0" w:rsidRDefault="000F1DCB" w:rsidP="00C92108">
      <w:pPr>
        <w:pStyle w:val="Header"/>
        <w:rPr>
          <w:szCs w:val="22"/>
          <w:lang w:val="sl-SI"/>
        </w:rPr>
      </w:pPr>
      <w:r w:rsidRPr="00AA3DF0">
        <w:rPr>
          <w:szCs w:val="22"/>
          <w:lang w:val="sl-SI"/>
        </w:rPr>
        <w:t>Kada je INR &lt;6,0 ali više od 0,5 jedinica iznad ciljne vr</w:t>
      </w:r>
      <w:r w:rsidR="00E82616" w:rsidRPr="00AA3DF0">
        <w:rPr>
          <w:szCs w:val="22"/>
          <w:lang w:val="sl-SI"/>
        </w:rPr>
        <w:t>ij</w:t>
      </w:r>
      <w:r w:rsidRPr="00AA3DF0">
        <w:rPr>
          <w:szCs w:val="22"/>
          <w:lang w:val="sl-SI"/>
        </w:rPr>
        <w:t>ednosti, smanjuje se ili prekida prim</w:t>
      </w:r>
      <w:r w:rsidR="00E82616" w:rsidRPr="00AA3DF0">
        <w:rPr>
          <w:szCs w:val="22"/>
          <w:lang w:val="sl-SI"/>
        </w:rPr>
        <w:t>j</w:t>
      </w:r>
      <w:r w:rsidRPr="00AA3DF0">
        <w:rPr>
          <w:szCs w:val="22"/>
          <w:lang w:val="sl-SI"/>
        </w:rPr>
        <w:t>ena varfarina,  ponovo se nastavlja kad je INR &lt;5,0.</w:t>
      </w:r>
    </w:p>
    <w:p w14:paraId="3361F637" w14:textId="77777777" w:rsidR="000F1DCB" w:rsidRPr="00AA3DF0" w:rsidRDefault="000F1DCB" w:rsidP="00C92108">
      <w:pPr>
        <w:pStyle w:val="Header"/>
        <w:tabs>
          <w:tab w:val="clear" w:pos="4536"/>
          <w:tab w:val="clear" w:pos="9072"/>
          <w:tab w:val="left" w:pos="284"/>
        </w:tabs>
        <w:rPr>
          <w:szCs w:val="22"/>
          <w:lang w:val="sl-SI"/>
        </w:rPr>
      </w:pPr>
    </w:p>
    <w:p w14:paraId="3361F638" w14:textId="77777777" w:rsidR="000F1DCB" w:rsidRPr="00AA3DF0" w:rsidRDefault="000F1DCB" w:rsidP="00C92108">
      <w:pPr>
        <w:pStyle w:val="Header"/>
        <w:rPr>
          <w:szCs w:val="22"/>
          <w:u w:val="single"/>
          <w:lang w:val="sl-SI"/>
        </w:rPr>
      </w:pPr>
      <w:r w:rsidRPr="00AA3DF0">
        <w:rPr>
          <w:szCs w:val="22"/>
          <w:u w:val="single"/>
          <w:lang w:val="sl-SI"/>
        </w:rPr>
        <w:t>Kod pacijenata koji nisu</w:t>
      </w:r>
      <w:r w:rsidRPr="00AA3DF0">
        <w:rPr>
          <w:b/>
          <w:szCs w:val="22"/>
          <w:u w:val="single"/>
          <w:lang w:val="sl-SI"/>
        </w:rPr>
        <w:t xml:space="preserve"> </w:t>
      </w:r>
      <w:r w:rsidRPr="00AA3DF0">
        <w:rPr>
          <w:szCs w:val="22"/>
          <w:u w:val="single"/>
          <w:lang w:val="sl-SI"/>
        </w:rPr>
        <w:t>na dugotrajnoj terapiji varfarinom i nemaju velika krvarenja</w:t>
      </w:r>
    </w:p>
    <w:p w14:paraId="3361F639" w14:textId="77777777" w:rsidR="000F1DCB" w:rsidRPr="00AA3DF0" w:rsidRDefault="000F1DCB" w:rsidP="00C92108">
      <w:pPr>
        <w:pStyle w:val="Header"/>
        <w:rPr>
          <w:szCs w:val="22"/>
          <w:u w:val="single"/>
          <w:lang w:val="sl-SI"/>
        </w:rPr>
      </w:pPr>
    </w:p>
    <w:p w14:paraId="3361F63A" w14:textId="6DE1B0D1" w:rsidR="000F1DCB" w:rsidRPr="00AA3DF0" w:rsidRDefault="000F1DCB" w:rsidP="00C92108">
      <w:pPr>
        <w:rPr>
          <w:szCs w:val="22"/>
          <w:lang w:val="sl-SI"/>
        </w:rPr>
      </w:pPr>
      <w:r w:rsidRPr="00AA3DF0">
        <w:rPr>
          <w:szCs w:val="22"/>
          <w:lang w:val="sl-SI"/>
        </w:rPr>
        <w:t>Odrediti INR (protrombinsko vr</w:t>
      </w:r>
      <w:r w:rsidR="00E82616" w:rsidRPr="00AA3DF0">
        <w:rPr>
          <w:szCs w:val="22"/>
          <w:lang w:val="sl-SI"/>
        </w:rPr>
        <w:t>ij</w:t>
      </w:r>
      <w:r w:rsidRPr="00AA3DF0">
        <w:rPr>
          <w:szCs w:val="22"/>
          <w:lang w:val="sl-SI"/>
        </w:rPr>
        <w:t>eme) po dolasku i potom svakih 24-48 sati nakon ingestije, zavisno od početne doze i početnog INR.</w:t>
      </w:r>
    </w:p>
    <w:p w14:paraId="3361F63B" w14:textId="77777777" w:rsidR="000F1DCB" w:rsidRPr="00AA3DF0" w:rsidRDefault="000F1DCB" w:rsidP="00C92108">
      <w:pPr>
        <w:rPr>
          <w:szCs w:val="22"/>
          <w:lang w:val="sl-SI"/>
        </w:rPr>
      </w:pPr>
    </w:p>
    <w:p w14:paraId="3361F63C" w14:textId="77777777" w:rsidR="000F1DCB" w:rsidRPr="00AA3DF0" w:rsidRDefault="000F1DCB" w:rsidP="00C92108">
      <w:pPr>
        <w:rPr>
          <w:szCs w:val="22"/>
          <w:lang w:val="sl-SI"/>
        </w:rPr>
      </w:pPr>
      <w:r w:rsidRPr="00AA3DF0">
        <w:rPr>
          <w:szCs w:val="22"/>
          <w:lang w:val="sl-SI"/>
        </w:rPr>
        <w:t>Ako INR ostaje normalan u toku 24-48 sati i ne postoje dokazi o krvarenju, nema potrebe za daljim monitoringom.</w:t>
      </w:r>
    </w:p>
    <w:p w14:paraId="3361F63D" w14:textId="77777777" w:rsidR="000F1DCB" w:rsidRPr="00AA3DF0" w:rsidRDefault="000F1DCB" w:rsidP="00C92108">
      <w:pPr>
        <w:pStyle w:val="Header"/>
        <w:rPr>
          <w:szCs w:val="22"/>
          <w:u w:val="single"/>
          <w:lang w:val="sl-SI"/>
        </w:rPr>
      </w:pPr>
    </w:p>
    <w:p w14:paraId="3361F63E" w14:textId="3226EDCE" w:rsidR="000F1DCB" w:rsidRPr="00AA3DF0" w:rsidRDefault="000F1DCB" w:rsidP="00C92108">
      <w:pPr>
        <w:rPr>
          <w:szCs w:val="22"/>
          <w:lang w:val="sl-SI"/>
        </w:rPr>
      </w:pPr>
      <w:r w:rsidRPr="00AA3DF0">
        <w:rPr>
          <w:szCs w:val="22"/>
          <w:lang w:val="sl-SI"/>
        </w:rPr>
        <w:t>Dati vitamin K</w:t>
      </w:r>
      <w:r w:rsidRPr="00AA3DF0">
        <w:rPr>
          <w:szCs w:val="22"/>
          <w:vertAlign w:val="subscript"/>
          <w:lang w:val="sl-SI"/>
        </w:rPr>
        <w:t>1</w:t>
      </w:r>
      <w:r w:rsidRPr="00AA3DF0">
        <w:rPr>
          <w:szCs w:val="22"/>
          <w:lang w:val="sl-SI"/>
        </w:rPr>
        <w:t xml:space="preserve"> (fitomenadion) ako:</w:t>
      </w:r>
    </w:p>
    <w:p w14:paraId="3361F63F" w14:textId="77777777" w:rsidR="000F1DCB" w:rsidRPr="00AA3DF0" w:rsidRDefault="000F1DCB" w:rsidP="00C92108">
      <w:pPr>
        <w:rPr>
          <w:szCs w:val="22"/>
          <w:lang w:val="sl-SI"/>
        </w:rPr>
      </w:pPr>
    </w:p>
    <w:p w14:paraId="3361F640" w14:textId="1257CBCC" w:rsidR="000F1DCB" w:rsidRPr="00AA3DF0" w:rsidRDefault="000F1DCB" w:rsidP="00C92108">
      <w:pPr>
        <w:rPr>
          <w:szCs w:val="22"/>
          <w:lang w:val="sl-SI"/>
        </w:rPr>
      </w:pPr>
      <w:r w:rsidRPr="00AA3DF0">
        <w:rPr>
          <w:szCs w:val="22"/>
          <w:lang w:val="sl-SI"/>
        </w:rPr>
        <w:t>a) nema aktivnog krvarenja i pacijent je un</w:t>
      </w:r>
      <w:r w:rsidR="00E82616" w:rsidRPr="00AA3DF0">
        <w:rPr>
          <w:szCs w:val="22"/>
          <w:lang w:val="sl-SI"/>
        </w:rPr>
        <w:t>i</w:t>
      </w:r>
      <w:r w:rsidRPr="00AA3DF0">
        <w:rPr>
          <w:szCs w:val="22"/>
          <w:lang w:val="sl-SI"/>
        </w:rPr>
        <w:t xml:space="preserve">o više od 0,25 mg/kg </w:t>
      </w:r>
    </w:p>
    <w:p w14:paraId="3361F641" w14:textId="77777777" w:rsidR="000F1DCB" w:rsidRPr="00AA3DF0" w:rsidRDefault="000F1DCB" w:rsidP="00C92108">
      <w:pPr>
        <w:rPr>
          <w:szCs w:val="22"/>
          <w:lang w:val="sl-SI"/>
        </w:rPr>
      </w:pPr>
    </w:p>
    <w:p w14:paraId="3361F642" w14:textId="77777777" w:rsidR="000F1DCB" w:rsidRPr="00AA3DF0" w:rsidRDefault="000F1DCB" w:rsidP="00C92108">
      <w:pPr>
        <w:rPr>
          <w:szCs w:val="22"/>
          <w:lang w:val="sl-SI"/>
        </w:rPr>
      </w:pPr>
      <w:r w:rsidRPr="00AA3DF0">
        <w:rPr>
          <w:szCs w:val="22"/>
          <w:lang w:val="sl-SI"/>
        </w:rPr>
        <w:tab/>
        <w:t>ili</w:t>
      </w:r>
    </w:p>
    <w:p w14:paraId="3361F643" w14:textId="77777777" w:rsidR="000F1DCB" w:rsidRPr="00AA3DF0" w:rsidRDefault="000F1DCB" w:rsidP="00C92108">
      <w:pPr>
        <w:rPr>
          <w:szCs w:val="22"/>
          <w:lang w:val="sl-SI"/>
        </w:rPr>
      </w:pPr>
    </w:p>
    <w:p w14:paraId="3361F644" w14:textId="12D2A113" w:rsidR="000F1DCB" w:rsidRPr="00AA3DF0" w:rsidRDefault="000F1DCB" w:rsidP="00C92108">
      <w:pPr>
        <w:rPr>
          <w:szCs w:val="22"/>
          <w:lang w:val="sl-SI"/>
        </w:rPr>
      </w:pPr>
      <w:r w:rsidRPr="00AA3DF0">
        <w:rPr>
          <w:szCs w:val="22"/>
          <w:lang w:val="sl-SI"/>
        </w:rPr>
        <w:t>b) protrombinsko vr</w:t>
      </w:r>
      <w:r w:rsidR="00E82616" w:rsidRPr="00AA3DF0">
        <w:rPr>
          <w:szCs w:val="22"/>
          <w:lang w:val="sl-SI"/>
        </w:rPr>
        <w:t>ij</w:t>
      </w:r>
      <w:r w:rsidRPr="00AA3DF0">
        <w:rPr>
          <w:szCs w:val="22"/>
          <w:lang w:val="sl-SI"/>
        </w:rPr>
        <w:t>eme je već znatno produženo (INR &gt;4,0).</w:t>
      </w:r>
    </w:p>
    <w:p w14:paraId="3361F645" w14:textId="77777777" w:rsidR="000F1DCB" w:rsidRPr="00AA3DF0" w:rsidRDefault="000F1DCB" w:rsidP="00C92108">
      <w:pPr>
        <w:rPr>
          <w:szCs w:val="22"/>
          <w:lang w:val="sl-SI"/>
        </w:rPr>
      </w:pPr>
    </w:p>
    <w:p w14:paraId="3361F646" w14:textId="49308787" w:rsidR="000F1DCB" w:rsidRPr="00AA3DF0" w:rsidRDefault="000F1DCB" w:rsidP="00C92108">
      <w:pPr>
        <w:rPr>
          <w:szCs w:val="22"/>
          <w:lang w:val="it-IT"/>
        </w:rPr>
      </w:pPr>
      <w:r w:rsidRPr="00AA3DF0">
        <w:rPr>
          <w:szCs w:val="22"/>
          <w:lang w:val="sl-SI"/>
        </w:rPr>
        <w:t>Doze vitamina K</w:t>
      </w:r>
      <w:r w:rsidRPr="00AA3DF0">
        <w:rPr>
          <w:szCs w:val="22"/>
          <w:vertAlign w:val="subscript"/>
          <w:lang w:val="sl-SI"/>
        </w:rPr>
        <w:t>1</w:t>
      </w:r>
      <w:r w:rsidRPr="00AA3DF0">
        <w:rPr>
          <w:szCs w:val="22"/>
          <w:lang w:val="sl-SI"/>
        </w:rPr>
        <w:t xml:space="preserve"> za odrasle su 10-20 mg oralno (250 mikrograma/kg t</w:t>
      </w:r>
      <w:r w:rsidR="00E82616" w:rsidRPr="00AA3DF0">
        <w:rPr>
          <w:szCs w:val="22"/>
          <w:lang w:val="sl-SI"/>
        </w:rPr>
        <w:t>j</w:t>
      </w:r>
      <w:r w:rsidRPr="00AA3DF0">
        <w:rPr>
          <w:szCs w:val="22"/>
          <w:lang w:val="sl-SI"/>
        </w:rPr>
        <w:t>elesne mase za d</w:t>
      </w:r>
      <w:r w:rsidR="00E82616" w:rsidRPr="00AA3DF0">
        <w:rPr>
          <w:szCs w:val="22"/>
          <w:lang w:val="sl-SI"/>
        </w:rPr>
        <w:t>j</w:t>
      </w:r>
      <w:r w:rsidRPr="00AA3DF0">
        <w:rPr>
          <w:szCs w:val="22"/>
          <w:lang w:val="sl-SI"/>
        </w:rPr>
        <w:t>ecu). Odložiti oralnu prim</w:t>
      </w:r>
      <w:r w:rsidR="00E82616" w:rsidRPr="00AA3DF0">
        <w:rPr>
          <w:szCs w:val="22"/>
          <w:lang w:val="sl-SI"/>
        </w:rPr>
        <w:t>j</w:t>
      </w:r>
      <w:r w:rsidRPr="00AA3DF0">
        <w:rPr>
          <w:szCs w:val="22"/>
          <w:lang w:val="sl-SI"/>
        </w:rPr>
        <w:t>enu vitamina K</w:t>
      </w:r>
      <w:r w:rsidRPr="00AA3DF0">
        <w:rPr>
          <w:szCs w:val="22"/>
          <w:vertAlign w:val="subscript"/>
          <w:lang w:val="sl-SI"/>
        </w:rPr>
        <w:t>1</w:t>
      </w:r>
      <w:r w:rsidRPr="00AA3DF0">
        <w:rPr>
          <w:szCs w:val="22"/>
          <w:lang w:val="sl-SI"/>
        </w:rPr>
        <w:t xml:space="preserve"> najmanje 4 sata nakon davanja aktivnog uglja. Ponoviti INR za 24 sata i razmotriti dalju prim</w:t>
      </w:r>
      <w:r w:rsidR="00E82616" w:rsidRPr="00AA3DF0">
        <w:rPr>
          <w:szCs w:val="22"/>
          <w:lang w:val="sl-SI"/>
        </w:rPr>
        <w:t>j</w:t>
      </w:r>
      <w:r w:rsidRPr="00AA3DF0">
        <w:rPr>
          <w:szCs w:val="22"/>
          <w:lang w:val="sl-SI"/>
        </w:rPr>
        <w:t>enu K</w:t>
      </w:r>
      <w:r w:rsidRPr="00AA3DF0">
        <w:rPr>
          <w:szCs w:val="22"/>
          <w:vertAlign w:val="subscript"/>
          <w:lang w:val="sl-SI"/>
        </w:rPr>
        <w:t>1</w:t>
      </w:r>
      <w:r w:rsidRPr="00AA3DF0">
        <w:rPr>
          <w:szCs w:val="22"/>
          <w:lang w:val="sl-SI"/>
        </w:rPr>
        <w:t xml:space="preserve"> vitamina.</w:t>
      </w:r>
    </w:p>
    <w:p w14:paraId="3361F647" w14:textId="77777777" w:rsidR="000F1DCB" w:rsidRPr="00AA3DF0" w:rsidRDefault="000F1DCB" w:rsidP="00923865">
      <w:pPr>
        <w:rPr>
          <w:szCs w:val="22"/>
          <w:lang w:val="it-IT"/>
        </w:rPr>
      </w:pPr>
    </w:p>
    <w:p w14:paraId="3361F648" w14:textId="77777777" w:rsidR="000F1DCB" w:rsidRPr="00AA3DF0" w:rsidRDefault="000F1DCB" w:rsidP="00923865">
      <w:pPr>
        <w:pStyle w:val="NASLOV123"/>
        <w:rPr>
          <w:lang w:val="it-IT"/>
        </w:rPr>
      </w:pPr>
      <w:r w:rsidRPr="00AA3DF0">
        <w:rPr>
          <w:lang w:val="it-IT"/>
        </w:rPr>
        <w:t>5. FARMAKOLOŠKI PODACI</w:t>
      </w:r>
    </w:p>
    <w:p w14:paraId="3361F649" w14:textId="77777777" w:rsidR="000F1DCB" w:rsidRPr="00AA3DF0" w:rsidRDefault="000F1DCB" w:rsidP="00923865">
      <w:pPr>
        <w:rPr>
          <w:b/>
          <w:bCs/>
          <w:szCs w:val="22"/>
          <w:lang w:val="it-IT"/>
        </w:rPr>
      </w:pPr>
      <w:r w:rsidRPr="00AA3DF0">
        <w:rPr>
          <w:b/>
          <w:bCs/>
          <w:szCs w:val="22"/>
          <w:lang w:val="it-IT"/>
        </w:rPr>
        <w:t>5.1. Farmakodinamski podaci</w:t>
      </w:r>
    </w:p>
    <w:p w14:paraId="3361F64A" w14:textId="77777777" w:rsidR="000F1DCB" w:rsidRPr="00AA3DF0" w:rsidRDefault="000F1DCB" w:rsidP="00923865">
      <w:pPr>
        <w:rPr>
          <w:b/>
          <w:bCs/>
          <w:szCs w:val="22"/>
          <w:lang w:val="it-IT"/>
        </w:rPr>
      </w:pPr>
    </w:p>
    <w:p w14:paraId="3361F64B" w14:textId="77777777" w:rsidR="000F1DCB" w:rsidRPr="00AA3DF0" w:rsidRDefault="000F1DCB" w:rsidP="00923865">
      <w:pPr>
        <w:rPr>
          <w:b/>
          <w:bCs/>
          <w:szCs w:val="22"/>
          <w:lang w:val="it-IT"/>
        </w:rPr>
      </w:pPr>
      <w:r w:rsidRPr="00AA3DF0">
        <w:rPr>
          <w:szCs w:val="22"/>
          <w:lang w:val="it-IT"/>
        </w:rPr>
        <w:t>Farmakoterapijska grupa:</w:t>
      </w:r>
      <w:r w:rsidRPr="00AA3DF0">
        <w:rPr>
          <w:szCs w:val="22"/>
          <w:lang w:val="sl-SI"/>
        </w:rPr>
        <w:t xml:space="preserve"> Antikoagulansi, antagonisti vitamina K</w:t>
      </w:r>
    </w:p>
    <w:p w14:paraId="3361F64D" w14:textId="148FD22D" w:rsidR="000F1DCB" w:rsidRPr="00AA3DF0" w:rsidRDefault="000F1DCB" w:rsidP="00923865">
      <w:pPr>
        <w:rPr>
          <w:b/>
          <w:bCs/>
          <w:szCs w:val="22"/>
          <w:lang w:val="it-IT"/>
        </w:rPr>
      </w:pPr>
      <w:r w:rsidRPr="00AA3DF0">
        <w:rPr>
          <w:szCs w:val="22"/>
          <w:lang w:val="it-IT"/>
        </w:rPr>
        <w:lastRenderedPageBreak/>
        <w:t xml:space="preserve">ATC </w:t>
      </w:r>
      <w:r w:rsidR="00E82616" w:rsidRPr="00AA3DF0">
        <w:rPr>
          <w:szCs w:val="22"/>
          <w:lang w:val="it-IT"/>
        </w:rPr>
        <w:t>kod</w:t>
      </w:r>
      <w:r w:rsidRPr="00AA3DF0">
        <w:rPr>
          <w:szCs w:val="22"/>
          <w:lang w:val="it-IT"/>
        </w:rPr>
        <w:t>:</w:t>
      </w:r>
      <w:bookmarkStart w:id="0" w:name="OLE_LINK1"/>
      <w:bookmarkStart w:id="1" w:name="OLE_LINK2"/>
      <w:r w:rsidRPr="00AA3DF0">
        <w:rPr>
          <w:szCs w:val="22"/>
          <w:lang w:val="sr-Latn-CS"/>
        </w:rPr>
        <w:t xml:space="preserve"> B01AA03</w:t>
      </w:r>
      <w:bookmarkEnd w:id="0"/>
      <w:bookmarkEnd w:id="1"/>
    </w:p>
    <w:p w14:paraId="3361F64E" w14:textId="77777777" w:rsidR="000F1DCB" w:rsidRPr="00AA3DF0" w:rsidRDefault="000F1DCB" w:rsidP="00C92108">
      <w:pPr>
        <w:pStyle w:val="Header"/>
        <w:rPr>
          <w:szCs w:val="22"/>
          <w:lang w:val="sl-SI"/>
        </w:rPr>
      </w:pPr>
    </w:p>
    <w:p w14:paraId="3361F64F" w14:textId="77777777" w:rsidR="000F1DCB" w:rsidRPr="00AA3DF0" w:rsidRDefault="000F1DCB" w:rsidP="00C92108">
      <w:pPr>
        <w:pStyle w:val="Header"/>
        <w:rPr>
          <w:szCs w:val="22"/>
          <w:u w:val="single"/>
          <w:lang w:val="sl-SI"/>
        </w:rPr>
      </w:pPr>
      <w:r w:rsidRPr="00AA3DF0">
        <w:rPr>
          <w:szCs w:val="22"/>
          <w:u w:val="single"/>
          <w:lang w:val="sl-SI"/>
        </w:rPr>
        <w:t>Mehanizam dejstva</w:t>
      </w:r>
    </w:p>
    <w:p w14:paraId="3361F650" w14:textId="77777777" w:rsidR="000F1DCB" w:rsidRPr="00AA3DF0" w:rsidRDefault="000F1DCB" w:rsidP="00C92108">
      <w:pPr>
        <w:pStyle w:val="Header"/>
        <w:rPr>
          <w:szCs w:val="22"/>
          <w:lang w:val="sl-SI"/>
        </w:rPr>
      </w:pPr>
    </w:p>
    <w:p w14:paraId="3361F651" w14:textId="77777777" w:rsidR="000F1DCB" w:rsidRPr="00AA3DF0" w:rsidRDefault="000F1DCB" w:rsidP="00C92108">
      <w:pPr>
        <w:pStyle w:val="Header"/>
        <w:rPr>
          <w:szCs w:val="22"/>
          <w:lang w:val="sl-SI"/>
        </w:rPr>
      </w:pPr>
      <w:r w:rsidRPr="00AA3DF0">
        <w:rPr>
          <w:szCs w:val="22"/>
          <w:lang w:val="sl-SI"/>
        </w:rPr>
        <w:t xml:space="preserve">Varfarin je sintetski kumarinski oralni antikoagulans koji inhibira sintezu aktivnih faktora koagulacije II, VII, IX i X. </w:t>
      </w:r>
    </w:p>
    <w:p w14:paraId="3361F652" w14:textId="77777777" w:rsidR="000F1DCB" w:rsidRPr="00AA3DF0" w:rsidRDefault="000F1DCB" w:rsidP="00923865">
      <w:pPr>
        <w:rPr>
          <w:b/>
          <w:bCs/>
          <w:szCs w:val="22"/>
          <w:lang w:val="it-IT"/>
        </w:rPr>
      </w:pPr>
    </w:p>
    <w:p w14:paraId="3361F653" w14:textId="77777777" w:rsidR="000F1DCB" w:rsidRPr="00AA3DF0" w:rsidRDefault="000F1DCB" w:rsidP="00923865">
      <w:pPr>
        <w:rPr>
          <w:b/>
          <w:bCs/>
          <w:szCs w:val="22"/>
          <w:lang w:val="it-IT"/>
        </w:rPr>
      </w:pPr>
      <w:r w:rsidRPr="00AA3DF0">
        <w:rPr>
          <w:b/>
          <w:bCs/>
          <w:szCs w:val="22"/>
          <w:lang w:val="it-IT"/>
        </w:rPr>
        <w:t>5.2. Farmakokinetički podaci</w:t>
      </w:r>
    </w:p>
    <w:p w14:paraId="3361F654" w14:textId="77777777" w:rsidR="000F1DCB" w:rsidRPr="00AA3DF0" w:rsidRDefault="000F1DCB" w:rsidP="00C92108">
      <w:pPr>
        <w:pStyle w:val="Header"/>
        <w:rPr>
          <w:szCs w:val="22"/>
          <w:lang w:val="sl-SI"/>
        </w:rPr>
      </w:pPr>
    </w:p>
    <w:p w14:paraId="3361F655" w14:textId="77777777" w:rsidR="000F1DCB" w:rsidRPr="00AA3DF0" w:rsidRDefault="000F1DCB" w:rsidP="00C92108">
      <w:pPr>
        <w:pStyle w:val="Header"/>
        <w:rPr>
          <w:szCs w:val="22"/>
          <w:u w:val="single"/>
          <w:lang w:val="sl-SI"/>
        </w:rPr>
      </w:pPr>
      <w:r w:rsidRPr="00AA3DF0">
        <w:rPr>
          <w:szCs w:val="22"/>
          <w:u w:val="single"/>
          <w:lang w:val="sl-SI"/>
        </w:rPr>
        <w:t>Resorpcija</w:t>
      </w:r>
    </w:p>
    <w:p w14:paraId="3361F656" w14:textId="77777777" w:rsidR="000F1DCB" w:rsidRPr="00AA3DF0" w:rsidRDefault="000F1DCB" w:rsidP="00C92108">
      <w:pPr>
        <w:pStyle w:val="Header"/>
        <w:rPr>
          <w:szCs w:val="22"/>
          <w:lang w:val="sl-SI"/>
        </w:rPr>
      </w:pPr>
      <w:r w:rsidRPr="00AA3DF0">
        <w:rPr>
          <w:szCs w:val="22"/>
          <w:lang w:val="sl-SI"/>
        </w:rPr>
        <w:t xml:space="preserve">Varfarin se brzo resorbuje iz gastrointestinalnog trakta. </w:t>
      </w:r>
    </w:p>
    <w:p w14:paraId="3361F657" w14:textId="77777777" w:rsidR="000F1DCB" w:rsidRPr="00AA3DF0" w:rsidRDefault="000F1DCB" w:rsidP="00C92108">
      <w:pPr>
        <w:pStyle w:val="Header"/>
        <w:rPr>
          <w:szCs w:val="22"/>
          <w:lang w:val="sl-SI"/>
        </w:rPr>
      </w:pPr>
    </w:p>
    <w:p w14:paraId="3361F658" w14:textId="77777777" w:rsidR="000F1DCB" w:rsidRPr="00AA3DF0" w:rsidRDefault="000F1DCB" w:rsidP="00C92108">
      <w:pPr>
        <w:pStyle w:val="Header"/>
        <w:rPr>
          <w:szCs w:val="22"/>
          <w:u w:val="single"/>
          <w:lang w:val="sl-SI"/>
        </w:rPr>
      </w:pPr>
      <w:r w:rsidRPr="00AA3DF0">
        <w:rPr>
          <w:szCs w:val="22"/>
          <w:u w:val="single"/>
          <w:lang w:val="sl-SI"/>
        </w:rPr>
        <w:t xml:space="preserve">Distribucija </w:t>
      </w:r>
    </w:p>
    <w:p w14:paraId="3361F659" w14:textId="57626385" w:rsidR="000F1DCB" w:rsidRPr="00AA3DF0" w:rsidRDefault="000F1DCB" w:rsidP="00C92108">
      <w:pPr>
        <w:pStyle w:val="Header"/>
        <w:rPr>
          <w:szCs w:val="22"/>
          <w:lang w:val="sl-SI"/>
        </w:rPr>
      </w:pPr>
      <w:r w:rsidRPr="00AA3DF0">
        <w:rPr>
          <w:szCs w:val="22"/>
          <w:lang w:val="sl-SI"/>
        </w:rPr>
        <w:t>Poluvr</w:t>
      </w:r>
      <w:r w:rsidR="00E82616" w:rsidRPr="00AA3DF0">
        <w:rPr>
          <w:szCs w:val="22"/>
          <w:lang w:val="sl-SI"/>
        </w:rPr>
        <w:t>ij</w:t>
      </w:r>
      <w:r w:rsidRPr="00AA3DF0">
        <w:rPr>
          <w:szCs w:val="22"/>
          <w:lang w:val="sl-SI"/>
        </w:rPr>
        <w:t>eme eliminacije je oko 40 sati.</w:t>
      </w:r>
    </w:p>
    <w:p w14:paraId="3361F65A" w14:textId="77777777" w:rsidR="000F1DCB" w:rsidRPr="00AA3DF0" w:rsidRDefault="000F1DCB" w:rsidP="00C92108">
      <w:pPr>
        <w:pStyle w:val="Header"/>
        <w:rPr>
          <w:szCs w:val="22"/>
          <w:lang w:val="sl-SI"/>
        </w:rPr>
      </w:pPr>
    </w:p>
    <w:p w14:paraId="3361F65B" w14:textId="77777777" w:rsidR="000F1DCB" w:rsidRPr="00AA3DF0" w:rsidRDefault="000F1DCB" w:rsidP="00C92108">
      <w:pPr>
        <w:pStyle w:val="Header"/>
        <w:rPr>
          <w:szCs w:val="22"/>
          <w:u w:val="single"/>
          <w:lang w:val="sl-SI"/>
        </w:rPr>
      </w:pPr>
      <w:r w:rsidRPr="00AA3DF0">
        <w:rPr>
          <w:szCs w:val="22"/>
          <w:u w:val="single"/>
          <w:lang w:val="sl-SI"/>
        </w:rPr>
        <w:t>Biotransformacija</w:t>
      </w:r>
    </w:p>
    <w:p w14:paraId="3361F65C" w14:textId="77777777" w:rsidR="000F1DCB" w:rsidRPr="00AA3DF0" w:rsidRDefault="000F1DCB" w:rsidP="00C92108">
      <w:pPr>
        <w:pStyle w:val="Header"/>
        <w:rPr>
          <w:szCs w:val="22"/>
          <w:lang w:val="sl-SI"/>
        </w:rPr>
      </w:pPr>
      <w:r w:rsidRPr="00AA3DF0">
        <w:rPr>
          <w:szCs w:val="22"/>
          <w:lang w:val="sl-SI"/>
        </w:rPr>
        <w:t>Metaboliše se u jetri.</w:t>
      </w:r>
    </w:p>
    <w:p w14:paraId="3361F65D" w14:textId="77777777" w:rsidR="000F1DCB" w:rsidRPr="00AA3DF0" w:rsidRDefault="000F1DCB" w:rsidP="00C92108">
      <w:pPr>
        <w:pStyle w:val="Header"/>
        <w:rPr>
          <w:szCs w:val="22"/>
          <w:lang w:val="sl-SI"/>
        </w:rPr>
      </w:pPr>
    </w:p>
    <w:p w14:paraId="3361F65E" w14:textId="77777777" w:rsidR="000F1DCB" w:rsidRPr="00AA3DF0" w:rsidRDefault="000F1DCB" w:rsidP="00C92108">
      <w:pPr>
        <w:rPr>
          <w:szCs w:val="22"/>
          <w:u w:val="single"/>
          <w:lang w:val="sl-SI"/>
        </w:rPr>
      </w:pPr>
      <w:r w:rsidRPr="00AA3DF0">
        <w:rPr>
          <w:szCs w:val="22"/>
          <w:u w:val="single"/>
          <w:lang w:val="sl-SI"/>
        </w:rPr>
        <w:t>Eliminacija</w:t>
      </w:r>
    </w:p>
    <w:p w14:paraId="3361F65F" w14:textId="77777777" w:rsidR="000F1DCB" w:rsidRPr="00AA3DF0" w:rsidRDefault="000F1DCB" w:rsidP="00C92108">
      <w:pPr>
        <w:rPr>
          <w:szCs w:val="22"/>
          <w:lang w:val="sl-SI"/>
        </w:rPr>
      </w:pPr>
      <w:r w:rsidRPr="00AA3DF0">
        <w:rPr>
          <w:szCs w:val="22"/>
          <w:lang w:val="sl-SI"/>
        </w:rPr>
        <w:t>Izlučuje se putem urina uglavnom u vidu metabolita.</w:t>
      </w:r>
    </w:p>
    <w:p w14:paraId="3361F660" w14:textId="77777777" w:rsidR="000F1DCB" w:rsidRPr="00AA3DF0" w:rsidRDefault="000F1DCB" w:rsidP="00C92108">
      <w:pPr>
        <w:rPr>
          <w:szCs w:val="22"/>
          <w:lang w:val="sl-SI"/>
        </w:rPr>
      </w:pPr>
    </w:p>
    <w:p w14:paraId="3361F661" w14:textId="56AB26CF" w:rsidR="000F1DCB" w:rsidRPr="00AA3DF0" w:rsidRDefault="000F1DCB" w:rsidP="00923865">
      <w:pPr>
        <w:rPr>
          <w:b/>
          <w:bCs/>
          <w:szCs w:val="22"/>
          <w:lang w:val="sl-SI"/>
        </w:rPr>
      </w:pPr>
      <w:r w:rsidRPr="00AA3DF0">
        <w:rPr>
          <w:b/>
          <w:bCs/>
          <w:szCs w:val="22"/>
          <w:lang w:val="sl-SI"/>
        </w:rPr>
        <w:t>5.3. Pretklinički podaci o bezb</w:t>
      </w:r>
      <w:r w:rsidR="00E82616" w:rsidRPr="00AA3DF0">
        <w:rPr>
          <w:b/>
          <w:bCs/>
          <w:szCs w:val="22"/>
          <w:lang w:val="sl-SI"/>
        </w:rPr>
        <w:t>j</w:t>
      </w:r>
      <w:r w:rsidRPr="00AA3DF0">
        <w:rPr>
          <w:b/>
          <w:bCs/>
          <w:szCs w:val="22"/>
          <w:lang w:val="sl-SI"/>
        </w:rPr>
        <w:t xml:space="preserve">ednosti </w:t>
      </w:r>
    </w:p>
    <w:p w14:paraId="3361F662" w14:textId="77777777" w:rsidR="000F1DCB" w:rsidRPr="00AA3DF0" w:rsidRDefault="000F1DCB" w:rsidP="00923865">
      <w:pPr>
        <w:rPr>
          <w:szCs w:val="22"/>
          <w:lang w:val="sr-Latn-CS"/>
        </w:rPr>
      </w:pPr>
    </w:p>
    <w:p w14:paraId="3361F663" w14:textId="33BEBD34" w:rsidR="000F1DCB" w:rsidRPr="00AA3DF0" w:rsidRDefault="000F1DCB" w:rsidP="00923865">
      <w:pPr>
        <w:rPr>
          <w:szCs w:val="22"/>
          <w:lang w:val="sr-Latn-CS"/>
        </w:rPr>
      </w:pPr>
      <w:r w:rsidRPr="00AA3DF0">
        <w:rPr>
          <w:szCs w:val="22"/>
          <w:lang w:val="sr-Latn-CS"/>
        </w:rPr>
        <w:t>Nema dodatnih podataka od značaja.</w:t>
      </w:r>
    </w:p>
    <w:p w14:paraId="376D3D2C" w14:textId="77777777" w:rsidR="00E66F18" w:rsidRPr="00AA3DF0" w:rsidRDefault="00E66F18" w:rsidP="00923865">
      <w:pPr>
        <w:rPr>
          <w:szCs w:val="22"/>
          <w:lang w:val="pl-PL"/>
        </w:rPr>
      </w:pPr>
    </w:p>
    <w:p w14:paraId="3361F664" w14:textId="77777777" w:rsidR="000F1DCB" w:rsidRPr="00AA3DF0" w:rsidRDefault="000F1DCB" w:rsidP="00923865">
      <w:pPr>
        <w:pStyle w:val="NASLOV123"/>
        <w:rPr>
          <w:lang w:val="pl-PL"/>
        </w:rPr>
      </w:pPr>
      <w:r w:rsidRPr="00AA3DF0">
        <w:rPr>
          <w:lang w:val="pl-PL"/>
        </w:rPr>
        <w:t>6. FARMACEUTSKI PODACI</w:t>
      </w:r>
    </w:p>
    <w:p w14:paraId="3361F665" w14:textId="5E8EDB30" w:rsidR="000F1DCB" w:rsidRPr="00AA3DF0" w:rsidRDefault="000F1DCB" w:rsidP="00923865">
      <w:pPr>
        <w:rPr>
          <w:b/>
          <w:bCs/>
          <w:szCs w:val="22"/>
          <w:lang w:val="sr-Latn-CS"/>
        </w:rPr>
      </w:pPr>
      <w:r w:rsidRPr="00AA3DF0">
        <w:rPr>
          <w:b/>
          <w:bCs/>
          <w:szCs w:val="22"/>
          <w:lang w:val="pl-PL"/>
        </w:rPr>
        <w:t>6.1. Lista pomo</w:t>
      </w:r>
      <w:r w:rsidRPr="00AA3DF0">
        <w:rPr>
          <w:b/>
          <w:bCs/>
          <w:szCs w:val="22"/>
          <w:lang w:val="sr-Latn-CS"/>
        </w:rPr>
        <w:t>ćnih supstanci</w:t>
      </w:r>
      <w:r w:rsidR="00E82616" w:rsidRPr="00AA3DF0">
        <w:rPr>
          <w:b/>
          <w:bCs/>
          <w:szCs w:val="22"/>
          <w:lang w:val="sr-Latn-CS"/>
        </w:rPr>
        <w:t xml:space="preserve"> (ekscipijenasa)</w:t>
      </w:r>
    </w:p>
    <w:p w14:paraId="72552472" w14:textId="77777777" w:rsidR="00E66F18" w:rsidRPr="00AA3DF0" w:rsidRDefault="00E66F18" w:rsidP="00C92108">
      <w:pPr>
        <w:pStyle w:val="Header"/>
        <w:tabs>
          <w:tab w:val="clear" w:pos="4536"/>
          <w:tab w:val="clear" w:pos="9072"/>
          <w:tab w:val="left" w:pos="284"/>
        </w:tabs>
        <w:jc w:val="left"/>
        <w:rPr>
          <w:szCs w:val="22"/>
          <w:lang w:val="pl-PL"/>
        </w:rPr>
      </w:pPr>
    </w:p>
    <w:p w14:paraId="3361F666" w14:textId="2E93F66C" w:rsidR="000F1DCB" w:rsidRPr="00AA3DF0" w:rsidRDefault="00472B4D" w:rsidP="00C92108">
      <w:pPr>
        <w:pStyle w:val="Header"/>
        <w:tabs>
          <w:tab w:val="clear" w:pos="4536"/>
          <w:tab w:val="clear" w:pos="9072"/>
          <w:tab w:val="left" w:pos="284"/>
        </w:tabs>
        <w:jc w:val="left"/>
        <w:rPr>
          <w:szCs w:val="22"/>
          <w:lang w:val="pl-PL"/>
        </w:rPr>
      </w:pPr>
      <w:r w:rsidRPr="00AA3DF0">
        <w:rPr>
          <w:szCs w:val="22"/>
          <w:lang w:val="pl-PL"/>
        </w:rPr>
        <w:t>l</w:t>
      </w:r>
      <w:r w:rsidR="000F1DCB" w:rsidRPr="00AA3DF0">
        <w:rPr>
          <w:szCs w:val="22"/>
          <w:lang w:val="pl-PL"/>
        </w:rPr>
        <w:t xml:space="preserve">aktoza monohidrat; </w:t>
      </w:r>
    </w:p>
    <w:p w14:paraId="3361F667" w14:textId="77777777" w:rsidR="000F1DCB" w:rsidRPr="00AA3DF0" w:rsidRDefault="000F1DCB" w:rsidP="00C92108">
      <w:pPr>
        <w:pStyle w:val="Header"/>
        <w:tabs>
          <w:tab w:val="clear" w:pos="4536"/>
          <w:tab w:val="clear" w:pos="9072"/>
          <w:tab w:val="left" w:pos="284"/>
        </w:tabs>
        <w:jc w:val="left"/>
        <w:rPr>
          <w:szCs w:val="22"/>
          <w:lang w:val="pl-PL"/>
        </w:rPr>
      </w:pPr>
      <w:r w:rsidRPr="00AA3DF0">
        <w:rPr>
          <w:szCs w:val="22"/>
          <w:lang w:val="pl-PL"/>
        </w:rPr>
        <w:t xml:space="preserve">skrob, kukuruzni; </w:t>
      </w:r>
    </w:p>
    <w:p w14:paraId="3361F668" w14:textId="77777777" w:rsidR="000F1DCB" w:rsidRPr="00AA3DF0" w:rsidRDefault="000F1DCB" w:rsidP="00C92108">
      <w:pPr>
        <w:pStyle w:val="Header"/>
        <w:tabs>
          <w:tab w:val="clear" w:pos="4536"/>
          <w:tab w:val="clear" w:pos="9072"/>
          <w:tab w:val="left" w:pos="284"/>
        </w:tabs>
        <w:jc w:val="left"/>
        <w:rPr>
          <w:szCs w:val="22"/>
          <w:lang w:val="pl-PL"/>
        </w:rPr>
      </w:pPr>
      <w:r w:rsidRPr="00AA3DF0">
        <w:rPr>
          <w:szCs w:val="22"/>
          <w:lang w:val="pl-PL"/>
        </w:rPr>
        <w:t xml:space="preserve">celuloza, mikrokristalna; </w:t>
      </w:r>
    </w:p>
    <w:p w14:paraId="3361F669" w14:textId="77777777" w:rsidR="000F1DCB" w:rsidRPr="00AA3DF0" w:rsidRDefault="000F1DCB" w:rsidP="00C92108">
      <w:pPr>
        <w:pStyle w:val="Header"/>
        <w:tabs>
          <w:tab w:val="clear" w:pos="4536"/>
          <w:tab w:val="clear" w:pos="9072"/>
          <w:tab w:val="left" w:pos="284"/>
        </w:tabs>
        <w:jc w:val="left"/>
        <w:rPr>
          <w:szCs w:val="22"/>
          <w:lang w:val="pl-PL"/>
        </w:rPr>
      </w:pPr>
      <w:r w:rsidRPr="00AA3DF0">
        <w:rPr>
          <w:szCs w:val="22"/>
          <w:lang w:val="pl-PL"/>
        </w:rPr>
        <w:t xml:space="preserve">povidon; </w:t>
      </w:r>
    </w:p>
    <w:p w14:paraId="3361F66A" w14:textId="0724F899" w:rsidR="000F1DCB" w:rsidRPr="00AA3DF0" w:rsidRDefault="000F1DCB" w:rsidP="00C92108">
      <w:pPr>
        <w:rPr>
          <w:szCs w:val="22"/>
          <w:lang w:val="pl-PL"/>
        </w:rPr>
      </w:pPr>
      <w:r w:rsidRPr="00AA3DF0">
        <w:rPr>
          <w:szCs w:val="22"/>
          <w:lang w:val="pl-PL"/>
        </w:rPr>
        <w:t>magnezijum</w:t>
      </w:r>
      <w:r w:rsidR="00E82616" w:rsidRPr="00AA3DF0">
        <w:rPr>
          <w:szCs w:val="22"/>
          <w:lang w:val="pl-PL"/>
        </w:rPr>
        <w:t xml:space="preserve"> </w:t>
      </w:r>
      <w:r w:rsidRPr="00AA3DF0">
        <w:rPr>
          <w:szCs w:val="22"/>
          <w:lang w:val="pl-PL"/>
        </w:rPr>
        <w:t>stearat.</w:t>
      </w:r>
    </w:p>
    <w:p w14:paraId="3361F66B" w14:textId="77777777" w:rsidR="000F1DCB" w:rsidRPr="00AA3DF0" w:rsidRDefault="000F1DCB" w:rsidP="00923865">
      <w:pPr>
        <w:rPr>
          <w:szCs w:val="22"/>
          <w:lang w:val="pl-PL"/>
        </w:rPr>
      </w:pPr>
    </w:p>
    <w:p w14:paraId="3361F66C" w14:textId="3061AB0C" w:rsidR="000F1DCB" w:rsidRPr="00AA3DF0" w:rsidRDefault="000F1DCB" w:rsidP="00923865">
      <w:pPr>
        <w:rPr>
          <w:b/>
          <w:bCs/>
          <w:szCs w:val="22"/>
          <w:lang w:val="pl-PL"/>
        </w:rPr>
      </w:pPr>
      <w:r w:rsidRPr="00AA3DF0">
        <w:rPr>
          <w:b/>
          <w:bCs/>
          <w:szCs w:val="22"/>
          <w:lang w:val="pl-PL"/>
        </w:rPr>
        <w:t>6.2. Inkompatibilnost</w:t>
      </w:r>
      <w:r w:rsidR="00E82616" w:rsidRPr="00AA3DF0">
        <w:rPr>
          <w:b/>
          <w:bCs/>
          <w:szCs w:val="22"/>
          <w:lang w:val="pl-PL"/>
        </w:rPr>
        <w:t>i</w:t>
      </w:r>
    </w:p>
    <w:p w14:paraId="1C6FCA70" w14:textId="77777777" w:rsidR="00E66F18" w:rsidRPr="00AA3DF0" w:rsidRDefault="00E66F18" w:rsidP="00923865">
      <w:pPr>
        <w:rPr>
          <w:szCs w:val="22"/>
          <w:lang w:val="pl-PL"/>
        </w:rPr>
      </w:pPr>
    </w:p>
    <w:p w14:paraId="3361F66D" w14:textId="63F3565D" w:rsidR="000F1DCB" w:rsidRPr="00AA3DF0" w:rsidRDefault="000F1DCB" w:rsidP="00923865">
      <w:pPr>
        <w:rPr>
          <w:szCs w:val="22"/>
          <w:lang w:val="pl-PL"/>
        </w:rPr>
      </w:pPr>
      <w:r w:rsidRPr="00AA3DF0">
        <w:rPr>
          <w:szCs w:val="22"/>
          <w:lang w:val="pl-PL"/>
        </w:rPr>
        <w:t>Nije prim</w:t>
      </w:r>
      <w:r w:rsidR="00E82616" w:rsidRPr="00AA3DF0">
        <w:rPr>
          <w:szCs w:val="22"/>
          <w:lang w:val="pl-PL"/>
        </w:rPr>
        <w:t>j</w:t>
      </w:r>
      <w:r w:rsidRPr="00AA3DF0">
        <w:rPr>
          <w:szCs w:val="22"/>
          <w:lang w:val="pl-PL"/>
        </w:rPr>
        <w:t>enljivo.</w:t>
      </w:r>
    </w:p>
    <w:p w14:paraId="094518F0" w14:textId="77777777" w:rsidR="00E629D8" w:rsidRPr="00AA3DF0" w:rsidRDefault="00E629D8" w:rsidP="00923865">
      <w:pPr>
        <w:rPr>
          <w:szCs w:val="22"/>
          <w:lang w:val="pl-PL"/>
        </w:rPr>
      </w:pPr>
    </w:p>
    <w:p w14:paraId="3361F66F" w14:textId="77777777" w:rsidR="000F1DCB" w:rsidRPr="00AA3DF0" w:rsidRDefault="000F1DCB" w:rsidP="00923865">
      <w:pPr>
        <w:rPr>
          <w:b/>
          <w:bCs/>
          <w:szCs w:val="22"/>
          <w:lang w:val="pl-PL"/>
        </w:rPr>
      </w:pPr>
      <w:r w:rsidRPr="00AA3DF0">
        <w:rPr>
          <w:b/>
          <w:bCs/>
          <w:szCs w:val="22"/>
          <w:lang w:val="pl-PL"/>
        </w:rPr>
        <w:t>6.3. Rok upotrebe</w:t>
      </w:r>
    </w:p>
    <w:p w14:paraId="13D15D31" w14:textId="77777777" w:rsidR="00E66F18" w:rsidRPr="00AA3DF0" w:rsidRDefault="00E66F18" w:rsidP="00923865">
      <w:pPr>
        <w:rPr>
          <w:szCs w:val="22"/>
          <w:lang w:val="pl-PL"/>
        </w:rPr>
      </w:pPr>
    </w:p>
    <w:p w14:paraId="3361F670" w14:textId="540D0DA5" w:rsidR="000F1DCB" w:rsidRPr="00AA3DF0" w:rsidRDefault="000F1DCB" w:rsidP="00923865">
      <w:pPr>
        <w:rPr>
          <w:szCs w:val="22"/>
          <w:lang w:val="pl-PL"/>
        </w:rPr>
      </w:pPr>
      <w:r w:rsidRPr="00AA3DF0">
        <w:rPr>
          <w:szCs w:val="22"/>
          <w:lang w:val="pl-PL"/>
        </w:rPr>
        <w:t>5 godina.</w:t>
      </w:r>
    </w:p>
    <w:p w14:paraId="3361F671" w14:textId="77777777" w:rsidR="000F1DCB" w:rsidRPr="00AA3DF0" w:rsidRDefault="000F1DCB" w:rsidP="00923865">
      <w:pPr>
        <w:rPr>
          <w:szCs w:val="22"/>
          <w:lang w:val="pl-PL"/>
        </w:rPr>
      </w:pPr>
    </w:p>
    <w:p w14:paraId="3361F672" w14:textId="38101BF8" w:rsidR="000F1DCB" w:rsidRPr="00AA3DF0" w:rsidRDefault="000F1DCB" w:rsidP="00923865">
      <w:pPr>
        <w:rPr>
          <w:b/>
          <w:bCs/>
          <w:szCs w:val="22"/>
          <w:lang w:val="pl-PL"/>
        </w:rPr>
      </w:pPr>
      <w:r w:rsidRPr="00AA3DF0">
        <w:rPr>
          <w:b/>
          <w:bCs/>
          <w:szCs w:val="22"/>
          <w:lang w:val="pl-PL"/>
        </w:rPr>
        <w:t>6.4. Posebne m</w:t>
      </w:r>
      <w:r w:rsidR="00E82616" w:rsidRPr="00AA3DF0">
        <w:rPr>
          <w:b/>
          <w:bCs/>
          <w:szCs w:val="22"/>
          <w:lang w:val="pl-PL"/>
        </w:rPr>
        <w:t>j</w:t>
      </w:r>
      <w:r w:rsidRPr="00AA3DF0">
        <w:rPr>
          <w:b/>
          <w:bCs/>
          <w:szCs w:val="22"/>
          <w:lang w:val="pl-PL"/>
        </w:rPr>
        <w:t>ere opreza pri čuvanju</w:t>
      </w:r>
      <w:r w:rsidR="00E82616" w:rsidRPr="00AA3DF0">
        <w:rPr>
          <w:b/>
          <w:bCs/>
          <w:szCs w:val="22"/>
          <w:lang w:val="pl-PL"/>
        </w:rPr>
        <w:t xml:space="preserve"> lijeka</w:t>
      </w:r>
    </w:p>
    <w:p w14:paraId="30A7D64A" w14:textId="77777777" w:rsidR="00E66F18" w:rsidRPr="00AA3DF0" w:rsidRDefault="00E66F18" w:rsidP="00923865">
      <w:pPr>
        <w:rPr>
          <w:szCs w:val="22"/>
          <w:lang w:val="pl-PL"/>
        </w:rPr>
      </w:pPr>
    </w:p>
    <w:p w14:paraId="3361F673" w14:textId="7D615ADB" w:rsidR="000F1DCB" w:rsidRPr="00AA3DF0" w:rsidRDefault="000F1DCB" w:rsidP="00923865">
      <w:pPr>
        <w:rPr>
          <w:szCs w:val="22"/>
          <w:lang w:val="pl-PL"/>
        </w:rPr>
      </w:pPr>
      <w:r w:rsidRPr="00AA3DF0">
        <w:rPr>
          <w:szCs w:val="22"/>
          <w:lang w:val="pl-PL"/>
        </w:rPr>
        <w:t>Čuvati na temperaturi do 25°C, u originalnom pakovanju, radi zaštite od sv</w:t>
      </w:r>
      <w:r w:rsidR="00E82616" w:rsidRPr="00AA3DF0">
        <w:rPr>
          <w:szCs w:val="22"/>
          <w:lang w:val="pl-PL"/>
        </w:rPr>
        <w:t>j</w:t>
      </w:r>
      <w:r w:rsidRPr="00AA3DF0">
        <w:rPr>
          <w:szCs w:val="22"/>
          <w:lang w:val="pl-PL"/>
        </w:rPr>
        <w:t>etlosti i vlage.</w:t>
      </w:r>
    </w:p>
    <w:p w14:paraId="3361F674" w14:textId="77777777" w:rsidR="000F1DCB" w:rsidRPr="00AA3DF0" w:rsidRDefault="000F1DCB" w:rsidP="00923865">
      <w:pPr>
        <w:rPr>
          <w:szCs w:val="22"/>
          <w:lang w:val="pl-PL"/>
        </w:rPr>
      </w:pPr>
    </w:p>
    <w:p w14:paraId="3361F675" w14:textId="77777777" w:rsidR="000F1DCB" w:rsidRPr="00AA3DF0" w:rsidRDefault="000F1DCB" w:rsidP="00923865">
      <w:pPr>
        <w:rPr>
          <w:b/>
          <w:bCs/>
          <w:szCs w:val="22"/>
          <w:lang w:val="pl-PL"/>
        </w:rPr>
      </w:pPr>
      <w:r w:rsidRPr="00AA3DF0">
        <w:rPr>
          <w:b/>
          <w:bCs/>
          <w:szCs w:val="22"/>
          <w:lang w:val="sr-Latn-CS"/>
        </w:rPr>
        <w:t>6.5. Priroda i sadržaj pakovanja</w:t>
      </w:r>
    </w:p>
    <w:p w14:paraId="68C2A57D" w14:textId="77777777" w:rsidR="00E66F18" w:rsidRPr="00AA3DF0" w:rsidRDefault="00E66F18" w:rsidP="00923865">
      <w:pPr>
        <w:rPr>
          <w:szCs w:val="22"/>
          <w:lang w:val="pl-PL"/>
        </w:rPr>
      </w:pPr>
    </w:p>
    <w:p w14:paraId="3361F676" w14:textId="2970D5B1" w:rsidR="000F1DCB" w:rsidRPr="00AA3DF0" w:rsidRDefault="000F1DCB" w:rsidP="00923865">
      <w:pPr>
        <w:rPr>
          <w:szCs w:val="22"/>
          <w:lang w:val="pl-PL"/>
        </w:rPr>
      </w:pPr>
      <w:r w:rsidRPr="00AA3DF0">
        <w:rPr>
          <w:szCs w:val="22"/>
          <w:lang w:val="pl-PL"/>
        </w:rPr>
        <w:t xml:space="preserve">Unutrašnje pakovanje je </w:t>
      </w:r>
      <w:r w:rsidRPr="00AA3DF0">
        <w:rPr>
          <w:szCs w:val="22"/>
          <w:lang w:val="sr-Latn-CS"/>
        </w:rPr>
        <w:t xml:space="preserve">blister </w:t>
      </w:r>
      <w:r w:rsidRPr="00AA3DF0">
        <w:rPr>
          <w:szCs w:val="22"/>
          <w:lang w:val="pl-PL"/>
        </w:rPr>
        <w:t xml:space="preserve">od </w:t>
      </w:r>
      <w:r w:rsidRPr="00AA3DF0">
        <w:rPr>
          <w:szCs w:val="22"/>
          <w:lang w:val="sr-Latn-CS"/>
        </w:rPr>
        <w:t xml:space="preserve">Alu/PVC trake i </w:t>
      </w:r>
      <w:r w:rsidRPr="00AA3DF0">
        <w:rPr>
          <w:szCs w:val="22"/>
          <w:lang w:val="pl-PL"/>
        </w:rPr>
        <w:t xml:space="preserve">tvrde PVC </w:t>
      </w:r>
      <w:r w:rsidRPr="00AA3DF0">
        <w:rPr>
          <w:szCs w:val="22"/>
          <w:lang w:val="sr-Latn-CS"/>
        </w:rPr>
        <w:t>trake</w:t>
      </w:r>
      <w:r w:rsidRPr="00AA3DF0">
        <w:rPr>
          <w:szCs w:val="22"/>
          <w:lang w:val="pl-PL"/>
        </w:rPr>
        <w:t xml:space="preserve"> sa po 10 tableta.</w:t>
      </w:r>
    </w:p>
    <w:p w14:paraId="3361F677" w14:textId="04F2BDA0" w:rsidR="000F1DCB" w:rsidRPr="00AA3DF0" w:rsidRDefault="000F1DCB" w:rsidP="00923865">
      <w:pPr>
        <w:rPr>
          <w:szCs w:val="22"/>
          <w:lang w:val="pl-PL"/>
        </w:rPr>
      </w:pPr>
      <w:r w:rsidRPr="00AA3DF0">
        <w:rPr>
          <w:szCs w:val="22"/>
          <w:lang w:val="pl-PL"/>
        </w:rPr>
        <w:t>Spoljnje pakovanje je složiva kartonska kutija u kojoj se nalaze 3 blistera sa po 10 tableta (ukupno 30 tableta) i Uputstvo za l</w:t>
      </w:r>
      <w:r w:rsidR="00E82616" w:rsidRPr="00AA3DF0">
        <w:rPr>
          <w:szCs w:val="22"/>
          <w:lang w:val="pl-PL"/>
        </w:rPr>
        <w:t>ij</w:t>
      </w:r>
      <w:r w:rsidRPr="00AA3DF0">
        <w:rPr>
          <w:szCs w:val="22"/>
          <w:lang w:val="pl-PL"/>
        </w:rPr>
        <w:t>ek.</w:t>
      </w:r>
    </w:p>
    <w:p w14:paraId="3361F678" w14:textId="77777777" w:rsidR="000F1DCB" w:rsidRPr="00AA3DF0" w:rsidRDefault="000F1DCB" w:rsidP="00923865">
      <w:pPr>
        <w:rPr>
          <w:szCs w:val="22"/>
          <w:lang w:val="pl-PL"/>
        </w:rPr>
      </w:pPr>
    </w:p>
    <w:p w14:paraId="16A32296" w14:textId="77777777" w:rsidR="00344C2A" w:rsidRDefault="00344C2A" w:rsidP="00923865">
      <w:pPr>
        <w:rPr>
          <w:b/>
          <w:bCs/>
          <w:szCs w:val="22"/>
          <w:lang w:val="pl-PL"/>
        </w:rPr>
      </w:pPr>
    </w:p>
    <w:p w14:paraId="1894E10C" w14:textId="77777777" w:rsidR="00344C2A" w:rsidRDefault="00344C2A" w:rsidP="00923865">
      <w:pPr>
        <w:rPr>
          <w:b/>
          <w:bCs/>
          <w:szCs w:val="22"/>
          <w:lang w:val="pl-PL"/>
        </w:rPr>
      </w:pPr>
    </w:p>
    <w:p w14:paraId="3361F679" w14:textId="62314E47" w:rsidR="000F1DCB" w:rsidRPr="00AA3DF0" w:rsidRDefault="000F1DCB" w:rsidP="00923865">
      <w:pPr>
        <w:rPr>
          <w:b/>
          <w:bCs/>
          <w:szCs w:val="22"/>
          <w:lang w:val="sr-Latn-CS"/>
        </w:rPr>
      </w:pPr>
      <w:r w:rsidRPr="00AA3DF0">
        <w:rPr>
          <w:b/>
          <w:bCs/>
          <w:szCs w:val="22"/>
          <w:lang w:val="pl-PL"/>
        </w:rPr>
        <w:lastRenderedPageBreak/>
        <w:t>6.6. Posebne m</w:t>
      </w:r>
      <w:r w:rsidR="00E82616" w:rsidRPr="00AA3DF0">
        <w:rPr>
          <w:b/>
          <w:bCs/>
          <w:szCs w:val="22"/>
          <w:lang w:val="pl-PL"/>
        </w:rPr>
        <w:t>j</w:t>
      </w:r>
      <w:r w:rsidRPr="00AA3DF0">
        <w:rPr>
          <w:b/>
          <w:bCs/>
          <w:szCs w:val="22"/>
          <w:lang w:val="pl-PL"/>
        </w:rPr>
        <w:t>ere opreza pri odlaganju materijala koji treba odbaciti nakon prim</w:t>
      </w:r>
      <w:r w:rsidR="00E82616" w:rsidRPr="00AA3DF0">
        <w:rPr>
          <w:b/>
          <w:bCs/>
          <w:szCs w:val="22"/>
          <w:lang w:val="pl-PL"/>
        </w:rPr>
        <w:t>j</w:t>
      </w:r>
      <w:r w:rsidRPr="00AA3DF0">
        <w:rPr>
          <w:b/>
          <w:bCs/>
          <w:szCs w:val="22"/>
          <w:lang w:val="pl-PL"/>
        </w:rPr>
        <w:t>ene l</w:t>
      </w:r>
      <w:r w:rsidR="00E82616" w:rsidRPr="00AA3DF0">
        <w:rPr>
          <w:b/>
          <w:bCs/>
          <w:szCs w:val="22"/>
          <w:lang w:val="pl-PL"/>
        </w:rPr>
        <w:t>ij</w:t>
      </w:r>
      <w:r w:rsidRPr="00AA3DF0">
        <w:rPr>
          <w:b/>
          <w:bCs/>
          <w:szCs w:val="22"/>
          <w:lang w:val="pl-PL"/>
        </w:rPr>
        <w:t xml:space="preserve">eka </w:t>
      </w:r>
      <w:r w:rsidRPr="00AA3DF0">
        <w:rPr>
          <w:b/>
          <w:bCs/>
          <w:szCs w:val="22"/>
          <w:lang w:val="sr-Latn-CS"/>
        </w:rPr>
        <w:t>(i druga uputstva za rukovanje l</w:t>
      </w:r>
      <w:r w:rsidR="00E82616" w:rsidRPr="00AA3DF0">
        <w:rPr>
          <w:b/>
          <w:bCs/>
          <w:szCs w:val="22"/>
          <w:lang w:val="sr-Latn-CS"/>
        </w:rPr>
        <w:t>ij</w:t>
      </w:r>
      <w:r w:rsidRPr="00AA3DF0">
        <w:rPr>
          <w:b/>
          <w:bCs/>
          <w:szCs w:val="22"/>
          <w:lang w:val="sr-Latn-CS"/>
        </w:rPr>
        <w:t>ekom)</w:t>
      </w:r>
    </w:p>
    <w:p w14:paraId="71A44D9C" w14:textId="77777777" w:rsidR="00E66F18" w:rsidRPr="00AA3DF0" w:rsidRDefault="00E66F18" w:rsidP="00923865">
      <w:pPr>
        <w:rPr>
          <w:szCs w:val="22"/>
          <w:lang w:val="sr-Latn-CS"/>
        </w:rPr>
      </w:pPr>
    </w:p>
    <w:p w14:paraId="3361F67A" w14:textId="576C5276" w:rsidR="000F1DCB" w:rsidRPr="00AA3DF0" w:rsidRDefault="000F1DCB" w:rsidP="00923865">
      <w:pPr>
        <w:rPr>
          <w:szCs w:val="22"/>
          <w:lang w:val="sr-Latn-CS"/>
        </w:rPr>
      </w:pPr>
      <w:r w:rsidRPr="00AA3DF0">
        <w:rPr>
          <w:szCs w:val="22"/>
          <w:lang w:val="sr-Latn-CS"/>
        </w:rPr>
        <w:t>Svu neiskorišćenu količinu l</w:t>
      </w:r>
      <w:r w:rsidR="00E82616" w:rsidRPr="00AA3DF0">
        <w:rPr>
          <w:szCs w:val="22"/>
          <w:lang w:val="sr-Latn-CS"/>
        </w:rPr>
        <w:t>ij</w:t>
      </w:r>
      <w:r w:rsidRPr="00AA3DF0">
        <w:rPr>
          <w:szCs w:val="22"/>
          <w:lang w:val="sr-Latn-CS"/>
        </w:rPr>
        <w:t>eka ili otpadnog materijala nakon njegove upotrebe treba ukloniti, u skladu sa važećim propisima.</w:t>
      </w:r>
    </w:p>
    <w:p w14:paraId="3361F67B" w14:textId="0E5A36F8" w:rsidR="000F1DCB" w:rsidRPr="00AA3DF0" w:rsidRDefault="000F1DCB" w:rsidP="00923865">
      <w:pPr>
        <w:rPr>
          <w:szCs w:val="22"/>
          <w:lang w:val="sr-Latn-CS"/>
        </w:rPr>
      </w:pPr>
    </w:p>
    <w:p w14:paraId="35FB77AD" w14:textId="77777777" w:rsidR="00E629D8" w:rsidRPr="00AA3DF0" w:rsidRDefault="00E629D8" w:rsidP="00923865">
      <w:pPr>
        <w:rPr>
          <w:szCs w:val="22"/>
          <w:lang w:val="sr-Latn-CS"/>
        </w:rPr>
      </w:pPr>
    </w:p>
    <w:p w14:paraId="3361F67C" w14:textId="77777777" w:rsidR="000F1DCB" w:rsidRPr="00AA3DF0" w:rsidRDefault="000F1DCB" w:rsidP="00AB16D1">
      <w:pPr>
        <w:pStyle w:val="NASLOV123"/>
        <w:spacing w:before="0" w:after="0"/>
        <w:rPr>
          <w:lang w:val="sr-Latn-CS"/>
        </w:rPr>
      </w:pPr>
      <w:r w:rsidRPr="00AA3DF0">
        <w:rPr>
          <w:lang w:val="sr-Latn-CS"/>
        </w:rPr>
        <w:t xml:space="preserve">7. NOSILAC DOZVOLE </w:t>
      </w:r>
    </w:p>
    <w:p w14:paraId="71C8B7DA" w14:textId="77777777" w:rsidR="00E66F18" w:rsidRPr="00AA3DF0" w:rsidRDefault="00E66F18" w:rsidP="00AB16D1">
      <w:pPr>
        <w:pStyle w:val="Header"/>
        <w:tabs>
          <w:tab w:val="clear" w:pos="4536"/>
          <w:tab w:val="clear" w:pos="9072"/>
          <w:tab w:val="left" w:pos="284"/>
        </w:tabs>
        <w:jc w:val="left"/>
        <w:rPr>
          <w:szCs w:val="22"/>
          <w:lang w:val="sr-Latn-CS"/>
        </w:rPr>
      </w:pPr>
    </w:p>
    <w:p w14:paraId="3361F67E" w14:textId="1AE78AA8" w:rsidR="000F1DCB" w:rsidRPr="00AA3DF0" w:rsidRDefault="000F1DCB" w:rsidP="00AB16D1">
      <w:pPr>
        <w:pStyle w:val="Header"/>
        <w:tabs>
          <w:tab w:val="clear" w:pos="4536"/>
          <w:tab w:val="clear" w:pos="9072"/>
          <w:tab w:val="left" w:pos="284"/>
        </w:tabs>
        <w:jc w:val="left"/>
        <w:rPr>
          <w:szCs w:val="22"/>
          <w:lang w:val="sr-Latn-CS"/>
        </w:rPr>
      </w:pPr>
      <w:r w:rsidRPr="00AA3DF0">
        <w:rPr>
          <w:szCs w:val="22"/>
          <w:lang w:val="sr-Latn-CS"/>
        </w:rPr>
        <w:t>G</w:t>
      </w:r>
      <w:r w:rsidR="00E82616" w:rsidRPr="00AA3DF0">
        <w:rPr>
          <w:szCs w:val="22"/>
          <w:lang w:val="sr-Latn-CS"/>
        </w:rPr>
        <w:t>LK pharma d.o.o., ul. Svetozara Markovića br.</w:t>
      </w:r>
      <w:r w:rsidR="00E629D8" w:rsidRPr="00AA3DF0">
        <w:rPr>
          <w:szCs w:val="22"/>
          <w:lang w:val="sr-Latn-CS"/>
        </w:rPr>
        <w:t xml:space="preserve"> </w:t>
      </w:r>
      <w:r w:rsidR="00E82616" w:rsidRPr="00AA3DF0">
        <w:rPr>
          <w:szCs w:val="22"/>
          <w:lang w:val="sr-Latn-CS"/>
        </w:rPr>
        <w:t>46, 81000 Podgorica, Crna Gora</w:t>
      </w:r>
    </w:p>
    <w:p w14:paraId="3361F67F" w14:textId="77777777" w:rsidR="000F1DCB" w:rsidRPr="00AA3DF0" w:rsidRDefault="000F1DCB" w:rsidP="00923865">
      <w:pPr>
        <w:rPr>
          <w:szCs w:val="22"/>
          <w:lang w:val="sr-Latn-CS"/>
        </w:rPr>
      </w:pPr>
    </w:p>
    <w:p w14:paraId="342C34EF" w14:textId="77777777" w:rsidR="00E66F18" w:rsidRPr="00AA3DF0" w:rsidRDefault="00E66F18" w:rsidP="00AB16D1">
      <w:pPr>
        <w:pStyle w:val="NASLOV123"/>
        <w:spacing w:before="0" w:after="0"/>
        <w:rPr>
          <w:lang w:val="sr-Latn-CS"/>
        </w:rPr>
      </w:pPr>
    </w:p>
    <w:p w14:paraId="3361F680" w14:textId="77B9F656" w:rsidR="000F1DCB" w:rsidRPr="00AA3DF0" w:rsidRDefault="000F1DCB" w:rsidP="00AB16D1">
      <w:pPr>
        <w:pStyle w:val="NASLOV123"/>
        <w:spacing w:before="0" w:after="0"/>
        <w:rPr>
          <w:lang w:val="sr-Latn-CS"/>
        </w:rPr>
      </w:pPr>
      <w:r w:rsidRPr="00AA3DF0">
        <w:rPr>
          <w:lang w:val="sr-Latn-CS"/>
        </w:rPr>
        <w:t>8. BROJ DOZVOLE ZA STAVLJANJE L</w:t>
      </w:r>
      <w:r w:rsidR="00E82616" w:rsidRPr="00AA3DF0">
        <w:rPr>
          <w:lang w:val="sr-Latn-CS"/>
        </w:rPr>
        <w:t>IJ</w:t>
      </w:r>
      <w:r w:rsidRPr="00AA3DF0">
        <w:rPr>
          <w:lang w:val="sr-Latn-CS"/>
        </w:rPr>
        <w:t>EKA U PROMET</w:t>
      </w:r>
    </w:p>
    <w:p w14:paraId="3361F683" w14:textId="4795CCF3" w:rsidR="000F1DCB" w:rsidRPr="00AA3DF0" w:rsidRDefault="000F1DCB" w:rsidP="00923865">
      <w:pPr>
        <w:rPr>
          <w:szCs w:val="22"/>
          <w:lang w:val="sr-Latn-CS"/>
        </w:rPr>
      </w:pPr>
    </w:p>
    <w:p w14:paraId="76EF66D6" w14:textId="510E3A65" w:rsidR="00E66F18" w:rsidRDefault="00FE3A03" w:rsidP="00923865">
      <w:pPr>
        <w:rPr>
          <w:szCs w:val="22"/>
          <w:lang w:val="sr-Latn-CS"/>
        </w:rPr>
      </w:pPr>
      <w:r w:rsidRPr="00FE3A03">
        <w:rPr>
          <w:szCs w:val="22"/>
          <w:lang w:val="sr-Latn-CS"/>
        </w:rPr>
        <w:t xml:space="preserve">2030/24/2504 </w:t>
      </w:r>
      <w:r>
        <w:rPr>
          <w:szCs w:val="22"/>
          <w:lang w:val="sr-Latn-CS"/>
        </w:rPr>
        <w:t>-</w:t>
      </w:r>
      <w:r w:rsidRPr="00FE3A03">
        <w:rPr>
          <w:szCs w:val="22"/>
          <w:lang w:val="sr-Latn-CS"/>
        </w:rPr>
        <w:t xml:space="preserve"> 3517</w:t>
      </w:r>
    </w:p>
    <w:p w14:paraId="7C471780" w14:textId="77777777" w:rsidR="00FE3A03" w:rsidRPr="00AA3DF0" w:rsidRDefault="00FE3A03" w:rsidP="00923865">
      <w:pPr>
        <w:rPr>
          <w:szCs w:val="22"/>
          <w:lang w:val="sr-Latn-CS"/>
        </w:rPr>
      </w:pPr>
    </w:p>
    <w:p w14:paraId="3361F684" w14:textId="6FE637A2" w:rsidR="000F1DCB" w:rsidRPr="00AA3DF0" w:rsidRDefault="000F1DCB" w:rsidP="00FE3A03">
      <w:pPr>
        <w:pStyle w:val="NASLOV123"/>
        <w:spacing w:after="0"/>
        <w:jc w:val="both"/>
        <w:rPr>
          <w:lang w:val="pl-PL"/>
        </w:rPr>
      </w:pPr>
      <w:r w:rsidRPr="00AA3DF0">
        <w:rPr>
          <w:lang w:val="pl-PL"/>
        </w:rPr>
        <w:t>9. DATUM PRVE DOZVOLE</w:t>
      </w:r>
      <w:r w:rsidR="00E82616" w:rsidRPr="00AA3DF0">
        <w:rPr>
          <w:lang w:val="pl-PL"/>
        </w:rPr>
        <w:t>/</w:t>
      </w:r>
      <w:r w:rsidRPr="00AA3DF0">
        <w:rPr>
          <w:lang w:val="pl-PL"/>
        </w:rPr>
        <w:t>OBNOVE DOZVOLE ZA STAVLJANJE L</w:t>
      </w:r>
      <w:r w:rsidR="00E82616" w:rsidRPr="00AA3DF0">
        <w:rPr>
          <w:lang w:val="pl-PL"/>
        </w:rPr>
        <w:t>IJ</w:t>
      </w:r>
      <w:r w:rsidRPr="00AA3DF0">
        <w:rPr>
          <w:lang w:val="pl-PL"/>
        </w:rPr>
        <w:t>EKA U PROMET</w:t>
      </w:r>
    </w:p>
    <w:p w14:paraId="1D43E0E4" w14:textId="2A9A6F9C" w:rsidR="00E629D8" w:rsidRPr="00AA3DF0" w:rsidRDefault="00E629D8" w:rsidP="00FE3A03">
      <w:pPr>
        <w:pStyle w:val="NASLOV123"/>
        <w:spacing w:after="0"/>
        <w:rPr>
          <w:b w:val="0"/>
          <w:lang w:val="pl-PL"/>
        </w:rPr>
      </w:pPr>
      <w:r w:rsidRPr="00AA3DF0">
        <w:rPr>
          <w:b w:val="0"/>
          <w:lang w:val="pl-PL"/>
        </w:rPr>
        <w:t xml:space="preserve">Datum prve dozvole: </w:t>
      </w:r>
      <w:r w:rsidR="00E66F18" w:rsidRPr="00AA3DF0">
        <w:rPr>
          <w:b w:val="0"/>
          <w:lang w:val="pl-PL"/>
        </w:rPr>
        <w:t>14.02.2014. godine</w:t>
      </w:r>
      <w:bookmarkStart w:id="2" w:name="_GoBack"/>
      <w:bookmarkEnd w:id="2"/>
      <w:r w:rsidRPr="00AA3DF0">
        <w:rPr>
          <w:b w:val="0"/>
          <w:lang w:val="pl-PL"/>
        </w:rPr>
        <w:br/>
        <w:t>Datum poslednje obnove dozvole:</w:t>
      </w:r>
      <w:r w:rsidR="00AA3DF0">
        <w:rPr>
          <w:b w:val="0"/>
          <w:lang w:val="pl-PL"/>
        </w:rPr>
        <w:t xml:space="preserve"> 29.04.2024. godine</w:t>
      </w:r>
    </w:p>
    <w:p w14:paraId="6ED6FC9B" w14:textId="77777777" w:rsidR="00E66F18" w:rsidRPr="00AA3DF0" w:rsidRDefault="00E66F18" w:rsidP="00FE3A03">
      <w:pPr>
        <w:pStyle w:val="NASLOV123"/>
        <w:spacing w:before="0"/>
        <w:rPr>
          <w:b w:val="0"/>
          <w:lang w:val="pl-PL"/>
        </w:rPr>
      </w:pPr>
    </w:p>
    <w:p w14:paraId="3361F687" w14:textId="6DF144E6" w:rsidR="000F1DCB" w:rsidRPr="00AA3DF0" w:rsidRDefault="000F1DCB" w:rsidP="00FE3A03">
      <w:pPr>
        <w:pStyle w:val="NASLOV123"/>
        <w:spacing w:before="0"/>
        <w:rPr>
          <w:lang w:val="pl-PL"/>
        </w:rPr>
      </w:pPr>
      <w:r w:rsidRPr="00AA3DF0">
        <w:rPr>
          <w:lang w:val="pl-PL"/>
        </w:rPr>
        <w:t>10. DATUM REVIZIJE TEKSTA</w:t>
      </w:r>
    </w:p>
    <w:p w14:paraId="3361F68A" w14:textId="626D9078" w:rsidR="000F1DCB" w:rsidRPr="00AA3DF0" w:rsidRDefault="00AA3DF0" w:rsidP="00FE3A03">
      <w:pPr>
        <w:rPr>
          <w:bCs/>
          <w:szCs w:val="22"/>
        </w:rPr>
      </w:pPr>
      <w:r>
        <w:rPr>
          <w:bCs/>
          <w:szCs w:val="22"/>
        </w:rPr>
        <w:t>April, 2024. godine</w:t>
      </w:r>
    </w:p>
    <w:sectPr w:rsidR="000F1DCB" w:rsidRPr="00AA3DF0" w:rsidSect="00344C2A">
      <w:headerReference w:type="even" r:id="rId14"/>
      <w:footerReference w:type="even" r:id="rId15"/>
      <w:footerReference w:type="default" r:id="rId16"/>
      <w:headerReference w:type="first" r:id="rId17"/>
      <w:pgSz w:w="11907" w:h="16840" w:code="9"/>
      <w:pgMar w:top="1020" w:right="1134" w:bottom="1276"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47CDE" w14:textId="77777777" w:rsidR="00431081" w:rsidRDefault="00431081">
      <w:r>
        <w:separator/>
      </w:r>
    </w:p>
  </w:endnote>
  <w:endnote w:type="continuationSeparator" w:id="0">
    <w:p w14:paraId="3B32AD26" w14:textId="77777777" w:rsidR="00431081" w:rsidRDefault="00431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F68F" w14:textId="77777777" w:rsidR="000F1DCB" w:rsidRDefault="000F1DC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61F690" w14:textId="77777777" w:rsidR="000F1DCB" w:rsidRDefault="000F1D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1F692" w14:textId="4E6A6031" w:rsidR="000F1DCB" w:rsidRPr="00344C2A" w:rsidRDefault="00E629D8" w:rsidP="00344C2A">
    <w:pPr>
      <w:pStyle w:val="Footer"/>
      <w:jc w:val="center"/>
      <w:rPr>
        <w:sz w:val="20"/>
        <w:szCs w:val="22"/>
      </w:rPr>
    </w:pPr>
    <w:r w:rsidRPr="00C3513C">
      <w:rPr>
        <w:sz w:val="20"/>
        <w:szCs w:val="22"/>
      </w:rPr>
      <w:fldChar w:fldCharType="begin"/>
    </w:r>
    <w:r w:rsidRPr="00C3513C">
      <w:rPr>
        <w:sz w:val="20"/>
        <w:szCs w:val="22"/>
      </w:rPr>
      <w:instrText xml:space="preserve"> PAGE </w:instrText>
    </w:r>
    <w:r w:rsidRPr="00C3513C">
      <w:rPr>
        <w:sz w:val="20"/>
        <w:szCs w:val="22"/>
      </w:rPr>
      <w:fldChar w:fldCharType="separate"/>
    </w:r>
    <w:r w:rsidR="00344C2A">
      <w:rPr>
        <w:noProof/>
        <w:sz w:val="20"/>
        <w:szCs w:val="22"/>
      </w:rPr>
      <w:t>11</w:t>
    </w:r>
    <w:r w:rsidRPr="00C3513C">
      <w:rPr>
        <w:sz w:val="20"/>
        <w:szCs w:val="22"/>
      </w:rPr>
      <w:fldChar w:fldCharType="end"/>
    </w:r>
    <w:r w:rsidRPr="00C3513C">
      <w:rPr>
        <w:sz w:val="20"/>
        <w:szCs w:val="22"/>
      </w:rPr>
      <w:t xml:space="preserve"> / </w:t>
    </w:r>
    <w:r w:rsidRPr="00C3513C">
      <w:rPr>
        <w:sz w:val="20"/>
        <w:szCs w:val="22"/>
      </w:rPr>
      <w:fldChar w:fldCharType="begin"/>
    </w:r>
    <w:r w:rsidRPr="00C3513C">
      <w:rPr>
        <w:sz w:val="20"/>
        <w:szCs w:val="22"/>
      </w:rPr>
      <w:instrText xml:space="preserve"> NUMPAGES </w:instrText>
    </w:r>
    <w:r w:rsidRPr="00C3513C">
      <w:rPr>
        <w:sz w:val="20"/>
        <w:szCs w:val="22"/>
      </w:rPr>
      <w:fldChar w:fldCharType="separate"/>
    </w:r>
    <w:r w:rsidR="00344C2A">
      <w:rPr>
        <w:noProof/>
        <w:sz w:val="20"/>
        <w:szCs w:val="22"/>
      </w:rPr>
      <w:t>11</w:t>
    </w:r>
    <w:r w:rsidRPr="00C3513C">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7D2B7" w14:textId="77777777" w:rsidR="00431081" w:rsidRDefault="00431081">
      <w:r>
        <w:separator/>
      </w:r>
    </w:p>
  </w:footnote>
  <w:footnote w:type="continuationSeparator" w:id="0">
    <w:p w14:paraId="7196ABB8" w14:textId="77777777" w:rsidR="00431081" w:rsidRDefault="0043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37DD" w14:textId="709D7D8C" w:rsidR="00C3513C" w:rsidRDefault="00C3513C">
    <w:pPr>
      <w:pStyle w:val="Header"/>
    </w:pPr>
    <w:r>
      <w:rPr>
        <w:noProof/>
        <w:lang w:val="sr-Latn-ME" w:eastAsia="sr-Latn-ME"/>
      </w:rPr>
      <mc:AlternateContent>
        <mc:Choice Requires="wps">
          <w:drawing>
            <wp:anchor distT="0" distB="0" distL="0" distR="0" simplePos="0" relativeHeight="251659264" behindDoc="0" locked="0" layoutInCell="1" allowOverlap="1" wp14:anchorId="64E66063" wp14:editId="55CF7F1A">
              <wp:simplePos x="635" y="635"/>
              <wp:positionH relativeFrom="page">
                <wp:align>right</wp:align>
              </wp:positionH>
              <wp:positionV relativeFrom="page">
                <wp:align>top</wp:align>
              </wp:positionV>
              <wp:extent cx="443865" cy="443865"/>
              <wp:effectExtent l="0" t="0" r="0" b="635"/>
              <wp:wrapNone/>
              <wp:docPr id="1157711631"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FB29E9" w14:textId="7E8396D3" w:rsidR="00C3513C" w:rsidRPr="00C3513C" w:rsidRDefault="00C3513C" w:rsidP="00C3513C">
                          <w:pPr>
                            <w:rPr>
                              <w:rFonts w:ascii="Calibri" w:eastAsia="Calibri" w:hAnsi="Calibri" w:cs="Calibri"/>
                              <w:noProof/>
                              <w:color w:val="008000"/>
                              <w:szCs w:val="22"/>
                            </w:rPr>
                          </w:pPr>
                          <w:r w:rsidRPr="00C3513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E66063"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A2gSC0cQIAALYEAAAOAAAAAAAAAAAAAAAA&#10;AC4CAABkcnMvZTJvRG9jLnhtbFBLAQItABQABgAIAAAAIQB3V4RC2gAAAAMBAAAPAAAAAAAAAAAA&#10;AAAAAMsEAABkcnMvZG93bnJldi54bWxQSwUGAAAAAAQABADzAAAA0gUAAAAA&#10;" filled="f" stroked="f">
              <v:textbox style="mso-fit-shape-to-text:t" inset="0,15pt,20pt,0">
                <w:txbxContent>
                  <w:p w14:paraId="40FB29E9" w14:textId="7E8396D3" w:rsidR="00C3513C" w:rsidRPr="00C3513C" w:rsidRDefault="00C3513C" w:rsidP="00C3513C">
                    <w:pPr>
                      <w:rPr>
                        <w:rFonts w:ascii="Calibri" w:eastAsia="Calibri" w:hAnsi="Calibri" w:cs="Calibri"/>
                        <w:noProof/>
                        <w:color w:val="008000"/>
                        <w:szCs w:val="22"/>
                      </w:rPr>
                    </w:pPr>
                    <w:r w:rsidRPr="00C3513C">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E6C63" w14:textId="4B54A57F" w:rsidR="00C3513C" w:rsidRDefault="00C3513C">
    <w:pPr>
      <w:pStyle w:val="Header"/>
    </w:pPr>
    <w:r>
      <w:rPr>
        <w:noProof/>
        <w:lang w:val="sr-Latn-ME" w:eastAsia="sr-Latn-ME"/>
      </w:rPr>
      <mc:AlternateContent>
        <mc:Choice Requires="wps">
          <w:drawing>
            <wp:anchor distT="0" distB="0" distL="0" distR="0" simplePos="0" relativeHeight="251658240" behindDoc="0" locked="0" layoutInCell="1" allowOverlap="1" wp14:anchorId="095DD5C0" wp14:editId="6CA3D0B9">
              <wp:simplePos x="635" y="635"/>
              <wp:positionH relativeFrom="page">
                <wp:align>right</wp:align>
              </wp:positionH>
              <wp:positionV relativeFrom="page">
                <wp:align>top</wp:align>
              </wp:positionV>
              <wp:extent cx="443865" cy="443865"/>
              <wp:effectExtent l="0" t="0" r="0" b="635"/>
              <wp:wrapNone/>
              <wp:docPr id="2008282104"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B4222" w14:textId="47550332" w:rsidR="00C3513C" w:rsidRPr="00C3513C" w:rsidRDefault="00C3513C" w:rsidP="00C3513C">
                          <w:pPr>
                            <w:rPr>
                              <w:rFonts w:ascii="Calibri" w:eastAsia="Calibri" w:hAnsi="Calibri" w:cs="Calibri"/>
                              <w:noProof/>
                              <w:color w:val="008000"/>
                              <w:szCs w:val="22"/>
                            </w:rPr>
                          </w:pPr>
                          <w:r w:rsidRPr="00C3513C">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5DD5C0"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" filled="f" stroked="f">
              <v:textbox style="mso-fit-shape-to-text:t" inset="0,15pt,20pt,0">
                <w:txbxContent>
                  <w:p w14:paraId="67EB4222" w14:textId="47550332" w:rsidR="00C3513C" w:rsidRPr="00C3513C" w:rsidRDefault="00C3513C" w:rsidP="00C3513C">
                    <w:pPr>
                      <w:rPr>
                        <w:rFonts w:ascii="Calibri" w:eastAsia="Calibri" w:hAnsi="Calibri" w:cs="Calibri"/>
                        <w:noProof/>
                        <w:color w:val="008000"/>
                        <w:szCs w:val="22"/>
                      </w:rPr>
                    </w:pPr>
                    <w:r w:rsidRPr="00C3513C">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0D8C5FC2"/>
    <w:multiLevelType w:val="hybridMultilevel"/>
    <w:tmpl w:val="9312B9DC"/>
    <w:lvl w:ilvl="0" w:tplc="C13812AC">
      <w:numFmt w:val="bullet"/>
      <w:lvlText w:val="-"/>
      <w:lvlJc w:val="left"/>
      <w:pPr>
        <w:tabs>
          <w:tab w:val="num" w:pos="1200"/>
        </w:tabs>
        <w:ind w:left="1200" w:hanging="360"/>
      </w:pPr>
      <w:rPr>
        <w:rFonts w:ascii="Times New Roman" w:eastAsia="Times New Roman" w:hAnsi="Times New Roman"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1E4167CA"/>
    <w:multiLevelType w:val="hybridMultilevel"/>
    <w:tmpl w:val="667C436A"/>
    <w:lvl w:ilvl="0" w:tplc="C2864BB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D7187D"/>
    <w:multiLevelType w:val="hybridMultilevel"/>
    <w:tmpl w:val="4B380F1C"/>
    <w:lvl w:ilvl="0" w:tplc="1A36FFC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E6396"/>
    <w:multiLevelType w:val="hybridMultilevel"/>
    <w:tmpl w:val="8AEADACA"/>
    <w:lvl w:ilvl="0" w:tplc="714AAA8E">
      <w:start w:val="1"/>
      <w:numFmt w:val="bullet"/>
      <w:lvlText w:val="•"/>
      <w:lvlJc w:val="left"/>
      <w:pPr>
        <w:tabs>
          <w:tab w:val="num" w:pos="1800"/>
        </w:tabs>
        <w:ind w:left="1800" w:hanging="360"/>
      </w:pPr>
      <w:rPr>
        <w:rFonts w:ascii="Times New Roman" w:hAnsi="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7765DA"/>
    <w:multiLevelType w:val="hybridMultilevel"/>
    <w:tmpl w:val="5FA47D46"/>
    <w:lvl w:ilvl="0" w:tplc="5B30D76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lvlOverride w:ilvl="0">
      <w:startOverride w:val="7"/>
    </w:lvlOverride>
  </w:num>
  <w:num w:numId="3">
    <w:abstractNumId w:val="7"/>
  </w:num>
  <w:num w:numId="4">
    <w:abstractNumId w:val="5"/>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C7E"/>
    <w:rsid w:val="00007EF9"/>
    <w:rsid w:val="00017801"/>
    <w:rsid w:val="00021331"/>
    <w:rsid w:val="000254B1"/>
    <w:rsid w:val="000261EC"/>
    <w:rsid w:val="00032839"/>
    <w:rsid w:val="0005798D"/>
    <w:rsid w:val="00064273"/>
    <w:rsid w:val="0007427F"/>
    <w:rsid w:val="00083BE0"/>
    <w:rsid w:val="00084151"/>
    <w:rsid w:val="000842D9"/>
    <w:rsid w:val="00095FB6"/>
    <w:rsid w:val="0009758B"/>
    <w:rsid w:val="000A0F4A"/>
    <w:rsid w:val="000A1564"/>
    <w:rsid w:val="000C2FFE"/>
    <w:rsid w:val="000C5ABA"/>
    <w:rsid w:val="000D49BC"/>
    <w:rsid w:val="000D5631"/>
    <w:rsid w:val="000E2481"/>
    <w:rsid w:val="000E75C0"/>
    <w:rsid w:val="000F1DCB"/>
    <w:rsid w:val="00117606"/>
    <w:rsid w:val="00127FE2"/>
    <w:rsid w:val="00141639"/>
    <w:rsid w:val="0014180A"/>
    <w:rsid w:val="00144423"/>
    <w:rsid w:val="00173D18"/>
    <w:rsid w:val="00175772"/>
    <w:rsid w:val="00175A7E"/>
    <w:rsid w:val="0018601D"/>
    <w:rsid w:val="001B4333"/>
    <w:rsid w:val="001B706A"/>
    <w:rsid w:val="001D10C9"/>
    <w:rsid w:val="001E0A07"/>
    <w:rsid w:val="001E1314"/>
    <w:rsid w:val="001E6145"/>
    <w:rsid w:val="001F2456"/>
    <w:rsid w:val="001F2D4E"/>
    <w:rsid w:val="001F39B6"/>
    <w:rsid w:val="001F60D6"/>
    <w:rsid w:val="0022085D"/>
    <w:rsid w:val="0022218E"/>
    <w:rsid w:val="0022223A"/>
    <w:rsid w:val="0024132F"/>
    <w:rsid w:val="00242DCD"/>
    <w:rsid w:val="00244D56"/>
    <w:rsid w:val="00247C5C"/>
    <w:rsid w:val="002500E5"/>
    <w:rsid w:val="0027356D"/>
    <w:rsid w:val="00273BE0"/>
    <w:rsid w:val="002A61AA"/>
    <w:rsid w:val="002B6F6A"/>
    <w:rsid w:val="002C0FBF"/>
    <w:rsid w:val="002C6247"/>
    <w:rsid w:val="002D2D1F"/>
    <w:rsid w:val="002F5E2F"/>
    <w:rsid w:val="003035EB"/>
    <w:rsid w:val="00316FC0"/>
    <w:rsid w:val="00332497"/>
    <w:rsid w:val="00334FE5"/>
    <w:rsid w:val="0034044D"/>
    <w:rsid w:val="00344C2A"/>
    <w:rsid w:val="003452C0"/>
    <w:rsid w:val="00383195"/>
    <w:rsid w:val="003A2DF8"/>
    <w:rsid w:val="003B2082"/>
    <w:rsid w:val="003C18A4"/>
    <w:rsid w:val="003D7E1F"/>
    <w:rsid w:val="003E0A5D"/>
    <w:rsid w:val="003E3EC7"/>
    <w:rsid w:val="004123CD"/>
    <w:rsid w:val="004125FD"/>
    <w:rsid w:val="004234ED"/>
    <w:rsid w:val="00427D41"/>
    <w:rsid w:val="00431081"/>
    <w:rsid w:val="00432D25"/>
    <w:rsid w:val="00462C33"/>
    <w:rsid w:val="00472B4D"/>
    <w:rsid w:val="00492248"/>
    <w:rsid w:val="00497648"/>
    <w:rsid w:val="004A26BD"/>
    <w:rsid w:val="004A4CC5"/>
    <w:rsid w:val="004B10CF"/>
    <w:rsid w:val="004B5A11"/>
    <w:rsid w:val="004B7A50"/>
    <w:rsid w:val="004D230F"/>
    <w:rsid w:val="004E16CB"/>
    <w:rsid w:val="004E64B1"/>
    <w:rsid w:val="004F325D"/>
    <w:rsid w:val="00500662"/>
    <w:rsid w:val="00503974"/>
    <w:rsid w:val="00504567"/>
    <w:rsid w:val="00514059"/>
    <w:rsid w:val="0052230B"/>
    <w:rsid w:val="00525A8A"/>
    <w:rsid w:val="005276F0"/>
    <w:rsid w:val="00530909"/>
    <w:rsid w:val="0053777E"/>
    <w:rsid w:val="00545741"/>
    <w:rsid w:val="00597686"/>
    <w:rsid w:val="005A1324"/>
    <w:rsid w:val="005A4234"/>
    <w:rsid w:val="005B3388"/>
    <w:rsid w:val="005C298B"/>
    <w:rsid w:val="005C3F73"/>
    <w:rsid w:val="005C7891"/>
    <w:rsid w:val="00601BF7"/>
    <w:rsid w:val="00603302"/>
    <w:rsid w:val="00604E4F"/>
    <w:rsid w:val="006054EE"/>
    <w:rsid w:val="00606DE5"/>
    <w:rsid w:val="006118B6"/>
    <w:rsid w:val="00613C74"/>
    <w:rsid w:val="006253A7"/>
    <w:rsid w:val="006270C0"/>
    <w:rsid w:val="00630195"/>
    <w:rsid w:val="006559AF"/>
    <w:rsid w:val="00660ED5"/>
    <w:rsid w:val="00672DD0"/>
    <w:rsid w:val="00693874"/>
    <w:rsid w:val="00693F46"/>
    <w:rsid w:val="006B57BA"/>
    <w:rsid w:val="006C145E"/>
    <w:rsid w:val="006D2EB8"/>
    <w:rsid w:val="006E26E1"/>
    <w:rsid w:val="006F158F"/>
    <w:rsid w:val="0071015B"/>
    <w:rsid w:val="00736175"/>
    <w:rsid w:val="00737919"/>
    <w:rsid w:val="0074151D"/>
    <w:rsid w:val="007532FD"/>
    <w:rsid w:val="00754D33"/>
    <w:rsid w:val="00764648"/>
    <w:rsid w:val="00764F75"/>
    <w:rsid w:val="007672F3"/>
    <w:rsid w:val="00780653"/>
    <w:rsid w:val="00781053"/>
    <w:rsid w:val="00787759"/>
    <w:rsid w:val="00791ACC"/>
    <w:rsid w:val="007A45DA"/>
    <w:rsid w:val="007A4F45"/>
    <w:rsid w:val="007B16C4"/>
    <w:rsid w:val="007C0F3C"/>
    <w:rsid w:val="007C2D7E"/>
    <w:rsid w:val="007C41C3"/>
    <w:rsid w:val="007C6493"/>
    <w:rsid w:val="007D17FD"/>
    <w:rsid w:val="007D48C5"/>
    <w:rsid w:val="007E06F0"/>
    <w:rsid w:val="007F41A8"/>
    <w:rsid w:val="00802DFC"/>
    <w:rsid w:val="00805FB8"/>
    <w:rsid w:val="008113AD"/>
    <w:rsid w:val="00814781"/>
    <w:rsid w:val="00817E4E"/>
    <w:rsid w:val="00825B33"/>
    <w:rsid w:val="00834DBB"/>
    <w:rsid w:val="00842FFB"/>
    <w:rsid w:val="00846146"/>
    <w:rsid w:val="00853A85"/>
    <w:rsid w:val="0086351A"/>
    <w:rsid w:val="00873AA8"/>
    <w:rsid w:val="00874B61"/>
    <w:rsid w:val="00884CEB"/>
    <w:rsid w:val="008A234E"/>
    <w:rsid w:val="008A48B7"/>
    <w:rsid w:val="008A67DE"/>
    <w:rsid w:val="008B2B8E"/>
    <w:rsid w:val="008B3EB5"/>
    <w:rsid w:val="008B4752"/>
    <w:rsid w:val="008C5809"/>
    <w:rsid w:val="008C7864"/>
    <w:rsid w:val="008D78C9"/>
    <w:rsid w:val="008E0FC9"/>
    <w:rsid w:val="008E4483"/>
    <w:rsid w:val="00913684"/>
    <w:rsid w:val="0091584E"/>
    <w:rsid w:val="00923865"/>
    <w:rsid w:val="0093016E"/>
    <w:rsid w:val="00934B4D"/>
    <w:rsid w:val="009456B1"/>
    <w:rsid w:val="00947EC4"/>
    <w:rsid w:val="00955C75"/>
    <w:rsid w:val="009677DF"/>
    <w:rsid w:val="009709F2"/>
    <w:rsid w:val="009946F8"/>
    <w:rsid w:val="00996E6B"/>
    <w:rsid w:val="009A0949"/>
    <w:rsid w:val="009A1D64"/>
    <w:rsid w:val="009A6C2A"/>
    <w:rsid w:val="009B1292"/>
    <w:rsid w:val="009B2430"/>
    <w:rsid w:val="009B338B"/>
    <w:rsid w:val="009B5348"/>
    <w:rsid w:val="009B58AD"/>
    <w:rsid w:val="009B7935"/>
    <w:rsid w:val="009C7BA2"/>
    <w:rsid w:val="009D0191"/>
    <w:rsid w:val="009D1161"/>
    <w:rsid w:val="009D4B15"/>
    <w:rsid w:val="009D667B"/>
    <w:rsid w:val="009E5874"/>
    <w:rsid w:val="009F4449"/>
    <w:rsid w:val="009F5324"/>
    <w:rsid w:val="00A02252"/>
    <w:rsid w:val="00A127F1"/>
    <w:rsid w:val="00A22846"/>
    <w:rsid w:val="00A27130"/>
    <w:rsid w:val="00A469C2"/>
    <w:rsid w:val="00A7147C"/>
    <w:rsid w:val="00A7660B"/>
    <w:rsid w:val="00A81B47"/>
    <w:rsid w:val="00A86897"/>
    <w:rsid w:val="00A9485D"/>
    <w:rsid w:val="00A95733"/>
    <w:rsid w:val="00A97967"/>
    <w:rsid w:val="00AA053D"/>
    <w:rsid w:val="00AA3DF0"/>
    <w:rsid w:val="00AA55F5"/>
    <w:rsid w:val="00AA5BC4"/>
    <w:rsid w:val="00AB051F"/>
    <w:rsid w:val="00AB16D1"/>
    <w:rsid w:val="00AB5465"/>
    <w:rsid w:val="00AB549F"/>
    <w:rsid w:val="00AC150D"/>
    <w:rsid w:val="00AD3606"/>
    <w:rsid w:val="00AE1892"/>
    <w:rsid w:val="00B0699D"/>
    <w:rsid w:val="00B26FAC"/>
    <w:rsid w:val="00B31AA2"/>
    <w:rsid w:val="00B35F77"/>
    <w:rsid w:val="00B370AC"/>
    <w:rsid w:val="00B530B7"/>
    <w:rsid w:val="00B54257"/>
    <w:rsid w:val="00B6650C"/>
    <w:rsid w:val="00B74976"/>
    <w:rsid w:val="00B74C0B"/>
    <w:rsid w:val="00B81915"/>
    <w:rsid w:val="00B8400D"/>
    <w:rsid w:val="00B84AC8"/>
    <w:rsid w:val="00B925FF"/>
    <w:rsid w:val="00B93A37"/>
    <w:rsid w:val="00BA1819"/>
    <w:rsid w:val="00BA5A22"/>
    <w:rsid w:val="00BB55E5"/>
    <w:rsid w:val="00BB64C1"/>
    <w:rsid w:val="00BD184D"/>
    <w:rsid w:val="00BD2EA8"/>
    <w:rsid w:val="00BD3B6E"/>
    <w:rsid w:val="00BD725A"/>
    <w:rsid w:val="00BE3ED9"/>
    <w:rsid w:val="00BF3750"/>
    <w:rsid w:val="00C06244"/>
    <w:rsid w:val="00C3513C"/>
    <w:rsid w:val="00C3526E"/>
    <w:rsid w:val="00C536C2"/>
    <w:rsid w:val="00C55F47"/>
    <w:rsid w:val="00C56E2E"/>
    <w:rsid w:val="00C64A31"/>
    <w:rsid w:val="00C708F1"/>
    <w:rsid w:val="00C82E8B"/>
    <w:rsid w:val="00C92108"/>
    <w:rsid w:val="00CA2ACF"/>
    <w:rsid w:val="00CB123F"/>
    <w:rsid w:val="00CC4C88"/>
    <w:rsid w:val="00CC6430"/>
    <w:rsid w:val="00CD0B1F"/>
    <w:rsid w:val="00CD3F96"/>
    <w:rsid w:val="00CE09F3"/>
    <w:rsid w:val="00CE22D9"/>
    <w:rsid w:val="00CE2360"/>
    <w:rsid w:val="00CE76DA"/>
    <w:rsid w:val="00CF13EB"/>
    <w:rsid w:val="00CF6C72"/>
    <w:rsid w:val="00D11E94"/>
    <w:rsid w:val="00D24720"/>
    <w:rsid w:val="00D30389"/>
    <w:rsid w:val="00D337F6"/>
    <w:rsid w:val="00D521F4"/>
    <w:rsid w:val="00D52CDB"/>
    <w:rsid w:val="00D530E5"/>
    <w:rsid w:val="00D600F9"/>
    <w:rsid w:val="00D61710"/>
    <w:rsid w:val="00D6611E"/>
    <w:rsid w:val="00D700E7"/>
    <w:rsid w:val="00D71643"/>
    <w:rsid w:val="00D85F37"/>
    <w:rsid w:val="00D96BFA"/>
    <w:rsid w:val="00DB4534"/>
    <w:rsid w:val="00DD2A82"/>
    <w:rsid w:val="00DD4168"/>
    <w:rsid w:val="00DD69D1"/>
    <w:rsid w:val="00DE6410"/>
    <w:rsid w:val="00DF09F1"/>
    <w:rsid w:val="00DF46E4"/>
    <w:rsid w:val="00E04856"/>
    <w:rsid w:val="00E07C4E"/>
    <w:rsid w:val="00E273E8"/>
    <w:rsid w:val="00E3021D"/>
    <w:rsid w:val="00E30DA3"/>
    <w:rsid w:val="00E474DF"/>
    <w:rsid w:val="00E50CD3"/>
    <w:rsid w:val="00E56089"/>
    <w:rsid w:val="00E629D8"/>
    <w:rsid w:val="00E66F18"/>
    <w:rsid w:val="00E82616"/>
    <w:rsid w:val="00E87BE1"/>
    <w:rsid w:val="00E962B5"/>
    <w:rsid w:val="00EA020F"/>
    <w:rsid w:val="00EA1F85"/>
    <w:rsid w:val="00EB26EC"/>
    <w:rsid w:val="00EB3D5F"/>
    <w:rsid w:val="00EB502F"/>
    <w:rsid w:val="00ED0017"/>
    <w:rsid w:val="00ED0C25"/>
    <w:rsid w:val="00ED351E"/>
    <w:rsid w:val="00ED4585"/>
    <w:rsid w:val="00ED735F"/>
    <w:rsid w:val="00EE757D"/>
    <w:rsid w:val="00F06DF8"/>
    <w:rsid w:val="00F42610"/>
    <w:rsid w:val="00F42D7F"/>
    <w:rsid w:val="00F5775F"/>
    <w:rsid w:val="00F63F24"/>
    <w:rsid w:val="00F66C8A"/>
    <w:rsid w:val="00F97F7F"/>
    <w:rsid w:val="00FA31E0"/>
    <w:rsid w:val="00FB0841"/>
    <w:rsid w:val="00FD5882"/>
    <w:rsid w:val="00FD7F6D"/>
    <w:rsid w:val="00FE0A2F"/>
    <w:rsid w:val="00FE3A03"/>
    <w:rsid w:val="00FF07A1"/>
    <w:rsid w:val="00FF0D13"/>
    <w:rsid w:val="00FF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61F4D4"/>
  <w15:docId w15:val="{F50FF02E-AF71-4DE9-BD30-8912B480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73AA8"/>
    <w:rPr>
      <w:rFonts w:ascii="Cambria" w:hAnsi="Cambria" w:cs="Times New Roman"/>
      <w:b/>
      <w:bCs/>
      <w:kern w:val="32"/>
      <w:sz w:val="32"/>
      <w:szCs w:val="32"/>
    </w:rPr>
  </w:style>
  <w:style w:type="character" w:customStyle="1" w:styleId="Heading2Char">
    <w:name w:val="Heading 2 Char"/>
    <w:link w:val="Heading2"/>
    <w:uiPriority w:val="99"/>
    <w:semiHidden/>
    <w:locked/>
    <w:rsid w:val="00873AA8"/>
    <w:rPr>
      <w:rFonts w:ascii="Cambria" w:hAnsi="Cambria" w:cs="Times New Roman"/>
      <w:b/>
      <w:bCs/>
      <w:i/>
      <w:iCs/>
      <w:sz w:val="28"/>
      <w:szCs w:val="28"/>
    </w:rPr>
  </w:style>
  <w:style w:type="character" w:customStyle="1" w:styleId="Heading3Char">
    <w:name w:val="Heading 3 Char"/>
    <w:link w:val="Heading3"/>
    <w:uiPriority w:val="99"/>
    <w:semiHidden/>
    <w:locked/>
    <w:rsid w:val="00873AA8"/>
    <w:rPr>
      <w:rFonts w:ascii="Cambria" w:hAnsi="Cambria" w:cs="Times New Roman"/>
      <w:b/>
      <w:bCs/>
      <w:sz w:val="26"/>
      <w:szCs w:val="26"/>
    </w:rPr>
  </w:style>
  <w:style w:type="character" w:customStyle="1" w:styleId="Heading4Char">
    <w:name w:val="Heading 4 Char"/>
    <w:link w:val="Heading4"/>
    <w:uiPriority w:val="99"/>
    <w:semiHidden/>
    <w:locked/>
    <w:rsid w:val="00873AA8"/>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uiPriority w:val="99"/>
    <w:semiHidden/>
    <w:locked/>
    <w:rsid w:val="00873AA8"/>
    <w:rPr>
      <w:rFonts w:cs="Times New Roman"/>
      <w:sz w:val="24"/>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873AA8"/>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873AA8"/>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873AA8"/>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character" w:customStyle="1" w:styleId="CharChar4">
    <w:name w:val="Char Char4"/>
    <w:uiPriority w:val="99"/>
    <w:rsid w:val="00C92108"/>
    <w:rPr>
      <w:rFonts w:ascii="Humanist777" w:hAnsi="Humanist777"/>
      <w:sz w:val="24"/>
      <w:lang w:val="en-US" w:eastAsia="en-US"/>
    </w:rPr>
  </w:style>
  <w:style w:type="paragraph" w:styleId="NoSpacing">
    <w:name w:val="No Spacing"/>
    <w:uiPriority w:val="99"/>
    <w:qFormat/>
    <w:rsid w:val="00C92108"/>
    <w:rPr>
      <w:rFonts w:ascii="Calibri" w:hAnsi="Calibri"/>
      <w:sz w:val="22"/>
      <w:szCs w:val="22"/>
    </w:rPr>
  </w:style>
  <w:style w:type="table" w:styleId="TableGrid">
    <w:name w:val="Table Grid"/>
    <w:basedOn w:val="TableNormal"/>
    <w:uiPriority w:val="99"/>
    <w:locked/>
    <w:rsid w:val="008A67DE"/>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A1324"/>
    <w:pPr>
      <w:tabs>
        <w:tab w:val="clear" w:pos="284"/>
      </w:tabs>
      <w:spacing w:after="200" w:line="276" w:lineRule="auto"/>
      <w:ind w:left="720"/>
      <w:contextualSpacing/>
      <w:jc w:val="left"/>
    </w:pPr>
    <w:rPr>
      <w:rFonts w:ascii="Calibri" w:hAnsi="Calibri"/>
      <w:szCs w:val="22"/>
    </w:rPr>
  </w:style>
  <w:style w:type="paragraph" w:styleId="Revision">
    <w:name w:val="Revision"/>
    <w:hidden/>
    <w:uiPriority w:val="99"/>
    <w:semiHidden/>
    <w:rsid w:val="000842D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inmed.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1634CFF2F1142A18FD41745E6653D" ma:contentTypeVersion="13" ma:contentTypeDescription="Create a new document." ma:contentTypeScope="" ma:versionID="b4cf8c7ce5d9e227c75d8548b663e699">
  <xsd:schema xmlns:xsd="http://www.w3.org/2001/XMLSchema" xmlns:xs="http://www.w3.org/2001/XMLSchema" xmlns:p="http://schemas.microsoft.com/office/2006/metadata/properties" xmlns:ns3="a3ab15c0-6425-4812-a7b5-5735eb2c2781" xmlns:ns4="c48d1dcf-e36f-42ac-bb58-0fcb144e0389" targetNamespace="http://schemas.microsoft.com/office/2006/metadata/properties" ma:root="true" ma:fieldsID="d17cf371e34af9554f7bc655df513ccc" ns3:_="" ns4:_="">
    <xsd:import namespace="a3ab15c0-6425-4812-a7b5-5735eb2c2781"/>
    <xsd:import namespace="c48d1dcf-e36f-42ac-bb58-0fcb144e03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b15c0-6425-4812-a7b5-5735eb2c27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8d1dcf-e36f-42ac-bb58-0fcb144e03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ACF36-7E39-433F-A8AD-7A84E5279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b15c0-6425-4812-a7b5-5735eb2c2781"/>
    <ds:schemaRef ds:uri="c48d1dcf-e36f-42ac-bb58-0fcb144e0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20B150-13D5-4187-8335-2569D27104F2}">
  <ds:schemaRefs>
    <ds:schemaRef ds:uri="http://schemas.microsoft.com/sharepoint/v3/contenttype/forms"/>
  </ds:schemaRefs>
</ds:datastoreItem>
</file>

<file path=customXml/itemProps3.xml><?xml version="1.0" encoding="utf-8"?>
<ds:datastoreItem xmlns:ds="http://schemas.openxmlformats.org/officeDocument/2006/customXml" ds:itemID="{0B88AD9F-0EA3-4DDA-A114-2AA934538B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Gordana Boljević</cp:lastModifiedBy>
  <cp:revision>5</cp:revision>
  <cp:lastPrinted>2017-07-26T04:42:00Z</cp:lastPrinted>
  <dcterms:created xsi:type="dcterms:W3CDTF">2024-04-29T08:17:00Z</dcterms:created>
  <dcterms:modified xsi:type="dcterms:W3CDTF">2024-04-29T10:46:00Z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0x0101008BA1634CFF2F1142A18FD41745E6653D</vt:lpwstr>
  </property>
  <property fmtid="{D5CDD505-2E9C-101B-9397-08002B2CF9AE}" pid="3" name="ClassificationContentMarkingHeaderShapeIds">
    <vt:lpwstr>77b3f3f8,4501470f,69d9b50f</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2024-04-29T07:57:04Z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db695782-ea6e-474d-99ef-9f15a7e11678</vt:lpwstr>
  </property>
  <property fmtid="{D5CDD505-2E9C-101B-9397-08002B2CF9AE}" pid="12" name="MSIP_Label_80e91ba7-203e-4ac0-a045-4c37ad0b383b_ContentBits">
    <vt:lpwstr>1</vt:lpwstr>
  </property>
</Properties>
</file>