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51C95" w14:textId="77777777" w:rsidR="00DD2A82" w:rsidRPr="006B5701" w:rsidRDefault="00DD2A82" w:rsidP="00923865"/>
    <w:p w14:paraId="3A164750" w14:textId="38760BF1" w:rsidR="00CE09F3" w:rsidRPr="006B5701" w:rsidRDefault="00CE09F3" w:rsidP="00923865">
      <w:pPr>
        <w:jc w:val="center"/>
        <w:rPr>
          <w:b/>
          <w:bCs/>
          <w:iCs/>
          <w:szCs w:val="22"/>
          <w:u w:val="single"/>
          <w:lang w:val="sv-SE"/>
        </w:rPr>
      </w:pPr>
      <w:r w:rsidRPr="006B5701">
        <w:rPr>
          <w:b/>
          <w:bCs/>
          <w:iCs/>
          <w:szCs w:val="22"/>
          <w:u w:val="single"/>
          <w:lang w:val="sv-SE"/>
        </w:rPr>
        <w:t>SAŽETAK KARAKTERISTIKA L</w:t>
      </w:r>
      <w:r w:rsidR="00D035B3">
        <w:rPr>
          <w:b/>
          <w:bCs/>
          <w:iCs/>
          <w:szCs w:val="22"/>
          <w:u w:val="single"/>
          <w:lang w:val="sv-SE"/>
        </w:rPr>
        <w:t>IJ</w:t>
      </w:r>
      <w:r w:rsidRPr="006B5701">
        <w:rPr>
          <w:b/>
          <w:bCs/>
          <w:iCs/>
          <w:szCs w:val="22"/>
          <w:u w:val="single"/>
          <w:lang w:val="sv-SE"/>
        </w:rPr>
        <w:t>EKA</w:t>
      </w:r>
    </w:p>
    <w:p w14:paraId="03BA90F9" w14:textId="77777777" w:rsidR="00383195" w:rsidRPr="006B5701" w:rsidRDefault="003E3EC7" w:rsidP="00923865">
      <w:pPr>
        <w:rPr>
          <w:szCs w:val="22"/>
          <w:lang w:val="sv-SE"/>
        </w:rPr>
      </w:pPr>
      <w:r w:rsidRPr="006B5701">
        <w:rPr>
          <w:szCs w:val="22"/>
          <w:lang w:val="sv-SE"/>
        </w:rPr>
        <w:t xml:space="preserve"> </w:t>
      </w:r>
    </w:p>
    <w:p w14:paraId="275849D2" w14:textId="77777777" w:rsidR="00E50CD3" w:rsidRPr="006B5701" w:rsidRDefault="00E50CD3" w:rsidP="00923865">
      <w:pPr>
        <w:rPr>
          <w:b/>
          <w:bCs/>
          <w:szCs w:val="22"/>
          <w:lang w:val="hr-HR"/>
        </w:rPr>
      </w:pPr>
    </w:p>
    <w:p w14:paraId="0114BAF6" w14:textId="77777777" w:rsidR="00CE09F3" w:rsidRPr="006B5701" w:rsidRDefault="00CE09F3" w:rsidP="00923865">
      <w:pPr>
        <w:rPr>
          <w:b/>
          <w:bCs/>
          <w:szCs w:val="22"/>
          <w:lang w:val="hr-HR"/>
        </w:rPr>
      </w:pPr>
    </w:p>
    <w:p w14:paraId="13550F4A" w14:textId="6DD948F7" w:rsidR="00CE09F3" w:rsidRPr="006B5701" w:rsidRDefault="00CE09F3" w:rsidP="00923865">
      <w:pPr>
        <w:pStyle w:val="NASLOV123"/>
        <w:rPr>
          <w:lang w:val="sr-Latn-CS"/>
        </w:rPr>
      </w:pPr>
      <w:r w:rsidRPr="006B5701">
        <w:rPr>
          <w:lang w:val="hr-HR"/>
        </w:rPr>
        <w:t>1. IME L</w:t>
      </w:r>
      <w:r w:rsidR="00D035B3">
        <w:rPr>
          <w:lang w:val="hr-HR"/>
        </w:rPr>
        <w:t>IJ</w:t>
      </w:r>
      <w:r w:rsidRPr="006B5701">
        <w:rPr>
          <w:lang w:val="hr-HR"/>
        </w:rPr>
        <w:t>EKA</w:t>
      </w:r>
    </w:p>
    <w:p w14:paraId="41384BE5" w14:textId="77777777" w:rsidR="00CE09F3" w:rsidRPr="009C5D73" w:rsidRDefault="00CE09F3" w:rsidP="00923865">
      <w:pPr>
        <w:rPr>
          <w:bCs/>
          <w:i/>
          <w:iCs/>
          <w:szCs w:val="22"/>
          <w:lang w:val="sr-Latn-CS"/>
        </w:rPr>
      </w:pPr>
    </w:p>
    <w:p w14:paraId="27C47682" w14:textId="77777777" w:rsidR="00901FFA" w:rsidRPr="009C5D73" w:rsidRDefault="00D11211" w:rsidP="00136932">
      <w:pPr>
        <w:pStyle w:val="Header"/>
        <w:tabs>
          <w:tab w:val="clear" w:pos="4536"/>
          <w:tab w:val="clear" w:pos="9072"/>
          <w:tab w:val="left" w:pos="284"/>
        </w:tabs>
        <w:jc w:val="left"/>
        <w:rPr>
          <w:bCs/>
          <w:szCs w:val="22"/>
          <w:lang w:val="sr-Latn-CS"/>
        </w:rPr>
      </w:pPr>
      <w:r w:rsidRPr="009C5D73">
        <w:rPr>
          <w:bCs/>
          <w:szCs w:val="22"/>
          <w:lang w:val="sr-Latn-CS"/>
        </w:rPr>
        <w:t xml:space="preserve">Δ     </w:t>
      </w:r>
    </w:p>
    <w:p w14:paraId="37032102" w14:textId="60C427B9" w:rsidR="004B21C0" w:rsidRPr="009C5D73" w:rsidRDefault="008D4CC9" w:rsidP="00136932">
      <w:pPr>
        <w:pStyle w:val="Header"/>
        <w:tabs>
          <w:tab w:val="clear" w:pos="4536"/>
          <w:tab w:val="clear" w:pos="9072"/>
          <w:tab w:val="left" w:pos="284"/>
        </w:tabs>
        <w:jc w:val="left"/>
        <w:rPr>
          <w:szCs w:val="22"/>
          <w:lang w:val="sr-Latn-CS"/>
        </w:rPr>
      </w:pPr>
      <w:r w:rsidRPr="009C5D73">
        <w:rPr>
          <w:bCs/>
          <w:szCs w:val="22"/>
          <w:lang w:val="sr-Latn-CS"/>
        </w:rPr>
        <w:t>Mirapexin</w:t>
      </w:r>
      <w:r w:rsidR="00D11211" w:rsidRPr="009C5D73">
        <w:rPr>
          <w:bCs/>
          <w:szCs w:val="22"/>
          <w:lang w:val="sr-Latn-CS"/>
        </w:rPr>
        <w:t>, 0,</w:t>
      </w:r>
      <w:r w:rsidR="00E31E04" w:rsidRPr="009C5D73">
        <w:rPr>
          <w:bCs/>
          <w:szCs w:val="22"/>
          <w:lang w:val="sr-Latn-CS"/>
        </w:rPr>
        <w:t>18</w:t>
      </w:r>
      <w:r w:rsidR="00D11211" w:rsidRPr="009C5D73">
        <w:rPr>
          <w:bCs/>
          <w:szCs w:val="22"/>
          <w:lang w:val="sr-Latn-CS"/>
        </w:rPr>
        <w:t xml:space="preserve"> mg, tablet</w:t>
      </w:r>
      <w:r w:rsidR="00C04024" w:rsidRPr="009C5D73">
        <w:rPr>
          <w:bCs/>
          <w:szCs w:val="22"/>
          <w:lang w:val="sr-Latn-CS"/>
        </w:rPr>
        <w:t>e</w:t>
      </w:r>
    </w:p>
    <w:p w14:paraId="0E162405" w14:textId="77777777" w:rsidR="00901FFA" w:rsidRPr="009C5D73" w:rsidRDefault="00D11211" w:rsidP="004B21C0">
      <w:pPr>
        <w:jc w:val="left"/>
        <w:rPr>
          <w:szCs w:val="22"/>
          <w:lang w:val="sr-Latn-CS"/>
        </w:rPr>
      </w:pPr>
      <w:r w:rsidRPr="009C5D73">
        <w:rPr>
          <w:bCs/>
          <w:szCs w:val="22"/>
          <w:lang w:val="sr-Latn-CS"/>
        </w:rPr>
        <w:t xml:space="preserve">∆ </w:t>
      </w:r>
      <w:r w:rsidRPr="009C5D73">
        <w:rPr>
          <w:szCs w:val="22"/>
          <w:lang w:val="sr-Latn-CS"/>
        </w:rPr>
        <w:t xml:space="preserve">   </w:t>
      </w:r>
    </w:p>
    <w:p w14:paraId="02708293" w14:textId="6034D2E0" w:rsidR="004B21C0" w:rsidRPr="009C5D73" w:rsidRDefault="008D4CC9" w:rsidP="004B21C0">
      <w:pPr>
        <w:jc w:val="left"/>
        <w:rPr>
          <w:bCs/>
          <w:szCs w:val="22"/>
          <w:lang w:val="sr-Latn-CS"/>
        </w:rPr>
      </w:pPr>
      <w:r w:rsidRPr="009C5D73">
        <w:rPr>
          <w:bCs/>
          <w:szCs w:val="22"/>
          <w:lang w:val="sr-Latn-CS"/>
        </w:rPr>
        <w:t>Mirapexin</w:t>
      </w:r>
      <w:r w:rsidRPr="009C5D73">
        <w:rPr>
          <w:bCs/>
          <w:szCs w:val="22"/>
          <w:vertAlign w:val="superscript"/>
          <w:lang w:val="sr-Latn-CS"/>
        </w:rPr>
        <w:t xml:space="preserve"> </w:t>
      </w:r>
      <w:r w:rsidR="00D11211" w:rsidRPr="009C5D73">
        <w:rPr>
          <w:bCs/>
          <w:szCs w:val="22"/>
          <w:lang w:val="sr-Latn-CS"/>
        </w:rPr>
        <w:t xml:space="preserve">, </w:t>
      </w:r>
      <w:r w:rsidR="00E31E04" w:rsidRPr="009C5D73">
        <w:rPr>
          <w:bCs/>
          <w:szCs w:val="22"/>
          <w:lang w:val="sr-Latn-CS"/>
        </w:rPr>
        <w:t>0,7</w:t>
      </w:r>
      <w:r w:rsidR="00D11211" w:rsidRPr="009C5D73">
        <w:rPr>
          <w:bCs/>
          <w:szCs w:val="22"/>
          <w:lang w:val="sr-Latn-CS"/>
        </w:rPr>
        <w:t xml:space="preserve"> mg, tablet</w:t>
      </w:r>
      <w:r w:rsidR="00C04024" w:rsidRPr="009C5D73">
        <w:rPr>
          <w:bCs/>
          <w:szCs w:val="22"/>
          <w:lang w:val="sr-Latn-CS"/>
        </w:rPr>
        <w:t>e</w:t>
      </w:r>
    </w:p>
    <w:p w14:paraId="314E0211" w14:textId="77777777" w:rsidR="004B21C0" w:rsidRPr="009C5D73" w:rsidRDefault="004B21C0" w:rsidP="004B21C0">
      <w:pPr>
        <w:jc w:val="left"/>
        <w:rPr>
          <w:szCs w:val="22"/>
          <w:lang w:val="sr-Latn-CS"/>
        </w:rPr>
      </w:pPr>
    </w:p>
    <w:p w14:paraId="18B216A7" w14:textId="77777777" w:rsidR="004B21C0" w:rsidRPr="009C5D73" w:rsidRDefault="004B21C0" w:rsidP="004B21C0">
      <w:pPr>
        <w:pStyle w:val="Header"/>
        <w:tabs>
          <w:tab w:val="clear" w:pos="4536"/>
          <w:tab w:val="clear" w:pos="9072"/>
          <w:tab w:val="left" w:pos="284"/>
        </w:tabs>
        <w:jc w:val="left"/>
        <w:rPr>
          <w:szCs w:val="22"/>
          <w:lang w:val="sr-Latn-CS"/>
        </w:rPr>
      </w:pPr>
      <w:r w:rsidRPr="009C5D73">
        <w:rPr>
          <w:szCs w:val="22"/>
          <w:lang w:val="nb-NO"/>
        </w:rPr>
        <w:t>INN</w:t>
      </w:r>
      <w:r w:rsidR="00D11211" w:rsidRPr="009C5D73">
        <w:rPr>
          <w:szCs w:val="22"/>
          <w:lang w:val="sr-Latn-CS"/>
        </w:rPr>
        <w:t xml:space="preserve">: </w:t>
      </w:r>
      <w:r w:rsidR="00D11211" w:rsidRPr="009C5D73">
        <w:rPr>
          <w:bCs/>
          <w:szCs w:val="22"/>
          <w:lang w:val="sr-Latn-CS"/>
        </w:rPr>
        <w:t>pramipeksol</w:t>
      </w:r>
    </w:p>
    <w:p w14:paraId="031BD24C" w14:textId="77777777" w:rsidR="004B21C0" w:rsidRPr="006B5701" w:rsidRDefault="004B21C0" w:rsidP="00923865">
      <w:pPr>
        <w:rPr>
          <w:bCs/>
          <w:i/>
          <w:iCs/>
          <w:szCs w:val="22"/>
          <w:lang w:val="sr-Latn-CS"/>
        </w:rPr>
      </w:pPr>
    </w:p>
    <w:p w14:paraId="5D5F67FA" w14:textId="77777777" w:rsidR="00CE09F3" w:rsidRPr="006B5701" w:rsidRDefault="00CE09F3" w:rsidP="00923865">
      <w:pPr>
        <w:pStyle w:val="NASLOV123"/>
        <w:rPr>
          <w:lang w:val="sr-Latn-CS"/>
        </w:rPr>
      </w:pPr>
      <w:r w:rsidRPr="006B5701">
        <w:rPr>
          <w:lang w:val="sr-Latn-CS"/>
        </w:rPr>
        <w:t xml:space="preserve">2. </w:t>
      </w:r>
      <w:r w:rsidRPr="006B5701">
        <w:rPr>
          <w:lang w:val="nb-NO"/>
        </w:rPr>
        <w:t>KVALITATIVNI</w:t>
      </w:r>
      <w:r w:rsidRPr="006B5701">
        <w:rPr>
          <w:lang w:val="sr-Latn-CS"/>
        </w:rPr>
        <w:t xml:space="preserve"> </w:t>
      </w:r>
      <w:r w:rsidRPr="006B5701">
        <w:rPr>
          <w:lang w:val="nb-NO"/>
        </w:rPr>
        <w:t>I</w:t>
      </w:r>
      <w:r w:rsidRPr="006B5701">
        <w:rPr>
          <w:lang w:val="sr-Latn-CS"/>
        </w:rPr>
        <w:t xml:space="preserve"> </w:t>
      </w:r>
      <w:r w:rsidRPr="006B5701">
        <w:rPr>
          <w:lang w:val="nb-NO"/>
        </w:rPr>
        <w:t>KVANTITATIVNI</w:t>
      </w:r>
      <w:r w:rsidRPr="006B5701">
        <w:rPr>
          <w:lang w:val="sr-Latn-CS"/>
        </w:rPr>
        <w:t xml:space="preserve"> </w:t>
      </w:r>
      <w:r w:rsidRPr="006B5701">
        <w:rPr>
          <w:lang w:val="nb-NO"/>
        </w:rPr>
        <w:t>SASTAV</w:t>
      </w:r>
    </w:p>
    <w:p w14:paraId="3024CEC5" w14:textId="4F07B5B2" w:rsidR="00902038" w:rsidRPr="006B5701" w:rsidRDefault="008D4CC9" w:rsidP="004B21C0">
      <w:pPr>
        <w:jc w:val="left"/>
        <w:rPr>
          <w:bCs/>
          <w:szCs w:val="22"/>
          <w:lang w:val="sr-Latn-CS"/>
        </w:rPr>
      </w:pPr>
      <w:r>
        <w:rPr>
          <w:bCs/>
          <w:szCs w:val="22"/>
          <w:lang w:val="sr-Latn-CS"/>
        </w:rPr>
        <w:t>Mirapexin</w:t>
      </w:r>
      <w:r w:rsidR="00902038" w:rsidRPr="006B5701">
        <w:rPr>
          <w:bCs/>
          <w:szCs w:val="22"/>
          <w:lang w:val="sr-Latn-CS"/>
        </w:rPr>
        <w:t>, 0,</w:t>
      </w:r>
      <w:r w:rsidR="00E31E04">
        <w:rPr>
          <w:bCs/>
          <w:szCs w:val="22"/>
          <w:lang w:val="sr-Latn-CS"/>
        </w:rPr>
        <w:t>18</w:t>
      </w:r>
      <w:r w:rsidR="00E31E04" w:rsidRPr="006B5701">
        <w:rPr>
          <w:bCs/>
          <w:szCs w:val="22"/>
          <w:lang w:val="sr-Latn-CS"/>
        </w:rPr>
        <w:t xml:space="preserve"> </w:t>
      </w:r>
      <w:r w:rsidR="00902038" w:rsidRPr="006B5701">
        <w:rPr>
          <w:bCs/>
          <w:szCs w:val="22"/>
          <w:lang w:val="sr-Latn-CS"/>
        </w:rPr>
        <w:t>mg, tablete</w:t>
      </w:r>
    </w:p>
    <w:p w14:paraId="0F1D2A18" w14:textId="75D25417" w:rsidR="004B21C0" w:rsidRPr="006B5701" w:rsidRDefault="00D11211" w:rsidP="004B21C0">
      <w:pPr>
        <w:jc w:val="left"/>
        <w:rPr>
          <w:szCs w:val="22"/>
          <w:lang w:val="sr-Latn-CS"/>
        </w:rPr>
      </w:pPr>
      <w:r w:rsidRPr="006B5701">
        <w:rPr>
          <w:bCs/>
          <w:szCs w:val="22"/>
          <w:lang w:val="sr-Latn-CS"/>
        </w:rPr>
        <w:t>Jedna</w:t>
      </w:r>
      <w:r w:rsidR="00901FFA" w:rsidRPr="006B5701">
        <w:rPr>
          <w:b/>
          <w:bCs/>
          <w:szCs w:val="22"/>
          <w:lang w:val="sr-Latn-CS"/>
        </w:rPr>
        <w:t xml:space="preserve"> </w:t>
      </w:r>
      <w:r w:rsidR="008D4CC9">
        <w:rPr>
          <w:bCs/>
          <w:szCs w:val="22"/>
          <w:lang w:val="sr-Latn-CS"/>
        </w:rPr>
        <w:t>Mirapexin</w:t>
      </w:r>
      <w:r w:rsidR="00C04024" w:rsidRPr="006B5701">
        <w:rPr>
          <w:szCs w:val="22"/>
          <w:lang w:val="sr-Latn-CS"/>
        </w:rPr>
        <w:t xml:space="preserve">, </w:t>
      </w:r>
      <w:r w:rsidR="00C04024" w:rsidRPr="006B5701">
        <w:rPr>
          <w:bCs/>
          <w:szCs w:val="22"/>
          <w:lang w:val="sr-Latn-CS"/>
        </w:rPr>
        <w:t>0,</w:t>
      </w:r>
      <w:r w:rsidR="00E31E04">
        <w:rPr>
          <w:bCs/>
          <w:szCs w:val="22"/>
          <w:lang w:val="sr-Latn-CS"/>
        </w:rPr>
        <w:t>18</w:t>
      </w:r>
      <w:r w:rsidR="00E31E04" w:rsidRPr="006B5701">
        <w:rPr>
          <w:bCs/>
          <w:szCs w:val="22"/>
          <w:lang w:val="sr-Latn-CS"/>
        </w:rPr>
        <w:t xml:space="preserve"> </w:t>
      </w:r>
      <w:r w:rsidR="00C04024" w:rsidRPr="006B5701">
        <w:rPr>
          <w:bCs/>
          <w:szCs w:val="22"/>
          <w:lang w:val="sr-Latn-CS"/>
        </w:rPr>
        <w:t>mg,</w:t>
      </w:r>
      <w:r w:rsidR="00C04024" w:rsidRPr="006B5701" w:rsidDel="00901FFA">
        <w:rPr>
          <w:szCs w:val="22"/>
          <w:lang w:val="sr-Latn-CS"/>
        </w:rPr>
        <w:t xml:space="preserve"> </w:t>
      </w:r>
      <w:r w:rsidR="008838F1" w:rsidRPr="006B5701">
        <w:rPr>
          <w:szCs w:val="22"/>
          <w:lang w:val="sr-Latn-CS"/>
        </w:rPr>
        <w:t>tableta sadrži 0,</w:t>
      </w:r>
      <w:r w:rsidR="004B21C0" w:rsidRPr="006B5701">
        <w:rPr>
          <w:szCs w:val="22"/>
          <w:lang w:val="sr-Latn-CS"/>
        </w:rPr>
        <w:t>25 mg pramipeksol-dihidrohlo</w:t>
      </w:r>
      <w:r w:rsidR="008838F1" w:rsidRPr="006B5701">
        <w:rPr>
          <w:szCs w:val="22"/>
          <w:lang w:val="sr-Latn-CS"/>
        </w:rPr>
        <w:t>rid, monohidrata</w:t>
      </w:r>
      <w:r w:rsidR="00C04024" w:rsidRPr="006B5701">
        <w:rPr>
          <w:szCs w:val="22"/>
          <w:lang w:val="sr-Latn-CS"/>
        </w:rPr>
        <w:t>,</w:t>
      </w:r>
      <w:r w:rsidR="008838F1" w:rsidRPr="006B5701">
        <w:rPr>
          <w:szCs w:val="22"/>
          <w:lang w:val="sr-Latn-CS"/>
        </w:rPr>
        <w:t xml:space="preserve"> što odgovara 0,</w:t>
      </w:r>
      <w:r w:rsidR="004B21C0" w:rsidRPr="006B5701">
        <w:rPr>
          <w:szCs w:val="22"/>
          <w:lang w:val="sr-Latn-CS"/>
        </w:rPr>
        <w:t>18 mg pramipeksola.</w:t>
      </w:r>
    </w:p>
    <w:p w14:paraId="6CE49BFB" w14:textId="77777777" w:rsidR="004B21C0" w:rsidRPr="006B5701" w:rsidRDefault="004B21C0" w:rsidP="004B21C0">
      <w:pPr>
        <w:jc w:val="left"/>
        <w:rPr>
          <w:b/>
          <w:bCs/>
          <w:szCs w:val="22"/>
          <w:lang w:val="sr-Latn-CS"/>
        </w:rPr>
      </w:pPr>
    </w:p>
    <w:p w14:paraId="1940CE0B" w14:textId="20F0DBD0" w:rsidR="00902038" w:rsidRPr="006B5701" w:rsidRDefault="008D4CC9" w:rsidP="00902038">
      <w:pPr>
        <w:jc w:val="left"/>
        <w:rPr>
          <w:bCs/>
          <w:szCs w:val="22"/>
          <w:lang w:val="sr-Latn-CS"/>
        </w:rPr>
      </w:pPr>
      <w:r>
        <w:rPr>
          <w:bCs/>
          <w:szCs w:val="22"/>
          <w:lang w:val="sr-Latn-CS"/>
        </w:rPr>
        <w:t>Mirapexin</w:t>
      </w:r>
      <w:r w:rsidR="00902038" w:rsidRPr="006B5701">
        <w:rPr>
          <w:bCs/>
          <w:szCs w:val="22"/>
          <w:lang w:val="sr-Latn-CS"/>
        </w:rPr>
        <w:t xml:space="preserve">, </w:t>
      </w:r>
      <w:r w:rsidR="00E31E04">
        <w:rPr>
          <w:bCs/>
          <w:szCs w:val="22"/>
          <w:lang w:val="sr-Latn-CS"/>
        </w:rPr>
        <w:t>0,7</w:t>
      </w:r>
      <w:r w:rsidR="00E31E04" w:rsidRPr="006B5701">
        <w:rPr>
          <w:bCs/>
          <w:szCs w:val="22"/>
          <w:lang w:val="sr-Latn-CS"/>
        </w:rPr>
        <w:t xml:space="preserve"> </w:t>
      </w:r>
      <w:r w:rsidR="00902038" w:rsidRPr="006B5701">
        <w:rPr>
          <w:bCs/>
          <w:szCs w:val="22"/>
          <w:lang w:val="sr-Latn-CS"/>
        </w:rPr>
        <w:t>mg, tablete</w:t>
      </w:r>
    </w:p>
    <w:p w14:paraId="662D3829" w14:textId="532D6BF0" w:rsidR="004B21C0" w:rsidRPr="006B5701" w:rsidRDefault="00901FFA" w:rsidP="004B21C0">
      <w:pPr>
        <w:jc w:val="left"/>
        <w:rPr>
          <w:szCs w:val="22"/>
          <w:lang w:val="sr-Latn-CS"/>
        </w:rPr>
      </w:pPr>
      <w:r w:rsidRPr="006B5701">
        <w:rPr>
          <w:szCs w:val="22"/>
          <w:lang w:val="sr-Latn-CS"/>
        </w:rPr>
        <w:t>Jedna</w:t>
      </w:r>
      <w:r w:rsidR="008838F1" w:rsidRPr="006B5701">
        <w:rPr>
          <w:szCs w:val="22"/>
          <w:lang w:val="sr-Latn-CS"/>
        </w:rPr>
        <w:t xml:space="preserve"> </w:t>
      </w:r>
      <w:r w:rsidR="008D4CC9">
        <w:rPr>
          <w:bCs/>
          <w:szCs w:val="22"/>
          <w:lang w:val="sr-Latn-CS"/>
        </w:rPr>
        <w:t>Mirapexin</w:t>
      </w:r>
      <w:r w:rsidR="00C04024" w:rsidRPr="006B5701">
        <w:rPr>
          <w:bCs/>
          <w:szCs w:val="22"/>
          <w:lang w:val="sr-Latn-CS"/>
        </w:rPr>
        <w:t xml:space="preserve">, </w:t>
      </w:r>
      <w:r w:rsidR="00E31E04">
        <w:rPr>
          <w:bCs/>
          <w:szCs w:val="22"/>
          <w:lang w:val="sr-Latn-CS"/>
        </w:rPr>
        <w:t>0,7</w:t>
      </w:r>
      <w:r w:rsidR="00E31E04" w:rsidRPr="006B5701">
        <w:rPr>
          <w:bCs/>
          <w:szCs w:val="22"/>
          <w:lang w:val="sr-Latn-CS"/>
        </w:rPr>
        <w:t xml:space="preserve"> </w:t>
      </w:r>
      <w:r w:rsidR="00C04024" w:rsidRPr="006B5701">
        <w:rPr>
          <w:bCs/>
          <w:szCs w:val="22"/>
          <w:lang w:val="sr-Latn-CS"/>
        </w:rPr>
        <w:t xml:space="preserve">mg, </w:t>
      </w:r>
      <w:r w:rsidR="008838F1" w:rsidRPr="006B5701">
        <w:rPr>
          <w:szCs w:val="22"/>
          <w:lang w:val="sr-Latn-CS"/>
        </w:rPr>
        <w:t>tableta sadrži 1,</w:t>
      </w:r>
      <w:r w:rsidR="004B21C0" w:rsidRPr="006B5701">
        <w:rPr>
          <w:szCs w:val="22"/>
          <w:lang w:val="sr-Latn-CS"/>
        </w:rPr>
        <w:t>0 mg pramipeksol-dihidrohlo</w:t>
      </w:r>
      <w:r w:rsidR="008838F1" w:rsidRPr="006B5701">
        <w:rPr>
          <w:szCs w:val="22"/>
          <w:lang w:val="sr-Latn-CS"/>
        </w:rPr>
        <w:t>rid, monohidrata</w:t>
      </w:r>
      <w:r w:rsidR="00C04024" w:rsidRPr="006B5701">
        <w:rPr>
          <w:szCs w:val="22"/>
          <w:lang w:val="sr-Latn-CS"/>
        </w:rPr>
        <w:t>,</w:t>
      </w:r>
      <w:r w:rsidR="008838F1" w:rsidRPr="006B5701">
        <w:rPr>
          <w:szCs w:val="22"/>
          <w:lang w:val="sr-Latn-CS"/>
        </w:rPr>
        <w:t xml:space="preserve"> što odgovara 0,</w:t>
      </w:r>
      <w:r w:rsidR="004B21C0" w:rsidRPr="006B5701">
        <w:rPr>
          <w:szCs w:val="22"/>
          <w:lang w:val="sr-Latn-CS"/>
        </w:rPr>
        <w:t xml:space="preserve">7 mg pramipeksola. </w:t>
      </w:r>
      <w:r w:rsidR="008D4CC9">
        <w:rPr>
          <w:szCs w:val="22"/>
          <w:lang w:val="sr-Latn-CS"/>
        </w:rPr>
        <w:t xml:space="preserve"> </w:t>
      </w:r>
    </w:p>
    <w:p w14:paraId="6FD077A0" w14:textId="77777777" w:rsidR="004B21C0" w:rsidRPr="006B5701" w:rsidRDefault="004B21C0" w:rsidP="004B21C0">
      <w:pPr>
        <w:jc w:val="left"/>
        <w:rPr>
          <w:szCs w:val="22"/>
          <w:lang w:val="sr-Latn-CS"/>
        </w:rPr>
      </w:pPr>
    </w:p>
    <w:p w14:paraId="2B8A2332" w14:textId="77777777" w:rsidR="004B21C0" w:rsidRPr="006B5701" w:rsidRDefault="004B21C0" w:rsidP="004B21C0">
      <w:pPr>
        <w:jc w:val="left"/>
        <w:rPr>
          <w:i/>
          <w:szCs w:val="22"/>
          <w:lang w:val="sr-Latn-CS"/>
        </w:rPr>
      </w:pPr>
      <w:r w:rsidRPr="006B5701">
        <w:rPr>
          <w:i/>
          <w:szCs w:val="22"/>
          <w:lang w:val="sr-Latn-CS"/>
        </w:rPr>
        <w:t>Napomena:</w:t>
      </w:r>
    </w:p>
    <w:p w14:paraId="6D75088F" w14:textId="77777777" w:rsidR="004B21C0" w:rsidRPr="006B5701" w:rsidRDefault="004B21C0" w:rsidP="004B21C0">
      <w:pPr>
        <w:jc w:val="left"/>
        <w:rPr>
          <w:szCs w:val="22"/>
          <w:lang w:val="sr-Latn-CS"/>
        </w:rPr>
      </w:pPr>
      <w:r w:rsidRPr="006B5701">
        <w:rPr>
          <w:szCs w:val="22"/>
          <w:lang w:val="sr-Latn-CS"/>
        </w:rPr>
        <w:t xml:space="preserve">Doze pramipeksola koje su objavljene u literaturi odnose se na supstancu u obliku soli. </w:t>
      </w:r>
    </w:p>
    <w:p w14:paraId="3DD63628" w14:textId="77777777" w:rsidR="004B21C0" w:rsidRPr="006B5701" w:rsidRDefault="00D11211" w:rsidP="004B21C0">
      <w:pPr>
        <w:jc w:val="left"/>
        <w:rPr>
          <w:szCs w:val="22"/>
          <w:lang w:val="sr-Latn-CS"/>
        </w:rPr>
      </w:pPr>
      <w:r w:rsidRPr="006B5701">
        <w:rPr>
          <w:szCs w:val="22"/>
          <w:lang w:val="sr-Latn-CS"/>
        </w:rPr>
        <w:t xml:space="preserve">Prema tome, doze će biti izražene i u obliku pramipeksol </w:t>
      </w:r>
      <w:r w:rsidR="0074314C" w:rsidRPr="006B5701">
        <w:rPr>
          <w:szCs w:val="22"/>
          <w:lang w:val="sr-Latn-CS"/>
        </w:rPr>
        <w:t>baze</w:t>
      </w:r>
      <w:r w:rsidRPr="006B5701">
        <w:rPr>
          <w:szCs w:val="22"/>
          <w:lang w:val="sr-Latn-CS"/>
        </w:rPr>
        <w:t xml:space="preserve"> i u obliku pramipeksol </w:t>
      </w:r>
      <w:r w:rsidR="0074314C" w:rsidRPr="006B5701">
        <w:rPr>
          <w:szCs w:val="22"/>
          <w:lang w:val="sr-Latn-CS"/>
        </w:rPr>
        <w:t>soli</w:t>
      </w:r>
      <w:r w:rsidRPr="006B5701">
        <w:rPr>
          <w:szCs w:val="22"/>
          <w:lang w:val="sr-Latn-CS"/>
        </w:rPr>
        <w:t xml:space="preserve"> (u zagradi).</w:t>
      </w:r>
    </w:p>
    <w:p w14:paraId="5DE87F0F" w14:textId="77777777" w:rsidR="004B21C0" w:rsidRPr="006B5701" w:rsidRDefault="004B21C0" w:rsidP="004B21C0">
      <w:pPr>
        <w:jc w:val="left"/>
        <w:rPr>
          <w:szCs w:val="22"/>
          <w:lang w:val="sr-Latn-CS"/>
        </w:rPr>
      </w:pPr>
    </w:p>
    <w:p w14:paraId="3B5F5D2F" w14:textId="4AD9FE35" w:rsidR="00901FFA" w:rsidRPr="006B5701" w:rsidRDefault="00901FFA" w:rsidP="00901FFA">
      <w:pPr>
        <w:jc w:val="left"/>
        <w:rPr>
          <w:szCs w:val="22"/>
          <w:lang w:val="sr-Latn-CS"/>
        </w:rPr>
      </w:pPr>
      <w:r w:rsidRPr="006B5701">
        <w:rPr>
          <w:szCs w:val="22"/>
          <w:lang w:val="sr-Latn-CS"/>
        </w:rPr>
        <w:t>Za listu svih pomoćnih supstanci, vid</w:t>
      </w:r>
      <w:r w:rsidR="00D035B3">
        <w:rPr>
          <w:szCs w:val="22"/>
          <w:lang w:val="sr-Latn-CS"/>
        </w:rPr>
        <w:t>j</w:t>
      </w:r>
      <w:r w:rsidRPr="006B5701">
        <w:rPr>
          <w:szCs w:val="22"/>
          <w:lang w:val="sr-Latn-CS"/>
        </w:rPr>
        <w:t>eti od</w:t>
      </w:r>
      <w:r w:rsidR="00D035B3">
        <w:rPr>
          <w:szCs w:val="22"/>
          <w:lang w:val="sr-Latn-CS"/>
        </w:rPr>
        <w:t>j</w:t>
      </w:r>
      <w:r w:rsidRPr="006B5701">
        <w:rPr>
          <w:szCs w:val="22"/>
          <w:lang w:val="sr-Latn-CS"/>
        </w:rPr>
        <w:t>eljak 6.1.</w:t>
      </w:r>
    </w:p>
    <w:p w14:paraId="54869BC8" w14:textId="77777777" w:rsidR="00CE09F3" w:rsidRPr="006B5701" w:rsidRDefault="00CE09F3" w:rsidP="00923865">
      <w:pPr>
        <w:rPr>
          <w:szCs w:val="22"/>
          <w:lang w:val="sr-Latn-CS"/>
        </w:rPr>
      </w:pPr>
    </w:p>
    <w:p w14:paraId="4B131AFA" w14:textId="77777777" w:rsidR="00CE09F3" w:rsidRPr="006B5701" w:rsidRDefault="00CE09F3" w:rsidP="00923865">
      <w:pPr>
        <w:pStyle w:val="NASLOV123"/>
        <w:rPr>
          <w:lang w:val="sr-Latn-CS"/>
        </w:rPr>
      </w:pPr>
      <w:r w:rsidRPr="006B5701">
        <w:rPr>
          <w:lang w:val="sr-Latn-CS"/>
        </w:rPr>
        <w:t xml:space="preserve">3. </w:t>
      </w:r>
      <w:r w:rsidRPr="0004433A">
        <w:rPr>
          <w:lang w:val="es-ES_tradnl"/>
        </w:rPr>
        <w:t>FARMACEUTSKI</w:t>
      </w:r>
      <w:r w:rsidRPr="006B5701">
        <w:rPr>
          <w:lang w:val="sr-Latn-CS"/>
        </w:rPr>
        <w:t xml:space="preserve"> </w:t>
      </w:r>
      <w:r w:rsidRPr="0004433A">
        <w:rPr>
          <w:lang w:val="es-ES_tradnl"/>
        </w:rPr>
        <w:t>OBLIK</w:t>
      </w:r>
    </w:p>
    <w:p w14:paraId="36FEC210" w14:textId="77777777" w:rsidR="004B21C0" w:rsidRPr="006B5701" w:rsidRDefault="004B21C0" w:rsidP="004B21C0">
      <w:pPr>
        <w:jc w:val="left"/>
        <w:rPr>
          <w:szCs w:val="22"/>
          <w:lang w:val="sr-Latn-CS"/>
        </w:rPr>
      </w:pPr>
      <w:r w:rsidRPr="006B5701">
        <w:rPr>
          <w:szCs w:val="22"/>
          <w:lang w:val="sr-Latn-CS"/>
        </w:rPr>
        <w:t xml:space="preserve">Tableta </w:t>
      </w:r>
    </w:p>
    <w:p w14:paraId="6667A019" w14:textId="77777777" w:rsidR="004B21C0" w:rsidRPr="006B5701" w:rsidRDefault="004B21C0" w:rsidP="004B21C0">
      <w:pPr>
        <w:jc w:val="left"/>
        <w:rPr>
          <w:szCs w:val="22"/>
          <w:lang w:val="sr-Latn-CS"/>
        </w:rPr>
      </w:pPr>
    </w:p>
    <w:p w14:paraId="3075D971" w14:textId="1092CAEE" w:rsidR="00C04024" w:rsidRPr="00EB23AF" w:rsidRDefault="008D4CC9" w:rsidP="004B21C0">
      <w:pPr>
        <w:tabs>
          <w:tab w:val="clear" w:pos="284"/>
        </w:tabs>
        <w:autoSpaceDE w:val="0"/>
        <w:autoSpaceDN w:val="0"/>
        <w:adjustRightInd w:val="0"/>
        <w:jc w:val="left"/>
        <w:rPr>
          <w:szCs w:val="22"/>
          <w:u w:val="single"/>
          <w:lang w:val="sr-Latn-CS"/>
        </w:rPr>
      </w:pPr>
      <w:r>
        <w:rPr>
          <w:bCs/>
          <w:szCs w:val="22"/>
          <w:lang w:val="sr-Latn-CS"/>
        </w:rPr>
        <w:t>Mirapexin</w:t>
      </w:r>
      <w:r w:rsidR="008838F1" w:rsidRPr="00EB23AF">
        <w:rPr>
          <w:bCs/>
          <w:szCs w:val="22"/>
          <w:u w:val="single"/>
          <w:lang w:val="sr-Latn-CS"/>
        </w:rPr>
        <w:t>,</w:t>
      </w:r>
      <w:r w:rsidR="008838F1" w:rsidRPr="008A7794">
        <w:rPr>
          <w:bCs/>
          <w:szCs w:val="22"/>
          <w:lang w:val="sr-Latn-CS"/>
        </w:rPr>
        <w:t>0,</w:t>
      </w:r>
      <w:r w:rsidR="00154875" w:rsidRPr="008A7794">
        <w:rPr>
          <w:bCs/>
          <w:szCs w:val="22"/>
          <w:lang w:val="sr-Latn-CS"/>
        </w:rPr>
        <w:t xml:space="preserve">18 </w:t>
      </w:r>
      <w:r w:rsidR="004B21C0" w:rsidRPr="008A7794">
        <w:rPr>
          <w:bCs/>
          <w:szCs w:val="22"/>
          <w:lang w:val="sr-Latn-CS"/>
        </w:rPr>
        <w:t>mg, tablet</w:t>
      </w:r>
      <w:r w:rsidR="00C04024" w:rsidRPr="008A7794">
        <w:rPr>
          <w:bCs/>
          <w:szCs w:val="22"/>
          <w:lang w:val="sr-Latn-CS"/>
        </w:rPr>
        <w:t>e</w:t>
      </w:r>
    </w:p>
    <w:p w14:paraId="34238F48" w14:textId="6A7FBFC9" w:rsidR="004B21C0" w:rsidRPr="0008310E" w:rsidRDefault="004B21C0" w:rsidP="004B21C0">
      <w:pPr>
        <w:tabs>
          <w:tab w:val="clear" w:pos="284"/>
        </w:tabs>
        <w:autoSpaceDE w:val="0"/>
        <w:autoSpaceDN w:val="0"/>
        <w:adjustRightInd w:val="0"/>
        <w:jc w:val="left"/>
        <w:rPr>
          <w:szCs w:val="22"/>
          <w:lang w:val="sr-Latn-CS" w:bidi="ne-NP"/>
        </w:rPr>
      </w:pPr>
      <w:r w:rsidRPr="0008310E">
        <w:rPr>
          <w:szCs w:val="22"/>
          <w:lang w:val="sr-Latn-CS" w:bidi="ne-NP"/>
        </w:rPr>
        <w:t>Tablete su b</w:t>
      </w:r>
      <w:r w:rsidR="00D035B3">
        <w:rPr>
          <w:szCs w:val="22"/>
          <w:lang w:val="sr-Latn-CS" w:bidi="ne-NP"/>
        </w:rPr>
        <w:t>ij</w:t>
      </w:r>
      <w:r w:rsidRPr="0008310E">
        <w:rPr>
          <w:szCs w:val="22"/>
          <w:lang w:val="sr-Latn-CS" w:bidi="ne-NP"/>
        </w:rPr>
        <w:t xml:space="preserve">ele, ovalnog oblika, ravnih površina i fasetiranih ivica, sa jedne strane tablete je utisnuta podeona </w:t>
      </w:r>
      <w:r w:rsidR="00AD1060" w:rsidRPr="0008310E">
        <w:rPr>
          <w:szCs w:val="22"/>
          <w:lang w:val="sr-Latn-CS" w:bidi="ne-NP"/>
        </w:rPr>
        <w:t xml:space="preserve">linija </w:t>
      </w:r>
      <w:r w:rsidRPr="0008310E">
        <w:rPr>
          <w:szCs w:val="22"/>
          <w:lang w:val="sr-Latn-CS" w:bidi="ne-NP"/>
        </w:rPr>
        <w:t>između dv</w:t>
      </w:r>
      <w:r w:rsidR="00D035B3">
        <w:rPr>
          <w:szCs w:val="22"/>
          <w:lang w:val="sr-Latn-CS" w:bidi="ne-NP"/>
        </w:rPr>
        <w:t>ij</w:t>
      </w:r>
      <w:r w:rsidRPr="0008310E">
        <w:rPr>
          <w:szCs w:val="22"/>
          <w:lang w:val="sr-Latn-CS" w:bidi="ne-NP"/>
        </w:rPr>
        <w:t>e oznake „P7</w:t>
      </w:r>
      <w:r w:rsidR="00084761">
        <w:rPr>
          <w:szCs w:val="22"/>
          <w:lang w:val="sr-Latn-CS" w:bidi="ne-NP"/>
        </w:rPr>
        <w:t>”</w:t>
      </w:r>
      <w:r w:rsidRPr="0008310E">
        <w:rPr>
          <w:szCs w:val="22"/>
          <w:lang w:val="sr-Latn-CS" w:bidi="ne-NP"/>
        </w:rPr>
        <w:t xml:space="preserve">, a sa druge strane je utisnuta podeona </w:t>
      </w:r>
      <w:r w:rsidR="00AD1060" w:rsidRPr="0008310E">
        <w:rPr>
          <w:szCs w:val="22"/>
          <w:lang w:val="sr-Latn-CS" w:bidi="ne-NP"/>
        </w:rPr>
        <w:t>linija</w:t>
      </w:r>
      <w:r w:rsidRPr="0008310E">
        <w:rPr>
          <w:szCs w:val="22"/>
          <w:lang w:val="sr-Latn-CS" w:bidi="ne-NP"/>
        </w:rPr>
        <w:t xml:space="preserve"> između dva simbola proizvođača Boehringer Ingelheim.</w:t>
      </w:r>
    </w:p>
    <w:p w14:paraId="533C7EB8" w14:textId="4FD3D92A" w:rsidR="004B21C0" w:rsidRPr="006B5701" w:rsidRDefault="004B21C0" w:rsidP="004B21C0">
      <w:pPr>
        <w:tabs>
          <w:tab w:val="clear" w:pos="284"/>
        </w:tabs>
        <w:autoSpaceDE w:val="0"/>
        <w:autoSpaceDN w:val="0"/>
        <w:adjustRightInd w:val="0"/>
        <w:jc w:val="left"/>
        <w:rPr>
          <w:b/>
          <w:bCs/>
          <w:szCs w:val="22"/>
          <w:lang w:val="sr-Latn-CS"/>
        </w:rPr>
      </w:pPr>
      <w:r w:rsidRPr="0008310E">
        <w:rPr>
          <w:szCs w:val="22"/>
          <w:lang w:val="sr-Latn-CS" w:bidi="ne-NP"/>
        </w:rPr>
        <w:t>Tablete se mogu pod</w:t>
      </w:r>
      <w:r w:rsidR="00D035B3">
        <w:rPr>
          <w:szCs w:val="22"/>
          <w:lang w:val="sr-Latn-CS" w:bidi="ne-NP"/>
        </w:rPr>
        <w:t>ij</w:t>
      </w:r>
      <w:r w:rsidRPr="0008310E">
        <w:rPr>
          <w:szCs w:val="22"/>
          <w:lang w:val="sr-Latn-CS" w:bidi="ne-NP"/>
        </w:rPr>
        <w:t xml:space="preserve">eliti na </w:t>
      </w:r>
      <w:r w:rsidR="00D90C1D" w:rsidRPr="0008310E">
        <w:rPr>
          <w:szCs w:val="22"/>
          <w:lang w:val="pl-PL"/>
        </w:rPr>
        <w:t>jednake</w:t>
      </w:r>
      <w:r w:rsidR="00C04024" w:rsidRPr="0008310E">
        <w:rPr>
          <w:szCs w:val="22"/>
          <w:lang w:val="pl-PL"/>
        </w:rPr>
        <w:t xml:space="preserve"> </w:t>
      </w:r>
      <w:r w:rsidR="0074314C" w:rsidRPr="0008310E">
        <w:rPr>
          <w:szCs w:val="22"/>
          <w:lang w:val="pl-PL"/>
        </w:rPr>
        <w:t>doze.</w:t>
      </w:r>
    </w:p>
    <w:p w14:paraId="52D63036" w14:textId="77777777" w:rsidR="004B21C0" w:rsidRPr="006B5701" w:rsidRDefault="004B21C0" w:rsidP="004B21C0">
      <w:pPr>
        <w:jc w:val="left"/>
        <w:rPr>
          <w:szCs w:val="22"/>
          <w:lang w:val="sr-Latn-CS"/>
        </w:rPr>
      </w:pPr>
    </w:p>
    <w:p w14:paraId="7E045983" w14:textId="41ED6C1E" w:rsidR="00C04024" w:rsidRPr="006B5701" w:rsidRDefault="008D4CC9" w:rsidP="004B21C0">
      <w:pPr>
        <w:tabs>
          <w:tab w:val="clear" w:pos="284"/>
        </w:tabs>
        <w:autoSpaceDE w:val="0"/>
        <w:autoSpaceDN w:val="0"/>
        <w:adjustRightInd w:val="0"/>
        <w:jc w:val="left"/>
        <w:rPr>
          <w:szCs w:val="22"/>
          <w:lang w:val="sr-Latn-CS"/>
        </w:rPr>
      </w:pPr>
      <w:r>
        <w:rPr>
          <w:bCs/>
          <w:szCs w:val="22"/>
          <w:lang w:val="sr-Latn-CS"/>
        </w:rPr>
        <w:t>Mirapexin</w:t>
      </w:r>
      <w:r w:rsidR="004B21C0" w:rsidRPr="006B5701">
        <w:rPr>
          <w:bCs/>
          <w:szCs w:val="22"/>
          <w:lang w:val="sr-Latn-CS"/>
        </w:rPr>
        <w:t xml:space="preserve">, </w:t>
      </w:r>
      <w:r w:rsidR="00154875">
        <w:rPr>
          <w:bCs/>
          <w:szCs w:val="22"/>
          <w:lang w:val="sr-Latn-CS"/>
        </w:rPr>
        <w:t>0,7</w:t>
      </w:r>
      <w:r w:rsidR="00154875" w:rsidRPr="006B5701">
        <w:rPr>
          <w:bCs/>
          <w:szCs w:val="22"/>
          <w:lang w:val="sr-Latn-CS"/>
        </w:rPr>
        <w:t xml:space="preserve"> </w:t>
      </w:r>
      <w:r w:rsidR="004B21C0" w:rsidRPr="006B5701">
        <w:rPr>
          <w:bCs/>
          <w:szCs w:val="22"/>
          <w:lang w:val="sr-Latn-CS"/>
        </w:rPr>
        <w:t>mg, tablet</w:t>
      </w:r>
      <w:r w:rsidR="00C04024" w:rsidRPr="006B5701">
        <w:rPr>
          <w:bCs/>
          <w:szCs w:val="22"/>
          <w:lang w:val="sr-Latn-CS"/>
        </w:rPr>
        <w:t>e</w:t>
      </w:r>
      <w:r w:rsidR="004B21C0" w:rsidRPr="006B5701">
        <w:rPr>
          <w:szCs w:val="22"/>
          <w:lang w:val="sr-Latn-CS"/>
        </w:rPr>
        <w:t xml:space="preserve"> </w:t>
      </w:r>
    </w:p>
    <w:p w14:paraId="07EAE4E3" w14:textId="4C599C88" w:rsidR="004B21C0" w:rsidRPr="0008310E" w:rsidRDefault="004B21C0" w:rsidP="004B21C0">
      <w:pPr>
        <w:tabs>
          <w:tab w:val="clear" w:pos="284"/>
        </w:tabs>
        <w:autoSpaceDE w:val="0"/>
        <w:autoSpaceDN w:val="0"/>
        <w:adjustRightInd w:val="0"/>
        <w:jc w:val="left"/>
        <w:rPr>
          <w:szCs w:val="22"/>
          <w:lang w:val="sr-Latn-CS" w:bidi="ne-NP"/>
        </w:rPr>
      </w:pPr>
      <w:r w:rsidRPr="0008310E">
        <w:rPr>
          <w:szCs w:val="22"/>
          <w:lang w:val="sr-Latn-CS" w:bidi="ne-NP"/>
        </w:rPr>
        <w:t>Tablete su b</w:t>
      </w:r>
      <w:r w:rsidR="00D035B3">
        <w:rPr>
          <w:szCs w:val="22"/>
          <w:lang w:val="sr-Latn-CS" w:bidi="ne-NP"/>
        </w:rPr>
        <w:t>ij</w:t>
      </w:r>
      <w:r w:rsidRPr="0008310E">
        <w:rPr>
          <w:szCs w:val="22"/>
          <w:lang w:val="sr-Latn-CS" w:bidi="ne-NP"/>
        </w:rPr>
        <w:t xml:space="preserve">ele, okruglog oblika, ravnih površina i fasetiranih ivica, sa jedne strane tablete je utisnuta podeona </w:t>
      </w:r>
      <w:r w:rsidR="00AD1060" w:rsidRPr="0008310E">
        <w:rPr>
          <w:szCs w:val="22"/>
          <w:lang w:val="sr-Latn-CS" w:bidi="ne-NP"/>
        </w:rPr>
        <w:t xml:space="preserve">linija </w:t>
      </w:r>
      <w:r w:rsidRPr="0008310E">
        <w:rPr>
          <w:szCs w:val="22"/>
          <w:lang w:val="sr-Latn-CS" w:bidi="ne-NP"/>
        </w:rPr>
        <w:t>između dv</w:t>
      </w:r>
      <w:r w:rsidR="00D035B3">
        <w:rPr>
          <w:szCs w:val="22"/>
          <w:lang w:val="sr-Latn-CS" w:bidi="ne-NP"/>
        </w:rPr>
        <w:t>ij</w:t>
      </w:r>
      <w:r w:rsidRPr="0008310E">
        <w:rPr>
          <w:szCs w:val="22"/>
          <w:lang w:val="sr-Latn-CS" w:bidi="ne-NP"/>
        </w:rPr>
        <w:t>e oznake „P9</w:t>
      </w:r>
      <w:r w:rsidR="00084761">
        <w:rPr>
          <w:szCs w:val="22"/>
          <w:lang w:val="sr-Latn-CS" w:bidi="ne-NP"/>
        </w:rPr>
        <w:t>”</w:t>
      </w:r>
      <w:r w:rsidRPr="0008310E">
        <w:rPr>
          <w:szCs w:val="22"/>
          <w:lang w:val="sr-Latn-CS" w:bidi="ne-NP"/>
        </w:rPr>
        <w:t xml:space="preserve">, a sa druge strane je utisnuta podeona </w:t>
      </w:r>
      <w:r w:rsidR="00AD1060" w:rsidRPr="0008310E">
        <w:rPr>
          <w:szCs w:val="22"/>
          <w:lang w:val="sr-Latn-CS" w:bidi="ne-NP"/>
        </w:rPr>
        <w:t>linija</w:t>
      </w:r>
      <w:r w:rsidRPr="0008310E">
        <w:rPr>
          <w:szCs w:val="22"/>
          <w:lang w:val="sr-Latn-CS" w:bidi="ne-NP"/>
        </w:rPr>
        <w:t xml:space="preserve"> između dva simbola proizvođača Boehringer Ingelheim.</w:t>
      </w:r>
    </w:p>
    <w:p w14:paraId="595B9A53" w14:textId="2A8D220E" w:rsidR="004B21C0" w:rsidRPr="0008310E" w:rsidRDefault="004B21C0" w:rsidP="004B21C0">
      <w:pPr>
        <w:tabs>
          <w:tab w:val="clear" w:pos="284"/>
        </w:tabs>
        <w:autoSpaceDE w:val="0"/>
        <w:autoSpaceDN w:val="0"/>
        <w:adjustRightInd w:val="0"/>
        <w:jc w:val="left"/>
        <w:rPr>
          <w:szCs w:val="22"/>
          <w:lang w:val="sr-Latn-CS" w:bidi="ne-NP"/>
        </w:rPr>
      </w:pPr>
      <w:r w:rsidRPr="0008310E">
        <w:rPr>
          <w:szCs w:val="22"/>
          <w:lang w:val="sr-Latn-CS" w:bidi="ne-NP"/>
        </w:rPr>
        <w:t>Tablete se mogu pod</w:t>
      </w:r>
      <w:r w:rsidR="00D035B3">
        <w:rPr>
          <w:szCs w:val="22"/>
          <w:lang w:val="sr-Latn-CS" w:bidi="ne-NP"/>
        </w:rPr>
        <w:t>ij</w:t>
      </w:r>
      <w:r w:rsidRPr="0008310E">
        <w:rPr>
          <w:szCs w:val="22"/>
          <w:lang w:val="sr-Latn-CS" w:bidi="ne-NP"/>
        </w:rPr>
        <w:t xml:space="preserve">eliti na </w:t>
      </w:r>
      <w:r w:rsidR="00C04024" w:rsidRPr="0008310E">
        <w:rPr>
          <w:szCs w:val="22"/>
          <w:lang w:val="pl-PL"/>
        </w:rPr>
        <w:t xml:space="preserve">jednake </w:t>
      </w:r>
      <w:r w:rsidR="00986509" w:rsidRPr="0008310E">
        <w:rPr>
          <w:szCs w:val="22"/>
          <w:lang w:val="pl-PL"/>
        </w:rPr>
        <w:t>doze</w:t>
      </w:r>
      <w:r w:rsidR="00C04024" w:rsidRPr="0008310E">
        <w:rPr>
          <w:szCs w:val="22"/>
          <w:lang w:val="sr-Latn-CS" w:bidi="ne-NP"/>
        </w:rPr>
        <w:t>.</w:t>
      </w:r>
    </w:p>
    <w:p w14:paraId="67A4C51A" w14:textId="77777777" w:rsidR="00CE09F3" w:rsidRPr="006527C6" w:rsidRDefault="00CE09F3" w:rsidP="00923865">
      <w:pPr>
        <w:pStyle w:val="NASLOV123"/>
        <w:rPr>
          <w:lang w:val="sr-Latn-CS"/>
        </w:rPr>
      </w:pPr>
      <w:r w:rsidRPr="006527C6">
        <w:rPr>
          <w:lang w:val="sr-Latn-CS"/>
        </w:rPr>
        <w:t xml:space="preserve">4. </w:t>
      </w:r>
      <w:r w:rsidRPr="006B5701">
        <w:rPr>
          <w:lang w:val="pl-PL"/>
        </w:rPr>
        <w:t>KLINI</w:t>
      </w:r>
      <w:r w:rsidRPr="006527C6">
        <w:rPr>
          <w:lang w:val="sr-Latn-CS"/>
        </w:rPr>
        <w:t>Č</w:t>
      </w:r>
      <w:r w:rsidRPr="006B5701">
        <w:rPr>
          <w:lang w:val="pl-PL"/>
        </w:rPr>
        <w:t>KI</w:t>
      </w:r>
      <w:r w:rsidRPr="006527C6">
        <w:rPr>
          <w:lang w:val="sr-Latn-CS"/>
        </w:rPr>
        <w:t xml:space="preserve"> </w:t>
      </w:r>
      <w:r w:rsidRPr="006B5701">
        <w:rPr>
          <w:lang w:val="pl-PL"/>
        </w:rPr>
        <w:t>PODACI</w:t>
      </w:r>
    </w:p>
    <w:p w14:paraId="372A663D" w14:textId="77777777" w:rsidR="00CE09F3" w:rsidRPr="006527C6" w:rsidRDefault="00CE09F3" w:rsidP="00923865">
      <w:pPr>
        <w:rPr>
          <w:b/>
          <w:bCs/>
          <w:szCs w:val="22"/>
          <w:lang w:val="sr-Latn-CS"/>
        </w:rPr>
      </w:pPr>
      <w:r w:rsidRPr="006527C6">
        <w:rPr>
          <w:b/>
          <w:bCs/>
          <w:szCs w:val="22"/>
          <w:lang w:val="sr-Latn-CS"/>
        </w:rPr>
        <w:t xml:space="preserve">4.1. </w:t>
      </w:r>
      <w:r w:rsidRPr="006B5701">
        <w:rPr>
          <w:b/>
          <w:bCs/>
          <w:szCs w:val="22"/>
          <w:lang w:val="pl-PL"/>
        </w:rPr>
        <w:t>Terapijske</w:t>
      </w:r>
      <w:r w:rsidRPr="006527C6">
        <w:rPr>
          <w:b/>
          <w:bCs/>
          <w:szCs w:val="22"/>
          <w:lang w:val="sr-Latn-CS"/>
        </w:rPr>
        <w:t xml:space="preserve"> </w:t>
      </w:r>
      <w:r w:rsidRPr="006B5701">
        <w:rPr>
          <w:b/>
          <w:bCs/>
          <w:szCs w:val="22"/>
          <w:lang w:val="pl-PL"/>
        </w:rPr>
        <w:t>indikacije</w:t>
      </w:r>
    </w:p>
    <w:p w14:paraId="70A10C4C" w14:textId="77777777" w:rsidR="00CE09F3" w:rsidRPr="006527C6" w:rsidRDefault="00CE09F3" w:rsidP="00923865">
      <w:pPr>
        <w:rPr>
          <w:szCs w:val="22"/>
          <w:lang w:val="sr-Latn-CS"/>
        </w:rPr>
      </w:pPr>
    </w:p>
    <w:p w14:paraId="6D61AD27" w14:textId="1CD65B6A" w:rsidR="00A51826" w:rsidRPr="006B5701" w:rsidRDefault="008D4CC9" w:rsidP="004B21C0">
      <w:pPr>
        <w:jc w:val="left"/>
        <w:rPr>
          <w:szCs w:val="22"/>
          <w:lang w:val="sr-Latn-CS"/>
        </w:rPr>
      </w:pPr>
      <w:bookmarkStart w:id="0" w:name="OLE_LINK2"/>
      <w:r>
        <w:rPr>
          <w:bCs/>
          <w:szCs w:val="22"/>
          <w:lang w:val="sr-Latn-CS"/>
        </w:rPr>
        <w:t>Mirapexin</w:t>
      </w:r>
      <w:r w:rsidR="004B21C0" w:rsidRPr="006B5701">
        <w:rPr>
          <w:szCs w:val="22"/>
          <w:lang w:val="sr-Latn-CS"/>
        </w:rPr>
        <w:t xml:space="preserve"> </w:t>
      </w:r>
      <w:bookmarkEnd w:id="0"/>
      <w:r w:rsidR="004B21C0" w:rsidRPr="006B5701">
        <w:rPr>
          <w:szCs w:val="22"/>
          <w:lang w:val="sr-Latn-CS"/>
        </w:rPr>
        <w:t>je indikovan za l</w:t>
      </w:r>
      <w:r w:rsidR="00D035B3">
        <w:rPr>
          <w:szCs w:val="22"/>
          <w:lang w:val="sr-Latn-CS"/>
        </w:rPr>
        <w:t>ij</w:t>
      </w:r>
      <w:r w:rsidR="004B21C0" w:rsidRPr="006B5701">
        <w:rPr>
          <w:szCs w:val="22"/>
          <w:lang w:val="sr-Latn-CS"/>
        </w:rPr>
        <w:t>ečenje znakova i simptoma idiopatske Parkinsonove bolesti kod odraslih</w:t>
      </w:r>
      <w:r w:rsidR="00A51826" w:rsidRPr="006B5701">
        <w:rPr>
          <w:szCs w:val="22"/>
          <w:lang w:val="sr-Latn-CS"/>
        </w:rPr>
        <w:t>.</w:t>
      </w:r>
    </w:p>
    <w:p w14:paraId="573CA096" w14:textId="24D6DAE2" w:rsidR="004B21C0" w:rsidRPr="006B5701" w:rsidRDefault="00A51826" w:rsidP="004B21C0">
      <w:pPr>
        <w:jc w:val="left"/>
        <w:rPr>
          <w:szCs w:val="22"/>
          <w:lang w:val="sr-Latn-CS"/>
        </w:rPr>
      </w:pPr>
      <w:r w:rsidRPr="006B5701">
        <w:rPr>
          <w:szCs w:val="22"/>
          <w:lang w:val="sr-Latn-CS"/>
        </w:rPr>
        <w:lastRenderedPageBreak/>
        <w:t>Može se koristiti</w:t>
      </w:r>
      <w:r w:rsidR="00567892" w:rsidRPr="006B5701">
        <w:rPr>
          <w:szCs w:val="22"/>
          <w:lang w:val="sr-Latn-CS"/>
        </w:rPr>
        <w:t xml:space="preserve"> </w:t>
      </w:r>
      <w:r w:rsidR="004B21C0" w:rsidRPr="006B5701">
        <w:rPr>
          <w:szCs w:val="22"/>
          <w:lang w:val="sr-Latn-CS"/>
        </w:rPr>
        <w:t>kao monoterapija ili u</w:t>
      </w:r>
      <w:r w:rsidR="00CE0C7E" w:rsidRPr="006B5701">
        <w:rPr>
          <w:szCs w:val="22"/>
          <w:lang w:val="sr-Latn-CS"/>
        </w:rPr>
        <w:t xml:space="preserve"> kombinaciji sa levodopom, </w:t>
      </w:r>
      <w:r w:rsidRPr="006B5701">
        <w:rPr>
          <w:szCs w:val="22"/>
          <w:lang w:val="sr-Latn-CS"/>
        </w:rPr>
        <w:t>npr</w:t>
      </w:r>
      <w:r w:rsidR="004B21C0" w:rsidRPr="006B5701">
        <w:rPr>
          <w:szCs w:val="22"/>
          <w:lang w:val="sr-Latn-CS"/>
        </w:rPr>
        <w:t xml:space="preserve">. tokom trajanja bolesti, </w:t>
      </w:r>
      <w:r w:rsidRPr="006B5701">
        <w:rPr>
          <w:szCs w:val="22"/>
          <w:lang w:val="sr-Latn-CS"/>
        </w:rPr>
        <w:t xml:space="preserve">pa </w:t>
      </w:r>
      <w:r w:rsidR="004B21C0" w:rsidRPr="006B5701">
        <w:rPr>
          <w:szCs w:val="22"/>
          <w:lang w:val="sr-Latn-CS"/>
        </w:rPr>
        <w:t xml:space="preserve">sve do </w:t>
      </w:r>
      <w:r w:rsidRPr="006B5701">
        <w:rPr>
          <w:szCs w:val="22"/>
          <w:lang w:val="sr-Latn-CS"/>
        </w:rPr>
        <w:t xml:space="preserve">uznapredovalih </w:t>
      </w:r>
      <w:r w:rsidR="004B21C0" w:rsidRPr="006B5701">
        <w:rPr>
          <w:szCs w:val="22"/>
          <w:lang w:val="sr-Latn-CS"/>
        </w:rPr>
        <w:t xml:space="preserve">stadijuma kada dejstvo levodope </w:t>
      </w:r>
      <w:r w:rsidRPr="006B5701">
        <w:rPr>
          <w:szCs w:val="22"/>
          <w:lang w:val="sr-Latn-CS"/>
        </w:rPr>
        <w:t>slabi</w:t>
      </w:r>
      <w:r w:rsidR="004B21C0" w:rsidRPr="006B5701">
        <w:rPr>
          <w:szCs w:val="22"/>
          <w:lang w:val="sr-Latn-CS"/>
        </w:rPr>
        <w:t xml:space="preserve"> ili postane nestalno, pa dolazi do fluktuacija terapijskog dejstva (fluktuacije na kraju doznog intervala ili „on/off</w:t>
      </w:r>
      <w:r w:rsidR="00084761">
        <w:rPr>
          <w:szCs w:val="22"/>
          <w:lang w:val="sr-Latn-CS"/>
        </w:rPr>
        <w:t>”</w:t>
      </w:r>
      <w:r w:rsidR="004B21C0" w:rsidRPr="006B5701">
        <w:rPr>
          <w:szCs w:val="22"/>
          <w:lang w:val="sr-Latn-CS"/>
        </w:rPr>
        <w:t xml:space="preserve"> fluktuacije).</w:t>
      </w:r>
    </w:p>
    <w:p w14:paraId="4BE9783A" w14:textId="77777777" w:rsidR="004B21C0" w:rsidRPr="006B5701" w:rsidRDefault="004B21C0" w:rsidP="004B21C0">
      <w:pPr>
        <w:rPr>
          <w:szCs w:val="22"/>
          <w:lang w:val="sr-Latn-CS"/>
        </w:rPr>
      </w:pPr>
    </w:p>
    <w:p w14:paraId="56B62BD3" w14:textId="514615A9" w:rsidR="004B21C0" w:rsidRPr="006B5701" w:rsidRDefault="008D4CC9" w:rsidP="004B21C0">
      <w:pPr>
        <w:tabs>
          <w:tab w:val="clear" w:pos="284"/>
        </w:tabs>
        <w:autoSpaceDE w:val="0"/>
        <w:autoSpaceDN w:val="0"/>
        <w:adjustRightInd w:val="0"/>
        <w:jc w:val="left"/>
        <w:rPr>
          <w:szCs w:val="22"/>
          <w:lang w:val="sr-Latn-CS"/>
        </w:rPr>
      </w:pPr>
      <w:r>
        <w:rPr>
          <w:bCs/>
          <w:szCs w:val="22"/>
          <w:lang w:val="sr-Latn-CS"/>
        </w:rPr>
        <w:t>Mirapexin</w:t>
      </w:r>
      <w:r w:rsidR="004B21C0" w:rsidRPr="006B5701">
        <w:rPr>
          <w:szCs w:val="22"/>
          <w:lang w:val="sr-Latn-CS"/>
        </w:rPr>
        <w:t xml:space="preserve"> je indikovan za simptomatsku terapiju umerenog do te</w:t>
      </w:r>
      <w:r w:rsidR="004B21C0" w:rsidRPr="0008310E">
        <w:rPr>
          <w:szCs w:val="22"/>
          <w:lang w:val="sr-Latn-CS" w:bidi="ne-NP"/>
        </w:rPr>
        <w:t xml:space="preserve">škog oblika </w:t>
      </w:r>
      <w:r w:rsidR="004B21C0" w:rsidRPr="006B5701">
        <w:rPr>
          <w:szCs w:val="22"/>
          <w:lang w:val="sr-Latn-CS"/>
        </w:rPr>
        <w:t xml:space="preserve">idiopatskog sindroma nemirnih nogu kod odraslih, </w:t>
      </w:r>
      <w:r w:rsidR="008838F1" w:rsidRPr="006B5701">
        <w:rPr>
          <w:szCs w:val="22"/>
          <w:lang w:val="sr-Latn-CS"/>
        </w:rPr>
        <w:t xml:space="preserve">u dozama do </w:t>
      </w:r>
      <w:r w:rsidR="0064714D" w:rsidRPr="006B5701">
        <w:rPr>
          <w:szCs w:val="22"/>
          <w:lang w:val="sr-Latn-CS"/>
        </w:rPr>
        <w:t>0,54 mg baze</w:t>
      </w:r>
      <w:r w:rsidR="008838F1" w:rsidRPr="006B5701">
        <w:rPr>
          <w:szCs w:val="22"/>
          <w:lang w:val="sr-Latn-CS"/>
        </w:rPr>
        <w:t xml:space="preserve">  (što odgovara</w:t>
      </w:r>
      <w:r w:rsidR="0064714D" w:rsidRPr="006B5701">
        <w:rPr>
          <w:szCs w:val="22"/>
          <w:lang w:val="sr-Latn-CS"/>
        </w:rPr>
        <w:t xml:space="preserve"> 0,75 mg soli</w:t>
      </w:r>
      <w:r w:rsidR="004B21C0" w:rsidRPr="006B5701">
        <w:rPr>
          <w:szCs w:val="22"/>
          <w:lang w:val="sr-Latn-CS"/>
        </w:rPr>
        <w:t>) (videti odeljak 4.2).</w:t>
      </w:r>
    </w:p>
    <w:p w14:paraId="25BC26EE" w14:textId="77777777" w:rsidR="00CE09F3" w:rsidRPr="006B5701" w:rsidRDefault="00CE09F3" w:rsidP="00923865">
      <w:pPr>
        <w:rPr>
          <w:szCs w:val="22"/>
          <w:lang w:val="sr-Latn-CS"/>
        </w:rPr>
      </w:pPr>
    </w:p>
    <w:p w14:paraId="3E2E33CE" w14:textId="77777777" w:rsidR="00CE09F3" w:rsidRPr="006B5701" w:rsidRDefault="00CE09F3" w:rsidP="00923865">
      <w:pPr>
        <w:rPr>
          <w:b/>
          <w:bCs/>
          <w:szCs w:val="22"/>
          <w:lang w:val="sr-Latn-CS"/>
        </w:rPr>
      </w:pPr>
      <w:r w:rsidRPr="006B5701">
        <w:rPr>
          <w:b/>
          <w:bCs/>
          <w:szCs w:val="22"/>
          <w:lang w:val="sr-Latn-CS"/>
        </w:rPr>
        <w:t xml:space="preserve">4.2. </w:t>
      </w:r>
      <w:r w:rsidRPr="00FD1EBB">
        <w:rPr>
          <w:b/>
          <w:bCs/>
          <w:szCs w:val="22"/>
          <w:lang w:val="es-ES_tradnl"/>
        </w:rPr>
        <w:t>Doziranje</w:t>
      </w:r>
      <w:r w:rsidRPr="006B5701">
        <w:rPr>
          <w:b/>
          <w:bCs/>
          <w:szCs w:val="22"/>
          <w:lang w:val="sr-Latn-CS"/>
        </w:rPr>
        <w:t xml:space="preserve"> </w:t>
      </w:r>
      <w:r w:rsidRPr="00FD1EBB">
        <w:rPr>
          <w:b/>
          <w:bCs/>
          <w:szCs w:val="22"/>
          <w:lang w:val="es-ES_tradnl"/>
        </w:rPr>
        <w:t>i</w:t>
      </w:r>
      <w:r w:rsidRPr="006B5701">
        <w:rPr>
          <w:b/>
          <w:bCs/>
          <w:szCs w:val="22"/>
          <w:lang w:val="sr-Latn-CS"/>
        </w:rPr>
        <w:t xml:space="preserve"> </w:t>
      </w:r>
      <w:r w:rsidRPr="00FD1EBB">
        <w:rPr>
          <w:b/>
          <w:bCs/>
          <w:szCs w:val="22"/>
          <w:lang w:val="es-ES_tradnl"/>
        </w:rPr>
        <w:t>na</w:t>
      </w:r>
      <w:r w:rsidRPr="006B5701">
        <w:rPr>
          <w:b/>
          <w:bCs/>
          <w:szCs w:val="22"/>
          <w:lang w:val="sr-Latn-CS"/>
        </w:rPr>
        <w:t>č</w:t>
      </w:r>
      <w:r w:rsidRPr="00FD1EBB">
        <w:rPr>
          <w:b/>
          <w:bCs/>
          <w:szCs w:val="22"/>
          <w:lang w:val="es-ES_tradnl"/>
        </w:rPr>
        <w:t>in</w:t>
      </w:r>
      <w:r w:rsidRPr="006B5701">
        <w:rPr>
          <w:b/>
          <w:bCs/>
          <w:szCs w:val="22"/>
          <w:lang w:val="sr-Latn-CS"/>
        </w:rPr>
        <w:t xml:space="preserve"> </w:t>
      </w:r>
      <w:r w:rsidRPr="00FD1EBB">
        <w:rPr>
          <w:b/>
          <w:bCs/>
          <w:szCs w:val="22"/>
          <w:lang w:val="es-ES_tradnl"/>
        </w:rPr>
        <w:t>primene</w:t>
      </w:r>
    </w:p>
    <w:p w14:paraId="0D863A49" w14:textId="77777777" w:rsidR="00CE09F3" w:rsidRPr="006B5701" w:rsidRDefault="00CE09F3" w:rsidP="00923865">
      <w:pPr>
        <w:rPr>
          <w:szCs w:val="22"/>
          <w:lang w:val="sr-Latn-CS"/>
        </w:rPr>
      </w:pPr>
    </w:p>
    <w:p w14:paraId="7176AAD4" w14:textId="77777777" w:rsidR="004B21C0" w:rsidRPr="006B5701" w:rsidRDefault="004B21C0" w:rsidP="004B21C0">
      <w:pPr>
        <w:jc w:val="left"/>
        <w:rPr>
          <w:b/>
          <w:szCs w:val="22"/>
          <w:lang w:val="sr-Latn-CS"/>
        </w:rPr>
      </w:pPr>
      <w:r w:rsidRPr="006B5701">
        <w:rPr>
          <w:b/>
          <w:szCs w:val="22"/>
          <w:lang w:val="sr-Latn-CS"/>
        </w:rPr>
        <w:t>Doziranje</w:t>
      </w:r>
    </w:p>
    <w:p w14:paraId="70847C93" w14:textId="77777777" w:rsidR="004B21C0" w:rsidRPr="006B5701" w:rsidRDefault="004B21C0" w:rsidP="004B21C0">
      <w:pPr>
        <w:jc w:val="left"/>
        <w:rPr>
          <w:szCs w:val="22"/>
          <w:u w:val="single"/>
          <w:lang w:val="sr-Latn-CS"/>
        </w:rPr>
      </w:pPr>
    </w:p>
    <w:p w14:paraId="25AC1375" w14:textId="77777777" w:rsidR="004B21C0" w:rsidRPr="006B5701" w:rsidRDefault="004B21C0" w:rsidP="004B21C0">
      <w:pPr>
        <w:jc w:val="left"/>
        <w:rPr>
          <w:szCs w:val="22"/>
          <w:u w:val="single"/>
          <w:lang w:val="sr-Latn-CS"/>
        </w:rPr>
      </w:pPr>
      <w:r w:rsidRPr="006B5701">
        <w:rPr>
          <w:szCs w:val="22"/>
          <w:u w:val="single"/>
          <w:lang w:val="sr-Latn-CS"/>
        </w:rPr>
        <w:t>Parkinsonova bolest</w:t>
      </w:r>
    </w:p>
    <w:p w14:paraId="29EA52DE" w14:textId="77777777" w:rsidR="00154875" w:rsidRDefault="00154875" w:rsidP="004B21C0">
      <w:pPr>
        <w:jc w:val="left"/>
        <w:rPr>
          <w:szCs w:val="22"/>
          <w:lang w:val="sr-Latn-CS"/>
        </w:rPr>
      </w:pPr>
    </w:p>
    <w:p w14:paraId="55733350" w14:textId="5334C159" w:rsidR="004B21C0" w:rsidRPr="006B5701" w:rsidRDefault="004B21C0" w:rsidP="004B21C0">
      <w:pPr>
        <w:jc w:val="left"/>
        <w:rPr>
          <w:szCs w:val="22"/>
          <w:lang w:val="sr-Latn-CS"/>
        </w:rPr>
      </w:pPr>
      <w:r w:rsidRPr="006B5701">
        <w:rPr>
          <w:szCs w:val="22"/>
          <w:lang w:val="sr-Latn-CS"/>
        </w:rPr>
        <w:t xml:space="preserve">Dnevna doza se daje tako što se podeli u tri jednake doze koje se uzimaju 3 puta na dan. </w:t>
      </w:r>
    </w:p>
    <w:p w14:paraId="3F846CAA" w14:textId="77777777" w:rsidR="004B21C0" w:rsidRPr="006B5701" w:rsidRDefault="004B21C0" w:rsidP="004B21C0">
      <w:pPr>
        <w:jc w:val="left"/>
        <w:rPr>
          <w:szCs w:val="22"/>
          <w:u w:val="single"/>
          <w:lang w:val="sr-Latn-CS"/>
        </w:rPr>
      </w:pPr>
    </w:p>
    <w:p w14:paraId="56497F1D" w14:textId="77777777" w:rsidR="004B21C0" w:rsidRPr="006B5701" w:rsidRDefault="004B21C0" w:rsidP="004B21C0">
      <w:pPr>
        <w:jc w:val="left"/>
        <w:rPr>
          <w:i/>
          <w:szCs w:val="22"/>
          <w:u w:val="single"/>
          <w:lang w:val="sr-Latn-CS"/>
        </w:rPr>
      </w:pPr>
      <w:r w:rsidRPr="006B5701">
        <w:rPr>
          <w:i/>
          <w:iCs/>
          <w:szCs w:val="22"/>
          <w:u w:val="single"/>
          <w:lang w:val="sr-Latn-CS"/>
        </w:rPr>
        <w:t>Inicijalna terapija</w:t>
      </w:r>
    </w:p>
    <w:p w14:paraId="5C9E4EB4" w14:textId="77777777" w:rsidR="004B21C0" w:rsidRPr="006B5701" w:rsidRDefault="004B21C0" w:rsidP="004B21C0">
      <w:pPr>
        <w:jc w:val="left"/>
        <w:rPr>
          <w:szCs w:val="22"/>
          <w:lang w:val="sr-Latn-CS"/>
        </w:rPr>
      </w:pPr>
      <w:r w:rsidRPr="006B5701">
        <w:rPr>
          <w:iCs/>
          <w:szCs w:val="22"/>
          <w:lang w:val="sr-Latn-CS"/>
        </w:rPr>
        <w:t>D</w:t>
      </w:r>
      <w:r w:rsidRPr="006B5701">
        <w:rPr>
          <w:szCs w:val="22"/>
          <w:lang w:val="sr-Latn-CS"/>
        </w:rPr>
        <w:t>oze treba povećavati postepeno počevši od</w:t>
      </w:r>
      <w:r w:rsidR="008838F1" w:rsidRPr="006B5701">
        <w:rPr>
          <w:szCs w:val="22"/>
          <w:lang w:val="sr-Latn-CS"/>
        </w:rPr>
        <w:t xml:space="preserve"> početne doze od </w:t>
      </w:r>
      <w:r w:rsidR="00965E50" w:rsidRPr="006B5701">
        <w:rPr>
          <w:szCs w:val="22"/>
          <w:lang w:val="sr-Latn-CS"/>
        </w:rPr>
        <w:t xml:space="preserve">0,264 mg baze </w:t>
      </w:r>
      <w:r w:rsidR="008838F1" w:rsidRPr="006B5701">
        <w:rPr>
          <w:szCs w:val="22"/>
          <w:lang w:val="sr-Latn-CS"/>
        </w:rPr>
        <w:t>(</w:t>
      </w:r>
      <w:r w:rsidR="00965E50" w:rsidRPr="006B5701">
        <w:rPr>
          <w:szCs w:val="22"/>
          <w:lang w:val="sr-Latn-CS"/>
        </w:rPr>
        <w:t>0,375 mg soli</w:t>
      </w:r>
      <w:r w:rsidRPr="006B5701">
        <w:rPr>
          <w:szCs w:val="22"/>
          <w:lang w:val="sr-Latn-CS"/>
        </w:rPr>
        <w:t xml:space="preserve">) na dan i potom povećavati svakih 5–7 dana. Pod uslovom da pacijent ne ispolji nepodnošljiva </w:t>
      </w:r>
      <w:r w:rsidR="00836C22" w:rsidRPr="006B5701">
        <w:rPr>
          <w:szCs w:val="22"/>
          <w:lang w:val="sr-Latn-CS"/>
        </w:rPr>
        <w:t xml:space="preserve">neželjena </w:t>
      </w:r>
      <w:r w:rsidRPr="006B5701">
        <w:rPr>
          <w:szCs w:val="22"/>
          <w:lang w:val="sr-Latn-CS"/>
        </w:rPr>
        <w:t>dejstva, dozu treba titrirati tako da se postigne maksimalno terapijsko dejstvo.</w:t>
      </w:r>
    </w:p>
    <w:p w14:paraId="403E410F" w14:textId="77777777" w:rsidR="004B21C0" w:rsidRPr="006B5701" w:rsidRDefault="004B21C0" w:rsidP="004B21C0">
      <w:pPr>
        <w:ind w:right="-108"/>
        <w:jc w:val="left"/>
        <w:rPr>
          <w:szCs w:val="22"/>
          <w:lang w:val="sr-Latn-CS"/>
        </w:rPr>
      </w:pPr>
    </w:p>
    <w:tbl>
      <w:tblPr>
        <w:tblW w:w="8108"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1268"/>
        <w:gridCol w:w="1546"/>
        <w:gridCol w:w="1694"/>
        <w:gridCol w:w="1656"/>
        <w:gridCol w:w="1944"/>
      </w:tblGrid>
      <w:tr w:rsidR="00A03D75" w:rsidRPr="00693548" w14:paraId="1090046F" w14:textId="77777777" w:rsidTr="004B21C0">
        <w:trPr>
          <w:cantSplit/>
          <w:trHeight w:val="262"/>
        </w:trPr>
        <w:tc>
          <w:tcPr>
            <w:tcW w:w="8108" w:type="dxa"/>
            <w:gridSpan w:val="5"/>
            <w:vAlign w:val="center"/>
          </w:tcPr>
          <w:p w14:paraId="2F52A4FB" w14:textId="5DF52455" w:rsidR="004B21C0" w:rsidRPr="006B5701" w:rsidRDefault="004B21C0" w:rsidP="009B1D63">
            <w:pPr>
              <w:jc w:val="center"/>
              <w:rPr>
                <w:szCs w:val="22"/>
                <w:lang w:val="sr-Latn-CS"/>
              </w:rPr>
            </w:pPr>
            <w:bookmarkStart w:id="1" w:name="OLE_LINK1"/>
            <w:r w:rsidRPr="006B5701">
              <w:rPr>
                <w:b/>
                <w:szCs w:val="22"/>
                <w:lang w:val="sr-Latn-CS"/>
              </w:rPr>
              <w:t xml:space="preserve">Postepeno povećavanje doze </w:t>
            </w:r>
            <w:r w:rsidR="008D4CC9" w:rsidRPr="008D4CC9">
              <w:rPr>
                <w:b/>
                <w:szCs w:val="22"/>
                <w:lang w:val="sr-Latn-CS"/>
              </w:rPr>
              <w:t>Mirapexin</w:t>
            </w:r>
            <w:r w:rsidRPr="006B5701">
              <w:rPr>
                <w:b/>
                <w:szCs w:val="22"/>
                <w:lang w:val="sr-Latn-CS"/>
              </w:rPr>
              <w:t xml:space="preserve"> tableta</w:t>
            </w:r>
            <w:bookmarkEnd w:id="1"/>
          </w:p>
        </w:tc>
      </w:tr>
      <w:tr w:rsidR="00A03D75" w:rsidRPr="00693548" w14:paraId="1B4BEC76" w14:textId="77777777" w:rsidTr="004B21C0">
        <w:trPr>
          <w:cantSplit/>
          <w:trHeight w:val="262"/>
        </w:trPr>
        <w:tc>
          <w:tcPr>
            <w:tcW w:w="1268" w:type="dxa"/>
            <w:vAlign w:val="center"/>
          </w:tcPr>
          <w:p w14:paraId="0006C23D" w14:textId="77777777" w:rsidR="004B21C0" w:rsidRPr="006B5701" w:rsidRDefault="004B21C0" w:rsidP="009B1D63">
            <w:pPr>
              <w:jc w:val="center"/>
              <w:rPr>
                <w:szCs w:val="22"/>
                <w:lang w:val="sr-Latn-CS"/>
              </w:rPr>
            </w:pPr>
            <w:r w:rsidRPr="006B5701">
              <w:rPr>
                <w:szCs w:val="22"/>
                <w:lang w:val="sr-Latn-CS"/>
              </w:rPr>
              <w:t>Nedelja</w:t>
            </w:r>
          </w:p>
        </w:tc>
        <w:tc>
          <w:tcPr>
            <w:tcW w:w="1546" w:type="dxa"/>
          </w:tcPr>
          <w:p w14:paraId="1E563C35" w14:textId="77777777" w:rsidR="004B21C0" w:rsidRPr="006B5701" w:rsidRDefault="004B21C0" w:rsidP="009B1D63">
            <w:pPr>
              <w:jc w:val="center"/>
              <w:rPr>
                <w:szCs w:val="22"/>
                <w:lang w:val="sr-Latn-CS"/>
              </w:rPr>
            </w:pPr>
            <w:r w:rsidRPr="006B5701">
              <w:rPr>
                <w:szCs w:val="22"/>
                <w:lang w:val="sr-Latn-CS"/>
              </w:rPr>
              <w:t>Doza</w:t>
            </w:r>
          </w:p>
          <w:p w14:paraId="6D5090DF" w14:textId="77777777" w:rsidR="004B21C0" w:rsidRPr="006B5701" w:rsidRDefault="004B21C0" w:rsidP="009B1D63">
            <w:pPr>
              <w:jc w:val="center"/>
              <w:rPr>
                <w:szCs w:val="22"/>
                <w:lang w:val="sr-Latn-CS"/>
              </w:rPr>
            </w:pPr>
            <w:r w:rsidRPr="006B5701">
              <w:rPr>
                <w:szCs w:val="22"/>
                <w:lang w:val="sr-Latn-CS"/>
              </w:rPr>
              <w:t>(mg baze)</w:t>
            </w:r>
          </w:p>
        </w:tc>
        <w:tc>
          <w:tcPr>
            <w:tcW w:w="1694" w:type="dxa"/>
            <w:vAlign w:val="center"/>
          </w:tcPr>
          <w:p w14:paraId="46D2BDC3" w14:textId="77777777" w:rsidR="004B21C0" w:rsidRPr="006B5701" w:rsidRDefault="004B21C0" w:rsidP="009B1D63">
            <w:pPr>
              <w:jc w:val="center"/>
              <w:rPr>
                <w:szCs w:val="22"/>
                <w:lang w:val="sr-Latn-CS"/>
              </w:rPr>
            </w:pPr>
            <w:r w:rsidRPr="006B5701">
              <w:rPr>
                <w:szCs w:val="22"/>
                <w:lang w:val="sr-Latn-CS"/>
              </w:rPr>
              <w:t>Ukupna dnevna doza (mg baze)</w:t>
            </w:r>
          </w:p>
        </w:tc>
        <w:tc>
          <w:tcPr>
            <w:tcW w:w="1656" w:type="dxa"/>
            <w:vAlign w:val="center"/>
          </w:tcPr>
          <w:p w14:paraId="1DC6BA55" w14:textId="77777777" w:rsidR="004B21C0" w:rsidRPr="006B5701" w:rsidRDefault="004B21C0" w:rsidP="009B1D63">
            <w:pPr>
              <w:jc w:val="center"/>
              <w:rPr>
                <w:szCs w:val="22"/>
                <w:lang w:val="sr-Latn-CS"/>
              </w:rPr>
            </w:pPr>
            <w:r w:rsidRPr="006B5701">
              <w:rPr>
                <w:szCs w:val="22"/>
                <w:lang w:val="sr-Latn-CS"/>
              </w:rPr>
              <w:t>Doza (mg soli)</w:t>
            </w:r>
          </w:p>
        </w:tc>
        <w:tc>
          <w:tcPr>
            <w:tcW w:w="1944" w:type="dxa"/>
            <w:vAlign w:val="center"/>
          </w:tcPr>
          <w:p w14:paraId="6BE71635" w14:textId="77777777" w:rsidR="004B21C0" w:rsidRPr="006B5701" w:rsidRDefault="004B21C0" w:rsidP="009B1D63">
            <w:pPr>
              <w:jc w:val="center"/>
              <w:rPr>
                <w:szCs w:val="22"/>
                <w:lang w:val="sr-Latn-CS"/>
              </w:rPr>
            </w:pPr>
            <w:r w:rsidRPr="006B5701">
              <w:rPr>
                <w:szCs w:val="22"/>
                <w:lang w:val="sr-Latn-CS"/>
              </w:rPr>
              <w:t>Ukupna dnevna doza (mg soli)</w:t>
            </w:r>
          </w:p>
        </w:tc>
      </w:tr>
      <w:tr w:rsidR="00A03D75" w:rsidRPr="006B5701" w14:paraId="39BDB766" w14:textId="77777777" w:rsidTr="004B21C0">
        <w:trPr>
          <w:cantSplit/>
          <w:trHeight w:val="262"/>
        </w:trPr>
        <w:tc>
          <w:tcPr>
            <w:tcW w:w="1268" w:type="dxa"/>
            <w:vAlign w:val="center"/>
          </w:tcPr>
          <w:p w14:paraId="4ABB326C" w14:textId="77777777" w:rsidR="004B21C0" w:rsidRPr="006B5701" w:rsidRDefault="004B21C0" w:rsidP="009B1D63">
            <w:pPr>
              <w:jc w:val="center"/>
              <w:rPr>
                <w:szCs w:val="22"/>
                <w:lang w:val="sr-Latn-CS"/>
              </w:rPr>
            </w:pPr>
            <w:r w:rsidRPr="006B5701">
              <w:rPr>
                <w:szCs w:val="22"/>
                <w:lang w:val="sr-Latn-CS"/>
              </w:rPr>
              <w:t>1</w:t>
            </w:r>
          </w:p>
        </w:tc>
        <w:tc>
          <w:tcPr>
            <w:tcW w:w="1546" w:type="dxa"/>
          </w:tcPr>
          <w:p w14:paraId="0A8A44FC" w14:textId="77777777" w:rsidR="004B21C0" w:rsidRPr="006B5701" w:rsidRDefault="008838F1" w:rsidP="009B1D63">
            <w:pPr>
              <w:jc w:val="center"/>
              <w:rPr>
                <w:szCs w:val="22"/>
                <w:lang w:val="sr-Latn-CS"/>
              </w:rPr>
            </w:pPr>
            <w:r w:rsidRPr="006B5701">
              <w:rPr>
                <w:szCs w:val="22"/>
                <w:lang w:val="sr-Latn-CS"/>
              </w:rPr>
              <w:t>3 x 0,</w:t>
            </w:r>
            <w:r w:rsidR="004B21C0" w:rsidRPr="006B5701">
              <w:rPr>
                <w:szCs w:val="22"/>
                <w:lang w:val="sr-Latn-CS"/>
              </w:rPr>
              <w:t>088</w:t>
            </w:r>
          </w:p>
        </w:tc>
        <w:tc>
          <w:tcPr>
            <w:tcW w:w="1694" w:type="dxa"/>
            <w:vAlign w:val="center"/>
          </w:tcPr>
          <w:p w14:paraId="758532AA" w14:textId="77777777" w:rsidR="004B21C0" w:rsidRPr="006B5701" w:rsidRDefault="008838F1" w:rsidP="009B1D63">
            <w:pPr>
              <w:jc w:val="center"/>
              <w:rPr>
                <w:szCs w:val="22"/>
                <w:lang w:val="sr-Latn-CS"/>
              </w:rPr>
            </w:pPr>
            <w:r w:rsidRPr="006B5701">
              <w:rPr>
                <w:szCs w:val="22"/>
                <w:lang w:val="sr-Latn-CS"/>
              </w:rPr>
              <w:t>0,</w:t>
            </w:r>
            <w:r w:rsidR="004B21C0" w:rsidRPr="006B5701">
              <w:rPr>
                <w:szCs w:val="22"/>
                <w:lang w:val="sr-Latn-CS"/>
              </w:rPr>
              <w:t>264</w:t>
            </w:r>
          </w:p>
        </w:tc>
        <w:tc>
          <w:tcPr>
            <w:tcW w:w="1656" w:type="dxa"/>
            <w:vAlign w:val="center"/>
          </w:tcPr>
          <w:p w14:paraId="11F589AA" w14:textId="77777777" w:rsidR="004B21C0" w:rsidRPr="006B5701" w:rsidRDefault="008838F1" w:rsidP="009B1D63">
            <w:pPr>
              <w:jc w:val="center"/>
              <w:rPr>
                <w:szCs w:val="22"/>
                <w:lang w:val="sr-Latn-CS"/>
              </w:rPr>
            </w:pPr>
            <w:r w:rsidRPr="006B5701">
              <w:rPr>
                <w:szCs w:val="22"/>
                <w:lang w:val="sr-Latn-CS"/>
              </w:rPr>
              <w:t>3 x 0,</w:t>
            </w:r>
            <w:r w:rsidR="004B21C0" w:rsidRPr="006B5701">
              <w:rPr>
                <w:szCs w:val="22"/>
                <w:lang w:val="sr-Latn-CS"/>
              </w:rPr>
              <w:t>125</w:t>
            </w:r>
          </w:p>
        </w:tc>
        <w:tc>
          <w:tcPr>
            <w:tcW w:w="1944" w:type="dxa"/>
            <w:vAlign w:val="center"/>
          </w:tcPr>
          <w:p w14:paraId="13AEF36F" w14:textId="77777777" w:rsidR="004B21C0" w:rsidRPr="006B5701" w:rsidRDefault="008838F1" w:rsidP="009B1D63">
            <w:pPr>
              <w:jc w:val="center"/>
              <w:rPr>
                <w:szCs w:val="22"/>
                <w:lang w:val="sr-Latn-CS"/>
              </w:rPr>
            </w:pPr>
            <w:r w:rsidRPr="006B5701">
              <w:rPr>
                <w:szCs w:val="22"/>
                <w:lang w:val="sr-Latn-CS"/>
              </w:rPr>
              <w:t>0,</w:t>
            </w:r>
            <w:r w:rsidR="004B21C0" w:rsidRPr="006B5701">
              <w:rPr>
                <w:szCs w:val="22"/>
                <w:lang w:val="sr-Latn-CS"/>
              </w:rPr>
              <w:t>375</w:t>
            </w:r>
          </w:p>
        </w:tc>
      </w:tr>
      <w:tr w:rsidR="00A03D75" w:rsidRPr="006B5701" w14:paraId="5F055F2C" w14:textId="77777777" w:rsidTr="004B21C0">
        <w:trPr>
          <w:cantSplit/>
          <w:trHeight w:val="262"/>
        </w:trPr>
        <w:tc>
          <w:tcPr>
            <w:tcW w:w="1268" w:type="dxa"/>
            <w:vAlign w:val="center"/>
          </w:tcPr>
          <w:p w14:paraId="3E31A83C" w14:textId="77777777" w:rsidR="004B21C0" w:rsidRPr="006B5701" w:rsidRDefault="004B21C0" w:rsidP="009B1D63">
            <w:pPr>
              <w:jc w:val="center"/>
              <w:rPr>
                <w:szCs w:val="22"/>
                <w:lang w:val="sr-Latn-CS"/>
              </w:rPr>
            </w:pPr>
            <w:r w:rsidRPr="006B5701">
              <w:rPr>
                <w:szCs w:val="22"/>
                <w:lang w:val="sr-Latn-CS"/>
              </w:rPr>
              <w:t>2</w:t>
            </w:r>
          </w:p>
        </w:tc>
        <w:tc>
          <w:tcPr>
            <w:tcW w:w="1546" w:type="dxa"/>
          </w:tcPr>
          <w:p w14:paraId="120FDA05" w14:textId="77777777" w:rsidR="004B21C0" w:rsidRPr="006B5701" w:rsidRDefault="008838F1" w:rsidP="009B1D63">
            <w:pPr>
              <w:jc w:val="center"/>
              <w:rPr>
                <w:szCs w:val="22"/>
                <w:lang w:val="sr-Latn-CS"/>
              </w:rPr>
            </w:pPr>
            <w:r w:rsidRPr="006B5701">
              <w:rPr>
                <w:szCs w:val="22"/>
                <w:lang w:val="sr-Latn-CS"/>
              </w:rPr>
              <w:t>3 x 0,</w:t>
            </w:r>
            <w:r w:rsidR="004B21C0" w:rsidRPr="006B5701">
              <w:rPr>
                <w:szCs w:val="22"/>
                <w:lang w:val="sr-Latn-CS"/>
              </w:rPr>
              <w:t>18</w:t>
            </w:r>
          </w:p>
        </w:tc>
        <w:tc>
          <w:tcPr>
            <w:tcW w:w="1694" w:type="dxa"/>
            <w:vAlign w:val="center"/>
          </w:tcPr>
          <w:p w14:paraId="052BAB97" w14:textId="77777777" w:rsidR="004B21C0" w:rsidRPr="006B5701" w:rsidRDefault="008838F1" w:rsidP="009B1D63">
            <w:pPr>
              <w:jc w:val="center"/>
              <w:rPr>
                <w:szCs w:val="22"/>
                <w:lang w:val="sr-Latn-CS"/>
              </w:rPr>
            </w:pPr>
            <w:r w:rsidRPr="006B5701">
              <w:rPr>
                <w:szCs w:val="22"/>
                <w:lang w:val="sr-Latn-CS"/>
              </w:rPr>
              <w:t>0,</w:t>
            </w:r>
            <w:r w:rsidR="004B21C0" w:rsidRPr="006B5701">
              <w:rPr>
                <w:szCs w:val="22"/>
                <w:lang w:val="sr-Latn-CS"/>
              </w:rPr>
              <w:t>54</w:t>
            </w:r>
          </w:p>
        </w:tc>
        <w:tc>
          <w:tcPr>
            <w:tcW w:w="1656" w:type="dxa"/>
            <w:vAlign w:val="center"/>
          </w:tcPr>
          <w:p w14:paraId="7762750D" w14:textId="77777777" w:rsidR="004B21C0" w:rsidRPr="006B5701" w:rsidRDefault="008838F1" w:rsidP="009B1D63">
            <w:pPr>
              <w:jc w:val="center"/>
              <w:rPr>
                <w:szCs w:val="22"/>
                <w:lang w:val="sr-Latn-CS"/>
              </w:rPr>
            </w:pPr>
            <w:r w:rsidRPr="006B5701">
              <w:rPr>
                <w:szCs w:val="22"/>
                <w:lang w:val="sr-Latn-CS"/>
              </w:rPr>
              <w:t>3 x 0,</w:t>
            </w:r>
            <w:r w:rsidR="004B21C0" w:rsidRPr="006B5701">
              <w:rPr>
                <w:szCs w:val="22"/>
                <w:lang w:val="sr-Latn-CS"/>
              </w:rPr>
              <w:t>25</w:t>
            </w:r>
          </w:p>
        </w:tc>
        <w:tc>
          <w:tcPr>
            <w:tcW w:w="1944" w:type="dxa"/>
            <w:vAlign w:val="center"/>
          </w:tcPr>
          <w:p w14:paraId="17317294" w14:textId="77777777" w:rsidR="004B21C0" w:rsidRPr="006B5701" w:rsidRDefault="008838F1" w:rsidP="009B1D63">
            <w:pPr>
              <w:jc w:val="center"/>
              <w:rPr>
                <w:szCs w:val="22"/>
                <w:lang w:val="sr-Latn-CS"/>
              </w:rPr>
            </w:pPr>
            <w:r w:rsidRPr="006B5701">
              <w:rPr>
                <w:szCs w:val="22"/>
                <w:lang w:val="sr-Latn-CS"/>
              </w:rPr>
              <w:t>0,</w:t>
            </w:r>
            <w:r w:rsidR="004B21C0" w:rsidRPr="006B5701">
              <w:rPr>
                <w:szCs w:val="22"/>
                <w:lang w:val="sr-Latn-CS"/>
              </w:rPr>
              <w:t>75</w:t>
            </w:r>
          </w:p>
        </w:tc>
      </w:tr>
      <w:tr w:rsidR="004B21C0" w:rsidRPr="006B5701" w14:paraId="268BBA97" w14:textId="77777777" w:rsidTr="004B21C0">
        <w:trPr>
          <w:cantSplit/>
          <w:trHeight w:val="262"/>
        </w:trPr>
        <w:tc>
          <w:tcPr>
            <w:tcW w:w="1268" w:type="dxa"/>
            <w:vAlign w:val="center"/>
          </w:tcPr>
          <w:p w14:paraId="6C20F8CB" w14:textId="77777777" w:rsidR="004B21C0" w:rsidRPr="006B5701" w:rsidRDefault="004B21C0" w:rsidP="009B1D63">
            <w:pPr>
              <w:jc w:val="center"/>
              <w:rPr>
                <w:szCs w:val="22"/>
                <w:lang w:val="sr-Latn-CS"/>
              </w:rPr>
            </w:pPr>
            <w:r w:rsidRPr="006B5701">
              <w:rPr>
                <w:szCs w:val="22"/>
                <w:lang w:val="sr-Latn-CS"/>
              </w:rPr>
              <w:t>3</w:t>
            </w:r>
          </w:p>
        </w:tc>
        <w:tc>
          <w:tcPr>
            <w:tcW w:w="1546" w:type="dxa"/>
          </w:tcPr>
          <w:p w14:paraId="47F56D78" w14:textId="77777777" w:rsidR="004B21C0" w:rsidRPr="006B5701" w:rsidRDefault="008838F1" w:rsidP="009B1D63">
            <w:pPr>
              <w:jc w:val="center"/>
              <w:rPr>
                <w:szCs w:val="22"/>
                <w:lang w:val="sr-Latn-CS"/>
              </w:rPr>
            </w:pPr>
            <w:r w:rsidRPr="006B5701">
              <w:rPr>
                <w:szCs w:val="22"/>
                <w:lang w:val="sr-Latn-CS"/>
              </w:rPr>
              <w:t>3 x 0,</w:t>
            </w:r>
            <w:r w:rsidR="004B21C0" w:rsidRPr="006B5701">
              <w:rPr>
                <w:szCs w:val="22"/>
                <w:lang w:val="sr-Latn-CS"/>
              </w:rPr>
              <w:t>35</w:t>
            </w:r>
          </w:p>
        </w:tc>
        <w:tc>
          <w:tcPr>
            <w:tcW w:w="1694" w:type="dxa"/>
            <w:vAlign w:val="center"/>
          </w:tcPr>
          <w:p w14:paraId="2D7579D3" w14:textId="77777777" w:rsidR="004B21C0" w:rsidRPr="006B5701" w:rsidRDefault="008838F1" w:rsidP="009B1D63">
            <w:pPr>
              <w:jc w:val="center"/>
              <w:rPr>
                <w:szCs w:val="22"/>
                <w:lang w:val="sr-Latn-CS"/>
              </w:rPr>
            </w:pPr>
            <w:r w:rsidRPr="006B5701">
              <w:rPr>
                <w:szCs w:val="22"/>
                <w:lang w:val="sr-Latn-CS"/>
              </w:rPr>
              <w:t>1,</w:t>
            </w:r>
            <w:r w:rsidR="004B21C0" w:rsidRPr="006B5701">
              <w:rPr>
                <w:szCs w:val="22"/>
                <w:lang w:val="sr-Latn-CS"/>
              </w:rPr>
              <w:t>1</w:t>
            </w:r>
          </w:p>
        </w:tc>
        <w:tc>
          <w:tcPr>
            <w:tcW w:w="1656" w:type="dxa"/>
            <w:vAlign w:val="center"/>
          </w:tcPr>
          <w:p w14:paraId="0ECF5658" w14:textId="77777777" w:rsidR="004B21C0" w:rsidRPr="006B5701" w:rsidRDefault="008838F1" w:rsidP="009B1D63">
            <w:pPr>
              <w:jc w:val="center"/>
              <w:rPr>
                <w:szCs w:val="22"/>
                <w:lang w:val="sr-Latn-CS"/>
              </w:rPr>
            </w:pPr>
            <w:r w:rsidRPr="006B5701">
              <w:rPr>
                <w:szCs w:val="22"/>
                <w:lang w:val="sr-Latn-CS"/>
              </w:rPr>
              <w:t>3 x 0,</w:t>
            </w:r>
            <w:r w:rsidR="004B21C0" w:rsidRPr="006B5701">
              <w:rPr>
                <w:szCs w:val="22"/>
                <w:lang w:val="sr-Latn-CS"/>
              </w:rPr>
              <w:t>5</w:t>
            </w:r>
          </w:p>
        </w:tc>
        <w:tc>
          <w:tcPr>
            <w:tcW w:w="1944" w:type="dxa"/>
            <w:vAlign w:val="center"/>
          </w:tcPr>
          <w:p w14:paraId="43301468" w14:textId="77777777" w:rsidR="004B21C0" w:rsidRPr="006B5701" w:rsidRDefault="008838F1" w:rsidP="009B1D63">
            <w:pPr>
              <w:jc w:val="center"/>
              <w:rPr>
                <w:szCs w:val="22"/>
                <w:lang w:val="sr-Latn-CS"/>
              </w:rPr>
            </w:pPr>
            <w:r w:rsidRPr="006B5701">
              <w:rPr>
                <w:szCs w:val="22"/>
                <w:lang w:val="sr-Latn-CS"/>
              </w:rPr>
              <w:t>1,</w:t>
            </w:r>
            <w:r w:rsidR="004B21C0" w:rsidRPr="006B5701">
              <w:rPr>
                <w:szCs w:val="22"/>
                <w:lang w:val="sr-Latn-CS"/>
              </w:rPr>
              <w:t>50</w:t>
            </w:r>
          </w:p>
        </w:tc>
      </w:tr>
    </w:tbl>
    <w:p w14:paraId="59820068" w14:textId="77777777" w:rsidR="004B21C0" w:rsidRPr="006B5701" w:rsidRDefault="004B21C0" w:rsidP="004B21C0">
      <w:pPr>
        <w:jc w:val="left"/>
        <w:rPr>
          <w:szCs w:val="22"/>
          <w:lang w:val="sr-Latn-CS"/>
        </w:rPr>
      </w:pPr>
    </w:p>
    <w:p w14:paraId="6B566F8B" w14:textId="1AE86062" w:rsidR="004B21C0" w:rsidRPr="006B5701" w:rsidRDefault="004B21C0" w:rsidP="004B21C0">
      <w:pPr>
        <w:jc w:val="left"/>
        <w:rPr>
          <w:szCs w:val="22"/>
          <w:lang w:val="sr-Latn-CS"/>
        </w:rPr>
      </w:pPr>
      <w:r w:rsidRPr="006B5701">
        <w:rPr>
          <w:szCs w:val="22"/>
          <w:lang w:val="sr-Latn-CS"/>
        </w:rPr>
        <w:t>Ako je potrebno dodatno povećavanje doze, dnevn</w:t>
      </w:r>
      <w:r w:rsidR="008838F1" w:rsidRPr="006B5701">
        <w:rPr>
          <w:szCs w:val="22"/>
          <w:lang w:val="sr-Latn-CS"/>
        </w:rPr>
        <w:t xml:space="preserve">u dozu treba povećavati za </w:t>
      </w:r>
      <w:r w:rsidR="00D11211" w:rsidRPr="006B5701">
        <w:rPr>
          <w:szCs w:val="22"/>
          <w:lang w:val="sr-Latn-CS"/>
        </w:rPr>
        <w:t xml:space="preserve">po </w:t>
      </w:r>
      <w:r w:rsidR="008F4FCF" w:rsidRPr="006B5701">
        <w:rPr>
          <w:szCs w:val="22"/>
          <w:lang w:val="sr-Latn-CS"/>
        </w:rPr>
        <w:t xml:space="preserve">0,54 mg baze </w:t>
      </w:r>
      <w:r w:rsidR="00D11211" w:rsidRPr="006B5701">
        <w:rPr>
          <w:szCs w:val="22"/>
          <w:lang w:val="sr-Latn-CS"/>
        </w:rPr>
        <w:t>(</w:t>
      </w:r>
      <w:r w:rsidR="008F4FCF" w:rsidRPr="006B5701">
        <w:rPr>
          <w:szCs w:val="22"/>
          <w:lang w:val="sr-Latn-CS"/>
        </w:rPr>
        <w:t>0,75 mg soli</w:t>
      </w:r>
      <w:r w:rsidR="00D11211" w:rsidRPr="006B5701">
        <w:rPr>
          <w:szCs w:val="22"/>
          <w:lang w:val="sr-Latn-CS"/>
        </w:rPr>
        <w:t>)</w:t>
      </w:r>
      <w:r w:rsidRPr="006B5701">
        <w:rPr>
          <w:szCs w:val="22"/>
          <w:lang w:val="sr-Latn-CS"/>
        </w:rPr>
        <w:t xml:space="preserve"> u ned</w:t>
      </w:r>
      <w:r w:rsidR="00D035B3">
        <w:rPr>
          <w:szCs w:val="22"/>
          <w:lang w:val="sr-Latn-CS"/>
        </w:rPr>
        <w:t>j</w:t>
      </w:r>
      <w:r w:rsidRPr="006B5701">
        <w:rPr>
          <w:szCs w:val="22"/>
          <w:lang w:val="sr-Latn-CS"/>
        </w:rPr>
        <w:t>eljnim intervalima,</w:t>
      </w:r>
      <w:r w:rsidR="008838F1" w:rsidRPr="006B5701">
        <w:rPr>
          <w:szCs w:val="22"/>
          <w:lang w:val="sr-Latn-CS"/>
        </w:rPr>
        <w:t xml:space="preserve"> do maksimalne doze od </w:t>
      </w:r>
      <w:r w:rsidR="00422054" w:rsidRPr="006B5701">
        <w:rPr>
          <w:szCs w:val="22"/>
          <w:lang w:val="sr-Latn-CS"/>
        </w:rPr>
        <w:t xml:space="preserve">3,3 mg baze </w:t>
      </w:r>
      <w:r w:rsidR="008838F1" w:rsidRPr="006B5701">
        <w:rPr>
          <w:szCs w:val="22"/>
          <w:lang w:val="sr-Latn-CS"/>
        </w:rPr>
        <w:t>(</w:t>
      </w:r>
      <w:r w:rsidR="00422054" w:rsidRPr="006B5701">
        <w:rPr>
          <w:szCs w:val="22"/>
          <w:lang w:val="sr-Latn-CS"/>
        </w:rPr>
        <w:t>4,5 mg soli</w:t>
      </w:r>
      <w:r w:rsidRPr="006B5701">
        <w:rPr>
          <w:szCs w:val="22"/>
          <w:lang w:val="sr-Latn-CS"/>
        </w:rPr>
        <w:t>) na dan. Međutim, treba imati u vidu da se incidenca somnolencije povećava sa dozama većim od 1</w:t>
      </w:r>
      <w:r w:rsidR="008838F1" w:rsidRPr="006B5701">
        <w:rPr>
          <w:szCs w:val="22"/>
          <w:lang w:val="sr-Latn-CS"/>
        </w:rPr>
        <w:t>,</w:t>
      </w:r>
      <w:r w:rsidRPr="006B5701">
        <w:rPr>
          <w:szCs w:val="22"/>
          <w:lang w:val="sr-Latn-CS"/>
        </w:rPr>
        <w:t>5 mg (soli) na dan (vid</w:t>
      </w:r>
      <w:r w:rsidR="00D035B3">
        <w:rPr>
          <w:szCs w:val="22"/>
          <w:lang w:val="sr-Latn-CS"/>
        </w:rPr>
        <w:t>j</w:t>
      </w:r>
      <w:r w:rsidRPr="006B5701">
        <w:rPr>
          <w:szCs w:val="22"/>
          <w:lang w:val="sr-Latn-CS"/>
        </w:rPr>
        <w:t>eti od</w:t>
      </w:r>
      <w:r w:rsidR="00D035B3">
        <w:rPr>
          <w:szCs w:val="22"/>
          <w:lang w:val="sr-Latn-CS"/>
        </w:rPr>
        <w:t>j</w:t>
      </w:r>
      <w:r w:rsidRPr="006B5701">
        <w:rPr>
          <w:szCs w:val="22"/>
          <w:lang w:val="sr-Latn-CS"/>
        </w:rPr>
        <w:t>eljak 4.8).</w:t>
      </w:r>
      <w:r w:rsidR="00422054">
        <w:rPr>
          <w:szCs w:val="22"/>
          <w:lang w:val="sr-Latn-CS"/>
        </w:rPr>
        <w:t xml:space="preserve"> </w:t>
      </w:r>
    </w:p>
    <w:p w14:paraId="6E02188F" w14:textId="77777777" w:rsidR="004B21C0" w:rsidRPr="006B5701" w:rsidRDefault="004B21C0" w:rsidP="004B21C0">
      <w:pPr>
        <w:jc w:val="left"/>
        <w:rPr>
          <w:szCs w:val="22"/>
          <w:lang w:val="sr-Latn-CS"/>
        </w:rPr>
      </w:pPr>
    </w:p>
    <w:p w14:paraId="617529E5" w14:textId="77777777" w:rsidR="004B21C0" w:rsidRPr="006B5701" w:rsidRDefault="004B21C0" w:rsidP="004B21C0">
      <w:pPr>
        <w:jc w:val="left"/>
        <w:rPr>
          <w:i/>
          <w:iCs/>
          <w:szCs w:val="22"/>
          <w:u w:val="single"/>
          <w:lang w:val="sr-Latn-CS"/>
        </w:rPr>
      </w:pPr>
      <w:r w:rsidRPr="006B5701">
        <w:rPr>
          <w:i/>
          <w:iCs/>
          <w:szCs w:val="22"/>
          <w:u w:val="single"/>
          <w:lang w:val="sr-Latn-CS"/>
        </w:rPr>
        <w:t xml:space="preserve">Terapija održavanja </w:t>
      </w:r>
    </w:p>
    <w:p w14:paraId="66D53172" w14:textId="5FC6465F" w:rsidR="004B21C0" w:rsidRPr="006B5701" w:rsidRDefault="004B21C0" w:rsidP="004B21C0">
      <w:pPr>
        <w:jc w:val="left"/>
        <w:rPr>
          <w:szCs w:val="22"/>
          <w:lang w:val="sr-Latn-CS"/>
        </w:rPr>
      </w:pPr>
      <w:r w:rsidRPr="006B5701">
        <w:rPr>
          <w:szCs w:val="22"/>
          <w:lang w:val="sr-Latn-CS"/>
        </w:rPr>
        <w:t>Individualna do</w:t>
      </w:r>
      <w:r w:rsidR="00E125FE" w:rsidRPr="006B5701">
        <w:rPr>
          <w:szCs w:val="22"/>
          <w:lang w:val="sr-Latn-CS"/>
        </w:rPr>
        <w:t xml:space="preserve">za treba da bude u rasponu od </w:t>
      </w:r>
      <w:r w:rsidR="003037FA" w:rsidRPr="006B5701">
        <w:rPr>
          <w:szCs w:val="22"/>
          <w:lang w:val="sr-Latn-CS"/>
        </w:rPr>
        <w:t xml:space="preserve">0,264 mg baze </w:t>
      </w:r>
      <w:r w:rsidR="00D11211" w:rsidRPr="006B5701">
        <w:rPr>
          <w:szCs w:val="22"/>
          <w:lang w:val="sr-Latn-CS"/>
        </w:rPr>
        <w:t>(</w:t>
      </w:r>
      <w:r w:rsidR="003037FA" w:rsidRPr="006B5701">
        <w:rPr>
          <w:szCs w:val="22"/>
          <w:lang w:val="sr-Latn-CS"/>
        </w:rPr>
        <w:t>0,375 mg soli</w:t>
      </w:r>
      <w:r w:rsidR="00D11211" w:rsidRPr="006B5701">
        <w:rPr>
          <w:szCs w:val="22"/>
          <w:lang w:val="sr-Latn-CS"/>
        </w:rPr>
        <w:t>)</w:t>
      </w:r>
      <w:r w:rsidR="00E125FE" w:rsidRPr="006B5701">
        <w:rPr>
          <w:szCs w:val="22"/>
          <w:lang w:val="sr-Latn-CS"/>
        </w:rPr>
        <w:t xml:space="preserve"> do maksimalnih </w:t>
      </w:r>
      <w:r w:rsidR="001769C9" w:rsidRPr="006B5701">
        <w:rPr>
          <w:szCs w:val="22"/>
          <w:lang w:val="sr-Latn-CS"/>
        </w:rPr>
        <w:t xml:space="preserve">3,3 mg baze </w:t>
      </w:r>
      <w:r w:rsidR="00D11211" w:rsidRPr="006B5701">
        <w:rPr>
          <w:szCs w:val="22"/>
          <w:lang w:val="sr-Latn-CS"/>
        </w:rPr>
        <w:t>(</w:t>
      </w:r>
      <w:r w:rsidR="001769C9" w:rsidRPr="006B5701">
        <w:rPr>
          <w:szCs w:val="22"/>
          <w:lang w:val="sr-Latn-CS"/>
        </w:rPr>
        <w:t>4,5 mg soli</w:t>
      </w:r>
      <w:r w:rsidR="00D11211" w:rsidRPr="006B5701">
        <w:rPr>
          <w:szCs w:val="22"/>
          <w:lang w:val="sr-Latn-CS"/>
        </w:rPr>
        <w:t>)</w:t>
      </w:r>
      <w:r w:rsidRPr="006B5701">
        <w:rPr>
          <w:szCs w:val="22"/>
          <w:lang w:val="sr-Latn-CS"/>
        </w:rPr>
        <w:t xml:space="preserve"> na dan. Tokom perioda povećavanja doze u pivotalnim studijama, efikasnost je zab</w:t>
      </w:r>
      <w:r w:rsidR="00D035B3">
        <w:rPr>
          <w:szCs w:val="22"/>
          <w:lang w:val="sr-Latn-CS"/>
        </w:rPr>
        <w:t>i</w:t>
      </w:r>
      <w:r w:rsidR="00E125FE" w:rsidRPr="006B5701">
        <w:rPr>
          <w:szCs w:val="22"/>
          <w:lang w:val="sr-Latn-CS"/>
        </w:rPr>
        <w:t>l</w:t>
      </w:r>
      <w:r w:rsidR="00D035B3">
        <w:rPr>
          <w:szCs w:val="22"/>
          <w:lang w:val="sr-Latn-CS"/>
        </w:rPr>
        <w:t>j</w:t>
      </w:r>
      <w:r w:rsidR="00E125FE" w:rsidRPr="006B5701">
        <w:rPr>
          <w:szCs w:val="22"/>
          <w:lang w:val="sr-Latn-CS"/>
        </w:rPr>
        <w:t xml:space="preserve">ežena pri dnevnim dozama </w:t>
      </w:r>
      <w:r w:rsidR="00D11211" w:rsidRPr="006B5701">
        <w:rPr>
          <w:szCs w:val="22"/>
          <w:lang w:val="sr-Latn-CS"/>
        </w:rPr>
        <w:t xml:space="preserve">od </w:t>
      </w:r>
      <w:r w:rsidR="00BD4449" w:rsidRPr="006B5701">
        <w:rPr>
          <w:szCs w:val="22"/>
          <w:lang w:val="sr-Latn-CS"/>
        </w:rPr>
        <w:t xml:space="preserve">1,1 mg baze </w:t>
      </w:r>
      <w:r w:rsidR="00D11211" w:rsidRPr="006B5701">
        <w:rPr>
          <w:szCs w:val="22"/>
          <w:lang w:val="sr-Latn-CS"/>
        </w:rPr>
        <w:t>(</w:t>
      </w:r>
      <w:r w:rsidR="00BD4449" w:rsidRPr="006B5701">
        <w:rPr>
          <w:szCs w:val="22"/>
          <w:lang w:val="sr-Latn-CS"/>
        </w:rPr>
        <w:t>1,5 mg soli</w:t>
      </w:r>
      <w:r w:rsidR="00D11211" w:rsidRPr="006B5701">
        <w:rPr>
          <w:szCs w:val="22"/>
          <w:lang w:val="sr-Latn-CS"/>
        </w:rPr>
        <w:t>).</w:t>
      </w:r>
      <w:r w:rsidRPr="006B5701">
        <w:rPr>
          <w:szCs w:val="22"/>
          <w:lang w:val="sr-Latn-CS"/>
        </w:rPr>
        <w:t xml:space="preserve"> Dalja prilagođavanja doze treba uskladiti sa kliničkim odgovorom i pojavom neželjenih dejstava. U kliničkim ispitivanjima približno 5% pacijena</w:t>
      </w:r>
      <w:r w:rsidR="00E125FE" w:rsidRPr="006B5701">
        <w:rPr>
          <w:szCs w:val="22"/>
          <w:lang w:val="sr-Latn-CS"/>
        </w:rPr>
        <w:t>ta je l</w:t>
      </w:r>
      <w:r w:rsidR="00D035B3">
        <w:rPr>
          <w:szCs w:val="22"/>
          <w:lang w:val="sr-Latn-CS"/>
        </w:rPr>
        <w:t>ij</w:t>
      </w:r>
      <w:r w:rsidR="00E125FE" w:rsidRPr="006B5701">
        <w:rPr>
          <w:szCs w:val="22"/>
          <w:lang w:val="sr-Latn-CS"/>
        </w:rPr>
        <w:t xml:space="preserve">ečeno dozama manjim od </w:t>
      </w:r>
      <w:r w:rsidR="00BD4449" w:rsidRPr="006B5701">
        <w:rPr>
          <w:szCs w:val="22"/>
          <w:lang w:val="sr-Latn-CS"/>
        </w:rPr>
        <w:t xml:space="preserve">1,1 mg baze </w:t>
      </w:r>
      <w:r w:rsidR="00D11211" w:rsidRPr="006B5701">
        <w:rPr>
          <w:szCs w:val="22"/>
          <w:lang w:val="sr-Latn-CS"/>
        </w:rPr>
        <w:t>(</w:t>
      </w:r>
      <w:r w:rsidR="00BD4449" w:rsidRPr="006B5701">
        <w:rPr>
          <w:szCs w:val="22"/>
          <w:lang w:val="sr-Latn-CS"/>
        </w:rPr>
        <w:t>1,5 mg soli</w:t>
      </w:r>
      <w:r w:rsidR="00D11211" w:rsidRPr="006B5701">
        <w:rPr>
          <w:szCs w:val="22"/>
          <w:lang w:val="sr-Latn-CS"/>
        </w:rPr>
        <w:t>).</w:t>
      </w:r>
      <w:r w:rsidRPr="006B5701">
        <w:rPr>
          <w:szCs w:val="22"/>
          <w:lang w:val="sr-Latn-CS"/>
        </w:rPr>
        <w:t xml:space="preserve"> U slučaju uznapredovale Parki</w:t>
      </w:r>
      <w:r w:rsidR="00E125FE" w:rsidRPr="006B5701">
        <w:rPr>
          <w:szCs w:val="22"/>
          <w:lang w:val="sr-Latn-CS"/>
        </w:rPr>
        <w:t xml:space="preserve">nsonove bolesti, doze veće od </w:t>
      </w:r>
      <w:r w:rsidR="00BD4449" w:rsidRPr="006B5701">
        <w:rPr>
          <w:szCs w:val="22"/>
          <w:lang w:val="sr-Latn-CS"/>
        </w:rPr>
        <w:t xml:space="preserve">1,1 mg baze </w:t>
      </w:r>
      <w:r w:rsidR="00D11211" w:rsidRPr="006B5701">
        <w:rPr>
          <w:szCs w:val="22"/>
          <w:lang w:val="sr-Latn-CS"/>
        </w:rPr>
        <w:t>(</w:t>
      </w:r>
      <w:r w:rsidR="00BD4449" w:rsidRPr="006B5701">
        <w:rPr>
          <w:szCs w:val="22"/>
          <w:lang w:val="sr-Latn-CS"/>
        </w:rPr>
        <w:t>1,5 mg soli</w:t>
      </w:r>
      <w:r w:rsidRPr="006B5701">
        <w:rPr>
          <w:szCs w:val="22"/>
          <w:lang w:val="sr-Latn-CS"/>
        </w:rPr>
        <w:t>) na dan mogu da dovedu do dodatne terapijske koristi kod onih pacijenata gde se planira smanjenje doze levodope. Preporučuje se da se doza levodope smanji i tokom povećavanja i tokom terapije održavanja</w:t>
      </w:r>
      <w:r w:rsidR="00D11211" w:rsidRPr="006B5701">
        <w:rPr>
          <w:szCs w:val="22"/>
          <w:lang w:val="sr-Latn-CS"/>
        </w:rPr>
        <w:t xml:space="preserve"> </w:t>
      </w:r>
      <w:r w:rsidR="004077DA" w:rsidRPr="006B5701">
        <w:rPr>
          <w:szCs w:val="22"/>
          <w:lang w:val="sr-Latn-CS"/>
        </w:rPr>
        <w:t>l</w:t>
      </w:r>
      <w:r w:rsidR="00D035B3">
        <w:rPr>
          <w:szCs w:val="22"/>
          <w:lang w:val="sr-Latn-CS"/>
        </w:rPr>
        <w:t>ij</w:t>
      </w:r>
      <w:r w:rsidR="004077DA" w:rsidRPr="006B5701">
        <w:rPr>
          <w:szCs w:val="22"/>
          <w:lang w:val="sr-Latn-CS"/>
        </w:rPr>
        <w:t xml:space="preserve">ekom </w:t>
      </w:r>
      <w:r w:rsidR="008D4CC9">
        <w:rPr>
          <w:bCs/>
          <w:szCs w:val="22"/>
          <w:lang w:val="sr-Latn-CS"/>
        </w:rPr>
        <w:t>Mirapexin</w:t>
      </w:r>
      <w:r w:rsidRPr="006B5701">
        <w:rPr>
          <w:szCs w:val="22"/>
          <w:lang w:val="sr-Latn-CS"/>
        </w:rPr>
        <w:t>, zavisno od individualnog odgovora svakog pacijenta (vid</w:t>
      </w:r>
      <w:r w:rsidR="00D035B3">
        <w:rPr>
          <w:szCs w:val="22"/>
          <w:lang w:val="sr-Latn-CS"/>
        </w:rPr>
        <w:t>j</w:t>
      </w:r>
      <w:r w:rsidRPr="006B5701">
        <w:rPr>
          <w:szCs w:val="22"/>
          <w:lang w:val="sr-Latn-CS"/>
        </w:rPr>
        <w:t>eti od</w:t>
      </w:r>
      <w:r w:rsidR="00D035B3">
        <w:rPr>
          <w:szCs w:val="22"/>
          <w:lang w:val="sr-Latn-CS"/>
        </w:rPr>
        <w:t>j</w:t>
      </w:r>
      <w:r w:rsidRPr="006B5701">
        <w:rPr>
          <w:szCs w:val="22"/>
          <w:lang w:val="sr-Latn-CS"/>
        </w:rPr>
        <w:t>eljak 4.5).</w:t>
      </w:r>
      <w:r w:rsidR="005808C9" w:rsidRPr="006B5701">
        <w:rPr>
          <w:szCs w:val="22"/>
          <w:lang w:val="sr-Latn-CS"/>
        </w:rPr>
        <w:t xml:space="preserve"> </w:t>
      </w:r>
    </w:p>
    <w:p w14:paraId="1BD6DAE7" w14:textId="77777777" w:rsidR="004B21C0" w:rsidRPr="006B5701" w:rsidRDefault="004B21C0" w:rsidP="004B21C0">
      <w:pPr>
        <w:jc w:val="left"/>
        <w:rPr>
          <w:szCs w:val="22"/>
          <w:lang w:val="sr-Latn-CS"/>
        </w:rPr>
      </w:pPr>
    </w:p>
    <w:p w14:paraId="1C988665" w14:textId="77777777" w:rsidR="004B21C0" w:rsidRPr="006B5701" w:rsidRDefault="004B21C0" w:rsidP="004B21C0">
      <w:pPr>
        <w:jc w:val="left"/>
        <w:rPr>
          <w:i/>
          <w:szCs w:val="22"/>
          <w:u w:val="single"/>
          <w:lang w:val="sr-Latn-CS"/>
        </w:rPr>
      </w:pPr>
      <w:r w:rsidRPr="006B5701">
        <w:rPr>
          <w:i/>
          <w:iCs/>
          <w:szCs w:val="22"/>
          <w:u w:val="single"/>
          <w:lang w:val="sr-Latn-CS"/>
        </w:rPr>
        <w:t>Prekid terapije</w:t>
      </w:r>
    </w:p>
    <w:p w14:paraId="22688631" w14:textId="6F142EF2" w:rsidR="004B21C0" w:rsidRPr="006B5701" w:rsidRDefault="004B21C0" w:rsidP="004B21C0">
      <w:pPr>
        <w:jc w:val="left"/>
        <w:rPr>
          <w:szCs w:val="22"/>
          <w:lang w:val="sr-Latn-CS"/>
        </w:rPr>
      </w:pPr>
      <w:r w:rsidRPr="006B5701">
        <w:rPr>
          <w:szCs w:val="22"/>
          <w:lang w:val="sr-Latn-CS"/>
        </w:rPr>
        <w:t xml:space="preserve">Nagli prekid dopaminergičke terapije može da dovede do razvoja </w:t>
      </w:r>
      <w:r w:rsidR="002E1667" w:rsidRPr="006B5701">
        <w:rPr>
          <w:szCs w:val="22"/>
          <w:lang w:val="sr-Latn-CS"/>
        </w:rPr>
        <w:t xml:space="preserve">malignog </w:t>
      </w:r>
      <w:r w:rsidRPr="006B5701">
        <w:rPr>
          <w:szCs w:val="22"/>
          <w:lang w:val="sr-Latn-CS"/>
        </w:rPr>
        <w:t>neuroleptič</w:t>
      </w:r>
      <w:r w:rsidR="002E1667" w:rsidRPr="006B5701">
        <w:rPr>
          <w:szCs w:val="22"/>
          <w:lang w:val="sr-Latn-CS"/>
        </w:rPr>
        <w:t>n</w:t>
      </w:r>
      <w:r w:rsidRPr="006B5701">
        <w:rPr>
          <w:szCs w:val="22"/>
          <w:lang w:val="sr-Latn-CS"/>
        </w:rPr>
        <w:t>og sindroma</w:t>
      </w:r>
      <w:r w:rsidR="0060260B" w:rsidRPr="006B5701">
        <w:rPr>
          <w:szCs w:val="22"/>
          <w:lang w:val="sr-Latn-CS"/>
        </w:rPr>
        <w:t xml:space="preserve"> ili sindrom</w:t>
      </w:r>
      <w:r w:rsidR="000A2098">
        <w:rPr>
          <w:szCs w:val="22"/>
          <w:lang w:val="sr-Latn-CS"/>
        </w:rPr>
        <w:t>a</w:t>
      </w:r>
      <w:r w:rsidR="0060260B" w:rsidRPr="006B5701">
        <w:rPr>
          <w:szCs w:val="22"/>
          <w:lang w:val="sr-Latn-CS"/>
        </w:rPr>
        <w:t xml:space="preserve"> obustave agonista dopamina</w:t>
      </w:r>
      <w:r w:rsidRPr="006B5701">
        <w:rPr>
          <w:szCs w:val="22"/>
          <w:lang w:val="sr-Latn-CS"/>
        </w:rPr>
        <w:t xml:space="preserve">. </w:t>
      </w:r>
      <w:r w:rsidR="0034283E" w:rsidRPr="006B5701">
        <w:rPr>
          <w:szCs w:val="22"/>
          <w:lang w:val="sr-Latn-CS"/>
        </w:rPr>
        <w:t>Dozu p</w:t>
      </w:r>
      <w:r w:rsidRPr="006B5701">
        <w:rPr>
          <w:szCs w:val="22"/>
          <w:lang w:val="sr-Latn-CS"/>
        </w:rPr>
        <w:t>ramipeksol</w:t>
      </w:r>
      <w:r w:rsidR="0034283E" w:rsidRPr="006B5701">
        <w:rPr>
          <w:szCs w:val="22"/>
          <w:lang w:val="sr-Latn-CS"/>
        </w:rPr>
        <w:t>a</w:t>
      </w:r>
      <w:r w:rsidRPr="006B5701">
        <w:rPr>
          <w:szCs w:val="22"/>
          <w:lang w:val="sr-Latn-CS"/>
        </w:rPr>
        <w:t xml:space="preserve"> treba </w:t>
      </w:r>
      <w:r w:rsidR="0034283E" w:rsidRPr="006B5701">
        <w:rPr>
          <w:szCs w:val="22"/>
          <w:lang w:val="sr-Latn-CS"/>
        </w:rPr>
        <w:t>postepeno smanjivati za</w:t>
      </w:r>
      <w:r w:rsidRPr="006B5701">
        <w:rPr>
          <w:szCs w:val="22"/>
          <w:lang w:val="sr-Latn-CS"/>
        </w:rPr>
        <w:t xml:space="preserve"> po </w:t>
      </w:r>
      <w:r w:rsidR="009848CD" w:rsidRPr="006B5701">
        <w:rPr>
          <w:szCs w:val="22"/>
          <w:lang w:val="sr-Latn-CS"/>
        </w:rPr>
        <w:t xml:space="preserve">0,54 mg baze </w:t>
      </w:r>
      <w:r w:rsidR="00D11211" w:rsidRPr="006B5701">
        <w:rPr>
          <w:szCs w:val="22"/>
          <w:lang w:val="sr-Latn-CS"/>
        </w:rPr>
        <w:t>(</w:t>
      </w:r>
      <w:r w:rsidR="009848CD" w:rsidRPr="006B5701">
        <w:rPr>
          <w:szCs w:val="22"/>
          <w:lang w:val="sr-Latn-CS"/>
        </w:rPr>
        <w:t>0,75 mg soli</w:t>
      </w:r>
      <w:r w:rsidR="00D11211" w:rsidRPr="006B5701">
        <w:rPr>
          <w:szCs w:val="22"/>
          <w:lang w:val="sr-Latn-CS"/>
        </w:rPr>
        <w:t>)</w:t>
      </w:r>
      <w:r w:rsidRPr="006B5701">
        <w:rPr>
          <w:szCs w:val="22"/>
          <w:lang w:val="sr-Latn-CS"/>
        </w:rPr>
        <w:t xml:space="preserve"> na dan, dok se dnevna doza ne smanji </w:t>
      </w:r>
      <w:r w:rsidR="00D11211" w:rsidRPr="006B5701">
        <w:rPr>
          <w:szCs w:val="22"/>
          <w:lang w:val="sr-Latn-CS"/>
        </w:rPr>
        <w:t xml:space="preserve">na </w:t>
      </w:r>
      <w:r w:rsidR="009848CD" w:rsidRPr="006B5701">
        <w:rPr>
          <w:szCs w:val="22"/>
          <w:lang w:val="sr-Latn-CS"/>
        </w:rPr>
        <w:t xml:space="preserve">0,54 mg baze </w:t>
      </w:r>
      <w:r w:rsidR="00D11211" w:rsidRPr="006B5701">
        <w:rPr>
          <w:szCs w:val="22"/>
          <w:lang w:val="sr-Latn-CS"/>
        </w:rPr>
        <w:t>(</w:t>
      </w:r>
      <w:r w:rsidR="009848CD" w:rsidRPr="006B5701">
        <w:rPr>
          <w:szCs w:val="22"/>
          <w:lang w:val="sr-Latn-CS"/>
        </w:rPr>
        <w:t>0,75 mg soli</w:t>
      </w:r>
      <w:r w:rsidR="00D11211" w:rsidRPr="006B5701">
        <w:rPr>
          <w:szCs w:val="22"/>
          <w:lang w:val="sr-Latn-CS"/>
        </w:rPr>
        <w:t>),</w:t>
      </w:r>
      <w:r w:rsidRPr="006B5701">
        <w:rPr>
          <w:szCs w:val="22"/>
          <w:lang w:val="sr-Latn-CS"/>
        </w:rPr>
        <w:t xml:space="preserve"> a tada dozu smanjivati za </w:t>
      </w:r>
      <w:r w:rsidR="00E125FE" w:rsidRPr="006B5701">
        <w:rPr>
          <w:szCs w:val="22"/>
          <w:lang w:val="sr-Latn-CS"/>
        </w:rPr>
        <w:t xml:space="preserve">po </w:t>
      </w:r>
      <w:r w:rsidR="009848CD" w:rsidRPr="006B5701">
        <w:rPr>
          <w:szCs w:val="22"/>
          <w:lang w:val="sr-Latn-CS"/>
        </w:rPr>
        <w:t xml:space="preserve">0,264 mg baze </w:t>
      </w:r>
      <w:r w:rsidR="00D11211" w:rsidRPr="006B5701">
        <w:rPr>
          <w:szCs w:val="22"/>
          <w:lang w:val="sr-Latn-CS"/>
        </w:rPr>
        <w:t>(</w:t>
      </w:r>
      <w:r w:rsidR="009848CD" w:rsidRPr="006B5701">
        <w:rPr>
          <w:szCs w:val="22"/>
          <w:lang w:val="sr-Latn-CS"/>
        </w:rPr>
        <w:t>0,375 mg soli</w:t>
      </w:r>
      <w:r w:rsidR="00D11211" w:rsidRPr="006B5701">
        <w:rPr>
          <w:szCs w:val="22"/>
          <w:lang w:val="sr-Latn-CS"/>
        </w:rPr>
        <w:t>)</w:t>
      </w:r>
      <w:r w:rsidRPr="006B5701">
        <w:rPr>
          <w:szCs w:val="22"/>
          <w:lang w:val="sr-Latn-CS"/>
        </w:rPr>
        <w:t xml:space="preserve"> dnevno (vid</w:t>
      </w:r>
      <w:r w:rsidR="00D035B3">
        <w:rPr>
          <w:szCs w:val="22"/>
          <w:lang w:val="sr-Latn-CS"/>
        </w:rPr>
        <w:t>j</w:t>
      </w:r>
      <w:r w:rsidRPr="006B5701">
        <w:rPr>
          <w:szCs w:val="22"/>
          <w:lang w:val="sr-Latn-CS"/>
        </w:rPr>
        <w:t>eti od</w:t>
      </w:r>
      <w:r w:rsidR="00D035B3">
        <w:rPr>
          <w:szCs w:val="22"/>
          <w:lang w:val="sr-Latn-CS"/>
        </w:rPr>
        <w:t>j</w:t>
      </w:r>
      <w:r w:rsidRPr="006B5701">
        <w:rPr>
          <w:szCs w:val="22"/>
          <w:lang w:val="sr-Latn-CS"/>
        </w:rPr>
        <w:t>eljak 4.4).</w:t>
      </w:r>
      <w:r w:rsidR="0060260B" w:rsidRPr="006B5701">
        <w:rPr>
          <w:szCs w:val="22"/>
          <w:lang w:val="sr-Latn-CS"/>
        </w:rPr>
        <w:t xml:space="preserve"> Sindrom obustave agonista dopamina može se pojaviti i tokom postepenog smanjivanja doze, pa može da bude potrebno privremeno povećanje doze pr</w:t>
      </w:r>
      <w:r w:rsidR="00D035B3">
        <w:rPr>
          <w:szCs w:val="22"/>
          <w:lang w:val="sr-Latn-CS"/>
        </w:rPr>
        <w:t>ij</w:t>
      </w:r>
      <w:r w:rsidR="0060260B" w:rsidRPr="006B5701">
        <w:rPr>
          <w:szCs w:val="22"/>
          <w:lang w:val="sr-Latn-CS"/>
        </w:rPr>
        <w:t xml:space="preserve">e nego što se nastavi s postepenim </w:t>
      </w:r>
      <w:r w:rsidR="0060260B" w:rsidRPr="0008310E">
        <w:rPr>
          <w:szCs w:val="22"/>
          <w:lang w:val="sr-Latn-CS"/>
        </w:rPr>
        <w:t>smanjenjem d</w:t>
      </w:r>
      <w:r w:rsidR="0060260B" w:rsidRPr="006B5701">
        <w:rPr>
          <w:szCs w:val="22"/>
          <w:lang w:val="sr-Latn-CS"/>
        </w:rPr>
        <w:t>oze (</w:t>
      </w:r>
      <w:r w:rsidR="00CD139A">
        <w:rPr>
          <w:szCs w:val="22"/>
          <w:lang w:val="sr-Latn-CS"/>
        </w:rPr>
        <w:t>vid</w:t>
      </w:r>
      <w:r w:rsidR="00D035B3">
        <w:rPr>
          <w:szCs w:val="22"/>
          <w:lang w:val="sr-Latn-CS"/>
        </w:rPr>
        <w:t>j</w:t>
      </w:r>
      <w:r w:rsidR="00CD139A">
        <w:rPr>
          <w:szCs w:val="22"/>
          <w:lang w:val="sr-Latn-CS"/>
        </w:rPr>
        <w:t xml:space="preserve">eti </w:t>
      </w:r>
      <w:r w:rsidR="0060260B" w:rsidRPr="006B5701">
        <w:rPr>
          <w:szCs w:val="22"/>
          <w:lang w:val="sr-Latn-CS"/>
        </w:rPr>
        <w:t>od</w:t>
      </w:r>
      <w:r w:rsidR="00D035B3">
        <w:rPr>
          <w:szCs w:val="22"/>
          <w:lang w:val="sr-Latn-CS"/>
        </w:rPr>
        <w:t>j</w:t>
      </w:r>
      <w:r w:rsidR="0060260B" w:rsidRPr="006B5701">
        <w:rPr>
          <w:szCs w:val="22"/>
          <w:lang w:val="sr-Latn-CS"/>
        </w:rPr>
        <w:t>eljak 4.4).</w:t>
      </w:r>
    </w:p>
    <w:p w14:paraId="1EF0D3CE" w14:textId="77777777" w:rsidR="004B21C0" w:rsidRPr="006B5701" w:rsidRDefault="004B21C0" w:rsidP="004B21C0">
      <w:pPr>
        <w:jc w:val="left"/>
        <w:rPr>
          <w:szCs w:val="22"/>
          <w:lang w:val="sr-Latn-CS"/>
        </w:rPr>
      </w:pPr>
    </w:p>
    <w:p w14:paraId="17FA3CB0" w14:textId="0808AD42" w:rsidR="004B21C0" w:rsidRPr="006B5701" w:rsidRDefault="001C7DAE" w:rsidP="004B21C0">
      <w:pPr>
        <w:jc w:val="left"/>
        <w:rPr>
          <w:i/>
          <w:szCs w:val="22"/>
          <w:u w:val="single"/>
          <w:lang w:val="sr-Latn-CS"/>
        </w:rPr>
      </w:pPr>
      <w:r>
        <w:rPr>
          <w:i/>
          <w:iCs/>
          <w:szCs w:val="22"/>
          <w:u w:val="single"/>
          <w:lang w:val="sr-Latn-CS"/>
        </w:rPr>
        <w:t>O</w:t>
      </w:r>
      <w:r w:rsidR="000E08A6" w:rsidRPr="006B5701">
        <w:rPr>
          <w:i/>
          <w:iCs/>
          <w:szCs w:val="22"/>
          <w:u w:val="single"/>
          <w:lang w:val="sr-Latn-CS"/>
        </w:rPr>
        <w:t>štećenje funkcije bubrega</w:t>
      </w:r>
    </w:p>
    <w:p w14:paraId="75F6DDE9" w14:textId="7459E9A1" w:rsidR="004B21C0" w:rsidRPr="006B5701" w:rsidRDefault="004B21C0" w:rsidP="004B21C0">
      <w:pPr>
        <w:jc w:val="left"/>
        <w:rPr>
          <w:szCs w:val="22"/>
          <w:lang w:val="sr-Latn-CS"/>
        </w:rPr>
      </w:pPr>
      <w:r w:rsidRPr="006B5701">
        <w:rPr>
          <w:szCs w:val="22"/>
          <w:lang w:val="sr-Latn-CS"/>
        </w:rPr>
        <w:t>Eliminacija pramipeksola zavisi od bubrežne funkcije. Za započinjanje terapije preporučuje se sl</w:t>
      </w:r>
      <w:r w:rsidR="00D035B3">
        <w:rPr>
          <w:szCs w:val="22"/>
          <w:lang w:val="sr-Latn-CS"/>
        </w:rPr>
        <w:t>j</w:t>
      </w:r>
      <w:r w:rsidRPr="006B5701">
        <w:rPr>
          <w:szCs w:val="22"/>
          <w:lang w:val="sr-Latn-CS"/>
        </w:rPr>
        <w:t xml:space="preserve">edeća šema doziranja: </w:t>
      </w:r>
    </w:p>
    <w:p w14:paraId="1AAC39C5" w14:textId="77777777" w:rsidR="004B21C0" w:rsidRPr="006B5701" w:rsidRDefault="004B21C0" w:rsidP="004B21C0">
      <w:pPr>
        <w:jc w:val="left"/>
        <w:rPr>
          <w:szCs w:val="22"/>
          <w:lang w:val="sr-Latn-CS"/>
        </w:rPr>
      </w:pPr>
    </w:p>
    <w:p w14:paraId="5C30F370" w14:textId="77777777" w:rsidR="004B21C0" w:rsidRPr="006B5701" w:rsidRDefault="004B21C0" w:rsidP="004B21C0">
      <w:pPr>
        <w:jc w:val="left"/>
        <w:rPr>
          <w:szCs w:val="22"/>
          <w:lang w:val="sr-Latn-CS"/>
        </w:rPr>
      </w:pPr>
      <w:r w:rsidRPr="006B5701">
        <w:rPr>
          <w:szCs w:val="22"/>
          <w:lang w:val="sr-Latn-CS"/>
        </w:rPr>
        <w:lastRenderedPageBreak/>
        <w:t>Pacijentima sa klirensom kreatinina preko 50 mL/min nije potrebno smanjenje dnevne doze ni učestalosti doziranja.</w:t>
      </w:r>
    </w:p>
    <w:p w14:paraId="5CF7E45B" w14:textId="77777777" w:rsidR="004B21C0" w:rsidRPr="006B5701" w:rsidRDefault="004B21C0" w:rsidP="004B21C0">
      <w:pPr>
        <w:jc w:val="left"/>
        <w:rPr>
          <w:szCs w:val="22"/>
          <w:lang w:val="sr-Latn-CS"/>
        </w:rPr>
      </w:pPr>
    </w:p>
    <w:p w14:paraId="2D005AA4" w14:textId="069CCD79" w:rsidR="004B21C0" w:rsidRPr="006B5701" w:rsidRDefault="004B21C0" w:rsidP="004B21C0">
      <w:pPr>
        <w:jc w:val="left"/>
        <w:rPr>
          <w:szCs w:val="22"/>
          <w:lang w:val="sr-Latn-CS"/>
        </w:rPr>
      </w:pPr>
      <w:r w:rsidRPr="006B5701">
        <w:rPr>
          <w:szCs w:val="22"/>
          <w:lang w:val="sr-Latn-CS"/>
        </w:rPr>
        <w:t xml:space="preserve">Kod pacijenata kod kojih je klirens kreatinina između 20 i 50 mL/min, inicijalnu dnevnu dozu </w:t>
      </w:r>
      <w:r w:rsidR="000E08A6" w:rsidRPr="006B5701">
        <w:rPr>
          <w:szCs w:val="22"/>
          <w:lang w:val="sr-Latn-CS"/>
        </w:rPr>
        <w:t>l</w:t>
      </w:r>
      <w:r w:rsidR="00D035B3">
        <w:rPr>
          <w:szCs w:val="22"/>
          <w:lang w:val="sr-Latn-CS"/>
        </w:rPr>
        <w:t>ij</w:t>
      </w:r>
      <w:r w:rsidR="000E08A6" w:rsidRPr="006B5701">
        <w:rPr>
          <w:szCs w:val="22"/>
          <w:lang w:val="sr-Latn-CS"/>
        </w:rPr>
        <w:t xml:space="preserve">eka </w:t>
      </w:r>
      <w:r w:rsidR="008D4CC9">
        <w:rPr>
          <w:bCs/>
          <w:szCs w:val="22"/>
          <w:lang w:val="sr-Latn-CS"/>
        </w:rPr>
        <w:t>Mirapexin</w:t>
      </w:r>
      <w:r w:rsidRPr="006B5701">
        <w:rPr>
          <w:szCs w:val="22"/>
          <w:lang w:val="sr-Latn-CS"/>
        </w:rPr>
        <w:t xml:space="preserve"> treba dati u d</w:t>
      </w:r>
      <w:r w:rsidR="00A80A0F" w:rsidRPr="006B5701">
        <w:rPr>
          <w:szCs w:val="22"/>
          <w:lang w:val="sr-Latn-CS"/>
        </w:rPr>
        <w:t>v</w:t>
      </w:r>
      <w:r w:rsidR="00D035B3">
        <w:rPr>
          <w:szCs w:val="22"/>
          <w:lang w:val="sr-Latn-CS"/>
        </w:rPr>
        <w:t>ij</w:t>
      </w:r>
      <w:r w:rsidR="00A80A0F" w:rsidRPr="006B5701">
        <w:rPr>
          <w:szCs w:val="22"/>
          <w:lang w:val="sr-Latn-CS"/>
        </w:rPr>
        <w:t>e pod</w:t>
      </w:r>
      <w:r w:rsidR="00D035B3">
        <w:rPr>
          <w:szCs w:val="22"/>
          <w:lang w:val="sr-Latn-CS"/>
        </w:rPr>
        <w:t>ij</w:t>
      </w:r>
      <w:r w:rsidR="00A80A0F" w:rsidRPr="006B5701">
        <w:rPr>
          <w:szCs w:val="22"/>
          <w:lang w:val="sr-Latn-CS"/>
        </w:rPr>
        <w:t xml:space="preserve">eljene doze, počevši od </w:t>
      </w:r>
      <w:r w:rsidR="003C784F" w:rsidRPr="006B5701">
        <w:rPr>
          <w:szCs w:val="22"/>
          <w:lang w:val="sr-Latn-CS"/>
        </w:rPr>
        <w:t xml:space="preserve">0,088 mg baze </w:t>
      </w:r>
      <w:r w:rsidR="00D11211" w:rsidRPr="006B5701">
        <w:rPr>
          <w:szCs w:val="22"/>
          <w:lang w:val="sr-Latn-CS"/>
        </w:rPr>
        <w:t>(</w:t>
      </w:r>
      <w:r w:rsidR="003C784F" w:rsidRPr="006B5701">
        <w:rPr>
          <w:szCs w:val="22"/>
          <w:lang w:val="sr-Latn-CS"/>
        </w:rPr>
        <w:t>0,125 mg soli</w:t>
      </w:r>
      <w:r w:rsidR="00D11211" w:rsidRPr="006B5701">
        <w:rPr>
          <w:szCs w:val="22"/>
          <w:lang w:val="sr-Latn-CS"/>
        </w:rPr>
        <w:t>)</w:t>
      </w:r>
      <w:r w:rsidRPr="006B5701">
        <w:rPr>
          <w:szCs w:val="22"/>
          <w:lang w:val="sr-Latn-CS"/>
        </w:rPr>
        <w:t xml:space="preserve"> dva puta</w:t>
      </w:r>
      <w:r w:rsidR="00A80A0F" w:rsidRPr="006B5701">
        <w:rPr>
          <w:szCs w:val="22"/>
          <w:lang w:val="sr-Latn-CS"/>
        </w:rPr>
        <w:t xml:space="preserve"> na dan </w:t>
      </w:r>
      <w:r w:rsidR="00D11211" w:rsidRPr="006B5701">
        <w:rPr>
          <w:szCs w:val="22"/>
          <w:lang w:val="sr-Latn-CS"/>
        </w:rPr>
        <w:t>(</w:t>
      </w:r>
      <w:r w:rsidR="003C784F" w:rsidRPr="006B5701">
        <w:rPr>
          <w:szCs w:val="22"/>
          <w:lang w:val="sr-Latn-CS"/>
        </w:rPr>
        <w:t>0,176 mg baze dnevno</w:t>
      </w:r>
      <w:r w:rsidR="00D11211" w:rsidRPr="006B5701">
        <w:rPr>
          <w:szCs w:val="22"/>
          <w:lang w:val="sr-Latn-CS"/>
        </w:rPr>
        <w:t>/</w:t>
      </w:r>
      <w:r w:rsidR="003C784F" w:rsidRPr="006B5701">
        <w:rPr>
          <w:szCs w:val="22"/>
          <w:lang w:val="sr-Latn-CS"/>
        </w:rPr>
        <w:t>0,25 mg soli</w:t>
      </w:r>
      <w:r w:rsidR="00D11211" w:rsidRPr="006B5701">
        <w:rPr>
          <w:szCs w:val="22"/>
          <w:lang w:val="sr-Latn-CS"/>
        </w:rPr>
        <w:t>).</w:t>
      </w:r>
      <w:r w:rsidR="00A80A0F" w:rsidRPr="006B5701">
        <w:rPr>
          <w:szCs w:val="22"/>
          <w:lang w:val="sr-Latn-CS"/>
        </w:rPr>
        <w:t xml:space="preserve"> Maksimalna dnevna doza od </w:t>
      </w:r>
      <w:r w:rsidR="00EA2A33" w:rsidRPr="006B5701">
        <w:rPr>
          <w:szCs w:val="22"/>
          <w:lang w:val="sr-Latn-CS"/>
        </w:rPr>
        <w:t xml:space="preserve">1,57 mg </w:t>
      </w:r>
      <w:r w:rsidR="00D11211" w:rsidRPr="006B5701">
        <w:rPr>
          <w:szCs w:val="22"/>
          <w:lang w:val="sr-Latn-CS"/>
        </w:rPr>
        <w:t xml:space="preserve">pramipeksola u obliku </w:t>
      </w:r>
      <w:r w:rsidR="00EA2A33" w:rsidRPr="006B5701">
        <w:rPr>
          <w:szCs w:val="22"/>
          <w:lang w:val="sr-Latn-CS"/>
        </w:rPr>
        <w:t xml:space="preserve">baze </w:t>
      </w:r>
      <w:r w:rsidR="00D11211" w:rsidRPr="006B5701">
        <w:rPr>
          <w:szCs w:val="22"/>
          <w:lang w:val="sr-Latn-CS"/>
        </w:rPr>
        <w:t>(</w:t>
      </w:r>
      <w:r w:rsidR="00EA2A33" w:rsidRPr="006B5701">
        <w:rPr>
          <w:szCs w:val="22"/>
          <w:lang w:val="sr-Latn-CS"/>
        </w:rPr>
        <w:t>2,25 mg soli</w:t>
      </w:r>
      <w:r w:rsidRPr="006B5701">
        <w:rPr>
          <w:szCs w:val="22"/>
          <w:lang w:val="sr-Latn-CS"/>
        </w:rPr>
        <w:t xml:space="preserve">), ne treba da bude prekoračena. </w:t>
      </w:r>
    </w:p>
    <w:p w14:paraId="01A2086B" w14:textId="77777777" w:rsidR="004B21C0" w:rsidRPr="006B5701" w:rsidRDefault="004B21C0" w:rsidP="004B21C0">
      <w:pPr>
        <w:jc w:val="left"/>
        <w:rPr>
          <w:szCs w:val="22"/>
          <w:lang w:val="sr-Latn-CS"/>
        </w:rPr>
      </w:pPr>
    </w:p>
    <w:p w14:paraId="4029A53F" w14:textId="726752D8" w:rsidR="004B21C0" w:rsidRPr="006B5701" w:rsidRDefault="004B21C0" w:rsidP="004B21C0">
      <w:pPr>
        <w:jc w:val="left"/>
        <w:rPr>
          <w:szCs w:val="22"/>
          <w:lang w:val="sr-Latn-CS"/>
        </w:rPr>
      </w:pPr>
      <w:r w:rsidRPr="006B5701">
        <w:rPr>
          <w:szCs w:val="22"/>
          <w:lang w:val="sr-Latn-CS"/>
        </w:rPr>
        <w:t xml:space="preserve">Kod pacijenata kojima je klirens kreatinina ispod 20 mL/min, dnevna doza </w:t>
      </w:r>
      <w:r w:rsidR="00C22AA4" w:rsidRPr="006B5701">
        <w:rPr>
          <w:szCs w:val="22"/>
          <w:lang w:val="sr-Latn-CS"/>
        </w:rPr>
        <w:t>l</w:t>
      </w:r>
      <w:r w:rsidR="00D035B3">
        <w:rPr>
          <w:szCs w:val="22"/>
          <w:lang w:val="sr-Latn-CS"/>
        </w:rPr>
        <w:t>ij</w:t>
      </w:r>
      <w:r w:rsidR="00C22AA4" w:rsidRPr="006B5701">
        <w:rPr>
          <w:szCs w:val="22"/>
          <w:lang w:val="sr-Latn-CS"/>
        </w:rPr>
        <w:t xml:space="preserve">eka </w:t>
      </w:r>
      <w:r w:rsidR="008D4CC9">
        <w:rPr>
          <w:bCs/>
          <w:szCs w:val="22"/>
          <w:lang w:val="sr-Latn-CS"/>
        </w:rPr>
        <w:t>Mirapexin</w:t>
      </w:r>
      <w:r w:rsidRPr="006B5701">
        <w:rPr>
          <w:szCs w:val="22"/>
          <w:lang w:val="sr-Latn-CS"/>
        </w:rPr>
        <w:t xml:space="preserve"> treba da se daje k</w:t>
      </w:r>
      <w:r w:rsidR="004A6567" w:rsidRPr="006B5701">
        <w:rPr>
          <w:szCs w:val="22"/>
          <w:lang w:val="sr-Latn-CS"/>
        </w:rPr>
        <w:t xml:space="preserve">ao jedna doza i to počevši od </w:t>
      </w:r>
      <w:r w:rsidR="009E7D2B" w:rsidRPr="006B5701">
        <w:rPr>
          <w:szCs w:val="22"/>
          <w:lang w:val="sr-Latn-CS"/>
        </w:rPr>
        <w:t xml:space="preserve">0,088 mg baze </w:t>
      </w:r>
      <w:r w:rsidR="00D11211" w:rsidRPr="006B5701">
        <w:rPr>
          <w:szCs w:val="22"/>
          <w:lang w:val="sr-Latn-CS"/>
        </w:rPr>
        <w:t>(</w:t>
      </w:r>
      <w:r w:rsidR="009E7D2B" w:rsidRPr="006B5701">
        <w:rPr>
          <w:szCs w:val="22"/>
          <w:lang w:val="sr-Latn-CS"/>
        </w:rPr>
        <w:t>0,125 mg soli</w:t>
      </w:r>
      <w:r w:rsidRPr="006B5701">
        <w:rPr>
          <w:szCs w:val="22"/>
          <w:lang w:val="sr-Latn-CS"/>
        </w:rPr>
        <w:t>) na d</w:t>
      </w:r>
      <w:r w:rsidR="004A6567" w:rsidRPr="006B5701">
        <w:rPr>
          <w:szCs w:val="22"/>
          <w:lang w:val="sr-Latn-CS"/>
        </w:rPr>
        <w:t xml:space="preserve">an. Maksimalna dnevna doza </w:t>
      </w:r>
      <w:r w:rsidR="00D11211" w:rsidRPr="006B5701">
        <w:rPr>
          <w:szCs w:val="22"/>
          <w:lang w:val="sr-Latn-CS"/>
        </w:rPr>
        <w:t xml:space="preserve">od </w:t>
      </w:r>
      <w:r w:rsidR="009E7D2B" w:rsidRPr="006B5701">
        <w:rPr>
          <w:szCs w:val="22"/>
          <w:lang w:val="sr-Latn-CS"/>
        </w:rPr>
        <w:t xml:space="preserve">1,1 mg baze </w:t>
      </w:r>
      <w:r w:rsidR="00D11211" w:rsidRPr="006B5701">
        <w:rPr>
          <w:szCs w:val="22"/>
          <w:lang w:val="sr-Latn-CS"/>
        </w:rPr>
        <w:t>(</w:t>
      </w:r>
      <w:r w:rsidR="009E7D2B" w:rsidRPr="006B5701">
        <w:rPr>
          <w:szCs w:val="22"/>
          <w:lang w:val="sr-Latn-CS"/>
        </w:rPr>
        <w:t>1,5 mg soli</w:t>
      </w:r>
      <w:r w:rsidR="00D11211" w:rsidRPr="006B5701">
        <w:rPr>
          <w:szCs w:val="22"/>
          <w:lang w:val="sr-Latn-CS"/>
        </w:rPr>
        <w:t>)</w:t>
      </w:r>
      <w:r w:rsidRPr="006B5701">
        <w:rPr>
          <w:szCs w:val="22"/>
          <w:lang w:val="sr-Latn-CS"/>
        </w:rPr>
        <w:t xml:space="preserve"> pramipeksola, ne treba da bude prekoračena.</w:t>
      </w:r>
      <w:r w:rsidR="009E7D2B" w:rsidRPr="006B5701">
        <w:rPr>
          <w:szCs w:val="22"/>
          <w:lang w:val="sr-Latn-CS"/>
        </w:rPr>
        <w:t xml:space="preserve"> </w:t>
      </w:r>
      <w:r w:rsidR="00920DE5" w:rsidRPr="006B5701">
        <w:rPr>
          <w:szCs w:val="22"/>
          <w:lang w:val="sr-Latn-CS"/>
        </w:rPr>
        <w:t xml:space="preserve"> </w:t>
      </w:r>
      <w:r w:rsidR="008D4CC9">
        <w:rPr>
          <w:szCs w:val="22"/>
          <w:lang w:val="sr-Latn-CS"/>
        </w:rPr>
        <w:t xml:space="preserve"> </w:t>
      </w:r>
    </w:p>
    <w:p w14:paraId="18B53A75" w14:textId="77777777" w:rsidR="004B21C0" w:rsidRPr="006B5701" w:rsidRDefault="004B21C0" w:rsidP="004B21C0">
      <w:pPr>
        <w:jc w:val="left"/>
        <w:rPr>
          <w:szCs w:val="22"/>
          <w:lang w:val="sr-Latn-CS"/>
        </w:rPr>
      </w:pPr>
    </w:p>
    <w:p w14:paraId="7B904DE7" w14:textId="054410CE" w:rsidR="004B21C0" w:rsidRPr="006B5701" w:rsidRDefault="004B21C0" w:rsidP="004B21C0">
      <w:pPr>
        <w:jc w:val="left"/>
        <w:rPr>
          <w:iCs/>
          <w:szCs w:val="22"/>
          <w:u w:val="single"/>
          <w:lang w:val="sr-Latn-CS"/>
        </w:rPr>
      </w:pPr>
      <w:r w:rsidRPr="006B5701">
        <w:rPr>
          <w:szCs w:val="22"/>
          <w:lang w:val="sr-Latn-CS"/>
        </w:rPr>
        <w:t>Ako bubrežna funkcija tokom terapije održavanja počne da slabi,</w:t>
      </w:r>
      <w:r w:rsidR="000A0BAD" w:rsidRPr="006B5701">
        <w:rPr>
          <w:szCs w:val="22"/>
          <w:lang w:val="sr-Latn-CS"/>
        </w:rPr>
        <w:t xml:space="preserve"> potrebno je</w:t>
      </w:r>
      <w:r w:rsidRPr="006B5701">
        <w:rPr>
          <w:szCs w:val="22"/>
          <w:lang w:val="sr-Latn-CS"/>
        </w:rPr>
        <w:t xml:space="preserve"> smanjiti dnevnu dozu </w:t>
      </w:r>
      <w:r w:rsidR="00AE7897" w:rsidRPr="006B5701">
        <w:rPr>
          <w:szCs w:val="22"/>
          <w:lang w:val="sr-Latn-CS"/>
        </w:rPr>
        <w:t>l</w:t>
      </w:r>
      <w:r w:rsidR="00D035B3">
        <w:rPr>
          <w:szCs w:val="22"/>
          <w:lang w:val="sr-Latn-CS"/>
        </w:rPr>
        <w:t>ij</w:t>
      </w:r>
      <w:r w:rsidR="00AE7897" w:rsidRPr="006B5701">
        <w:rPr>
          <w:szCs w:val="22"/>
          <w:lang w:val="sr-Latn-CS"/>
        </w:rPr>
        <w:t xml:space="preserve">eka </w:t>
      </w:r>
      <w:r w:rsidR="0083579A">
        <w:rPr>
          <w:bCs/>
          <w:szCs w:val="22"/>
          <w:lang w:val="sr-Latn-CS"/>
        </w:rPr>
        <w:t>Mirapexin</w:t>
      </w:r>
      <w:r w:rsidRPr="006B5701">
        <w:rPr>
          <w:szCs w:val="22"/>
          <w:lang w:val="sr-Latn-CS"/>
        </w:rPr>
        <w:t xml:space="preserve"> za isti procenat za koji je smanjen klirens kreatinina, npr. ako klirens kreatinina opadne za 30%, onda i dnevnu dozu </w:t>
      </w:r>
      <w:r w:rsidR="003169F3" w:rsidRPr="006B5701">
        <w:rPr>
          <w:szCs w:val="22"/>
          <w:lang w:val="sr-Latn-CS"/>
        </w:rPr>
        <w:t>l</w:t>
      </w:r>
      <w:r w:rsidR="00D035B3">
        <w:rPr>
          <w:szCs w:val="22"/>
          <w:lang w:val="sr-Latn-CS"/>
        </w:rPr>
        <w:t>ij</w:t>
      </w:r>
      <w:r w:rsidR="003169F3" w:rsidRPr="006B5701">
        <w:rPr>
          <w:szCs w:val="22"/>
          <w:lang w:val="sr-Latn-CS"/>
        </w:rPr>
        <w:t xml:space="preserve">eka </w:t>
      </w:r>
      <w:r w:rsidR="0083579A">
        <w:rPr>
          <w:bCs/>
          <w:szCs w:val="22"/>
          <w:lang w:val="sr-Latn-CS"/>
        </w:rPr>
        <w:t>Mirapexin</w:t>
      </w:r>
      <w:r w:rsidRPr="006B5701">
        <w:rPr>
          <w:szCs w:val="22"/>
          <w:lang w:val="sr-Latn-CS"/>
        </w:rPr>
        <w:t xml:space="preserve"> treba smanjiti za 30%. </w:t>
      </w:r>
      <w:r w:rsidR="00920DE5" w:rsidRPr="006B5701">
        <w:rPr>
          <w:szCs w:val="22"/>
          <w:lang w:val="sr-Latn-CS"/>
        </w:rPr>
        <w:t>D</w:t>
      </w:r>
      <w:r w:rsidRPr="006B5701">
        <w:rPr>
          <w:szCs w:val="22"/>
          <w:lang w:val="sr-Latn-CS"/>
        </w:rPr>
        <w:t>nevna doza se može davati u dv</w:t>
      </w:r>
      <w:r w:rsidR="00D035B3">
        <w:rPr>
          <w:szCs w:val="22"/>
          <w:lang w:val="sr-Latn-CS"/>
        </w:rPr>
        <w:t>ij</w:t>
      </w:r>
      <w:r w:rsidRPr="006B5701">
        <w:rPr>
          <w:szCs w:val="22"/>
          <w:lang w:val="sr-Latn-CS"/>
        </w:rPr>
        <w:t>e pod</w:t>
      </w:r>
      <w:r w:rsidR="00D035B3">
        <w:rPr>
          <w:szCs w:val="22"/>
          <w:lang w:val="sr-Latn-CS"/>
        </w:rPr>
        <w:t>ij</w:t>
      </w:r>
      <w:r w:rsidRPr="006B5701">
        <w:rPr>
          <w:szCs w:val="22"/>
          <w:lang w:val="sr-Latn-CS"/>
        </w:rPr>
        <w:t>eljene doze, ako je klirens kreatinina između 20 i 50 mL/min, a kao samo jedna dnevna doza, ako je klirens kreatinina manji od 20 mL/min.</w:t>
      </w:r>
      <w:r w:rsidR="0083579A">
        <w:rPr>
          <w:szCs w:val="22"/>
          <w:lang w:val="sr-Latn-CS"/>
        </w:rPr>
        <w:t xml:space="preserve">  </w:t>
      </w:r>
    </w:p>
    <w:p w14:paraId="6A0987FC" w14:textId="77777777" w:rsidR="004B21C0" w:rsidRPr="006B5701" w:rsidRDefault="004B21C0" w:rsidP="004B21C0">
      <w:pPr>
        <w:jc w:val="left"/>
        <w:rPr>
          <w:iCs/>
          <w:szCs w:val="22"/>
          <w:u w:val="single"/>
          <w:lang w:val="sr-Latn-CS"/>
        </w:rPr>
      </w:pPr>
    </w:p>
    <w:p w14:paraId="0AB2AC23" w14:textId="77777777" w:rsidR="004B21C0" w:rsidRPr="006B5701" w:rsidRDefault="004B21C0" w:rsidP="004B21C0">
      <w:pPr>
        <w:jc w:val="left"/>
        <w:rPr>
          <w:i/>
          <w:szCs w:val="22"/>
          <w:u w:val="single"/>
          <w:lang w:val="sr-Latn-CS"/>
        </w:rPr>
      </w:pPr>
      <w:r w:rsidRPr="006B5701">
        <w:rPr>
          <w:i/>
          <w:iCs/>
          <w:szCs w:val="22"/>
          <w:u w:val="single"/>
          <w:lang w:val="sr-Latn-CS"/>
        </w:rPr>
        <w:t xml:space="preserve">Pacijenti sa </w:t>
      </w:r>
      <w:r w:rsidR="00AA3CD8" w:rsidRPr="006B5701">
        <w:rPr>
          <w:i/>
          <w:iCs/>
          <w:szCs w:val="22"/>
          <w:u w:val="single"/>
          <w:lang w:val="sr-Latn-CS"/>
        </w:rPr>
        <w:t xml:space="preserve">oštećenjem </w:t>
      </w:r>
      <w:r w:rsidR="000A0BAD" w:rsidRPr="006B5701">
        <w:rPr>
          <w:i/>
          <w:iCs/>
          <w:szCs w:val="22"/>
          <w:u w:val="single"/>
          <w:lang w:val="sr-Latn-CS"/>
        </w:rPr>
        <w:t xml:space="preserve">funkcije </w:t>
      </w:r>
      <w:r w:rsidR="00AA3CD8" w:rsidRPr="006B5701">
        <w:rPr>
          <w:i/>
          <w:iCs/>
          <w:szCs w:val="22"/>
          <w:u w:val="single"/>
          <w:lang w:val="sr-Latn-CS"/>
        </w:rPr>
        <w:t>jetre</w:t>
      </w:r>
      <w:r w:rsidRPr="006B5701">
        <w:rPr>
          <w:i/>
          <w:iCs/>
          <w:szCs w:val="22"/>
          <w:u w:val="single"/>
          <w:lang w:val="sr-Latn-CS"/>
        </w:rPr>
        <w:t xml:space="preserve"> </w:t>
      </w:r>
    </w:p>
    <w:p w14:paraId="0382692D" w14:textId="40F6A9F9" w:rsidR="004B21C0" w:rsidRPr="006B5701" w:rsidRDefault="004B21C0" w:rsidP="004B21C0">
      <w:pPr>
        <w:jc w:val="left"/>
        <w:rPr>
          <w:szCs w:val="22"/>
          <w:lang w:val="sr-Latn-CS"/>
        </w:rPr>
      </w:pPr>
      <w:r w:rsidRPr="006B5701">
        <w:rPr>
          <w:szCs w:val="22"/>
          <w:lang w:val="sr-Latn-CS"/>
        </w:rPr>
        <w:t xml:space="preserve">Kod pacijenata sa </w:t>
      </w:r>
      <w:r w:rsidR="00D11211" w:rsidRPr="006B5701">
        <w:rPr>
          <w:iCs/>
          <w:szCs w:val="22"/>
          <w:lang w:val="sr-Latn-CS"/>
        </w:rPr>
        <w:t>oštećenjem funkcije</w:t>
      </w:r>
      <w:r w:rsidR="00D11211" w:rsidRPr="006B5701">
        <w:rPr>
          <w:iCs/>
          <w:szCs w:val="22"/>
          <w:u w:val="single"/>
          <w:lang w:val="sr-Latn-CS"/>
        </w:rPr>
        <w:t xml:space="preserve"> </w:t>
      </w:r>
      <w:r w:rsidRPr="006B5701">
        <w:rPr>
          <w:szCs w:val="22"/>
          <w:lang w:val="sr-Latn-CS"/>
        </w:rPr>
        <w:t>jetre smanjivanje doze se ne smatra neophodnim, pošto se oko 90% resorbovane aktivne supstance izlučuje preko bubrega. Međutim, potencijalni uticaj insuficijencije jetre na farmakokinetiku l</w:t>
      </w:r>
      <w:r w:rsidR="00D035B3">
        <w:rPr>
          <w:szCs w:val="22"/>
          <w:lang w:val="sr-Latn-CS"/>
        </w:rPr>
        <w:t>ij</w:t>
      </w:r>
      <w:r w:rsidRPr="006B5701">
        <w:rPr>
          <w:szCs w:val="22"/>
          <w:lang w:val="sr-Latn-CS"/>
        </w:rPr>
        <w:t xml:space="preserve">eka </w:t>
      </w:r>
      <w:r w:rsidR="0083579A">
        <w:rPr>
          <w:bCs/>
          <w:szCs w:val="22"/>
          <w:lang w:val="sr-Latn-CS"/>
        </w:rPr>
        <w:t>Mirapexin</w:t>
      </w:r>
      <w:r w:rsidRPr="006B5701">
        <w:rPr>
          <w:szCs w:val="22"/>
          <w:lang w:val="sr-Latn-CS"/>
        </w:rPr>
        <w:t xml:space="preserve"> nije ispitivan.</w:t>
      </w:r>
    </w:p>
    <w:p w14:paraId="3D098823" w14:textId="77777777" w:rsidR="004B21C0" w:rsidRPr="006B5701" w:rsidRDefault="004B21C0" w:rsidP="004B21C0">
      <w:pPr>
        <w:jc w:val="left"/>
        <w:rPr>
          <w:i/>
          <w:szCs w:val="22"/>
          <w:u w:val="single"/>
          <w:lang w:val="sr-Latn-CS"/>
        </w:rPr>
      </w:pPr>
    </w:p>
    <w:p w14:paraId="31B887AC" w14:textId="77777777" w:rsidR="004B21C0" w:rsidRPr="006B5701" w:rsidRDefault="004B21C0" w:rsidP="004B21C0">
      <w:pPr>
        <w:jc w:val="left"/>
        <w:rPr>
          <w:i/>
          <w:szCs w:val="22"/>
          <w:u w:val="single"/>
          <w:lang w:val="sr-Latn-CS"/>
        </w:rPr>
      </w:pPr>
      <w:r w:rsidRPr="006B5701">
        <w:rPr>
          <w:i/>
          <w:szCs w:val="22"/>
          <w:u w:val="single"/>
          <w:lang w:val="sr-Latn-CS"/>
        </w:rPr>
        <w:t>Pedijatrijska populacija</w:t>
      </w:r>
    </w:p>
    <w:p w14:paraId="0F39ACFA" w14:textId="713B54BA" w:rsidR="004B21C0" w:rsidRPr="006B5701" w:rsidRDefault="004B21C0" w:rsidP="004B21C0">
      <w:pPr>
        <w:jc w:val="left"/>
        <w:rPr>
          <w:szCs w:val="22"/>
          <w:lang w:val="sr-Latn-CS"/>
        </w:rPr>
      </w:pPr>
      <w:r w:rsidRPr="006B5701">
        <w:rPr>
          <w:szCs w:val="22"/>
          <w:lang w:val="sr-Latn-CS"/>
        </w:rPr>
        <w:t>Bezb</w:t>
      </w:r>
      <w:r w:rsidR="00D035B3">
        <w:rPr>
          <w:szCs w:val="22"/>
          <w:lang w:val="sr-Latn-CS"/>
        </w:rPr>
        <w:t>j</w:t>
      </w:r>
      <w:r w:rsidRPr="006B5701">
        <w:rPr>
          <w:szCs w:val="22"/>
          <w:lang w:val="sr-Latn-CS"/>
        </w:rPr>
        <w:t>ednost i efikasnost l</w:t>
      </w:r>
      <w:r w:rsidR="00D035B3">
        <w:rPr>
          <w:szCs w:val="22"/>
          <w:lang w:val="sr-Latn-CS"/>
        </w:rPr>
        <w:t>ij</w:t>
      </w:r>
      <w:r w:rsidRPr="006B5701">
        <w:rPr>
          <w:szCs w:val="22"/>
          <w:lang w:val="sr-Latn-CS"/>
        </w:rPr>
        <w:t xml:space="preserve">eka </w:t>
      </w:r>
      <w:r w:rsidR="0083579A">
        <w:rPr>
          <w:bCs/>
          <w:szCs w:val="22"/>
          <w:lang w:val="sr-Latn-CS"/>
        </w:rPr>
        <w:t>Mirapexin</w:t>
      </w:r>
      <w:r w:rsidRPr="006B5701">
        <w:rPr>
          <w:szCs w:val="22"/>
          <w:lang w:val="sr-Latn-CS"/>
        </w:rPr>
        <w:t xml:space="preserve"> kod d</w:t>
      </w:r>
      <w:r w:rsidR="00D035B3">
        <w:rPr>
          <w:szCs w:val="22"/>
          <w:lang w:val="sr-Latn-CS"/>
        </w:rPr>
        <w:t>j</w:t>
      </w:r>
      <w:r w:rsidRPr="006B5701">
        <w:rPr>
          <w:szCs w:val="22"/>
          <w:lang w:val="sr-Latn-CS"/>
        </w:rPr>
        <w:t>ece mlađe od 18 godina nije utvrđena. Ne postoji relevantna upotreba l</w:t>
      </w:r>
      <w:r w:rsidR="00D035B3">
        <w:rPr>
          <w:szCs w:val="22"/>
          <w:lang w:val="sr-Latn-CS"/>
        </w:rPr>
        <w:t>ij</w:t>
      </w:r>
      <w:r w:rsidRPr="006B5701">
        <w:rPr>
          <w:szCs w:val="22"/>
          <w:lang w:val="sr-Latn-CS"/>
        </w:rPr>
        <w:t xml:space="preserve">eka </w:t>
      </w:r>
      <w:r w:rsidR="0083579A">
        <w:rPr>
          <w:bCs/>
          <w:szCs w:val="22"/>
          <w:lang w:val="sr-Latn-CS"/>
        </w:rPr>
        <w:t>Mirapexin</w:t>
      </w:r>
      <w:r w:rsidRPr="006B5701">
        <w:rPr>
          <w:szCs w:val="22"/>
          <w:lang w:val="sr-Latn-CS"/>
        </w:rPr>
        <w:t xml:space="preserve"> za Parkinsonovu bolest u pedijatrijskoj populaciji.</w:t>
      </w:r>
    </w:p>
    <w:p w14:paraId="32AD9DFB" w14:textId="77777777" w:rsidR="004B21C0" w:rsidRPr="006B5701" w:rsidRDefault="004B21C0" w:rsidP="004B21C0">
      <w:pPr>
        <w:jc w:val="left"/>
        <w:rPr>
          <w:szCs w:val="22"/>
          <w:lang w:val="sr-Latn-CS"/>
        </w:rPr>
      </w:pPr>
    </w:p>
    <w:p w14:paraId="499271A3" w14:textId="77777777" w:rsidR="004B21C0" w:rsidRPr="006B5701" w:rsidRDefault="004B21C0" w:rsidP="004B21C0">
      <w:pPr>
        <w:jc w:val="left"/>
        <w:rPr>
          <w:szCs w:val="22"/>
          <w:u w:val="single"/>
          <w:lang w:val="sr-Latn-CS"/>
        </w:rPr>
      </w:pPr>
      <w:r w:rsidRPr="006B5701">
        <w:rPr>
          <w:szCs w:val="22"/>
          <w:u w:val="single"/>
          <w:lang w:val="sr-Latn-CS"/>
        </w:rPr>
        <w:t>Sindrom nemirnih nogu</w:t>
      </w:r>
    </w:p>
    <w:p w14:paraId="23551B37" w14:textId="77777777" w:rsidR="00597376" w:rsidRDefault="00597376" w:rsidP="004B21C0">
      <w:pPr>
        <w:jc w:val="left"/>
        <w:rPr>
          <w:szCs w:val="22"/>
          <w:lang w:val="sr-Latn-CS"/>
        </w:rPr>
      </w:pPr>
    </w:p>
    <w:p w14:paraId="121E50AF" w14:textId="4C0B2EC4" w:rsidR="004B21C0" w:rsidRPr="006B5701" w:rsidRDefault="004B21C0" w:rsidP="004B21C0">
      <w:pPr>
        <w:jc w:val="left"/>
        <w:rPr>
          <w:szCs w:val="22"/>
          <w:lang w:val="sr-Latn-CS"/>
        </w:rPr>
      </w:pPr>
      <w:r w:rsidRPr="006B5701">
        <w:rPr>
          <w:szCs w:val="22"/>
          <w:lang w:val="sr-Latn-CS"/>
        </w:rPr>
        <w:t xml:space="preserve">Preporučena početna doza </w:t>
      </w:r>
      <w:r w:rsidR="0083579A">
        <w:rPr>
          <w:bCs/>
          <w:szCs w:val="22"/>
          <w:lang w:val="sr-Latn-CS"/>
        </w:rPr>
        <w:t>Mirapexin</w:t>
      </w:r>
      <w:r w:rsidR="004A6567" w:rsidRPr="006B5701">
        <w:rPr>
          <w:szCs w:val="22"/>
          <w:lang w:val="sr-Latn-CS"/>
        </w:rPr>
        <w:t xml:space="preserve"> tableta je </w:t>
      </w:r>
      <w:r w:rsidR="00D07872" w:rsidRPr="006B5701">
        <w:rPr>
          <w:szCs w:val="22"/>
          <w:lang w:val="sr-Latn-CS"/>
        </w:rPr>
        <w:t xml:space="preserve">0,088 mg baze </w:t>
      </w:r>
      <w:r w:rsidR="00D11211" w:rsidRPr="006B5701">
        <w:rPr>
          <w:szCs w:val="22"/>
          <w:lang w:val="sr-Latn-CS"/>
        </w:rPr>
        <w:t>(</w:t>
      </w:r>
      <w:r w:rsidR="00D07872" w:rsidRPr="006B5701">
        <w:rPr>
          <w:szCs w:val="22"/>
          <w:lang w:val="sr-Latn-CS"/>
        </w:rPr>
        <w:t>0,125 mg soli</w:t>
      </w:r>
      <w:r w:rsidR="00D11211" w:rsidRPr="006B5701">
        <w:rPr>
          <w:szCs w:val="22"/>
          <w:lang w:val="sr-Latn-CS"/>
        </w:rPr>
        <w:t>)</w:t>
      </w:r>
      <w:r w:rsidRPr="006B5701">
        <w:rPr>
          <w:szCs w:val="22"/>
          <w:lang w:val="sr-Latn-CS"/>
        </w:rPr>
        <w:t xml:space="preserve"> jednom dnevno 2-3 sata pr</w:t>
      </w:r>
      <w:r w:rsidR="00D035B3">
        <w:rPr>
          <w:szCs w:val="22"/>
          <w:lang w:val="sr-Latn-CS"/>
        </w:rPr>
        <w:t>ij</w:t>
      </w:r>
      <w:r w:rsidRPr="006B5701">
        <w:rPr>
          <w:szCs w:val="22"/>
          <w:lang w:val="sr-Latn-CS"/>
        </w:rPr>
        <w:t xml:space="preserve">e odlaska na spavanje. Za pacijente kojima je potrebno dodatno </w:t>
      </w:r>
      <w:r w:rsidR="000A0BAD" w:rsidRPr="006B5701">
        <w:rPr>
          <w:szCs w:val="22"/>
          <w:lang w:val="sr-Latn-CS"/>
        </w:rPr>
        <w:t>ublažavanje simptoma</w:t>
      </w:r>
      <w:r w:rsidRPr="006B5701">
        <w:rPr>
          <w:szCs w:val="22"/>
          <w:lang w:val="sr-Latn-CS"/>
        </w:rPr>
        <w:t>, ova doza se može povećavati u interval</w:t>
      </w:r>
      <w:r w:rsidR="004A6567" w:rsidRPr="006B5701">
        <w:rPr>
          <w:szCs w:val="22"/>
          <w:lang w:val="sr-Latn-CS"/>
        </w:rPr>
        <w:t>ima od 4-7 dana do maksimalno</w:t>
      </w:r>
      <w:r w:rsidR="00E80A89">
        <w:rPr>
          <w:szCs w:val="22"/>
          <w:lang w:val="sr-Latn-CS"/>
        </w:rPr>
        <w:t xml:space="preserve"> </w:t>
      </w:r>
      <w:r w:rsidR="000641E9" w:rsidRPr="006B5701">
        <w:rPr>
          <w:szCs w:val="22"/>
          <w:lang w:val="sr-Latn-CS"/>
        </w:rPr>
        <w:t>0,54 mg baze</w:t>
      </w:r>
      <w:r w:rsidR="004A6567" w:rsidRPr="006B5701">
        <w:rPr>
          <w:szCs w:val="22"/>
          <w:lang w:val="sr-Latn-CS"/>
        </w:rPr>
        <w:t xml:space="preserve"> </w:t>
      </w:r>
      <w:r w:rsidR="00D11211" w:rsidRPr="006B5701">
        <w:rPr>
          <w:szCs w:val="22"/>
          <w:lang w:val="sr-Latn-CS"/>
        </w:rPr>
        <w:t>(</w:t>
      </w:r>
      <w:r w:rsidR="000641E9" w:rsidRPr="006B5701">
        <w:rPr>
          <w:szCs w:val="22"/>
          <w:lang w:val="sr-Latn-CS"/>
        </w:rPr>
        <w:t>0,75 mg soli</w:t>
      </w:r>
      <w:r w:rsidRPr="006B5701">
        <w:rPr>
          <w:szCs w:val="22"/>
          <w:lang w:val="sr-Latn-CS"/>
        </w:rPr>
        <w:t xml:space="preserve">) na dan (kao što je prikazano u tabeli </w:t>
      </w:r>
      <w:r w:rsidR="000A0BAD" w:rsidRPr="006B5701">
        <w:rPr>
          <w:szCs w:val="22"/>
          <w:lang w:val="sr-Latn-CS"/>
        </w:rPr>
        <w:t>u nastavku teksta</w:t>
      </w:r>
      <w:r w:rsidRPr="006B5701">
        <w:rPr>
          <w:szCs w:val="22"/>
          <w:lang w:val="sr-Latn-CS"/>
        </w:rPr>
        <w:t>).</w:t>
      </w:r>
      <w:r w:rsidR="0083579A">
        <w:rPr>
          <w:szCs w:val="22"/>
          <w:lang w:val="sr-Latn-CS"/>
        </w:rPr>
        <w:t xml:space="preserve"> </w:t>
      </w:r>
    </w:p>
    <w:p w14:paraId="300A1494" w14:textId="77777777" w:rsidR="004B21C0" w:rsidRPr="006B5701" w:rsidRDefault="004B21C0" w:rsidP="004B21C0">
      <w:pPr>
        <w:jc w:val="left"/>
        <w:rPr>
          <w:szCs w:val="22"/>
          <w:lang w:val="sr-Latn-CS"/>
        </w:rPr>
      </w:pPr>
    </w:p>
    <w:tbl>
      <w:tblPr>
        <w:tblW w:w="6187" w:type="dxa"/>
        <w:tblInd w:w="1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7"/>
        <w:gridCol w:w="2160"/>
        <w:gridCol w:w="2160"/>
      </w:tblGrid>
      <w:tr w:rsidR="00A03D75" w:rsidRPr="006B5701" w14:paraId="3D8FB6C0" w14:textId="77777777" w:rsidTr="009B1D63">
        <w:trPr>
          <w:trHeight w:val="841"/>
        </w:trPr>
        <w:tc>
          <w:tcPr>
            <w:tcW w:w="6187" w:type="dxa"/>
            <w:gridSpan w:val="3"/>
            <w:vAlign w:val="center"/>
          </w:tcPr>
          <w:p w14:paraId="0DC444CA" w14:textId="3266EA4F" w:rsidR="004B21C0" w:rsidRPr="006B5701" w:rsidRDefault="006944D1" w:rsidP="006944D1">
            <w:pPr>
              <w:jc w:val="center"/>
              <w:rPr>
                <w:szCs w:val="22"/>
                <w:lang w:val="sr-Latn-CS"/>
              </w:rPr>
            </w:pPr>
            <w:r w:rsidRPr="006B5701">
              <w:rPr>
                <w:b/>
                <w:szCs w:val="22"/>
                <w:lang w:val="sr-Latn-CS"/>
              </w:rPr>
              <w:t>Režim doziranja l</w:t>
            </w:r>
            <w:r w:rsidR="00D035B3">
              <w:rPr>
                <w:b/>
                <w:szCs w:val="22"/>
                <w:lang w:val="sr-Latn-CS"/>
              </w:rPr>
              <w:t>ij</w:t>
            </w:r>
            <w:r w:rsidRPr="006B5701">
              <w:rPr>
                <w:b/>
                <w:szCs w:val="22"/>
                <w:lang w:val="sr-Latn-CS"/>
              </w:rPr>
              <w:t xml:space="preserve">eka </w:t>
            </w:r>
            <w:r w:rsidR="0083579A" w:rsidRPr="0083579A">
              <w:rPr>
                <w:b/>
                <w:bCs/>
                <w:szCs w:val="22"/>
                <w:lang w:val="sr-Latn-CS"/>
              </w:rPr>
              <w:t>Mirapexin</w:t>
            </w:r>
            <w:r w:rsidR="004B21C0" w:rsidRPr="006B5701">
              <w:rPr>
                <w:b/>
                <w:szCs w:val="22"/>
                <w:lang w:val="sr-Latn-CS"/>
              </w:rPr>
              <w:t xml:space="preserve"> </w:t>
            </w:r>
          </w:p>
        </w:tc>
      </w:tr>
      <w:tr w:rsidR="00A03D75" w:rsidRPr="00693548" w14:paraId="004CBE1F" w14:textId="77777777" w:rsidTr="009B1D63">
        <w:trPr>
          <w:trHeight w:val="841"/>
        </w:trPr>
        <w:tc>
          <w:tcPr>
            <w:tcW w:w="1867" w:type="dxa"/>
            <w:vAlign w:val="center"/>
          </w:tcPr>
          <w:p w14:paraId="4D62B486" w14:textId="77777777" w:rsidR="004B21C0" w:rsidRPr="006B5701" w:rsidRDefault="004B21C0" w:rsidP="009B1D63">
            <w:pPr>
              <w:jc w:val="center"/>
              <w:rPr>
                <w:szCs w:val="22"/>
                <w:lang w:val="sr-Latn-CS"/>
              </w:rPr>
            </w:pPr>
            <w:r w:rsidRPr="006B5701">
              <w:rPr>
                <w:szCs w:val="22"/>
                <w:lang w:val="sr-Latn-CS"/>
              </w:rPr>
              <w:t>Faza titracije</w:t>
            </w:r>
          </w:p>
        </w:tc>
        <w:tc>
          <w:tcPr>
            <w:tcW w:w="2160" w:type="dxa"/>
            <w:vAlign w:val="center"/>
          </w:tcPr>
          <w:p w14:paraId="5EB44B2D" w14:textId="77777777" w:rsidR="004B21C0" w:rsidRPr="006B5701" w:rsidRDefault="004B21C0" w:rsidP="009B1D63">
            <w:pPr>
              <w:jc w:val="center"/>
              <w:rPr>
                <w:szCs w:val="22"/>
                <w:lang w:val="sr-Latn-CS"/>
              </w:rPr>
            </w:pPr>
            <w:r w:rsidRPr="006B5701">
              <w:rPr>
                <w:szCs w:val="22"/>
                <w:lang w:val="sr-Latn-CS"/>
              </w:rPr>
              <w:t>Večernja doza – jednom dnevno</w:t>
            </w:r>
          </w:p>
          <w:p w14:paraId="45B4D6AA" w14:textId="77777777" w:rsidR="004B21C0" w:rsidRPr="006B5701" w:rsidRDefault="004B21C0" w:rsidP="009B1D63">
            <w:pPr>
              <w:jc w:val="center"/>
              <w:rPr>
                <w:szCs w:val="22"/>
                <w:lang w:val="sr-Latn-CS"/>
              </w:rPr>
            </w:pPr>
            <w:r w:rsidRPr="006B5701">
              <w:rPr>
                <w:szCs w:val="22"/>
                <w:lang w:val="sr-Latn-CS"/>
              </w:rPr>
              <w:t xml:space="preserve">(mg baze) </w:t>
            </w:r>
          </w:p>
        </w:tc>
        <w:tc>
          <w:tcPr>
            <w:tcW w:w="2160" w:type="dxa"/>
          </w:tcPr>
          <w:p w14:paraId="459BFF04" w14:textId="77777777" w:rsidR="004B21C0" w:rsidRPr="006B5701" w:rsidRDefault="004B21C0" w:rsidP="009B1D63">
            <w:pPr>
              <w:jc w:val="center"/>
              <w:rPr>
                <w:szCs w:val="22"/>
                <w:lang w:val="sr-Latn-CS"/>
              </w:rPr>
            </w:pPr>
            <w:r w:rsidRPr="006B5701">
              <w:rPr>
                <w:szCs w:val="22"/>
                <w:lang w:val="sr-Latn-CS"/>
              </w:rPr>
              <w:t>Večernja doza – jednom dnevno</w:t>
            </w:r>
          </w:p>
          <w:p w14:paraId="0C930C55" w14:textId="77777777" w:rsidR="004B21C0" w:rsidRPr="006B5701" w:rsidRDefault="004B21C0" w:rsidP="009B1D63">
            <w:pPr>
              <w:jc w:val="center"/>
              <w:rPr>
                <w:szCs w:val="22"/>
                <w:lang w:val="sr-Latn-CS"/>
              </w:rPr>
            </w:pPr>
            <w:r w:rsidRPr="006B5701">
              <w:rPr>
                <w:szCs w:val="22"/>
                <w:lang w:val="sr-Latn-CS"/>
              </w:rPr>
              <w:t>(mg soli)</w:t>
            </w:r>
          </w:p>
        </w:tc>
      </w:tr>
      <w:tr w:rsidR="00A03D75" w:rsidRPr="006B5701" w14:paraId="1CE7D10E" w14:textId="77777777" w:rsidTr="009B1D63">
        <w:trPr>
          <w:trHeight w:val="271"/>
        </w:trPr>
        <w:tc>
          <w:tcPr>
            <w:tcW w:w="1867" w:type="dxa"/>
            <w:vAlign w:val="center"/>
          </w:tcPr>
          <w:p w14:paraId="1B26694E" w14:textId="77777777" w:rsidR="004B21C0" w:rsidRPr="006B5701" w:rsidRDefault="004B21C0" w:rsidP="009B1D63">
            <w:pPr>
              <w:jc w:val="center"/>
              <w:rPr>
                <w:szCs w:val="22"/>
                <w:lang w:val="sr-Latn-CS"/>
              </w:rPr>
            </w:pPr>
            <w:r w:rsidRPr="006B5701">
              <w:rPr>
                <w:szCs w:val="22"/>
                <w:lang w:val="sr-Latn-CS"/>
              </w:rPr>
              <w:t>1</w:t>
            </w:r>
          </w:p>
        </w:tc>
        <w:tc>
          <w:tcPr>
            <w:tcW w:w="2160" w:type="dxa"/>
            <w:vAlign w:val="center"/>
          </w:tcPr>
          <w:p w14:paraId="2BA2981A" w14:textId="77777777" w:rsidR="004B21C0" w:rsidRPr="006B5701" w:rsidRDefault="004A6567" w:rsidP="009B1D63">
            <w:pPr>
              <w:jc w:val="center"/>
              <w:rPr>
                <w:szCs w:val="22"/>
                <w:lang w:val="sr-Latn-CS"/>
              </w:rPr>
            </w:pPr>
            <w:r w:rsidRPr="006B5701">
              <w:rPr>
                <w:szCs w:val="22"/>
                <w:lang w:val="sr-Latn-CS"/>
              </w:rPr>
              <w:t>0,</w:t>
            </w:r>
            <w:r w:rsidR="004B21C0" w:rsidRPr="006B5701">
              <w:rPr>
                <w:szCs w:val="22"/>
                <w:lang w:val="sr-Latn-CS"/>
              </w:rPr>
              <w:t>088</w:t>
            </w:r>
          </w:p>
        </w:tc>
        <w:tc>
          <w:tcPr>
            <w:tcW w:w="2160" w:type="dxa"/>
          </w:tcPr>
          <w:p w14:paraId="17B1D93E" w14:textId="77777777" w:rsidR="004B21C0" w:rsidRPr="006B5701" w:rsidRDefault="004A6567" w:rsidP="009B1D63">
            <w:pPr>
              <w:jc w:val="center"/>
              <w:rPr>
                <w:szCs w:val="22"/>
                <w:lang w:val="sr-Latn-CS"/>
              </w:rPr>
            </w:pPr>
            <w:r w:rsidRPr="006B5701">
              <w:rPr>
                <w:szCs w:val="22"/>
                <w:lang w:val="sr-Latn-CS"/>
              </w:rPr>
              <w:t>0,</w:t>
            </w:r>
            <w:r w:rsidR="004B21C0" w:rsidRPr="006B5701">
              <w:rPr>
                <w:szCs w:val="22"/>
                <w:lang w:val="sr-Latn-CS"/>
              </w:rPr>
              <w:t>125</w:t>
            </w:r>
          </w:p>
        </w:tc>
      </w:tr>
      <w:tr w:rsidR="00A03D75" w:rsidRPr="006B5701" w14:paraId="3326B21B" w14:textId="77777777" w:rsidTr="009B1D63">
        <w:trPr>
          <w:trHeight w:val="271"/>
        </w:trPr>
        <w:tc>
          <w:tcPr>
            <w:tcW w:w="1867" w:type="dxa"/>
            <w:vAlign w:val="center"/>
          </w:tcPr>
          <w:p w14:paraId="044BBC0A" w14:textId="77777777" w:rsidR="004B21C0" w:rsidRPr="006B5701" w:rsidRDefault="004B21C0" w:rsidP="009B1D63">
            <w:pPr>
              <w:jc w:val="center"/>
              <w:rPr>
                <w:szCs w:val="22"/>
                <w:lang w:val="sr-Latn-CS"/>
              </w:rPr>
            </w:pPr>
            <w:r w:rsidRPr="006B5701">
              <w:rPr>
                <w:szCs w:val="22"/>
                <w:lang w:val="sr-Latn-CS"/>
              </w:rPr>
              <w:t>2*</w:t>
            </w:r>
          </w:p>
        </w:tc>
        <w:tc>
          <w:tcPr>
            <w:tcW w:w="2160" w:type="dxa"/>
            <w:vAlign w:val="center"/>
          </w:tcPr>
          <w:p w14:paraId="687976B7" w14:textId="77777777" w:rsidR="004B21C0" w:rsidRPr="006B5701" w:rsidRDefault="004A6567" w:rsidP="009B1D63">
            <w:pPr>
              <w:jc w:val="center"/>
              <w:rPr>
                <w:szCs w:val="22"/>
                <w:lang w:val="sr-Latn-CS"/>
              </w:rPr>
            </w:pPr>
            <w:r w:rsidRPr="006B5701">
              <w:rPr>
                <w:szCs w:val="22"/>
                <w:lang w:val="sr-Latn-CS"/>
              </w:rPr>
              <w:t>0,</w:t>
            </w:r>
            <w:r w:rsidR="004B21C0" w:rsidRPr="006B5701">
              <w:rPr>
                <w:szCs w:val="22"/>
                <w:lang w:val="sr-Latn-CS"/>
              </w:rPr>
              <w:t>18</w:t>
            </w:r>
          </w:p>
        </w:tc>
        <w:tc>
          <w:tcPr>
            <w:tcW w:w="2160" w:type="dxa"/>
          </w:tcPr>
          <w:p w14:paraId="16CC3555" w14:textId="77777777" w:rsidR="004B21C0" w:rsidRPr="006B5701" w:rsidRDefault="004A6567" w:rsidP="009B1D63">
            <w:pPr>
              <w:jc w:val="center"/>
              <w:rPr>
                <w:szCs w:val="22"/>
                <w:lang w:val="sr-Latn-CS"/>
              </w:rPr>
            </w:pPr>
            <w:r w:rsidRPr="006B5701">
              <w:rPr>
                <w:szCs w:val="22"/>
                <w:lang w:val="sr-Latn-CS"/>
              </w:rPr>
              <w:t>0,</w:t>
            </w:r>
            <w:r w:rsidR="004B21C0" w:rsidRPr="006B5701">
              <w:rPr>
                <w:szCs w:val="22"/>
                <w:lang w:val="sr-Latn-CS"/>
              </w:rPr>
              <w:t>25</w:t>
            </w:r>
          </w:p>
        </w:tc>
      </w:tr>
      <w:tr w:rsidR="00A03D75" w:rsidRPr="006B5701" w14:paraId="177200A1" w14:textId="77777777" w:rsidTr="009B1D63">
        <w:trPr>
          <w:trHeight w:val="271"/>
        </w:trPr>
        <w:tc>
          <w:tcPr>
            <w:tcW w:w="1867" w:type="dxa"/>
            <w:vAlign w:val="center"/>
          </w:tcPr>
          <w:p w14:paraId="6E8B806F" w14:textId="77777777" w:rsidR="004B21C0" w:rsidRPr="006B5701" w:rsidRDefault="004B21C0" w:rsidP="009B1D63">
            <w:pPr>
              <w:jc w:val="center"/>
              <w:rPr>
                <w:szCs w:val="22"/>
                <w:lang w:val="sr-Latn-CS"/>
              </w:rPr>
            </w:pPr>
            <w:r w:rsidRPr="006B5701">
              <w:rPr>
                <w:szCs w:val="22"/>
                <w:lang w:val="sr-Latn-CS"/>
              </w:rPr>
              <w:t>3*</w:t>
            </w:r>
          </w:p>
        </w:tc>
        <w:tc>
          <w:tcPr>
            <w:tcW w:w="2160" w:type="dxa"/>
            <w:vAlign w:val="center"/>
          </w:tcPr>
          <w:p w14:paraId="78CB1F3A" w14:textId="77777777" w:rsidR="004B21C0" w:rsidRPr="006B5701" w:rsidRDefault="004A6567" w:rsidP="009B1D63">
            <w:pPr>
              <w:jc w:val="center"/>
              <w:rPr>
                <w:szCs w:val="22"/>
                <w:lang w:val="sr-Latn-CS"/>
              </w:rPr>
            </w:pPr>
            <w:r w:rsidRPr="006B5701">
              <w:rPr>
                <w:szCs w:val="22"/>
                <w:lang w:val="sr-Latn-CS"/>
              </w:rPr>
              <w:t>0,</w:t>
            </w:r>
            <w:r w:rsidR="004B21C0" w:rsidRPr="006B5701">
              <w:rPr>
                <w:szCs w:val="22"/>
                <w:lang w:val="sr-Latn-CS"/>
              </w:rPr>
              <w:t>35</w:t>
            </w:r>
          </w:p>
        </w:tc>
        <w:tc>
          <w:tcPr>
            <w:tcW w:w="2160" w:type="dxa"/>
          </w:tcPr>
          <w:p w14:paraId="2379EC7B" w14:textId="77777777" w:rsidR="004B21C0" w:rsidRPr="006B5701" w:rsidRDefault="004A6567" w:rsidP="009B1D63">
            <w:pPr>
              <w:jc w:val="center"/>
              <w:rPr>
                <w:szCs w:val="22"/>
                <w:lang w:val="sr-Latn-CS"/>
              </w:rPr>
            </w:pPr>
            <w:r w:rsidRPr="006B5701">
              <w:rPr>
                <w:szCs w:val="22"/>
                <w:lang w:val="sr-Latn-CS"/>
              </w:rPr>
              <w:t>0,</w:t>
            </w:r>
            <w:r w:rsidR="004B21C0" w:rsidRPr="006B5701">
              <w:rPr>
                <w:szCs w:val="22"/>
                <w:lang w:val="sr-Latn-CS"/>
              </w:rPr>
              <w:t>50</w:t>
            </w:r>
          </w:p>
        </w:tc>
      </w:tr>
      <w:tr w:rsidR="00A03D75" w:rsidRPr="006B5701" w14:paraId="2F502AE9" w14:textId="77777777" w:rsidTr="009B1D63">
        <w:trPr>
          <w:trHeight w:val="286"/>
        </w:trPr>
        <w:tc>
          <w:tcPr>
            <w:tcW w:w="1867" w:type="dxa"/>
            <w:vAlign w:val="center"/>
          </w:tcPr>
          <w:p w14:paraId="0B8EE114" w14:textId="77777777" w:rsidR="004B21C0" w:rsidRPr="006B5701" w:rsidRDefault="004B21C0" w:rsidP="009B1D63">
            <w:pPr>
              <w:jc w:val="center"/>
              <w:rPr>
                <w:szCs w:val="22"/>
                <w:lang w:val="sr-Latn-CS"/>
              </w:rPr>
            </w:pPr>
            <w:r w:rsidRPr="006B5701">
              <w:rPr>
                <w:szCs w:val="22"/>
                <w:lang w:val="sr-Latn-CS"/>
              </w:rPr>
              <w:t>4*</w:t>
            </w:r>
          </w:p>
        </w:tc>
        <w:tc>
          <w:tcPr>
            <w:tcW w:w="2160" w:type="dxa"/>
            <w:vAlign w:val="center"/>
          </w:tcPr>
          <w:p w14:paraId="035D85C6" w14:textId="77777777" w:rsidR="004B21C0" w:rsidRPr="006B5701" w:rsidRDefault="004A6567" w:rsidP="009B1D63">
            <w:pPr>
              <w:jc w:val="center"/>
              <w:rPr>
                <w:szCs w:val="22"/>
                <w:lang w:val="sr-Latn-CS"/>
              </w:rPr>
            </w:pPr>
            <w:r w:rsidRPr="006B5701">
              <w:rPr>
                <w:szCs w:val="22"/>
                <w:lang w:val="sr-Latn-CS"/>
              </w:rPr>
              <w:t>0,</w:t>
            </w:r>
            <w:r w:rsidR="004B21C0" w:rsidRPr="006B5701">
              <w:rPr>
                <w:szCs w:val="22"/>
                <w:lang w:val="sr-Latn-CS"/>
              </w:rPr>
              <w:t>54</w:t>
            </w:r>
          </w:p>
        </w:tc>
        <w:tc>
          <w:tcPr>
            <w:tcW w:w="2160" w:type="dxa"/>
          </w:tcPr>
          <w:p w14:paraId="35E1B7AD" w14:textId="77777777" w:rsidR="004B21C0" w:rsidRPr="006B5701" w:rsidRDefault="004A6567" w:rsidP="009B1D63">
            <w:pPr>
              <w:jc w:val="center"/>
              <w:rPr>
                <w:szCs w:val="22"/>
                <w:lang w:val="sr-Latn-CS"/>
              </w:rPr>
            </w:pPr>
            <w:r w:rsidRPr="006B5701">
              <w:rPr>
                <w:szCs w:val="22"/>
                <w:lang w:val="sr-Latn-CS"/>
              </w:rPr>
              <w:t>0,</w:t>
            </w:r>
            <w:r w:rsidR="004B21C0" w:rsidRPr="006B5701">
              <w:rPr>
                <w:szCs w:val="22"/>
                <w:lang w:val="sr-Latn-CS"/>
              </w:rPr>
              <w:t>75</w:t>
            </w:r>
          </w:p>
        </w:tc>
      </w:tr>
      <w:tr w:rsidR="004B21C0" w:rsidRPr="006B5701" w14:paraId="3B09514D" w14:textId="77777777" w:rsidTr="001018AC">
        <w:trPr>
          <w:trHeight w:val="286"/>
        </w:trPr>
        <w:tc>
          <w:tcPr>
            <w:tcW w:w="6187" w:type="dxa"/>
            <w:gridSpan w:val="3"/>
            <w:tcBorders>
              <w:left w:val="nil"/>
              <w:bottom w:val="nil"/>
              <w:right w:val="nil"/>
            </w:tcBorders>
            <w:vAlign w:val="center"/>
          </w:tcPr>
          <w:p w14:paraId="318AF5ED" w14:textId="77777777" w:rsidR="004B21C0" w:rsidRPr="006B5701" w:rsidRDefault="004B21C0" w:rsidP="009B1D63">
            <w:pPr>
              <w:rPr>
                <w:szCs w:val="22"/>
                <w:lang w:val="sr-Latn-CS"/>
              </w:rPr>
            </w:pPr>
            <w:r w:rsidRPr="006B5701">
              <w:rPr>
                <w:szCs w:val="22"/>
                <w:lang w:val="sr-Latn-CS"/>
              </w:rPr>
              <w:t>*po potrebi</w:t>
            </w:r>
          </w:p>
        </w:tc>
      </w:tr>
    </w:tbl>
    <w:p w14:paraId="6F80C665" w14:textId="77777777" w:rsidR="004B21C0" w:rsidRPr="0008310E" w:rsidRDefault="004B21C0" w:rsidP="004B21C0">
      <w:pPr>
        <w:tabs>
          <w:tab w:val="clear" w:pos="284"/>
        </w:tabs>
        <w:autoSpaceDE w:val="0"/>
        <w:autoSpaceDN w:val="0"/>
        <w:adjustRightInd w:val="0"/>
        <w:jc w:val="left"/>
        <w:rPr>
          <w:szCs w:val="22"/>
          <w:lang w:val="sr-Latn-CS" w:bidi="ne-NP"/>
        </w:rPr>
      </w:pPr>
    </w:p>
    <w:p w14:paraId="3A47FF36" w14:textId="060B2363" w:rsidR="004B21C0" w:rsidRPr="0008310E" w:rsidRDefault="004B21C0" w:rsidP="004B21C0">
      <w:pPr>
        <w:autoSpaceDE w:val="0"/>
        <w:autoSpaceDN w:val="0"/>
        <w:adjustRightInd w:val="0"/>
        <w:jc w:val="left"/>
        <w:rPr>
          <w:szCs w:val="22"/>
          <w:lang w:val="sr-Latn-CS" w:bidi="ne-NP"/>
        </w:rPr>
      </w:pPr>
      <w:r w:rsidRPr="006B5701">
        <w:rPr>
          <w:szCs w:val="22"/>
          <w:lang w:val="sr-Latn-CS"/>
        </w:rPr>
        <w:t>Odgovor pacijenta treba proc</w:t>
      </w:r>
      <w:r w:rsidR="00D035B3">
        <w:rPr>
          <w:szCs w:val="22"/>
          <w:lang w:val="sr-Latn-CS"/>
        </w:rPr>
        <w:t>ij</w:t>
      </w:r>
      <w:r w:rsidRPr="006B5701">
        <w:rPr>
          <w:szCs w:val="22"/>
          <w:lang w:val="sr-Latn-CS"/>
        </w:rPr>
        <w:t>eniti posl</w:t>
      </w:r>
      <w:r w:rsidR="00D035B3">
        <w:rPr>
          <w:szCs w:val="22"/>
          <w:lang w:val="sr-Latn-CS"/>
        </w:rPr>
        <w:t>ij</w:t>
      </w:r>
      <w:r w:rsidRPr="006B5701">
        <w:rPr>
          <w:szCs w:val="22"/>
          <w:lang w:val="sr-Latn-CS"/>
        </w:rPr>
        <w:t>e 3 m</w:t>
      </w:r>
      <w:r w:rsidR="00D035B3">
        <w:rPr>
          <w:szCs w:val="22"/>
          <w:lang w:val="sr-Latn-CS"/>
        </w:rPr>
        <w:t>j</w:t>
      </w:r>
      <w:r w:rsidRPr="006B5701">
        <w:rPr>
          <w:szCs w:val="22"/>
          <w:lang w:val="sr-Latn-CS"/>
        </w:rPr>
        <w:t>eseca terapije i preispitati potrebu za nastavkom terapije. Ako se l</w:t>
      </w:r>
      <w:r w:rsidR="00D035B3">
        <w:rPr>
          <w:szCs w:val="22"/>
          <w:lang w:val="sr-Latn-CS"/>
        </w:rPr>
        <w:t>ij</w:t>
      </w:r>
      <w:r w:rsidRPr="006B5701">
        <w:rPr>
          <w:szCs w:val="22"/>
          <w:lang w:val="sr-Latn-CS"/>
        </w:rPr>
        <w:t xml:space="preserve">ečenje prekine više od nekoliko dana, treba ga započeti ponovo, titracijom doze kako je gore navedeno. </w:t>
      </w:r>
    </w:p>
    <w:p w14:paraId="77169175" w14:textId="77777777" w:rsidR="004B21C0" w:rsidRPr="006B5701" w:rsidRDefault="004B21C0" w:rsidP="004B21C0">
      <w:pPr>
        <w:jc w:val="left"/>
        <w:rPr>
          <w:szCs w:val="22"/>
          <w:u w:val="single"/>
          <w:lang w:val="sr-Latn-CS"/>
        </w:rPr>
      </w:pPr>
    </w:p>
    <w:p w14:paraId="37D7235A" w14:textId="77777777" w:rsidR="004B21C0" w:rsidRPr="006B5701" w:rsidRDefault="004B21C0" w:rsidP="004B21C0">
      <w:pPr>
        <w:jc w:val="left"/>
        <w:rPr>
          <w:i/>
          <w:szCs w:val="22"/>
          <w:u w:val="single"/>
          <w:lang w:val="sr-Latn-CS"/>
        </w:rPr>
      </w:pPr>
      <w:r w:rsidRPr="006B5701">
        <w:rPr>
          <w:i/>
          <w:szCs w:val="22"/>
          <w:u w:val="single"/>
          <w:lang w:val="sr-Latn-CS"/>
        </w:rPr>
        <w:t>Prekid terapije</w:t>
      </w:r>
    </w:p>
    <w:p w14:paraId="5373F242" w14:textId="06532244" w:rsidR="004B21C0" w:rsidRPr="006B5701" w:rsidRDefault="004B21C0" w:rsidP="004B21C0">
      <w:pPr>
        <w:autoSpaceDE w:val="0"/>
        <w:autoSpaceDN w:val="0"/>
        <w:adjustRightInd w:val="0"/>
        <w:jc w:val="left"/>
        <w:rPr>
          <w:szCs w:val="22"/>
          <w:lang w:val="sr-Latn-CS"/>
        </w:rPr>
      </w:pPr>
      <w:r w:rsidRPr="0008310E">
        <w:rPr>
          <w:szCs w:val="22"/>
          <w:lang w:val="sr-Latn-CS" w:bidi="ne-NP"/>
        </w:rPr>
        <w:t>S obzirom</w:t>
      </w:r>
      <w:r w:rsidR="001018AC" w:rsidRPr="0008310E">
        <w:rPr>
          <w:szCs w:val="22"/>
          <w:lang w:val="sr-Latn-CS" w:bidi="ne-NP"/>
        </w:rPr>
        <w:t xml:space="preserve"> na to</w:t>
      </w:r>
      <w:r w:rsidRPr="0008310E">
        <w:rPr>
          <w:szCs w:val="22"/>
          <w:lang w:val="sr-Latn-CS" w:bidi="ne-NP"/>
        </w:rPr>
        <w:t xml:space="preserve"> da dnevna doza za l</w:t>
      </w:r>
      <w:r w:rsidR="00D035B3">
        <w:rPr>
          <w:szCs w:val="22"/>
          <w:lang w:val="sr-Latn-CS" w:bidi="ne-NP"/>
        </w:rPr>
        <w:t>ij</w:t>
      </w:r>
      <w:r w:rsidRPr="0008310E">
        <w:rPr>
          <w:szCs w:val="22"/>
          <w:lang w:val="sr-Latn-CS" w:bidi="ne-NP"/>
        </w:rPr>
        <w:t xml:space="preserve">ečenje sindroma nemirnih nogu neće prelaziti </w:t>
      </w:r>
      <w:r w:rsidR="00F96A0A" w:rsidRPr="006B5701">
        <w:rPr>
          <w:szCs w:val="22"/>
          <w:lang w:val="sr-Latn-CS"/>
        </w:rPr>
        <w:t xml:space="preserve">0,54 mg baze </w:t>
      </w:r>
      <w:r w:rsidR="00D11211" w:rsidRPr="006B5701">
        <w:rPr>
          <w:szCs w:val="22"/>
          <w:lang w:val="sr-Latn-CS"/>
        </w:rPr>
        <w:t>(što odgovara</w:t>
      </w:r>
      <w:r w:rsidR="00F96A0A" w:rsidRPr="006B5701">
        <w:rPr>
          <w:szCs w:val="22"/>
          <w:lang w:val="sr-Latn-CS"/>
        </w:rPr>
        <w:t xml:space="preserve"> 0,75 mg soli</w:t>
      </w:r>
      <w:r w:rsidR="00D11211" w:rsidRPr="006B5701">
        <w:rPr>
          <w:szCs w:val="22"/>
          <w:lang w:val="sr-Latn-CS"/>
        </w:rPr>
        <w:t>)</w:t>
      </w:r>
      <w:r w:rsidRPr="006B5701">
        <w:rPr>
          <w:szCs w:val="22"/>
          <w:lang w:val="sr-Latn-CS"/>
        </w:rPr>
        <w:t xml:space="preserve"> </w:t>
      </w:r>
      <w:r w:rsidR="001018AC" w:rsidRPr="006B5701">
        <w:rPr>
          <w:szCs w:val="22"/>
          <w:lang w:val="sr-Latn-CS"/>
        </w:rPr>
        <w:t>l</w:t>
      </w:r>
      <w:r w:rsidR="00D035B3">
        <w:rPr>
          <w:szCs w:val="22"/>
          <w:lang w:val="sr-Latn-CS"/>
        </w:rPr>
        <w:t>ij</w:t>
      </w:r>
      <w:r w:rsidR="001018AC" w:rsidRPr="006B5701">
        <w:rPr>
          <w:szCs w:val="22"/>
          <w:lang w:val="sr-Latn-CS"/>
        </w:rPr>
        <w:t xml:space="preserve">ek </w:t>
      </w:r>
      <w:r w:rsidR="0083579A">
        <w:rPr>
          <w:bCs/>
          <w:szCs w:val="22"/>
          <w:lang w:val="sr-Latn-CS"/>
        </w:rPr>
        <w:t>Mirapexin</w:t>
      </w:r>
      <w:r w:rsidRPr="006B5701">
        <w:rPr>
          <w:szCs w:val="22"/>
          <w:lang w:val="sr-Latn-CS"/>
        </w:rPr>
        <w:t xml:space="preserve"> se može obustaviti bez postepenog smanjivanja doze. U jednom placebo kontrolisanom ispitivanju u trajanju od 26 nedelja, „</w:t>
      </w:r>
      <w:r w:rsidR="00D11211" w:rsidRPr="006B5701">
        <w:rPr>
          <w:i/>
          <w:szCs w:val="22"/>
          <w:lang w:val="sr-Latn-CS"/>
        </w:rPr>
        <w:t>rebound</w:t>
      </w:r>
      <w:r w:rsidR="00084761">
        <w:rPr>
          <w:szCs w:val="22"/>
          <w:lang w:val="sr-Latn-CS"/>
        </w:rPr>
        <w:t>”</w:t>
      </w:r>
      <w:r w:rsidR="001018AC" w:rsidRPr="006B5701">
        <w:rPr>
          <w:szCs w:val="22"/>
          <w:lang w:val="sr-Latn-CS"/>
        </w:rPr>
        <w:t xml:space="preserve"> fenomen</w:t>
      </w:r>
      <w:r w:rsidRPr="006B5701">
        <w:rPr>
          <w:szCs w:val="22"/>
          <w:lang w:val="sr-Latn-CS"/>
        </w:rPr>
        <w:t xml:space="preserve"> simptom</w:t>
      </w:r>
      <w:r w:rsidR="004B0127" w:rsidRPr="006B5701">
        <w:rPr>
          <w:szCs w:val="22"/>
          <w:lang w:val="sr-Latn-CS"/>
        </w:rPr>
        <w:t>a</w:t>
      </w:r>
      <w:r w:rsidRPr="006B5701">
        <w:rPr>
          <w:szCs w:val="22"/>
          <w:lang w:val="sr-Latn-CS"/>
        </w:rPr>
        <w:t xml:space="preserve"> sindroma nemirnih </w:t>
      </w:r>
      <w:r w:rsidRPr="006B5701">
        <w:rPr>
          <w:szCs w:val="22"/>
          <w:lang w:val="sr-Latn-CS"/>
        </w:rPr>
        <w:lastRenderedPageBreak/>
        <w:t>nogu (pogoršanje težine simptoma u poređenju sa početnim) zab</w:t>
      </w:r>
      <w:r w:rsidR="00D035B3">
        <w:rPr>
          <w:szCs w:val="22"/>
          <w:lang w:val="sr-Latn-CS"/>
        </w:rPr>
        <w:t>i</w:t>
      </w:r>
      <w:r w:rsidRPr="006B5701">
        <w:rPr>
          <w:szCs w:val="22"/>
          <w:lang w:val="sr-Latn-CS"/>
        </w:rPr>
        <w:t>l</w:t>
      </w:r>
      <w:r w:rsidR="00D035B3">
        <w:rPr>
          <w:szCs w:val="22"/>
          <w:lang w:val="sr-Latn-CS"/>
        </w:rPr>
        <w:t>j</w:t>
      </w:r>
      <w:r w:rsidRPr="006B5701">
        <w:rPr>
          <w:szCs w:val="22"/>
          <w:lang w:val="sr-Latn-CS"/>
        </w:rPr>
        <w:t>ežen je kod 10% pacijenata (14 od 135) posl</w:t>
      </w:r>
      <w:r w:rsidR="00D035B3">
        <w:rPr>
          <w:szCs w:val="22"/>
          <w:lang w:val="sr-Latn-CS"/>
        </w:rPr>
        <w:t>ij</w:t>
      </w:r>
      <w:r w:rsidRPr="006B5701">
        <w:rPr>
          <w:szCs w:val="22"/>
          <w:lang w:val="sr-Latn-CS"/>
        </w:rPr>
        <w:t xml:space="preserve">e naglog prekida terapije. Pokazano je da je ovaj efekat sličan za sve </w:t>
      </w:r>
      <w:r w:rsidR="001018AC" w:rsidRPr="006B5701">
        <w:rPr>
          <w:szCs w:val="22"/>
          <w:lang w:val="sr-Latn-CS"/>
        </w:rPr>
        <w:t>prim</w:t>
      </w:r>
      <w:r w:rsidR="00D035B3">
        <w:rPr>
          <w:szCs w:val="22"/>
          <w:lang w:val="sr-Latn-CS"/>
        </w:rPr>
        <w:t>ij</w:t>
      </w:r>
      <w:r w:rsidR="001018AC" w:rsidRPr="006B5701">
        <w:rPr>
          <w:szCs w:val="22"/>
          <w:lang w:val="sr-Latn-CS"/>
        </w:rPr>
        <w:t xml:space="preserve">enjene </w:t>
      </w:r>
      <w:r w:rsidRPr="006B5701">
        <w:rPr>
          <w:szCs w:val="22"/>
          <w:lang w:val="sr-Latn-CS"/>
        </w:rPr>
        <w:t>doze.</w:t>
      </w:r>
    </w:p>
    <w:p w14:paraId="056D7D79" w14:textId="773046FF" w:rsidR="002E1C9E" w:rsidRPr="00C00CE2" w:rsidRDefault="002E1C9E" w:rsidP="004B21C0">
      <w:pPr>
        <w:jc w:val="left"/>
        <w:rPr>
          <w:szCs w:val="22"/>
          <w:lang w:val="sr-Latn-CS"/>
        </w:rPr>
      </w:pPr>
    </w:p>
    <w:p w14:paraId="5473403B" w14:textId="77777777" w:rsidR="004B21C0" w:rsidRPr="006B5701" w:rsidRDefault="004B21C0" w:rsidP="004B21C0">
      <w:pPr>
        <w:jc w:val="left"/>
        <w:rPr>
          <w:i/>
          <w:szCs w:val="22"/>
          <w:u w:val="single"/>
          <w:lang w:val="sr-Latn-CS"/>
        </w:rPr>
      </w:pPr>
      <w:r w:rsidRPr="006B5701">
        <w:rPr>
          <w:i/>
          <w:iCs/>
          <w:szCs w:val="22"/>
          <w:u w:val="single"/>
          <w:lang w:val="sr-Latn-CS"/>
        </w:rPr>
        <w:t xml:space="preserve">Pacijenti sa </w:t>
      </w:r>
      <w:r w:rsidR="004B0127" w:rsidRPr="006B5701">
        <w:rPr>
          <w:i/>
          <w:iCs/>
          <w:szCs w:val="22"/>
          <w:u w:val="single"/>
          <w:lang w:val="sr-Latn-CS"/>
        </w:rPr>
        <w:t xml:space="preserve">oštećenjem funkcije </w:t>
      </w:r>
      <w:r w:rsidRPr="006B5701">
        <w:rPr>
          <w:i/>
          <w:iCs/>
          <w:szCs w:val="22"/>
          <w:u w:val="single"/>
          <w:lang w:val="sr-Latn-CS"/>
        </w:rPr>
        <w:t>bubre</w:t>
      </w:r>
      <w:r w:rsidR="004B0127" w:rsidRPr="006B5701">
        <w:rPr>
          <w:i/>
          <w:iCs/>
          <w:szCs w:val="22"/>
          <w:u w:val="single"/>
          <w:lang w:val="sr-Latn-CS"/>
        </w:rPr>
        <w:t>ga</w:t>
      </w:r>
    </w:p>
    <w:p w14:paraId="6473F6E4" w14:textId="77777777" w:rsidR="004B21C0" w:rsidRPr="006B5701" w:rsidRDefault="004B21C0" w:rsidP="004B21C0">
      <w:pPr>
        <w:tabs>
          <w:tab w:val="clear" w:pos="284"/>
        </w:tabs>
        <w:autoSpaceDE w:val="0"/>
        <w:autoSpaceDN w:val="0"/>
        <w:adjustRightInd w:val="0"/>
        <w:jc w:val="left"/>
        <w:rPr>
          <w:szCs w:val="22"/>
          <w:lang w:val="sr-Latn-CS"/>
        </w:rPr>
      </w:pPr>
      <w:r w:rsidRPr="006B5701">
        <w:rPr>
          <w:szCs w:val="22"/>
          <w:lang w:val="sr-Latn-CS"/>
        </w:rPr>
        <w:t xml:space="preserve">Eliminacija pramipeksola zavisi od bubrežne funkcije. Pacijentima koji imaju klirens kreatinina veći od 20 mL/min nije potrebno smanjenje dnevne doze. </w:t>
      </w:r>
    </w:p>
    <w:p w14:paraId="7DD8B0A2" w14:textId="78F6C448" w:rsidR="004B21C0" w:rsidRPr="006B5701" w:rsidRDefault="004B21C0" w:rsidP="004B21C0">
      <w:pPr>
        <w:tabs>
          <w:tab w:val="clear" w:pos="284"/>
        </w:tabs>
        <w:autoSpaceDE w:val="0"/>
        <w:autoSpaceDN w:val="0"/>
        <w:adjustRightInd w:val="0"/>
        <w:jc w:val="left"/>
        <w:rPr>
          <w:szCs w:val="22"/>
          <w:lang w:val="sr-Latn-CS"/>
        </w:rPr>
      </w:pPr>
      <w:r w:rsidRPr="006B5701">
        <w:rPr>
          <w:szCs w:val="22"/>
          <w:lang w:val="sr-Latn-CS"/>
        </w:rPr>
        <w:t xml:space="preserve">Upotreba </w:t>
      </w:r>
      <w:r w:rsidR="0083579A">
        <w:rPr>
          <w:bCs/>
          <w:szCs w:val="22"/>
          <w:lang w:val="sr-Latn-CS"/>
        </w:rPr>
        <w:t>Mirapexin</w:t>
      </w:r>
      <w:r w:rsidRPr="006B5701">
        <w:rPr>
          <w:szCs w:val="22"/>
          <w:lang w:val="sr-Latn-CS"/>
        </w:rPr>
        <w:t xml:space="preserve"> tableta kod pacijenata na hemodijalizi ili sa tešk</w:t>
      </w:r>
      <w:r w:rsidR="009B673A" w:rsidRPr="006B5701">
        <w:rPr>
          <w:szCs w:val="22"/>
          <w:lang w:val="sr-Latn-CS"/>
        </w:rPr>
        <w:t>i</w:t>
      </w:r>
      <w:r w:rsidRPr="006B5701">
        <w:rPr>
          <w:szCs w:val="22"/>
          <w:lang w:val="sr-Latn-CS"/>
        </w:rPr>
        <w:t>m</w:t>
      </w:r>
      <w:r w:rsidR="009B673A" w:rsidRPr="006B5701">
        <w:rPr>
          <w:iCs/>
          <w:szCs w:val="22"/>
          <w:lang w:val="sr-Latn-CS"/>
        </w:rPr>
        <w:t xml:space="preserve"> </w:t>
      </w:r>
      <w:r w:rsidR="00D11211" w:rsidRPr="006B5701">
        <w:rPr>
          <w:iCs/>
          <w:szCs w:val="22"/>
          <w:lang w:val="sr-Latn-CS"/>
        </w:rPr>
        <w:t>oštećenjem funkcije bubrega</w:t>
      </w:r>
      <w:r w:rsidR="009B673A" w:rsidRPr="006B5701">
        <w:rPr>
          <w:iCs/>
          <w:szCs w:val="22"/>
          <w:lang w:val="sr-Latn-CS"/>
        </w:rPr>
        <w:t xml:space="preserve"> </w:t>
      </w:r>
      <w:r w:rsidRPr="006B5701">
        <w:rPr>
          <w:szCs w:val="22"/>
          <w:lang w:val="sr-Latn-CS"/>
        </w:rPr>
        <w:t>nije ispitivana.</w:t>
      </w:r>
    </w:p>
    <w:p w14:paraId="7CFD212C" w14:textId="77777777" w:rsidR="004B21C0" w:rsidRPr="006B5701" w:rsidRDefault="004B21C0" w:rsidP="004B21C0">
      <w:pPr>
        <w:jc w:val="left"/>
        <w:rPr>
          <w:szCs w:val="22"/>
          <w:lang w:val="sr-Latn-CS"/>
        </w:rPr>
      </w:pPr>
    </w:p>
    <w:p w14:paraId="15EE8B99" w14:textId="77777777" w:rsidR="004B21C0" w:rsidRPr="006B5701" w:rsidRDefault="004B21C0" w:rsidP="004B21C0">
      <w:pPr>
        <w:jc w:val="left"/>
        <w:rPr>
          <w:i/>
          <w:szCs w:val="22"/>
          <w:u w:val="single"/>
          <w:lang w:val="sr-Latn-CS"/>
        </w:rPr>
      </w:pPr>
      <w:r w:rsidRPr="006B5701">
        <w:rPr>
          <w:i/>
          <w:iCs/>
          <w:szCs w:val="22"/>
          <w:u w:val="single"/>
          <w:lang w:val="sr-Latn-CS"/>
        </w:rPr>
        <w:t xml:space="preserve">Pacijenti sa </w:t>
      </w:r>
      <w:r w:rsidR="006A0C31" w:rsidRPr="006B5701">
        <w:rPr>
          <w:i/>
          <w:iCs/>
          <w:szCs w:val="22"/>
          <w:u w:val="single"/>
          <w:lang w:val="sr-Latn-CS"/>
        </w:rPr>
        <w:t>oštećenjem funkcije jetre</w:t>
      </w:r>
    </w:p>
    <w:p w14:paraId="7B6E34BC" w14:textId="77777777" w:rsidR="004B21C0" w:rsidRPr="006B5701" w:rsidRDefault="004B21C0" w:rsidP="004B21C0">
      <w:pPr>
        <w:jc w:val="left"/>
        <w:rPr>
          <w:szCs w:val="22"/>
          <w:lang w:val="sr-Latn-CS"/>
        </w:rPr>
      </w:pPr>
      <w:r w:rsidRPr="006B5701">
        <w:rPr>
          <w:szCs w:val="22"/>
          <w:lang w:val="sr-Latn-CS"/>
        </w:rPr>
        <w:t>Smatra se da nije potrebno smanjivati dozu kod pacijenata sa insuficijencijom</w:t>
      </w:r>
      <w:r w:rsidR="009B673A" w:rsidRPr="006B5701">
        <w:rPr>
          <w:szCs w:val="22"/>
          <w:lang w:val="sr-Latn-CS"/>
        </w:rPr>
        <w:t xml:space="preserve"> jetre</w:t>
      </w:r>
      <w:r w:rsidRPr="006B5701">
        <w:rPr>
          <w:szCs w:val="22"/>
          <w:lang w:val="sr-Latn-CS"/>
        </w:rPr>
        <w:t>, budući da se približno 90% resorbovan</w:t>
      </w:r>
      <w:r w:rsidR="009B673A" w:rsidRPr="006B5701">
        <w:rPr>
          <w:szCs w:val="22"/>
          <w:lang w:val="sr-Latn-CS"/>
        </w:rPr>
        <w:t>e aktivne supstance</w:t>
      </w:r>
      <w:r w:rsidRPr="006B5701">
        <w:rPr>
          <w:szCs w:val="22"/>
          <w:lang w:val="sr-Latn-CS"/>
        </w:rPr>
        <w:t xml:space="preserve"> izlučuje preko bubrega.</w:t>
      </w:r>
    </w:p>
    <w:p w14:paraId="4DEA0D6D" w14:textId="77777777" w:rsidR="004B21C0" w:rsidRPr="006B5701" w:rsidRDefault="004B21C0" w:rsidP="004B21C0">
      <w:pPr>
        <w:jc w:val="left"/>
        <w:rPr>
          <w:szCs w:val="22"/>
          <w:lang w:val="sr-Latn-CS"/>
        </w:rPr>
      </w:pPr>
    </w:p>
    <w:p w14:paraId="2711F5A0" w14:textId="77777777" w:rsidR="004B21C0" w:rsidRPr="006B5701" w:rsidRDefault="004B21C0" w:rsidP="004B21C0">
      <w:pPr>
        <w:pStyle w:val="PIsubheadingnonum1"/>
        <w:rPr>
          <w:rFonts w:ascii="Times New Roman" w:hAnsi="Times New Roman"/>
          <w:i/>
          <w:szCs w:val="22"/>
          <w:lang w:val="sr-Latn-CS"/>
        </w:rPr>
      </w:pPr>
      <w:r w:rsidRPr="006B5701">
        <w:rPr>
          <w:rFonts w:ascii="Times New Roman" w:hAnsi="Times New Roman"/>
          <w:i/>
          <w:szCs w:val="22"/>
        </w:rPr>
        <w:t>Pedijatrijska</w:t>
      </w:r>
      <w:r w:rsidRPr="006B5701">
        <w:rPr>
          <w:rFonts w:ascii="Times New Roman" w:hAnsi="Times New Roman"/>
          <w:i/>
          <w:szCs w:val="22"/>
          <w:lang w:val="sr-Latn-CS"/>
        </w:rPr>
        <w:t xml:space="preserve"> </w:t>
      </w:r>
      <w:r w:rsidRPr="006B5701">
        <w:rPr>
          <w:rFonts w:ascii="Times New Roman" w:hAnsi="Times New Roman"/>
          <w:i/>
          <w:szCs w:val="22"/>
        </w:rPr>
        <w:t>populacija</w:t>
      </w:r>
    </w:p>
    <w:p w14:paraId="7708CB98" w14:textId="6D199739" w:rsidR="004B21C0" w:rsidRPr="006B5701" w:rsidRDefault="0083579A" w:rsidP="004B21C0">
      <w:pPr>
        <w:jc w:val="left"/>
        <w:rPr>
          <w:szCs w:val="22"/>
          <w:lang w:val="sr-Latn-CS"/>
        </w:rPr>
      </w:pPr>
      <w:r>
        <w:rPr>
          <w:bCs/>
          <w:szCs w:val="22"/>
          <w:lang w:val="sr-Latn-CS"/>
        </w:rPr>
        <w:t>Mirapexin</w:t>
      </w:r>
      <w:r w:rsidR="004B21C0" w:rsidRPr="006B5701">
        <w:rPr>
          <w:szCs w:val="22"/>
          <w:lang w:val="sr-Latn-CS"/>
        </w:rPr>
        <w:t xml:space="preserve"> se ne preporučuje kod d</w:t>
      </w:r>
      <w:r w:rsidR="00D035B3">
        <w:rPr>
          <w:szCs w:val="22"/>
          <w:lang w:val="sr-Latn-CS"/>
        </w:rPr>
        <w:t>j</w:t>
      </w:r>
      <w:r w:rsidR="004B21C0" w:rsidRPr="006B5701">
        <w:rPr>
          <w:szCs w:val="22"/>
          <w:lang w:val="sr-Latn-CS"/>
        </w:rPr>
        <w:t>ece i adolescenata do 18 godina zbog nedovoljno podataka o njegovoj bezb</w:t>
      </w:r>
      <w:r w:rsidR="00D035B3">
        <w:rPr>
          <w:szCs w:val="22"/>
          <w:lang w:val="sr-Latn-CS"/>
        </w:rPr>
        <w:t>j</w:t>
      </w:r>
      <w:r w:rsidR="004B21C0" w:rsidRPr="006B5701">
        <w:rPr>
          <w:szCs w:val="22"/>
          <w:lang w:val="sr-Latn-CS"/>
        </w:rPr>
        <w:t>ednosti i efikasnosti.</w:t>
      </w:r>
    </w:p>
    <w:p w14:paraId="27778992" w14:textId="77777777" w:rsidR="004B21C0" w:rsidRPr="006B5701" w:rsidRDefault="004B21C0" w:rsidP="004B21C0">
      <w:pPr>
        <w:pStyle w:val="PIbodytext"/>
        <w:rPr>
          <w:rFonts w:ascii="Times New Roman" w:hAnsi="Times New Roman"/>
          <w:noProof w:val="0"/>
          <w:szCs w:val="22"/>
          <w:u w:val="single"/>
          <w:lang w:val="sr-Latn-CS"/>
        </w:rPr>
      </w:pPr>
    </w:p>
    <w:p w14:paraId="2FE5698D" w14:textId="77777777" w:rsidR="004B21C0" w:rsidRPr="006B5701" w:rsidRDefault="004B21C0" w:rsidP="004B21C0">
      <w:pPr>
        <w:pStyle w:val="PIbodytext"/>
        <w:rPr>
          <w:rFonts w:ascii="Times New Roman" w:hAnsi="Times New Roman"/>
          <w:noProof w:val="0"/>
          <w:szCs w:val="22"/>
          <w:lang w:val="sr-Latn-CS"/>
        </w:rPr>
      </w:pPr>
      <w:r w:rsidRPr="006B5701">
        <w:rPr>
          <w:rFonts w:ascii="Times New Roman" w:hAnsi="Times New Roman"/>
          <w:noProof w:val="0"/>
          <w:szCs w:val="22"/>
          <w:u w:val="single"/>
          <w:lang w:val="sr-Latn-CS"/>
        </w:rPr>
        <w:t>Turetov poremećaj</w:t>
      </w:r>
    </w:p>
    <w:p w14:paraId="0F0F12F4" w14:textId="77777777" w:rsidR="004B21C0" w:rsidRPr="006B5701" w:rsidRDefault="004B21C0" w:rsidP="004B21C0">
      <w:pPr>
        <w:pStyle w:val="PIbodytext"/>
        <w:rPr>
          <w:rFonts w:ascii="Times New Roman" w:hAnsi="Times New Roman"/>
          <w:noProof w:val="0"/>
          <w:szCs w:val="22"/>
          <w:lang w:val="sr-Latn-CS"/>
        </w:rPr>
      </w:pPr>
    </w:p>
    <w:p w14:paraId="5056CE1E" w14:textId="77777777" w:rsidR="004B21C0" w:rsidRPr="006B5701" w:rsidRDefault="004B21C0" w:rsidP="004B21C0">
      <w:pPr>
        <w:pStyle w:val="PIsubheadingnonum1"/>
        <w:rPr>
          <w:rFonts w:ascii="Times New Roman" w:hAnsi="Times New Roman"/>
          <w:i/>
          <w:iCs/>
          <w:noProof w:val="0"/>
          <w:szCs w:val="22"/>
          <w:lang w:val="sr-Latn-CS"/>
        </w:rPr>
      </w:pPr>
      <w:r w:rsidRPr="006B5701">
        <w:rPr>
          <w:rFonts w:ascii="Times New Roman" w:hAnsi="Times New Roman"/>
          <w:i/>
          <w:iCs/>
          <w:noProof w:val="0"/>
          <w:szCs w:val="22"/>
          <w:lang w:val="sr-Latn-CS"/>
        </w:rPr>
        <w:t>Pedijatrijska populacija</w:t>
      </w:r>
    </w:p>
    <w:p w14:paraId="2D2E2692" w14:textId="144636F8" w:rsidR="004B21C0" w:rsidRPr="006B5701" w:rsidRDefault="0083579A" w:rsidP="004B21C0">
      <w:pPr>
        <w:pStyle w:val="PIbodytext"/>
        <w:rPr>
          <w:rFonts w:ascii="Times New Roman" w:hAnsi="Times New Roman"/>
          <w:szCs w:val="22"/>
          <w:lang w:val="sr-Latn-CS"/>
        </w:rPr>
      </w:pPr>
      <w:r w:rsidRPr="0083579A">
        <w:rPr>
          <w:rFonts w:ascii="Times New Roman" w:hAnsi="Times New Roman"/>
          <w:szCs w:val="22"/>
          <w:lang w:val="sr-Latn-CS"/>
        </w:rPr>
        <w:t>Mirapexin</w:t>
      </w:r>
      <w:r w:rsidR="004B21C0" w:rsidRPr="006B5701">
        <w:rPr>
          <w:rFonts w:ascii="Times New Roman" w:hAnsi="Times New Roman"/>
          <w:szCs w:val="22"/>
          <w:lang w:val="sr-Latn-CS"/>
        </w:rPr>
        <w:t xml:space="preserve"> se ne preporučuje za upotrebu kod d</w:t>
      </w:r>
      <w:r w:rsidR="00D035B3">
        <w:rPr>
          <w:rFonts w:ascii="Times New Roman" w:hAnsi="Times New Roman"/>
          <w:szCs w:val="22"/>
          <w:lang w:val="sr-Latn-CS"/>
        </w:rPr>
        <w:t>j</w:t>
      </w:r>
      <w:r w:rsidR="004B21C0" w:rsidRPr="006B5701">
        <w:rPr>
          <w:rFonts w:ascii="Times New Roman" w:hAnsi="Times New Roman"/>
          <w:szCs w:val="22"/>
          <w:lang w:val="sr-Latn-CS"/>
        </w:rPr>
        <w:t xml:space="preserve">ece i adolescenata </w:t>
      </w:r>
      <w:r w:rsidR="00801426" w:rsidRPr="006B5701">
        <w:rPr>
          <w:rFonts w:ascii="Times New Roman" w:hAnsi="Times New Roman"/>
          <w:szCs w:val="22"/>
          <w:lang w:val="sr-Latn-CS"/>
        </w:rPr>
        <w:t xml:space="preserve">mlađih od </w:t>
      </w:r>
      <w:r w:rsidR="004B21C0" w:rsidRPr="006B5701">
        <w:rPr>
          <w:rFonts w:ascii="Times New Roman" w:hAnsi="Times New Roman"/>
          <w:szCs w:val="22"/>
          <w:lang w:val="sr-Latn-CS"/>
        </w:rPr>
        <w:t>18 godina, jer efikasnost i bezb</w:t>
      </w:r>
      <w:r w:rsidR="00D035B3">
        <w:rPr>
          <w:rFonts w:ascii="Times New Roman" w:hAnsi="Times New Roman"/>
          <w:szCs w:val="22"/>
          <w:lang w:val="sr-Latn-CS"/>
        </w:rPr>
        <w:t>j</w:t>
      </w:r>
      <w:r w:rsidR="004B21C0" w:rsidRPr="006B5701">
        <w:rPr>
          <w:rFonts w:ascii="Times New Roman" w:hAnsi="Times New Roman"/>
          <w:szCs w:val="22"/>
          <w:lang w:val="sr-Latn-CS"/>
        </w:rPr>
        <w:t>ednost ni</w:t>
      </w:r>
      <w:r w:rsidR="00D035B3">
        <w:rPr>
          <w:rFonts w:ascii="Times New Roman" w:hAnsi="Times New Roman"/>
          <w:szCs w:val="22"/>
          <w:lang w:val="sr-Latn-CS"/>
        </w:rPr>
        <w:t>je</w:t>
      </w:r>
      <w:r w:rsidR="004B21C0" w:rsidRPr="006B5701">
        <w:rPr>
          <w:rFonts w:ascii="Times New Roman" w:hAnsi="Times New Roman"/>
          <w:szCs w:val="22"/>
          <w:lang w:val="sr-Latn-CS"/>
        </w:rPr>
        <w:t xml:space="preserve">su utvrđene u ovoj populaciji. </w:t>
      </w:r>
      <w:r w:rsidRPr="0083579A">
        <w:rPr>
          <w:rFonts w:ascii="Times New Roman" w:hAnsi="Times New Roman"/>
          <w:szCs w:val="22"/>
          <w:lang w:val="sr-Latn-CS"/>
        </w:rPr>
        <w:t>Mirapexin</w:t>
      </w:r>
      <w:r w:rsidR="004B21C0" w:rsidRPr="006B5701">
        <w:rPr>
          <w:rFonts w:ascii="Times New Roman" w:hAnsi="Times New Roman"/>
          <w:szCs w:val="22"/>
          <w:lang w:val="sr-Latn-CS"/>
        </w:rPr>
        <w:t xml:space="preserve"> se ne sm</w:t>
      </w:r>
      <w:r w:rsidR="00D035B3">
        <w:rPr>
          <w:rFonts w:ascii="Times New Roman" w:hAnsi="Times New Roman"/>
          <w:szCs w:val="22"/>
          <w:lang w:val="sr-Latn-CS"/>
        </w:rPr>
        <w:t>ij</w:t>
      </w:r>
      <w:r w:rsidR="004B21C0" w:rsidRPr="006B5701">
        <w:rPr>
          <w:rFonts w:ascii="Times New Roman" w:hAnsi="Times New Roman"/>
          <w:szCs w:val="22"/>
          <w:lang w:val="sr-Latn-CS"/>
        </w:rPr>
        <w:t xml:space="preserve">e </w:t>
      </w:r>
      <w:r w:rsidR="00327473" w:rsidRPr="006B5701">
        <w:rPr>
          <w:rFonts w:ascii="Times New Roman" w:hAnsi="Times New Roman"/>
          <w:szCs w:val="22"/>
          <w:lang w:val="sr-Latn-CS"/>
        </w:rPr>
        <w:t>prim</w:t>
      </w:r>
      <w:r w:rsidR="00D035B3">
        <w:rPr>
          <w:rFonts w:ascii="Times New Roman" w:hAnsi="Times New Roman"/>
          <w:szCs w:val="22"/>
          <w:lang w:val="sr-Latn-CS"/>
        </w:rPr>
        <w:t>j</w:t>
      </w:r>
      <w:r w:rsidR="00327473" w:rsidRPr="006B5701">
        <w:rPr>
          <w:rFonts w:ascii="Times New Roman" w:hAnsi="Times New Roman"/>
          <w:szCs w:val="22"/>
          <w:lang w:val="sr-Latn-CS"/>
        </w:rPr>
        <w:t xml:space="preserve">enjivati </w:t>
      </w:r>
      <w:r w:rsidR="004438E1" w:rsidRPr="006B5701">
        <w:rPr>
          <w:rFonts w:ascii="Times New Roman" w:hAnsi="Times New Roman"/>
          <w:szCs w:val="22"/>
          <w:lang w:val="sr-Latn-CS"/>
        </w:rPr>
        <w:t>kod d</w:t>
      </w:r>
      <w:r w:rsidR="00D035B3">
        <w:rPr>
          <w:rFonts w:ascii="Times New Roman" w:hAnsi="Times New Roman"/>
          <w:szCs w:val="22"/>
          <w:lang w:val="sr-Latn-CS"/>
        </w:rPr>
        <w:t>j</w:t>
      </w:r>
      <w:r w:rsidR="004438E1" w:rsidRPr="006B5701">
        <w:rPr>
          <w:rFonts w:ascii="Times New Roman" w:hAnsi="Times New Roman"/>
          <w:szCs w:val="22"/>
          <w:lang w:val="sr-Latn-CS"/>
        </w:rPr>
        <w:t>ece i adolescenata</w:t>
      </w:r>
      <w:r w:rsidR="004B21C0" w:rsidRPr="006B5701">
        <w:rPr>
          <w:rFonts w:ascii="Times New Roman" w:hAnsi="Times New Roman"/>
          <w:szCs w:val="22"/>
          <w:lang w:val="sr-Latn-CS"/>
        </w:rPr>
        <w:t xml:space="preserve"> sa Turetovim poremećajem, jer je odnos koristi i rizika za ovaj poremećaj negativan (vid</w:t>
      </w:r>
      <w:r w:rsidR="00D035B3">
        <w:rPr>
          <w:rFonts w:ascii="Times New Roman" w:hAnsi="Times New Roman"/>
          <w:szCs w:val="22"/>
          <w:lang w:val="sr-Latn-CS"/>
        </w:rPr>
        <w:t>j</w:t>
      </w:r>
      <w:r w:rsidR="004B21C0" w:rsidRPr="006B5701">
        <w:rPr>
          <w:rFonts w:ascii="Times New Roman" w:hAnsi="Times New Roman"/>
          <w:szCs w:val="22"/>
          <w:lang w:val="sr-Latn-CS"/>
        </w:rPr>
        <w:t>eti od</w:t>
      </w:r>
      <w:r w:rsidR="00D035B3">
        <w:rPr>
          <w:rFonts w:ascii="Times New Roman" w:hAnsi="Times New Roman"/>
          <w:szCs w:val="22"/>
          <w:lang w:val="sr-Latn-CS"/>
        </w:rPr>
        <w:t>j</w:t>
      </w:r>
      <w:r w:rsidR="004B21C0" w:rsidRPr="006B5701">
        <w:rPr>
          <w:rFonts w:ascii="Times New Roman" w:hAnsi="Times New Roman"/>
          <w:szCs w:val="22"/>
          <w:lang w:val="sr-Latn-CS"/>
        </w:rPr>
        <w:t>eljak 5.1.).</w:t>
      </w:r>
    </w:p>
    <w:p w14:paraId="5E8A886D" w14:textId="77777777" w:rsidR="004B21C0" w:rsidRPr="006B5701" w:rsidRDefault="004B21C0" w:rsidP="004B21C0">
      <w:pPr>
        <w:pStyle w:val="HeadNoNum1"/>
        <w:ind w:left="0"/>
        <w:rPr>
          <w:b w:val="0"/>
          <w:bCs/>
          <w:szCs w:val="22"/>
          <w:lang w:val="sr-Latn-CS"/>
        </w:rPr>
      </w:pPr>
    </w:p>
    <w:p w14:paraId="03A0B231" w14:textId="64B787C8" w:rsidR="004B21C0" w:rsidRDefault="004B21C0" w:rsidP="004B21C0">
      <w:pPr>
        <w:pStyle w:val="HeadNoNum1"/>
        <w:rPr>
          <w:szCs w:val="22"/>
          <w:lang w:val="sr-Latn-CS"/>
        </w:rPr>
      </w:pPr>
      <w:r w:rsidRPr="006B5701">
        <w:rPr>
          <w:szCs w:val="22"/>
          <w:lang w:val="sr-Latn-CS"/>
        </w:rPr>
        <w:t>Način prim</w:t>
      </w:r>
      <w:r w:rsidR="00D035B3">
        <w:rPr>
          <w:szCs w:val="22"/>
          <w:lang w:val="sr-Latn-CS"/>
        </w:rPr>
        <w:t>j</w:t>
      </w:r>
      <w:r w:rsidRPr="006B5701">
        <w:rPr>
          <w:szCs w:val="22"/>
          <w:lang w:val="sr-Latn-CS"/>
        </w:rPr>
        <w:t xml:space="preserve">ene </w:t>
      </w:r>
    </w:p>
    <w:p w14:paraId="525B3DE1" w14:textId="77777777" w:rsidR="00084761" w:rsidRPr="00084761" w:rsidRDefault="00084761" w:rsidP="00084761">
      <w:pPr>
        <w:rPr>
          <w:lang w:val="sr-Latn-CS"/>
        </w:rPr>
      </w:pPr>
    </w:p>
    <w:p w14:paraId="46E0A731" w14:textId="77777777" w:rsidR="00CE09F3" w:rsidRPr="006B5701" w:rsidRDefault="004B21C0" w:rsidP="00D35E73">
      <w:pPr>
        <w:pStyle w:val="HeadNoNum1"/>
        <w:rPr>
          <w:b w:val="0"/>
          <w:szCs w:val="22"/>
          <w:lang w:val="sr-Latn-CS"/>
        </w:rPr>
      </w:pPr>
      <w:r w:rsidRPr="006B5701">
        <w:rPr>
          <w:b w:val="0"/>
          <w:szCs w:val="22"/>
          <w:lang w:val="sr-Latn-CS"/>
        </w:rPr>
        <w:t>Tablete treba uzimati oralno, progutati sa vodom i mogu se uzeti sa hranom ili bez nje.</w:t>
      </w:r>
    </w:p>
    <w:p w14:paraId="337ACEC7" w14:textId="77777777" w:rsidR="004B21C0" w:rsidRPr="006B5701" w:rsidRDefault="004B21C0" w:rsidP="00923865">
      <w:pPr>
        <w:rPr>
          <w:szCs w:val="22"/>
          <w:lang w:val="sr-Latn-CS"/>
        </w:rPr>
      </w:pPr>
    </w:p>
    <w:p w14:paraId="095B892E" w14:textId="77777777" w:rsidR="00CE09F3" w:rsidRPr="006B5701" w:rsidRDefault="00CE09F3" w:rsidP="00923865">
      <w:pPr>
        <w:rPr>
          <w:b/>
          <w:bCs/>
          <w:szCs w:val="22"/>
          <w:lang w:val="sr-Latn-CS"/>
        </w:rPr>
      </w:pPr>
      <w:r w:rsidRPr="006B5701">
        <w:rPr>
          <w:b/>
          <w:bCs/>
          <w:szCs w:val="22"/>
          <w:lang w:val="sr-Latn-CS"/>
        </w:rPr>
        <w:t xml:space="preserve">4.3. </w:t>
      </w:r>
      <w:r w:rsidRPr="006B5701">
        <w:rPr>
          <w:b/>
          <w:bCs/>
          <w:szCs w:val="22"/>
        </w:rPr>
        <w:t>Kontraindikacije</w:t>
      </w:r>
    </w:p>
    <w:p w14:paraId="17AA57DF" w14:textId="77777777" w:rsidR="00CE09F3" w:rsidRPr="006B5701" w:rsidRDefault="00CE09F3" w:rsidP="00923865">
      <w:pPr>
        <w:rPr>
          <w:szCs w:val="22"/>
          <w:lang w:val="sr-Latn-CS"/>
        </w:rPr>
      </w:pPr>
    </w:p>
    <w:p w14:paraId="7CF9B54A" w14:textId="22E2C8B0" w:rsidR="00C60BCD" w:rsidRPr="006B5701" w:rsidRDefault="00C60BCD" w:rsidP="00C60BCD">
      <w:pPr>
        <w:jc w:val="left"/>
        <w:rPr>
          <w:szCs w:val="22"/>
          <w:lang w:val="sr-Latn-CS"/>
        </w:rPr>
      </w:pPr>
      <w:r w:rsidRPr="006B5701">
        <w:rPr>
          <w:szCs w:val="22"/>
          <w:lang w:val="sr-Latn-CS"/>
        </w:rPr>
        <w:t>Preos</w:t>
      </w:r>
      <w:r w:rsidR="00D035B3">
        <w:rPr>
          <w:szCs w:val="22"/>
          <w:lang w:val="sr-Latn-CS"/>
        </w:rPr>
        <w:t>j</w:t>
      </w:r>
      <w:r w:rsidRPr="006B5701">
        <w:rPr>
          <w:szCs w:val="22"/>
          <w:lang w:val="sr-Latn-CS"/>
        </w:rPr>
        <w:t>etljivost na aktivnu supstancu ili na bilo koju od pomoćnih supstanci navedenih u od</w:t>
      </w:r>
      <w:r w:rsidR="00D035B3">
        <w:rPr>
          <w:szCs w:val="22"/>
          <w:lang w:val="sr-Latn-CS"/>
        </w:rPr>
        <w:t>j</w:t>
      </w:r>
      <w:r w:rsidRPr="006B5701">
        <w:rPr>
          <w:szCs w:val="22"/>
          <w:lang w:val="sr-Latn-CS"/>
        </w:rPr>
        <w:t>eljku 6.1.</w:t>
      </w:r>
    </w:p>
    <w:p w14:paraId="12ACC954" w14:textId="77777777" w:rsidR="00CE09F3" w:rsidRPr="006B5701" w:rsidRDefault="00CE09F3" w:rsidP="00923865">
      <w:pPr>
        <w:rPr>
          <w:szCs w:val="22"/>
          <w:lang w:val="sr-Latn-CS"/>
        </w:rPr>
      </w:pPr>
    </w:p>
    <w:p w14:paraId="09B44F4B" w14:textId="02512D13" w:rsidR="00CE09F3" w:rsidRPr="006B5701" w:rsidRDefault="00CE09F3" w:rsidP="00923865">
      <w:pPr>
        <w:rPr>
          <w:b/>
          <w:bCs/>
          <w:szCs w:val="22"/>
          <w:lang w:val="sr-Latn-CS"/>
        </w:rPr>
      </w:pPr>
      <w:r w:rsidRPr="006B5701">
        <w:rPr>
          <w:b/>
          <w:bCs/>
          <w:szCs w:val="22"/>
          <w:lang w:val="sr-Latn-CS"/>
        </w:rPr>
        <w:t xml:space="preserve">4.4. </w:t>
      </w:r>
      <w:r w:rsidRPr="006B5701">
        <w:rPr>
          <w:b/>
          <w:bCs/>
          <w:szCs w:val="22"/>
          <w:lang w:val="ru-RU"/>
        </w:rPr>
        <w:t>Posebna</w:t>
      </w:r>
      <w:r w:rsidRPr="006B5701">
        <w:rPr>
          <w:b/>
          <w:bCs/>
          <w:szCs w:val="22"/>
          <w:lang w:val="sr-Latn-CS"/>
        </w:rPr>
        <w:t xml:space="preserve"> </w:t>
      </w:r>
      <w:r w:rsidRPr="006B5701">
        <w:rPr>
          <w:b/>
          <w:bCs/>
          <w:szCs w:val="22"/>
          <w:lang w:val="ru-RU"/>
        </w:rPr>
        <w:t>upozorenja</w:t>
      </w:r>
      <w:r w:rsidRPr="006B5701">
        <w:rPr>
          <w:b/>
          <w:bCs/>
          <w:szCs w:val="22"/>
          <w:lang w:val="sr-Latn-CS"/>
        </w:rPr>
        <w:t xml:space="preserve"> </w:t>
      </w:r>
      <w:r w:rsidRPr="006B5701">
        <w:rPr>
          <w:b/>
          <w:bCs/>
          <w:szCs w:val="22"/>
          <w:lang w:val="ru-RU"/>
        </w:rPr>
        <w:t>i</w:t>
      </w:r>
      <w:r w:rsidRPr="006B5701">
        <w:rPr>
          <w:b/>
          <w:bCs/>
          <w:szCs w:val="22"/>
          <w:lang w:val="sr-Latn-CS"/>
        </w:rPr>
        <w:t xml:space="preserve"> </w:t>
      </w:r>
      <w:r w:rsidRPr="006B5701">
        <w:rPr>
          <w:b/>
          <w:bCs/>
          <w:szCs w:val="22"/>
          <w:lang w:val="ru-RU"/>
        </w:rPr>
        <w:t>m</w:t>
      </w:r>
      <w:r w:rsidR="00D035B3">
        <w:rPr>
          <w:b/>
          <w:bCs/>
          <w:szCs w:val="22"/>
          <w:lang w:val="sr-Latn-ME"/>
        </w:rPr>
        <w:t>j</w:t>
      </w:r>
      <w:r w:rsidRPr="006B5701">
        <w:rPr>
          <w:b/>
          <w:bCs/>
          <w:szCs w:val="22"/>
          <w:lang w:val="ru-RU"/>
        </w:rPr>
        <w:t>ere</w:t>
      </w:r>
      <w:r w:rsidRPr="006B5701">
        <w:rPr>
          <w:b/>
          <w:bCs/>
          <w:szCs w:val="22"/>
          <w:lang w:val="sr-Latn-CS"/>
        </w:rPr>
        <w:t xml:space="preserve"> </w:t>
      </w:r>
      <w:r w:rsidRPr="006B5701">
        <w:rPr>
          <w:b/>
          <w:bCs/>
          <w:szCs w:val="22"/>
          <w:lang w:val="ru-RU"/>
        </w:rPr>
        <w:t>opreza</w:t>
      </w:r>
      <w:r w:rsidRPr="006B5701">
        <w:rPr>
          <w:b/>
          <w:bCs/>
          <w:szCs w:val="22"/>
          <w:lang w:val="sr-Latn-CS"/>
        </w:rPr>
        <w:t xml:space="preserve"> </w:t>
      </w:r>
      <w:r w:rsidRPr="006B5701">
        <w:rPr>
          <w:b/>
          <w:bCs/>
          <w:szCs w:val="22"/>
          <w:lang w:val="ru-RU"/>
        </w:rPr>
        <w:t>pri</w:t>
      </w:r>
      <w:r w:rsidRPr="006B5701">
        <w:rPr>
          <w:b/>
          <w:bCs/>
          <w:szCs w:val="22"/>
          <w:lang w:val="sr-Latn-CS"/>
        </w:rPr>
        <w:t xml:space="preserve"> </w:t>
      </w:r>
      <w:r w:rsidRPr="006B5701">
        <w:rPr>
          <w:b/>
          <w:bCs/>
          <w:szCs w:val="22"/>
          <w:lang w:val="ru-RU"/>
        </w:rPr>
        <w:t>upotrebi</w:t>
      </w:r>
      <w:r w:rsidRPr="006B5701">
        <w:rPr>
          <w:b/>
          <w:bCs/>
          <w:szCs w:val="22"/>
          <w:lang w:val="sr-Latn-CS"/>
        </w:rPr>
        <w:t xml:space="preserve"> </w:t>
      </w:r>
      <w:r w:rsidRPr="006B5701">
        <w:rPr>
          <w:b/>
          <w:bCs/>
          <w:szCs w:val="22"/>
          <w:lang w:val="ru-RU"/>
        </w:rPr>
        <w:t>l</w:t>
      </w:r>
      <w:r w:rsidR="00D035B3">
        <w:rPr>
          <w:b/>
          <w:bCs/>
          <w:szCs w:val="22"/>
          <w:lang w:val="sr-Latn-ME"/>
        </w:rPr>
        <w:t>ij</w:t>
      </w:r>
      <w:r w:rsidRPr="006B5701">
        <w:rPr>
          <w:b/>
          <w:bCs/>
          <w:szCs w:val="22"/>
          <w:lang w:val="ru-RU"/>
        </w:rPr>
        <w:t>eka</w:t>
      </w:r>
    </w:p>
    <w:p w14:paraId="6552B76D" w14:textId="77777777" w:rsidR="00CE09F3" w:rsidRPr="006B5701" w:rsidRDefault="00CE09F3" w:rsidP="00923865">
      <w:pPr>
        <w:rPr>
          <w:szCs w:val="22"/>
          <w:lang w:val="sr-Latn-CS"/>
        </w:rPr>
      </w:pPr>
    </w:p>
    <w:p w14:paraId="3153BFDE" w14:textId="57CFBDF7" w:rsidR="004B21C0" w:rsidRPr="006B5701" w:rsidRDefault="004B21C0" w:rsidP="004B21C0">
      <w:pPr>
        <w:jc w:val="left"/>
        <w:rPr>
          <w:szCs w:val="22"/>
          <w:lang w:val="sr-Latn-CS"/>
        </w:rPr>
      </w:pPr>
      <w:r w:rsidRPr="006B5701">
        <w:rPr>
          <w:szCs w:val="22"/>
          <w:lang w:val="sr-Latn-CS"/>
        </w:rPr>
        <w:t xml:space="preserve">Kada se propisuju </w:t>
      </w:r>
      <w:r w:rsidR="0083579A">
        <w:rPr>
          <w:bCs/>
          <w:szCs w:val="22"/>
          <w:lang w:val="sr-Latn-CS"/>
        </w:rPr>
        <w:t>Mirapexin</w:t>
      </w:r>
      <w:r w:rsidRPr="006B5701">
        <w:rPr>
          <w:szCs w:val="22"/>
          <w:lang w:val="sr-Latn-CS"/>
        </w:rPr>
        <w:t xml:space="preserve"> tablete pacijentima sa Parkinsonovom bolešću koji imaju</w:t>
      </w:r>
      <w:r w:rsidR="00C60BCD" w:rsidRPr="006B5701">
        <w:rPr>
          <w:szCs w:val="22"/>
          <w:lang w:val="sr-Latn-CS"/>
        </w:rPr>
        <w:t xml:space="preserve"> oštećenje funkcije bubrega</w:t>
      </w:r>
      <w:r w:rsidRPr="006B5701">
        <w:rPr>
          <w:szCs w:val="22"/>
          <w:lang w:val="sr-Latn-CS"/>
        </w:rPr>
        <w:t>, preporučuje se smanjivanje doze u skladu sa od</w:t>
      </w:r>
      <w:r w:rsidR="00333181">
        <w:rPr>
          <w:szCs w:val="22"/>
          <w:lang w:val="sr-Latn-CS"/>
        </w:rPr>
        <w:t>j</w:t>
      </w:r>
      <w:r w:rsidRPr="006B5701">
        <w:rPr>
          <w:szCs w:val="22"/>
          <w:lang w:val="sr-Latn-CS"/>
        </w:rPr>
        <w:t>eljkom 4.2.</w:t>
      </w:r>
    </w:p>
    <w:p w14:paraId="74F4775F" w14:textId="77777777" w:rsidR="004B21C0" w:rsidRPr="006B5701" w:rsidRDefault="004B21C0" w:rsidP="004B21C0">
      <w:pPr>
        <w:pStyle w:val="Header"/>
        <w:tabs>
          <w:tab w:val="clear" w:pos="4536"/>
          <w:tab w:val="clear" w:pos="9072"/>
          <w:tab w:val="left" w:pos="284"/>
        </w:tabs>
        <w:jc w:val="left"/>
        <w:rPr>
          <w:i/>
          <w:iCs/>
          <w:szCs w:val="22"/>
          <w:lang w:val="sr-Latn-CS"/>
        </w:rPr>
      </w:pPr>
    </w:p>
    <w:p w14:paraId="61945B8A" w14:textId="77777777" w:rsidR="004B21C0" w:rsidRPr="006B5701" w:rsidRDefault="004B21C0" w:rsidP="004B21C0">
      <w:pPr>
        <w:pStyle w:val="Header"/>
        <w:tabs>
          <w:tab w:val="clear" w:pos="4536"/>
          <w:tab w:val="clear" w:pos="9072"/>
          <w:tab w:val="left" w:pos="284"/>
        </w:tabs>
        <w:jc w:val="left"/>
        <w:rPr>
          <w:iCs/>
          <w:szCs w:val="22"/>
          <w:u w:val="single"/>
          <w:lang w:val="sr-Latn-CS"/>
        </w:rPr>
      </w:pPr>
      <w:r w:rsidRPr="006B5701">
        <w:rPr>
          <w:iCs/>
          <w:szCs w:val="22"/>
          <w:u w:val="single"/>
          <w:lang w:val="sr-Latn-CS"/>
        </w:rPr>
        <w:t>Halucinacije</w:t>
      </w:r>
    </w:p>
    <w:p w14:paraId="1388A9DB" w14:textId="39B79DEC" w:rsidR="004B21C0" w:rsidRPr="006B5701" w:rsidRDefault="004B21C0" w:rsidP="004B21C0">
      <w:pPr>
        <w:pStyle w:val="Header"/>
        <w:tabs>
          <w:tab w:val="clear" w:pos="4536"/>
          <w:tab w:val="clear" w:pos="9072"/>
          <w:tab w:val="left" w:pos="284"/>
        </w:tabs>
        <w:jc w:val="left"/>
        <w:rPr>
          <w:szCs w:val="22"/>
          <w:lang w:val="sr-Latn-CS"/>
        </w:rPr>
      </w:pPr>
      <w:r w:rsidRPr="006B5701">
        <w:rPr>
          <w:szCs w:val="22"/>
          <w:lang w:val="sr-Latn-CS"/>
        </w:rPr>
        <w:t>Halucinacije su poznata neželjena dejstva terapije dopaminskim agonistima i levodopom. Pacijente treba obav</w:t>
      </w:r>
      <w:r w:rsidR="00333181">
        <w:rPr>
          <w:szCs w:val="22"/>
          <w:lang w:val="sr-Latn-CS"/>
        </w:rPr>
        <w:t>ij</w:t>
      </w:r>
      <w:r w:rsidRPr="006B5701">
        <w:rPr>
          <w:szCs w:val="22"/>
          <w:lang w:val="sr-Latn-CS"/>
        </w:rPr>
        <w:t>estiti da može da dođe do pojave halucinacija (uglavnom vizuelnih).</w:t>
      </w:r>
    </w:p>
    <w:p w14:paraId="7CE8FF89" w14:textId="77777777" w:rsidR="004B21C0" w:rsidRPr="006B5701" w:rsidRDefault="004B21C0" w:rsidP="004B21C0">
      <w:pPr>
        <w:jc w:val="left"/>
        <w:rPr>
          <w:szCs w:val="22"/>
          <w:lang w:val="sr-Latn-CS"/>
        </w:rPr>
      </w:pPr>
    </w:p>
    <w:p w14:paraId="11A027D4" w14:textId="77777777" w:rsidR="004B21C0" w:rsidRPr="006B5701" w:rsidRDefault="004B21C0" w:rsidP="004B21C0">
      <w:pPr>
        <w:jc w:val="left"/>
        <w:rPr>
          <w:iCs/>
          <w:szCs w:val="22"/>
          <w:u w:val="single"/>
          <w:lang w:val="sr-Latn-CS"/>
        </w:rPr>
      </w:pPr>
      <w:r w:rsidRPr="006B5701">
        <w:rPr>
          <w:iCs/>
          <w:szCs w:val="22"/>
          <w:u w:val="single"/>
          <w:lang w:val="sr-Latn-CS"/>
        </w:rPr>
        <w:t>Diskinezija</w:t>
      </w:r>
    </w:p>
    <w:p w14:paraId="4824A9A3" w14:textId="276B32FF" w:rsidR="004B21C0" w:rsidRPr="006B5701" w:rsidRDefault="004B21C0" w:rsidP="004B21C0">
      <w:pPr>
        <w:jc w:val="left"/>
        <w:rPr>
          <w:szCs w:val="22"/>
          <w:lang w:val="sr-Latn-CS"/>
        </w:rPr>
      </w:pPr>
      <w:r w:rsidRPr="006B5701">
        <w:rPr>
          <w:szCs w:val="22"/>
          <w:lang w:val="sr-Latn-CS"/>
        </w:rPr>
        <w:t>Kod pacijenata sa uznapredovalom Parkinsonovom bolešću</w:t>
      </w:r>
      <w:r w:rsidR="00C60BCD" w:rsidRPr="006B5701">
        <w:rPr>
          <w:szCs w:val="22"/>
          <w:lang w:val="sr-Latn-CS"/>
        </w:rPr>
        <w:t>,</w:t>
      </w:r>
      <w:r w:rsidRPr="006B5701">
        <w:rPr>
          <w:szCs w:val="22"/>
          <w:lang w:val="sr-Latn-CS"/>
        </w:rPr>
        <w:t xml:space="preserve"> </w:t>
      </w:r>
      <w:r w:rsidR="00C60BCD" w:rsidRPr="006B5701">
        <w:rPr>
          <w:szCs w:val="22"/>
          <w:lang w:val="sr-Latn-CS"/>
        </w:rPr>
        <w:t xml:space="preserve">koji uzimaju kombinovanu terapiju </w:t>
      </w:r>
      <w:r w:rsidRPr="006B5701">
        <w:rPr>
          <w:szCs w:val="22"/>
          <w:lang w:val="sr-Latn-CS"/>
        </w:rPr>
        <w:t>sa levodopom, može doći do pojave diskinezija tokom inicijalne titracije l</w:t>
      </w:r>
      <w:r w:rsidR="00333181">
        <w:rPr>
          <w:szCs w:val="22"/>
          <w:lang w:val="sr-Latn-CS"/>
        </w:rPr>
        <w:t>ij</w:t>
      </w:r>
      <w:r w:rsidRPr="006B5701">
        <w:rPr>
          <w:szCs w:val="22"/>
          <w:lang w:val="sr-Latn-CS"/>
        </w:rPr>
        <w:t xml:space="preserve">eka </w:t>
      </w:r>
      <w:r w:rsidR="0083579A">
        <w:rPr>
          <w:bCs/>
          <w:szCs w:val="22"/>
          <w:lang w:val="sr-Latn-CS"/>
        </w:rPr>
        <w:t>Mirapexin</w:t>
      </w:r>
      <w:r w:rsidRPr="006B5701">
        <w:rPr>
          <w:szCs w:val="22"/>
          <w:lang w:val="sr-Latn-CS"/>
        </w:rPr>
        <w:t xml:space="preserve">. Ako do njih dođe, treba smanjiti dozu levodope. </w:t>
      </w:r>
    </w:p>
    <w:p w14:paraId="418C9FD7" w14:textId="77777777" w:rsidR="00357405" w:rsidRPr="006B5701" w:rsidRDefault="00357405" w:rsidP="004B21C0">
      <w:pPr>
        <w:jc w:val="left"/>
        <w:rPr>
          <w:szCs w:val="22"/>
          <w:lang w:val="sr-Latn-CS"/>
        </w:rPr>
      </w:pPr>
    </w:p>
    <w:p w14:paraId="4ADCDBD6" w14:textId="77777777" w:rsidR="00D0777D" w:rsidRPr="006B5701" w:rsidRDefault="00D0777D" w:rsidP="00D0777D">
      <w:pPr>
        <w:jc w:val="left"/>
        <w:rPr>
          <w:szCs w:val="22"/>
          <w:u w:val="single"/>
          <w:lang w:val="sr-Latn-CS"/>
        </w:rPr>
      </w:pPr>
      <w:r w:rsidRPr="006B5701">
        <w:rPr>
          <w:szCs w:val="22"/>
          <w:u w:val="single"/>
          <w:lang w:val="sr-Latn-CS"/>
        </w:rPr>
        <w:t xml:space="preserve">Distonija </w:t>
      </w:r>
    </w:p>
    <w:p w14:paraId="15EA8DB1" w14:textId="3E563E67" w:rsidR="00D0777D" w:rsidRPr="006B5701" w:rsidRDefault="00D0777D" w:rsidP="00D0777D">
      <w:pPr>
        <w:jc w:val="left"/>
        <w:rPr>
          <w:szCs w:val="22"/>
          <w:lang w:val="sr-Latn-CS"/>
        </w:rPr>
      </w:pPr>
      <w:r w:rsidRPr="006B5701">
        <w:rPr>
          <w:szCs w:val="22"/>
          <w:lang w:val="sr-Latn-CS"/>
        </w:rPr>
        <w:t>Aksijalna distonija, uključujući antekolis, kamptokormiju i pleurototonus (Pisa sindrom), povremeno je zab</w:t>
      </w:r>
      <w:r w:rsidR="00333181">
        <w:rPr>
          <w:szCs w:val="22"/>
          <w:lang w:val="sr-Latn-CS"/>
        </w:rPr>
        <w:t>i</w:t>
      </w:r>
      <w:r w:rsidRPr="006B5701">
        <w:rPr>
          <w:szCs w:val="22"/>
          <w:lang w:val="sr-Latn-CS"/>
        </w:rPr>
        <w:t>l</w:t>
      </w:r>
      <w:r w:rsidR="00333181">
        <w:rPr>
          <w:szCs w:val="22"/>
          <w:lang w:val="sr-Latn-CS"/>
        </w:rPr>
        <w:t>j</w:t>
      </w:r>
      <w:r w:rsidRPr="006B5701">
        <w:rPr>
          <w:szCs w:val="22"/>
          <w:lang w:val="sr-Latn-CS"/>
        </w:rPr>
        <w:t>ežena kod pacijenata sa Parkinsonovom bolešću nakon početka terapije ili postepenog povećanja doze pramipeksola. Iako distonija može da bude simptom Parkinsonove bolesti, simptomi kod tih pacijenata poboljšali su se nakon smanjenja doze ili</w:t>
      </w:r>
      <w:r w:rsidR="00753FF7" w:rsidRPr="006B5701">
        <w:rPr>
          <w:szCs w:val="22"/>
          <w:lang w:val="sr-Latn-CS"/>
        </w:rPr>
        <w:t xml:space="preserve"> </w:t>
      </w:r>
      <w:r w:rsidRPr="006B5701">
        <w:rPr>
          <w:szCs w:val="22"/>
          <w:lang w:val="sr-Latn-CS"/>
        </w:rPr>
        <w:t>obustavljanja pramipeksola. U slučaju pojave distonije potrebno je preispitati režim davanja dopaminergičkih l</w:t>
      </w:r>
      <w:r w:rsidR="00333181">
        <w:rPr>
          <w:szCs w:val="22"/>
          <w:lang w:val="sr-Latn-CS"/>
        </w:rPr>
        <w:t>j</w:t>
      </w:r>
      <w:r w:rsidRPr="006B5701">
        <w:rPr>
          <w:szCs w:val="22"/>
          <w:lang w:val="sr-Latn-CS"/>
        </w:rPr>
        <w:t>ekova i razmotriti prilagođavanje doze pramipeksola.</w:t>
      </w:r>
    </w:p>
    <w:p w14:paraId="624A76D2" w14:textId="77777777" w:rsidR="004B21C0" w:rsidRPr="006B5701" w:rsidRDefault="004B21C0" w:rsidP="004B21C0">
      <w:pPr>
        <w:jc w:val="left"/>
        <w:rPr>
          <w:szCs w:val="22"/>
          <w:u w:val="single"/>
          <w:lang w:val="sr-Latn-CS"/>
        </w:rPr>
      </w:pPr>
    </w:p>
    <w:p w14:paraId="5DBD46FB" w14:textId="77777777" w:rsidR="004B21C0" w:rsidRPr="006B5701" w:rsidRDefault="004B21C0" w:rsidP="004B21C0">
      <w:pPr>
        <w:pStyle w:val="Header"/>
        <w:tabs>
          <w:tab w:val="left" w:pos="360"/>
        </w:tabs>
        <w:jc w:val="left"/>
        <w:rPr>
          <w:iCs/>
          <w:szCs w:val="22"/>
          <w:u w:val="single"/>
          <w:lang w:val="sr-Latn-CS"/>
        </w:rPr>
      </w:pPr>
      <w:r w:rsidRPr="006B5701">
        <w:rPr>
          <w:iCs/>
          <w:szCs w:val="22"/>
          <w:u w:val="single"/>
          <w:lang w:val="sr-Latn-CS"/>
        </w:rPr>
        <w:t xml:space="preserve">Epizode naglog padanja u san i somnolencija </w:t>
      </w:r>
    </w:p>
    <w:p w14:paraId="39C41C3D" w14:textId="3CED4981" w:rsidR="006B244A" w:rsidRDefault="004B21C0" w:rsidP="004B21C0">
      <w:pPr>
        <w:jc w:val="left"/>
        <w:rPr>
          <w:szCs w:val="22"/>
          <w:lang w:val="sr-Latn-CS"/>
        </w:rPr>
      </w:pPr>
      <w:r w:rsidRPr="006B5701">
        <w:rPr>
          <w:szCs w:val="22"/>
          <w:lang w:val="sr-Latn-CS"/>
        </w:rPr>
        <w:t>Prim</w:t>
      </w:r>
      <w:r w:rsidR="00333181">
        <w:rPr>
          <w:szCs w:val="22"/>
          <w:lang w:val="sr-Latn-CS"/>
        </w:rPr>
        <w:t>j</w:t>
      </w:r>
      <w:r w:rsidRPr="006B5701">
        <w:rPr>
          <w:szCs w:val="22"/>
          <w:lang w:val="sr-Latn-CS"/>
        </w:rPr>
        <w:t xml:space="preserve">ena pramipeksola je povezana sa somnolencijom i epizodama iznenadnog nastupa sna, posebno kod pacijenata sa Parkinsonovom bolešću. </w:t>
      </w:r>
    </w:p>
    <w:p w14:paraId="4158EC37" w14:textId="0DA4DC00" w:rsidR="004B21C0" w:rsidRPr="006B5701" w:rsidRDefault="004B21C0" w:rsidP="004B21C0">
      <w:pPr>
        <w:jc w:val="left"/>
        <w:rPr>
          <w:szCs w:val="22"/>
          <w:lang w:val="sr-Latn-CS"/>
        </w:rPr>
      </w:pPr>
      <w:r w:rsidRPr="006B5701">
        <w:rPr>
          <w:szCs w:val="22"/>
          <w:lang w:val="sr-Latn-CS"/>
        </w:rPr>
        <w:lastRenderedPageBreak/>
        <w:t>Povremeno su prijavljivani i iznenadni nastupi sna tokom dnevnih aktivnosti, u nekim slučajevima bez sv</w:t>
      </w:r>
      <w:r w:rsidR="00333181">
        <w:rPr>
          <w:szCs w:val="22"/>
          <w:lang w:val="sr-Latn-CS"/>
        </w:rPr>
        <w:t>j</w:t>
      </w:r>
      <w:r w:rsidRPr="006B5701">
        <w:rPr>
          <w:szCs w:val="22"/>
          <w:lang w:val="sr-Latn-CS"/>
        </w:rPr>
        <w:t>esnosti o tome ili prethodnih upozoravajućih znakova. Pacijenti moraju biti obav</w:t>
      </w:r>
      <w:r w:rsidR="00333181">
        <w:rPr>
          <w:szCs w:val="22"/>
          <w:lang w:val="sr-Latn-CS"/>
        </w:rPr>
        <w:t>ij</w:t>
      </w:r>
      <w:r w:rsidRPr="006B5701">
        <w:rPr>
          <w:szCs w:val="22"/>
          <w:lang w:val="sr-Latn-CS"/>
        </w:rPr>
        <w:t xml:space="preserve">ešteni i upozoreni </w:t>
      </w:r>
      <w:r w:rsidR="002E1C9E" w:rsidRPr="006B5701">
        <w:rPr>
          <w:szCs w:val="22"/>
          <w:lang w:val="sr-Latn-CS"/>
        </w:rPr>
        <w:t>da budu</w:t>
      </w:r>
      <w:r w:rsidRPr="006B5701">
        <w:rPr>
          <w:szCs w:val="22"/>
          <w:lang w:val="sr-Latn-CS"/>
        </w:rPr>
        <w:t xml:space="preserve"> oprez</w:t>
      </w:r>
      <w:r w:rsidR="002E1C9E" w:rsidRPr="006B5701">
        <w:rPr>
          <w:szCs w:val="22"/>
          <w:lang w:val="sr-Latn-CS"/>
        </w:rPr>
        <w:t>ni</w:t>
      </w:r>
      <w:r w:rsidRPr="006B5701">
        <w:rPr>
          <w:szCs w:val="22"/>
          <w:lang w:val="sr-Latn-CS"/>
        </w:rPr>
        <w:t xml:space="preserve"> prilikom upravljanja vozilima ili rukovanja mašinama tokom terapije l</w:t>
      </w:r>
      <w:r w:rsidR="00333181">
        <w:rPr>
          <w:szCs w:val="22"/>
          <w:lang w:val="sr-Latn-CS"/>
        </w:rPr>
        <w:t>ij</w:t>
      </w:r>
      <w:r w:rsidRPr="006B5701">
        <w:rPr>
          <w:szCs w:val="22"/>
          <w:lang w:val="sr-Latn-CS"/>
        </w:rPr>
        <w:t xml:space="preserve">ekom </w:t>
      </w:r>
      <w:r w:rsidR="0083579A">
        <w:rPr>
          <w:bCs/>
          <w:szCs w:val="22"/>
          <w:lang w:val="sr-Latn-CS"/>
        </w:rPr>
        <w:t>Mirapexin</w:t>
      </w:r>
      <w:r w:rsidRPr="006B5701">
        <w:rPr>
          <w:szCs w:val="22"/>
          <w:lang w:val="sr-Latn-CS"/>
        </w:rPr>
        <w:t xml:space="preserve">. Pacijenti </w:t>
      </w:r>
      <w:r w:rsidR="0047594F" w:rsidRPr="006B5701">
        <w:rPr>
          <w:szCs w:val="22"/>
          <w:lang w:val="sr-Latn-CS"/>
        </w:rPr>
        <w:t>koji su os</w:t>
      </w:r>
      <w:r w:rsidR="00333181">
        <w:rPr>
          <w:szCs w:val="22"/>
          <w:lang w:val="sr-Latn-CS"/>
        </w:rPr>
        <w:t>j</w:t>
      </w:r>
      <w:r w:rsidR="0047594F" w:rsidRPr="006B5701">
        <w:rPr>
          <w:szCs w:val="22"/>
          <w:lang w:val="sr-Latn-CS"/>
        </w:rPr>
        <w:t>etili</w:t>
      </w:r>
      <w:r w:rsidRPr="006B5701">
        <w:rPr>
          <w:szCs w:val="22"/>
          <w:lang w:val="sr-Latn-CS"/>
        </w:rPr>
        <w:t xml:space="preserve"> pospanost i/ili epizode naglog padanja u san, ne sm</w:t>
      </w:r>
      <w:r w:rsidR="00333181">
        <w:rPr>
          <w:szCs w:val="22"/>
          <w:lang w:val="sr-Latn-CS"/>
        </w:rPr>
        <w:t>i</w:t>
      </w:r>
      <w:r w:rsidRPr="006B5701">
        <w:rPr>
          <w:szCs w:val="22"/>
          <w:lang w:val="sr-Latn-CS"/>
        </w:rPr>
        <w:t>ju da voze</w:t>
      </w:r>
      <w:r w:rsidR="00C60BCD" w:rsidRPr="006B5701">
        <w:rPr>
          <w:szCs w:val="22"/>
          <w:lang w:val="sr-Latn-CS"/>
        </w:rPr>
        <w:t xml:space="preserve">, </w:t>
      </w:r>
      <w:r w:rsidRPr="006B5701">
        <w:rPr>
          <w:szCs w:val="22"/>
          <w:lang w:val="sr-Latn-CS"/>
        </w:rPr>
        <w:t>niti da rukuju mašinama. Pored toga, može se razmotriti smanjenje doze ili prekid terapije. Zbog mogućeg aditivnog dejstva, treba biti posebno oprezan kada pacijenti uzimaju druge sedative ili alkohol u kombinaciji sa pramipeksolom (vid</w:t>
      </w:r>
      <w:r w:rsidR="00333181">
        <w:rPr>
          <w:szCs w:val="22"/>
          <w:lang w:val="sr-Latn-CS"/>
        </w:rPr>
        <w:t>j</w:t>
      </w:r>
      <w:r w:rsidRPr="006B5701">
        <w:rPr>
          <w:szCs w:val="22"/>
          <w:lang w:val="sr-Latn-CS"/>
        </w:rPr>
        <w:t>eti od</w:t>
      </w:r>
      <w:r w:rsidR="00333181">
        <w:rPr>
          <w:szCs w:val="22"/>
          <w:lang w:val="sr-Latn-CS"/>
        </w:rPr>
        <w:t>j</w:t>
      </w:r>
      <w:r w:rsidRPr="006B5701">
        <w:rPr>
          <w:szCs w:val="22"/>
          <w:lang w:val="sr-Latn-CS"/>
        </w:rPr>
        <w:t>eljke 4.5, 4.7 i od</w:t>
      </w:r>
      <w:r w:rsidR="00333181">
        <w:rPr>
          <w:szCs w:val="22"/>
          <w:lang w:val="sr-Latn-CS"/>
        </w:rPr>
        <w:t>j</w:t>
      </w:r>
      <w:r w:rsidRPr="006B5701">
        <w:rPr>
          <w:szCs w:val="22"/>
          <w:lang w:val="sr-Latn-CS"/>
        </w:rPr>
        <w:t>eljak 4.8).</w:t>
      </w:r>
    </w:p>
    <w:p w14:paraId="0B6ADC71" w14:textId="77777777" w:rsidR="004B21C0" w:rsidRPr="006B5701" w:rsidRDefault="004B21C0" w:rsidP="004B21C0">
      <w:pPr>
        <w:pStyle w:val="Header"/>
        <w:tabs>
          <w:tab w:val="clear" w:pos="4536"/>
          <w:tab w:val="clear" w:pos="9072"/>
          <w:tab w:val="left" w:pos="284"/>
        </w:tabs>
        <w:jc w:val="left"/>
        <w:rPr>
          <w:szCs w:val="22"/>
          <w:u w:val="single"/>
          <w:lang w:val="sr-Latn-CS"/>
        </w:rPr>
      </w:pPr>
    </w:p>
    <w:p w14:paraId="1D978217" w14:textId="77777777" w:rsidR="004B21C0" w:rsidRPr="006B5701" w:rsidRDefault="004B21C0" w:rsidP="004B21C0">
      <w:pPr>
        <w:jc w:val="left"/>
        <w:rPr>
          <w:szCs w:val="22"/>
          <w:u w:val="single"/>
          <w:lang w:val="sr-Latn-CS"/>
        </w:rPr>
      </w:pPr>
      <w:r w:rsidRPr="006B5701">
        <w:rPr>
          <w:szCs w:val="22"/>
          <w:u w:val="single"/>
          <w:lang w:val="sr-Latn-CS"/>
        </w:rPr>
        <w:t xml:space="preserve">Poremećaj kontrole nagona </w:t>
      </w:r>
    </w:p>
    <w:p w14:paraId="5866782F" w14:textId="40FCF7D5" w:rsidR="004B21C0" w:rsidRPr="006B5701" w:rsidRDefault="004B21C0" w:rsidP="004B21C0">
      <w:pPr>
        <w:jc w:val="left"/>
        <w:rPr>
          <w:szCs w:val="22"/>
          <w:lang w:val="sr-Latn-CS"/>
        </w:rPr>
      </w:pPr>
      <w:r w:rsidRPr="006B5701">
        <w:rPr>
          <w:szCs w:val="22"/>
          <w:lang w:val="sr-Latn-CS"/>
        </w:rPr>
        <w:t>Pacijente treba redovno pratiti kako bi se prim</w:t>
      </w:r>
      <w:r w:rsidR="00333181">
        <w:rPr>
          <w:szCs w:val="22"/>
          <w:lang w:val="sr-Latn-CS"/>
        </w:rPr>
        <w:t>ij</w:t>
      </w:r>
      <w:r w:rsidRPr="006B5701">
        <w:rPr>
          <w:szCs w:val="22"/>
          <w:lang w:val="sr-Latn-CS"/>
        </w:rPr>
        <w:t xml:space="preserve">etio eventualni razvoj poremećaja kontrole nagona. </w:t>
      </w:r>
    </w:p>
    <w:p w14:paraId="6E1D7604" w14:textId="4B0CD5CD" w:rsidR="004B21C0" w:rsidRPr="006B5701" w:rsidRDefault="004B21C0" w:rsidP="004B21C0">
      <w:pPr>
        <w:jc w:val="left"/>
        <w:rPr>
          <w:szCs w:val="22"/>
          <w:lang w:val="sr-Latn-CS"/>
        </w:rPr>
      </w:pPr>
      <w:r w:rsidRPr="006B5701">
        <w:rPr>
          <w:szCs w:val="22"/>
          <w:lang w:val="sr-Latn-CS"/>
        </w:rPr>
        <w:t>Pacijente i njihove staratelje treba upoznati sa činjenicom da se bihejvioralni simptomi poremećaja kontrole nagona, uključujući patološko kockanje, povišen libido, hiperseksualnost, kompulzivno trošenje novca ili kupovanje, prejedanje i kompulzivno prejedanje, mogu javiti kod pacijenata koji se l</w:t>
      </w:r>
      <w:r w:rsidR="00333181">
        <w:rPr>
          <w:szCs w:val="22"/>
          <w:lang w:val="sr-Latn-CS"/>
        </w:rPr>
        <w:t>ij</w:t>
      </w:r>
      <w:r w:rsidRPr="006B5701">
        <w:rPr>
          <w:szCs w:val="22"/>
          <w:lang w:val="sr-Latn-CS"/>
        </w:rPr>
        <w:t xml:space="preserve">eče dopaminskim agonistima, uključujući i </w:t>
      </w:r>
      <w:r w:rsidR="0083579A">
        <w:rPr>
          <w:bCs/>
          <w:szCs w:val="22"/>
          <w:lang w:val="sr-Latn-CS"/>
        </w:rPr>
        <w:t>Mirapexin</w:t>
      </w:r>
      <w:r w:rsidRPr="006B5701">
        <w:rPr>
          <w:szCs w:val="22"/>
          <w:lang w:val="sr-Latn-CS"/>
        </w:rPr>
        <w:t>. Ako se pojave ovakvi simptomi, treba razmisliti o smanjenju doze ili postepenom obustavljanju l</w:t>
      </w:r>
      <w:r w:rsidR="00333181">
        <w:rPr>
          <w:szCs w:val="22"/>
          <w:lang w:val="sr-Latn-CS"/>
        </w:rPr>
        <w:t>ij</w:t>
      </w:r>
      <w:r w:rsidRPr="006B5701">
        <w:rPr>
          <w:szCs w:val="22"/>
          <w:lang w:val="sr-Latn-CS"/>
        </w:rPr>
        <w:t>eka.</w:t>
      </w:r>
    </w:p>
    <w:p w14:paraId="7B457A93" w14:textId="77777777" w:rsidR="004B21C0" w:rsidRPr="006B5701" w:rsidRDefault="004B21C0" w:rsidP="004B21C0">
      <w:pPr>
        <w:jc w:val="left"/>
        <w:rPr>
          <w:szCs w:val="22"/>
          <w:u w:val="single"/>
          <w:lang w:val="sr-Latn-CS"/>
        </w:rPr>
      </w:pPr>
    </w:p>
    <w:p w14:paraId="337C54CF" w14:textId="77777777" w:rsidR="004B21C0" w:rsidRPr="006B5701" w:rsidRDefault="004B21C0" w:rsidP="004B21C0">
      <w:pPr>
        <w:jc w:val="left"/>
        <w:rPr>
          <w:szCs w:val="22"/>
          <w:u w:val="single"/>
          <w:lang w:val="sr-Latn-CS"/>
        </w:rPr>
      </w:pPr>
      <w:r w:rsidRPr="006B5701">
        <w:rPr>
          <w:szCs w:val="22"/>
          <w:u w:val="single"/>
          <w:lang w:val="sr-Latn-CS"/>
        </w:rPr>
        <w:t>Manija i delirijum</w:t>
      </w:r>
    </w:p>
    <w:p w14:paraId="43CE6955" w14:textId="3879A2F1" w:rsidR="004B21C0" w:rsidRPr="006B5701" w:rsidRDefault="004B21C0" w:rsidP="004B21C0">
      <w:pPr>
        <w:jc w:val="left"/>
        <w:rPr>
          <w:szCs w:val="22"/>
          <w:lang w:val="sr-Latn-CS"/>
        </w:rPr>
      </w:pPr>
      <w:r w:rsidRPr="006B5701">
        <w:rPr>
          <w:szCs w:val="22"/>
          <w:lang w:val="sr-Latn-CS"/>
        </w:rPr>
        <w:t>Pacijente treba redovno pratiti zbog mogućeg razvoja manije i delirijuma. Pacijente i njihove staratelje treba upoznati sa činjenicom da postoji mogućnost pojave manije i delirijuma kod pacijenata koji su na terapiji pramipeksolom. Ako se pojave ovakvi simtomi, potrebno je razmotriti smanjenje doze ili postepeno obustavljanje l</w:t>
      </w:r>
      <w:r w:rsidR="000C3752">
        <w:rPr>
          <w:szCs w:val="22"/>
          <w:lang w:val="sr-Latn-CS"/>
        </w:rPr>
        <w:t>ij</w:t>
      </w:r>
      <w:r w:rsidRPr="006B5701">
        <w:rPr>
          <w:szCs w:val="22"/>
          <w:lang w:val="sr-Latn-CS"/>
        </w:rPr>
        <w:t>eka.</w:t>
      </w:r>
    </w:p>
    <w:p w14:paraId="60ABBD71" w14:textId="77777777" w:rsidR="004B21C0" w:rsidRPr="006B5701" w:rsidRDefault="004B21C0" w:rsidP="004B21C0">
      <w:pPr>
        <w:jc w:val="left"/>
        <w:rPr>
          <w:szCs w:val="22"/>
          <w:lang w:val="sr-Latn-CS"/>
        </w:rPr>
      </w:pPr>
    </w:p>
    <w:p w14:paraId="378F708B" w14:textId="77777777" w:rsidR="004B21C0" w:rsidRPr="006B5701" w:rsidRDefault="004B21C0" w:rsidP="004B21C0">
      <w:pPr>
        <w:jc w:val="left"/>
        <w:rPr>
          <w:iCs/>
          <w:szCs w:val="22"/>
          <w:u w:val="single"/>
          <w:lang w:val="sr-Latn-CS"/>
        </w:rPr>
      </w:pPr>
      <w:r w:rsidRPr="006B5701">
        <w:rPr>
          <w:iCs/>
          <w:szCs w:val="22"/>
          <w:u w:val="single"/>
          <w:lang w:val="sr-Latn-CS"/>
        </w:rPr>
        <w:t>Pacijenti sa psihičkim poremećajima</w:t>
      </w:r>
    </w:p>
    <w:p w14:paraId="14DD4BD5" w14:textId="6D6EB9C6" w:rsidR="004B21C0" w:rsidRPr="006B5701" w:rsidRDefault="004B21C0" w:rsidP="004B21C0">
      <w:pPr>
        <w:jc w:val="left"/>
        <w:rPr>
          <w:szCs w:val="22"/>
          <w:lang w:val="sr-Latn-CS"/>
        </w:rPr>
      </w:pPr>
      <w:r w:rsidRPr="006B5701">
        <w:rPr>
          <w:szCs w:val="22"/>
          <w:lang w:val="sr-Latn-CS"/>
        </w:rPr>
        <w:t xml:space="preserve">Pacijente sa </w:t>
      </w:r>
      <w:r w:rsidRPr="006B5701">
        <w:rPr>
          <w:iCs/>
          <w:szCs w:val="22"/>
          <w:lang w:val="sr-Latn-CS"/>
        </w:rPr>
        <w:t>psihičkim</w:t>
      </w:r>
      <w:r w:rsidRPr="006B5701">
        <w:rPr>
          <w:szCs w:val="22"/>
          <w:lang w:val="sr-Latn-CS"/>
        </w:rPr>
        <w:t xml:space="preserve"> poremećajima treba le</w:t>
      </w:r>
      <w:r w:rsidR="000C3752">
        <w:rPr>
          <w:szCs w:val="22"/>
          <w:lang w:val="sr-Latn-CS"/>
        </w:rPr>
        <w:t>ij</w:t>
      </w:r>
      <w:r w:rsidRPr="006B5701">
        <w:rPr>
          <w:szCs w:val="22"/>
          <w:lang w:val="sr-Latn-CS"/>
        </w:rPr>
        <w:t>čiti dopaminskim agonistima samo ako potencijalna korist prevazilazi rizike. Istovremeno davanje antipsihotičkih l</w:t>
      </w:r>
      <w:r w:rsidR="000C3752">
        <w:rPr>
          <w:szCs w:val="22"/>
          <w:lang w:val="sr-Latn-CS"/>
        </w:rPr>
        <w:t>j</w:t>
      </w:r>
      <w:r w:rsidRPr="006B5701">
        <w:rPr>
          <w:szCs w:val="22"/>
          <w:lang w:val="sr-Latn-CS"/>
        </w:rPr>
        <w:t>ekova sa pramipeksolom treba da se izb</w:t>
      </w:r>
      <w:r w:rsidR="000C3752">
        <w:rPr>
          <w:szCs w:val="22"/>
          <w:lang w:val="sr-Latn-CS"/>
        </w:rPr>
        <w:t>j</w:t>
      </w:r>
      <w:r w:rsidRPr="006B5701">
        <w:rPr>
          <w:szCs w:val="22"/>
          <w:lang w:val="sr-Latn-CS"/>
        </w:rPr>
        <w:t>egava (vid</w:t>
      </w:r>
      <w:r w:rsidR="000C3752">
        <w:rPr>
          <w:szCs w:val="22"/>
          <w:lang w:val="sr-Latn-CS"/>
        </w:rPr>
        <w:t>j</w:t>
      </w:r>
      <w:r w:rsidRPr="006B5701">
        <w:rPr>
          <w:szCs w:val="22"/>
          <w:lang w:val="sr-Latn-CS"/>
        </w:rPr>
        <w:t>eti od</w:t>
      </w:r>
      <w:r w:rsidR="000C3752">
        <w:rPr>
          <w:szCs w:val="22"/>
          <w:lang w:val="sr-Latn-CS"/>
        </w:rPr>
        <w:t>j</w:t>
      </w:r>
      <w:r w:rsidRPr="006B5701">
        <w:rPr>
          <w:szCs w:val="22"/>
          <w:lang w:val="sr-Latn-CS"/>
        </w:rPr>
        <w:t xml:space="preserve">eljak 4.5.). </w:t>
      </w:r>
    </w:p>
    <w:p w14:paraId="08B2DADC" w14:textId="77777777" w:rsidR="004B21C0" w:rsidRPr="006B5701" w:rsidRDefault="004B21C0" w:rsidP="004B21C0">
      <w:pPr>
        <w:jc w:val="left"/>
        <w:rPr>
          <w:szCs w:val="22"/>
          <w:u w:val="single"/>
          <w:lang w:val="sr-Latn-CS"/>
        </w:rPr>
      </w:pPr>
    </w:p>
    <w:p w14:paraId="5082F167" w14:textId="77777777" w:rsidR="004B21C0" w:rsidRPr="006B5701" w:rsidRDefault="004B21C0" w:rsidP="004B21C0">
      <w:pPr>
        <w:jc w:val="left"/>
        <w:rPr>
          <w:iCs/>
          <w:szCs w:val="22"/>
          <w:u w:val="single"/>
          <w:lang w:val="sr-Latn-CS"/>
        </w:rPr>
      </w:pPr>
      <w:r w:rsidRPr="006B5701">
        <w:rPr>
          <w:iCs/>
          <w:szCs w:val="22"/>
          <w:u w:val="single"/>
          <w:lang w:val="sr-Latn-CS"/>
        </w:rPr>
        <w:t>Oftalmološko praćenje</w:t>
      </w:r>
    </w:p>
    <w:p w14:paraId="4A73E132" w14:textId="77777777" w:rsidR="004B21C0" w:rsidRPr="006B5701" w:rsidRDefault="004B21C0" w:rsidP="004B21C0">
      <w:pPr>
        <w:jc w:val="left"/>
        <w:rPr>
          <w:szCs w:val="22"/>
          <w:lang w:val="sr-Latn-CS"/>
        </w:rPr>
      </w:pPr>
      <w:r w:rsidRPr="006B5701">
        <w:rPr>
          <w:szCs w:val="22"/>
          <w:lang w:val="sr-Latn-CS"/>
        </w:rPr>
        <w:t xml:space="preserve">Preporučuje se oftalmološko praćenje u redovnim intervalima ili ako dođe do poremećaja vida. </w:t>
      </w:r>
    </w:p>
    <w:p w14:paraId="5A9320C4" w14:textId="77777777" w:rsidR="004B21C0" w:rsidRPr="006B5701" w:rsidRDefault="004B21C0" w:rsidP="004B21C0">
      <w:pPr>
        <w:jc w:val="left"/>
        <w:rPr>
          <w:iCs/>
          <w:szCs w:val="22"/>
          <w:u w:val="single"/>
          <w:lang w:val="sr-Latn-CS"/>
        </w:rPr>
      </w:pPr>
    </w:p>
    <w:p w14:paraId="595CE4BB" w14:textId="77777777" w:rsidR="004B21C0" w:rsidRPr="006B5701" w:rsidRDefault="004B21C0" w:rsidP="004B21C0">
      <w:pPr>
        <w:jc w:val="left"/>
        <w:rPr>
          <w:iCs/>
          <w:szCs w:val="22"/>
          <w:u w:val="single"/>
          <w:lang w:val="sr-Latn-CS"/>
        </w:rPr>
      </w:pPr>
      <w:r w:rsidRPr="006B5701">
        <w:rPr>
          <w:iCs/>
          <w:szCs w:val="22"/>
          <w:u w:val="single"/>
          <w:lang w:val="sr-Latn-CS"/>
        </w:rPr>
        <w:t>Teška kardiovaskularna bolest</w:t>
      </w:r>
    </w:p>
    <w:p w14:paraId="5BBFB87E" w14:textId="77777777" w:rsidR="004B21C0" w:rsidRPr="006B5701" w:rsidRDefault="004B21C0" w:rsidP="004B21C0">
      <w:pPr>
        <w:jc w:val="left"/>
        <w:rPr>
          <w:szCs w:val="22"/>
          <w:lang w:val="sr-Latn-CS"/>
        </w:rPr>
      </w:pPr>
      <w:r w:rsidRPr="006B5701">
        <w:rPr>
          <w:szCs w:val="22"/>
          <w:lang w:val="sr-Latn-CS"/>
        </w:rPr>
        <w:t xml:space="preserve">U slučaju teške kardiovaskularne bolesti, treba biti oprezan. Preporučuje se praćenje krvnog pritiska, posebno na početku terapije, zbog opšteg rizika od posturalne hipotenzije povezane sa dopaminergičkom terapijom. </w:t>
      </w:r>
    </w:p>
    <w:p w14:paraId="65159C74" w14:textId="77777777" w:rsidR="004B21C0" w:rsidRPr="006B5701" w:rsidRDefault="004B21C0" w:rsidP="004B21C0">
      <w:pPr>
        <w:jc w:val="left"/>
        <w:rPr>
          <w:szCs w:val="22"/>
          <w:lang w:val="sr-Latn-CS"/>
        </w:rPr>
      </w:pPr>
    </w:p>
    <w:p w14:paraId="091FF073" w14:textId="77777777" w:rsidR="004B21C0" w:rsidRPr="006B5701" w:rsidRDefault="00C60BCD" w:rsidP="004B21C0">
      <w:pPr>
        <w:jc w:val="left"/>
        <w:rPr>
          <w:szCs w:val="22"/>
          <w:u w:val="single"/>
          <w:lang w:val="sr-Latn-CS"/>
        </w:rPr>
      </w:pPr>
      <w:r w:rsidRPr="006B5701">
        <w:rPr>
          <w:szCs w:val="22"/>
          <w:u w:val="single"/>
          <w:lang w:val="sr-Latn-CS"/>
        </w:rPr>
        <w:t>Maligni neuroleptični sindrom</w:t>
      </w:r>
    </w:p>
    <w:p w14:paraId="29582B3E" w14:textId="011481BA" w:rsidR="004B21C0" w:rsidRPr="006B5701" w:rsidRDefault="004B21C0" w:rsidP="004B21C0">
      <w:pPr>
        <w:jc w:val="left"/>
        <w:rPr>
          <w:szCs w:val="22"/>
          <w:lang w:val="sr-Latn-CS"/>
        </w:rPr>
      </w:pPr>
      <w:r w:rsidRPr="006B5701">
        <w:rPr>
          <w:szCs w:val="22"/>
          <w:lang w:val="sr-Latn-CS"/>
        </w:rPr>
        <w:t xml:space="preserve">Simptomi koji ukazuju na </w:t>
      </w:r>
      <w:r w:rsidR="005E6272" w:rsidRPr="006B5701">
        <w:rPr>
          <w:szCs w:val="22"/>
          <w:lang w:val="sr-Latn-CS"/>
        </w:rPr>
        <w:t xml:space="preserve">maligni </w:t>
      </w:r>
      <w:r w:rsidRPr="006B5701">
        <w:rPr>
          <w:szCs w:val="22"/>
          <w:lang w:val="sr-Latn-CS"/>
        </w:rPr>
        <w:t>neuroleptič</w:t>
      </w:r>
      <w:r w:rsidR="005E6272" w:rsidRPr="006B5701">
        <w:rPr>
          <w:szCs w:val="22"/>
          <w:lang w:val="sr-Latn-CS"/>
        </w:rPr>
        <w:t>n</w:t>
      </w:r>
      <w:r w:rsidRPr="006B5701">
        <w:rPr>
          <w:szCs w:val="22"/>
          <w:lang w:val="sr-Latn-CS"/>
        </w:rPr>
        <w:t>i sindrom prijavljivani su kod naglog prekida dopaminergičke terapije (vid</w:t>
      </w:r>
      <w:r w:rsidR="000C3752">
        <w:rPr>
          <w:szCs w:val="22"/>
          <w:lang w:val="sr-Latn-CS"/>
        </w:rPr>
        <w:t>j</w:t>
      </w:r>
      <w:r w:rsidRPr="006B5701">
        <w:rPr>
          <w:szCs w:val="22"/>
          <w:lang w:val="sr-Latn-CS"/>
        </w:rPr>
        <w:t>eti od</w:t>
      </w:r>
      <w:r w:rsidR="000C3752">
        <w:rPr>
          <w:szCs w:val="22"/>
          <w:lang w:val="sr-Latn-CS"/>
        </w:rPr>
        <w:t>j</w:t>
      </w:r>
      <w:r w:rsidRPr="006B5701">
        <w:rPr>
          <w:szCs w:val="22"/>
          <w:lang w:val="sr-Latn-CS"/>
        </w:rPr>
        <w:t>eljak 4.2.).</w:t>
      </w:r>
    </w:p>
    <w:p w14:paraId="367FBD98" w14:textId="77777777" w:rsidR="004B21C0" w:rsidRPr="006B5701" w:rsidRDefault="004B21C0" w:rsidP="004B21C0">
      <w:pPr>
        <w:jc w:val="left"/>
        <w:rPr>
          <w:szCs w:val="22"/>
          <w:u w:val="single"/>
          <w:lang w:val="sr-Latn-CS"/>
        </w:rPr>
      </w:pPr>
    </w:p>
    <w:p w14:paraId="5D99426A" w14:textId="77777777" w:rsidR="0046573B" w:rsidRPr="006B5701" w:rsidRDefault="00D11211" w:rsidP="0046573B">
      <w:pPr>
        <w:pStyle w:val="Header"/>
        <w:jc w:val="left"/>
        <w:rPr>
          <w:szCs w:val="22"/>
          <w:u w:val="single"/>
          <w:lang w:val="sr-Latn-CS"/>
        </w:rPr>
      </w:pPr>
      <w:r w:rsidRPr="006B5701">
        <w:rPr>
          <w:szCs w:val="22"/>
          <w:u w:val="single"/>
        </w:rPr>
        <w:t>Sindrom</w:t>
      </w:r>
      <w:r w:rsidRPr="006B5701">
        <w:rPr>
          <w:szCs w:val="22"/>
          <w:u w:val="single"/>
          <w:lang w:val="sr-Latn-CS"/>
        </w:rPr>
        <w:t xml:space="preserve"> </w:t>
      </w:r>
      <w:r w:rsidRPr="006B5701">
        <w:rPr>
          <w:szCs w:val="22"/>
          <w:u w:val="single"/>
        </w:rPr>
        <w:t>obustave</w:t>
      </w:r>
      <w:r w:rsidRPr="006B5701">
        <w:rPr>
          <w:szCs w:val="22"/>
          <w:u w:val="single"/>
          <w:lang w:val="sr-Latn-CS"/>
        </w:rPr>
        <w:t xml:space="preserve"> </w:t>
      </w:r>
      <w:r w:rsidRPr="006B5701">
        <w:rPr>
          <w:szCs w:val="22"/>
          <w:u w:val="single"/>
        </w:rPr>
        <w:t>agonista</w:t>
      </w:r>
      <w:r w:rsidRPr="006B5701">
        <w:rPr>
          <w:szCs w:val="22"/>
          <w:u w:val="single"/>
          <w:lang w:val="sr-Latn-CS"/>
        </w:rPr>
        <w:t xml:space="preserve"> </w:t>
      </w:r>
      <w:r w:rsidRPr="006B5701">
        <w:rPr>
          <w:szCs w:val="22"/>
          <w:u w:val="single"/>
        </w:rPr>
        <w:t>dopamina</w:t>
      </w:r>
    </w:p>
    <w:p w14:paraId="5B95C050" w14:textId="3F3AF58F" w:rsidR="002832F6" w:rsidRPr="006B5701" w:rsidRDefault="002832F6" w:rsidP="002832F6">
      <w:pPr>
        <w:pStyle w:val="Header"/>
        <w:jc w:val="left"/>
        <w:rPr>
          <w:szCs w:val="22"/>
          <w:lang w:val="sr-Latn-CS"/>
        </w:rPr>
      </w:pPr>
    </w:p>
    <w:p w14:paraId="59FC7136" w14:textId="089892AB" w:rsidR="002832F6" w:rsidRPr="006B5701" w:rsidRDefault="002832F6" w:rsidP="002832F6">
      <w:pPr>
        <w:widowControl w:val="0"/>
        <w:autoSpaceDE w:val="0"/>
        <w:autoSpaceDN w:val="0"/>
        <w:adjustRightInd w:val="0"/>
        <w:jc w:val="left"/>
        <w:rPr>
          <w:bCs/>
          <w:color w:val="000000"/>
          <w:szCs w:val="22"/>
          <w:lang w:val="hr-HR"/>
        </w:rPr>
      </w:pPr>
      <w:r w:rsidRPr="006B5701">
        <w:rPr>
          <w:bCs/>
          <w:color w:val="000000"/>
          <w:szCs w:val="22"/>
          <w:lang w:val="pt-PT"/>
        </w:rPr>
        <w:t>Sindrom</w:t>
      </w:r>
      <w:r w:rsidRPr="006B5701">
        <w:rPr>
          <w:bCs/>
          <w:color w:val="000000"/>
          <w:szCs w:val="22"/>
          <w:lang w:val="sr-Latn-CS"/>
        </w:rPr>
        <w:t xml:space="preserve"> </w:t>
      </w:r>
      <w:r w:rsidRPr="00CE3D73">
        <w:rPr>
          <w:bCs/>
          <w:color w:val="000000"/>
          <w:szCs w:val="22"/>
          <w:lang w:val="pt-PT"/>
        </w:rPr>
        <w:t>obustave</w:t>
      </w:r>
      <w:r w:rsidRPr="006B5701">
        <w:rPr>
          <w:bCs/>
          <w:color w:val="000000"/>
          <w:szCs w:val="22"/>
          <w:lang w:val="sr-Latn-CS"/>
        </w:rPr>
        <w:t xml:space="preserve"> </w:t>
      </w:r>
      <w:r w:rsidRPr="006B5701">
        <w:rPr>
          <w:bCs/>
          <w:color w:val="000000"/>
          <w:szCs w:val="22"/>
          <w:lang w:val="pt-PT"/>
        </w:rPr>
        <w:t>agonista</w:t>
      </w:r>
      <w:r w:rsidRPr="006B5701">
        <w:rPr>
          <w:bCs/>
          <w:color w:val="000000"/>
          <w:szCs w:val="22"/>
          <w:lang w:val="sr-Latn-CS"/>
        </w:rPr>
        <w:t xml:space="preserve"> </w:t>
      </w:r>
      <w:r w:rsidRPr="006B5701">
        <w:rPr>
          <w:bCs/>
          <w:color w:val="000000"/>
          <w:szCs w:val="22"/>
          <w:lang w:val="pt-PT"/>
        </w:rPr>
        <w:t>dopamina</w:t>
      </w:r>
      <w:r w:rsidRPr="006B5701">
        <w:rPr>
          <w:bCs/>
          <w:color w:val="000000"/>
          <w:szCs w:val="22"/>
          <w:lang w:val="sr-Latn-CS"/>
        </w:rPr>
        <w:t xml:space="preserve"> (</w:t>
      </w:r>
      <w:r w:rsidRPr="006B5701">
        <w:rPr>
          <w:bCs/>
          <w:color w:val="000000"/>
          <w:szCs w:val="22"/>
          <w:lang w:val="pt-PT"/>
        </w:rPr>
        <w:t>engl</w:t>
      </w:r>
      <w:r w:rsidRPr="006B5701">
        <w:rPr>
          <w:bCs/>
          <w:color w:val="000000"/>
          <w:szCs w:val="22"/>
          <w:lang w:val="sr-Latn-CS"/>
        </w:rPr>
        <w:t xml:space="preserve">. </w:t>
      </w:r>
      <w:r w:rsidRPr="001C7DAE">
        <w:rPr>
          <w:bCs/>
          <w:i/>
          <w:iCs/>
          <w:color w:val="000000"/>
          <w:szCs w:val="22"/>
          <w:lang w:val="pt-PT"/>
        </w:rPr>
        <w:t>dopamine</w:t>
      </w:r>
      <w:r w:rsidRPr="001C7DAE">
        <w:rPr>
          <w:bCs/>
          <w:i/>
          <w:iCs/>
          <w:color w:val="000000"/>
          <w:szCs w:val="22"/>
          <w:lang w:val="sr-Latn-CS"/>
        </w:rPr>
        <w:t xml:space="preserve"> </w:t>
      </w:r>
      <w:r w:rsidRPr="001C7DAE">
        <w:rPr>
          <w:bCs/>
          <w:i/>
          <w:iCs/>
          <w:color w:val="000000"/>
          <w:szCs w:val="22"/>
          <w:lang w:val="pt-PT"/>
        </w:rPr>
        <w:t>agonist</w:t>
      </w:r>
      <w:r w:rsidRPr="001C7DAE">
        <w:rPr>
          <w:bCs/>
          <w:i/>
          <w:iCs/>
          <w:color w:val="000000"/>
          <w:szCs w:val="22"/>
          <w:lang w:val="sr-Latn-CS"/>
        </w:rPr>
        <w:t xml:space="preserve"> </w:t>
      </w:r>
      <w:r w:rsidRPr="001C7DAE">
        <w:rPr>
          <w:bCs/>
          <w:i/>
          <w:iCs/>
          <w:color w:val="000000"/>
          <w:szCs w:val="22"/>
          <w:lang w:val="pt-PT"/>
        </w:rPr>
        <w:t>withdrawal</w:t>
      </w:r>
      <w:r w:rsidRPr="001C7DAE">
        <w:rPr>
          <w:bCs/>
          <w:i/>
          <w:iCs/>
          <w:color w:val="000000"/>
          <w:szCs w:val="22"/>
          <w:lang w:val="sr-Latn-CS"/>
        </w:rPr>
        <w:t xml:space="preserve"> </w:t>
      </w:r>
      <w:r w:rsidRPr="001C7DAE">
        <w:rPr>
          <w:bCs/>
          <w:i/>
          <w:iCs/>
          <w:color w:val="000000"/>
          <w:szCs w:val="22"/>
          <w:lang w:val="pt-PT"/>
        </w:rPr>
        <w:t>syndrome</w:t>
      </w:r>
      <w:r w:rsidRPr="001C7DAE">
        <w:rPr>
          <w:bCs/>
          <w:i/>
          <w:iCs/>
          <w:color w:val="000000"/>
          <w:szCs w:val="22"/>
          <w:lang w:val="sr-Latn-CS"/>
        </w:rPr>
        <w:t xml:space="preserve">, </w:t>
      </w:r>
      <w:r w:rsidRPr="001C7DAE">
        <w:rPr>
          <w:bCs/>
          <w:i/>
          <w:iCs/>
          <w:color w:val="000000"/>
          <w:szCs w:val="22"/>
          <w:lang w:val="pt-PT"/>
        </w:rPr>
        <w:t>DAWS</w:t>
      </w:r>
      <w:r w:rsidRPr="006B5701">
        <w:rPr>
          <w:bCs/>
          <w:color w:val="000000"/>
          <w:szCs w:val="22"/>
          <w:lang w:val="sr-Latn-CS"/>
        </w:rPr>
        <w:t>)</w:t>
      </w:r>
      <w:r w:rsidRPr="006B5701">
        <w:rPr>
          <w:bCs/>
          <w:color w:val="000000"/>
          <w:szCs w:val="22"/>
          <w:lang w:val="hr-HR"/>
        </w:rPr>
        <w:t xml:space="preserve"> </w:t>
      </w:r>
      <w:bookmarkStart w:id="2" w:name="_Hlk26385070"/>
      <w:r w:rsidRPr="006B5701">
        <w:rPr>
          <w:bCs/>
          <w:color w:val="000000"/>
          <w:szCs w:val="22"/>
          <w:lang w:val="hr-HR"/>
        </w:rPr>
        <w:t>bio je prijavljen tokom prim</w:t>
      </w:r>
      <w:r w:rsidR="000C3752">
        <w:rPr>
          <w:bCs/>
          <w:color w:val="000000"/>
          <w:szCs w:val="22"/>
          <w:lang w:val="hr-HR"/>
        </w:rPr>
        <w:t>j</w:t>
      </w:r>
      <w:r w:rsidRPr="006B5701">
        <w:rPr>
          <w:bCs/>
          <w:color w:val="000000"/>
          <w:szCs w:val="22"/>
          <w:lang w:val="hr-HR"/>
        </w:rPr>
        <w:t>ene agonista dopamina, uključujući pramipeksol (</w:t>
      </w:r>
      <w:r w:rsidR="00576F82" w:rsidRPr="006B5701">
        <w:rPr>
          <w:bCs/>
          <w:color w:val="000000"/>
          <w:szCs w:val="22"/>
          <w:lang w:val="hr-HR"/>
        </w:rPr>
        <w:t>vid</w:t>
      </w:r>
      <w:r w:rsidR="000C3752">
        <w:rPr>
          <w:bCs/>
          <w:color w:val="000000"/>
          <w:szCs w:val="22"/>
          <w:lang w:val="hr-HR"/>
        </w:rPr>
        <w:t>j</w:t>
      </w:r>
      <w:r w:rsidR="00576F82" w:rsidRPr="006B5701">
        <w:rPr>
          <w:bCs/>
          <w:color w:val="000000"/>
          <w:szCs w:val="22"/>
          <w:lang w:val="hr-HR"/>
        </w:rPr>
        <w:t>eti</w:t>
      </w:r>
      <w:r w:rsidRPr="006B5701">
        <w:rPr>
          <w:bCs/>
          <w:color w:val="000000"/>
          <w:szCs w:val="22"/>
          <w:lang w:val="hr-HR"/>
        </w:rPr>
        <w:t xml:space="preserve"> od</w:t>
      </w:r>
      <w:r w:rsidR="000C3752">
        <w:rPr>
          <w:bCs/>
          <w:color w:val="000000"/>
          <w:szCs w:val="22"/>
          <w:lang w:val="hr-HR"/>
        </w:rPr>
        <w:t>j</w:t>
      </w:r>
      <w:r w:rsidRPr="006B5701">
        <w:rPr>
          <w:bCs/>
          <w:color w:val="000000"/>
          <w:szCs w:val="22"/>
          <w:lang w:val="hr-HR"/>
        </w:rPr>
        <w:t>eljak 4.8</w:t>
      </w:r>
      <w:r w:rsidR="00576F82" w:rsidRPr="006B5701">
        <w:rPr>
          <w:bCs/>
          <w:color w:val="000000"/>
          <w:szCs w:val="22"/>
          <w:lang w:val="hr-HR"/>
        </w:rPr>
        <w:t>.</w:t>
      </w:r>
      <w:r w:rsidRPr="006B5701">
        <w:rPr>
          <w:bCs/>
          <w:color w:val="000000"/>
          <w:szCs w:val="22"/>
          <w:lang w:val="hr-HR"/>
        </w:rPr>
        <w:t xml:space="preserve">). Da bi se </w:t>
      </w:r>
      <w:r w:rsidR="005606E1" w:rsidRPr="006B5701">
        <w:rPr>
          <w:bCs/>
          <w:color w:val="000000"/>
          <w:szCs w:val="22"/>
          <w:lang w:val="hr-HR"/>
        </w:rPr>
        <w:t>obustavila</w:t>
      </w:r>
      <w:r w:rsidRPr="006B5701">
        <w:rPr>
          <w:bCs/>
          <w:color w:val="000000"/>
          <w:szCs w:val="22"/>
          <w:lang w:val="hr-HR"/>
        </w:rPr>
        <w:t xml:space="preserve"> terapija kod pacijenata sa Parkinsonovom</w:t>
      </w:r>
      <w:r w:rsidR="00576F82" w:rsidRPr="006B5701">
        <w:rPr>
          <w:bCs/>
          <w:color w:val="000000"/>
          <w:szCs w:val="22"/>
          <w:lang w:val="hr-HR"/>
        </w:rPr>
        <w:t xml:space="preserve"> bolešću, dozu pramipeksola je potrebno postepeno smanjivati (vid</w:t>
      </w:r>
      <w:r w:rsidR="000C3752">
        <w:rPr>
          <w:bCs/>
          <w:color w:val="000000"/>
          <w:szCs w:val="22"/>
          <w:lang w:val="hr-HR"/>
        </w:rPr>
        <w:t>j</w:t>
      </w:r>
      <w:r w:rsidR="00576F82" w:rsidRPr="006B5701">
        <w:rPr>
          <w:bCs/>
          <w:color w:val="000000"/>
          <w:szCs w:val="22"/>
          <w:lang w:val="hr-HR"/>
        </w:rPr>
        <w:t>eti od</w:t>
      </w:r>
      <w:r w:rsidR="000C3752">
        <w:rPr>
          <w:bCs/>
          <w:color w:val="000000"/>
          <w:szCs w:val="22"/>
          <w:lang w:val="hr-HR"/>
        </w:rPr>
        <w:t>j</w:t>
      </w:r>
      <w:r w:rsidR="00576F82" w:rsidRPr="006B5701">
        <w:rPr>
          <w:bCs/>
          <w:color w:val="000000"/>
          <w:szCs w:val="22"/>
          <w:lang w:val="hr-HR"/>
        </w:rPr>
        <w:t xml:space="preserve">eljak 4.2.). </w:t>
      </w:r>
      <w:r w:rsidRPr="006B5701">
        <w:rPr>
          <w:bCs/>
          <w:color w:val="000000"/>
          <w:szCs w:val="22"/>
          <w:lang w:val="hr-HR"/>
        </w:rPr>
        <w:t xml:space="preserve">Ograničeni podaci </w:t>
      </w:r>
      <w:r w:rsidR="0030172D">
        <w:rPr>
          <w:bCs/>
          <w:color w:val="000000"/>
          <w:szCs w:val="22"/>
          <w:lang w:val="hr-HR"/>
        </w:rPr>
        <w:t>sugerišu</w:t>
      </w:r>
      <w:r w:rsidRPr="006B5701">
        <w:rPr>
          <w:bCs/>
          <w:color w:val="000000"/>
          <w:szCs w:val="22"/>
          <w:lang w:val="hr-HR"/>
        </w:rPr>
        <w:t xml:space="preserve"> da </w:t>
      </w:r>
      <w:r w:rsidR="00576F82" w:rsidRPr="006B5701">
        <w:rPr>
          <w:bCs/>
          <w:color w:val="000000"/>
          <w:szCs w:val="22"/>
          <w:lang w:val="hr-HR"/>
        </w:rPr>
        <w:t>pacijenti</w:t>
      </w:r>
      <w:r w:rsidRPr="006B5701">
        <w:rPr>
          <w:bCs/>
          <w:color w:val="000000"/>
          <w:szCs w:val="22"/>
          <w:lang w:val="hr-HR"/>
        </w:rPr>
        <w:t xml:space="preserve"> s</w:t>
      </w:r>
      <w:r w:rsidR="00576F82" w:rsidRPr="006B5701">
        <w:rPr>
          <w:bCs/>
          <w:color w:val="000000"/>
          <w:szCs w:val="22"/>
          <w:lang w:val="hr-HR"/>
        </w:rPr>
        <w:t>a</w:t>
      </w:r>
      <w:r w:rsidR="00AE0670">
        <w:rPr>
          <w:bCs/>
          <w:color w:val="000000"/>
          <w:szCs w:val="22"/>
          <w:lang w:val="hr-HR"/>
        </w:rPr>
        <w:t xml:space="preserve"> poremećajima kontrole impulsa</w:t>
      </w:r>
      <w:r w:rsidRPr="006B5701">
        <w:rPr>
          <w:bCs/>
          <w:color w:val="000000"/>
          <w:szCs w:val="22"/>
          <w:lang w:val="hr-HR"/>
        </w:rPr>
        <w:t xml:space="preserve"> i </w:t>
      </w:r>
      <w:r w:rsidR="00576F82" w:rsidRPr="006B5701">
        <w:rPr>
          <w:bCs/>
          <w:color w:val="000000"/>
          <w:szCs w:val="22"/>
          <w:lang w:val="hr-HR"/>
        </w:rPr>
        <w:t>pacijenti</w:t>
      </w:r>
      <w:r w:rsidRPr="006B5701">
        <w:rPr>
          <w:bCs/>
          <w:color w:val="000000"/>
          <w:szCs w:val="22"/>
          <w:lang w:val="hr-HR"/>
        </w:rPr>
        <w:t xml:space="preserve"> koji primaju visoku dnevnu dozu i/ili visoke kumulativne doze agonista dopamina mogu imati veći rizik od razvoja sindroma </w:t>
      </w:r>
      <w:r w:rsidR="00576F82" w:rsidRPr="006B5701">
        <w:rPr>
          <w:bCs/>
          <w:color w:val="000000"/>
          <w:szCs w:val="22"/>
          <w:lang w:val="hr-HR"/>
        </w:rPr>
        <w:t>obustave</w:t>
      </w:r>
      <w:r w:rsidRPr="006B5701">
        <w:rPr>
          <w:bCs/>
          <w:color w:val="000000"/>
          <w:szCs w:val="22"/>
          <w:lang w:val="hr-HR"/>
        </w:rPr>
        <w:t xml:space="preserve"> agonista dopamina. Simptomi </w:t>
      </w:r>
      <w:r w:rsidR="00576F82" w:rsidRPr="006B5701">
        <w:rPr>
          <w:bCs/>
          <w:color w:val="000000"/>
          <w:szCs w:val="22"/>
          <w:lang w:val="hr-HR"/>
        </w:rPr>
        <w:t>obustave</w:t>
      </w:r>
      <w:r w:rsidRPr="006B5701">
        <w:rPr>
          <w:bCs/>
          <w:color w:val="000000"/>
          <w:szCs w:val="22"/>
          <w:lang w:val="hr-HR"/>
        </w:rPr>
        <w:t xml:space="preserve"> mogu </w:t>
      </w:r>
      <w:r w:rsidR="00CB788A">
        <w:rPr>
          <w:bCs/>
          <w:color w:val="000000"/>
          <w:szCs w:val="22"/>
          <w:lang w:val="hr-HR"/>
        </w:rPr>
        <w:t xml:space="preserve">da </w:t>
      </w:r>
      <w:r w:rsidRPr="006B5701">
        <w:rPr>
          <w:bCs/>
          <w:color w:val="000000"/>
          <w:szCs w:val="22"/>
          <w:lang w:val="hr-HR"/>
        </w:rPr>
        <w:t>uključ</w:t>
      </w:r>
      <w:r w:rsidR="00CB788A">
        <w:rPr>
          <w:bCs/>
          <w:color w:val="000000"/>
          <w:szCs w:val="22"/>
          <w:lang w:val="hr-HR"/>
        </w:rPr>
        <w:t>uju</w:t>
      </w:r>
      <w:r w:rsidRPr="006B5701">
        <w:rPr>
          <w:bCs/>
          <w:color w:val="000000"/>
          <w:szCs w:val="22"/>
          <w:lang w:val="hr-HR"/>
        </w:rPr>
        <w:t xml:space="preserve"> apatiju, anksioznost, depresiju, </w:t>
      </w:r>
      <w:r w:rsidR="00576F82" w:rsidRPr="006B5701">
        <w:rPr>
          <w:bCs/>
          <w:color w:val="000000"/>
          <w:szCs w:val="22"/>
          <w:lang w:val="hr-HR"/>
        </w:rPr>
        <w:t>za</w:t>
      </w:r>
      <w:r w:rsidR="00B95EAC">
        <w:rPr>
          <w:bCs/>
          <w:color w:val="000000"/>
          <w:szCs w:val="22"/>
          <w:lang w:val="hr-HR"/>
        </w:rPr>
        <w:t xml:space="preserve">mor, znojenje, </w:t>
      </w:r>
      <w:r w:rsidRPr="006B5701">
        <w:rPr>
          <w:bCs/>
          <w:color w:val="000000"/>
          <w:szCs w:val="22"/>
          <w:lang w:val="hr-HR"/>
        </w:rPr>
        <w:t xml:space="preserve">bol </w:t>
      </w:r>
      <w:r w:rsidR="00576F82" w:rsidRPr="006B5701">
        <w:rPr>
          <w:bCs/>
          <w:color w:val="000000"/>
          <w:szCs w:val="22"/>
          <w:lang w:val="hr-HR"/>
        </w:rPr>
        <w:t>i</w:t>
      </w:r>
      <w:r w:rsidRPr="006B5701">
        <w:rPr>
          <w:bCs/>
          <w:color w:val="000000"/>
          <w:szCs w:val="22"/>
          <w:lang w:val="hr-HR"/>
        </w:rPr>
        <w:t xml:space="preserve"> </w:t>
      </w:r>
      <w:r w:rsidR="00B95EAC">
        <w:rPr>
          <w:bCs/>
          <w:color w:val="000000"/>
          <w:szCs w:val="22"/>
          <w:lang w:val="hr-HR"/>
        </w:rPr>
        <w:t>izostanak</w:t>
      </w:r>
      <w:r w:rsidR="00576F82" w:rsidRPr="006B5701">
        <w:rPr>
          <w:bCs/>
          <w:color w:val="000000"/>
          <w:szCs w:val="22"/>
          <w:lang w:val="hr-HR"/>
        </w:rPr>
        <w:t xml:space="preserve"> terapijskog odgovora na</w:t>
      </w:r>
      <w:r w:rsidRPr="006B5701">
        <w:rPr>
          <w:bCs/>
          <w:color w:val="000000"/>
          <w:szCs w:val="22"/>
          <w:lang w:val="hr-HR"/>
        </w:rPr>
        <w:t xml:space="preserve"> levodopu. </w:t>
      </w:r>
      <w:r w:rsidR="005606E1" w:rsidRPr="006B5701">
        <w:rPr>
          <w:bCs/>
          <w:color w:val="000000"/>
          <w:szCs w:val="22"/>
          <w:lang w:val="hr-HR"/>
        </w:rPr>
        <w:t>Pr</w:t>
      </w:r>
      <w:r w:rsidR="000C3752">
        <w:rPr>
          <w:bCs/>
          <w:color w:val="000000"/>
          <w:szCs w:val="22"/>
          <w:lang w:val="hr-HR"/>
        </w:rPr>
        <w:t>ij</w:t>
      </w:r>
      <w:r w:rsidR="005606E1" w:rsidRPr="006B5701">
        <w:rPr>
          <w:bCs/>
          <w:color w:val="000000"/>
          <w:szCs w:val="22"/>
          <w:lang w:val="hr-HR"/>
        </w:rPr>
        <w:t>e smanjenja doze i obustavljanja terapije pramipeksolom, p</w:t>
      </w:r>
      <w:r w:rsidR="00576F82" w:rsidRPr="006B5701">
        <w:rPr>
          <w:bCs/>
          <w:color w:val="000000"/>
          <w:szCs w:val="22"/>
          <w:lang w:val="hr-HR"/>
        </w:rPr>
        <w:t>acijente je neophodno obav</w:t>
      </w:r>
      <w:r w:rsidR="000C3752">
        <w:rPr>
          <w:bCs/>
          <w:color w:val="000000"/>
          <w:szCs w:val="22"/>
          <w:lang w:val="hr-HR"/>
        </w:rPr>
        <w:t>ij</w:t>
      </w:r>
      <w:r w:rsidR="00576F82" w:rsidRPr="006B5701">
        <w:rPr>
          <w:bCs/>
          <w:color w:val="000000"/>
          <w:szCs w:val="22"/>
          <w:lang w:val="hr-HR"/>
        </w:rPr>
        <w:t xml:space="preserve">estiti o </w:t>
      </w:r>
      <w:r w:rsidR="005606E1" w:rsidRPr="006B5701">
        <w:rPr>
          <w:bCs/>
          <w:color w:val="000000"/>
          <w:szCs w:val="22"/>
          <w:lang w:val="hr-HR"/>
        </w:rPr>
        <w:t>potencijalnim simptomima obustave terapije</w:t>
      </w:r>
      <w:r w:rsidRPr="006B5701">
        <w:rPr>
          <w:bCs/>
          <w:color w:val="000000"/>
          <w:szCs w:val="22"/>
          <w:lang w:val="hr-HR"/>
        </w:rPr>
        <w:t xml:space="preserve">. </w:t>
      </w:r>
      <w:r w:rsidR="005606E1" w:rsidRPr="006B5701">
        <w:rPr>
          <w:bCs/>
          <w:color w:val="000000"/>
          <w:szCs w:val="22"/>
          <w:lang w:val="hr-HR"/>
        </w:rPr>
        <w:t>Pacijente</w:t>
      </w:r>
      <w:r w:rsidRPr="006B5701">
        <w:rPr>
          <w:bCs/>
          <w:color w:val="000000"/>
          <w:szCs w:val="22"/>
          <w:lang w:val="hr-HR"/>
        </w:rPr>
        <w:t xml:space="preserve"> je potrebno pažljivo pratiti t</w:t>
      </w:r>
      <w:r w:rsidR="005606E1" w:rsidRPr="006B5701">
        <w:rPr>
          <w:bCs/>
          <w:color w:val="000000"/>
          <w:szCs w:val="22"/>
          <w:lang w:val="hr-HR"/>
        </w:rPr>
        <w:t>o</w:t>
      </w:r>
      <w:r w:rsidRPr="006B5701">
        <w:rPr>
          <w:bCs/>
          <w:color w:val="000000"/>
          <w:szCs w:val="22"/>
          <w:lang w:val="hr-HR"/>
        </w:rPr>
        <w:t>kom post</w:t>
      </w:r>
      <w:r w:rsidR="005606E1" w:rsidRPr="006B5701">
        <w:rPr>
          <w:bCs/>
          <w:color w:val="000000"/>
          <w:szCs w:val="22"/>
          <w:lang w:val="hr-HR"/>
        </w:rPr>
        <w:t>epeno</w:t>
      </w:r>
      <w:r w:rsidRPr="006B5701">
        <w:rPr>
          <w:bCs/>
          <w:color w:val="000000"/>
          <w:szCs w:val="22"/>
          <w:lang w:val="hr-HR"/>
        </w:rPr>
        <w:t>g s</w:t>
      </w:r>
      <w:r w:rsidR="005606E1" w:rsidRPr="006B5701">
        <w:rPr>
          <w:bCs/>
          <w:color w:val="000000"/>
          <w:szCs w:val="22"/>
          <w:lang w:val="hr-HR"/>
        </w:rPr>
        <w:t>manjivanja</w:t>
      </w:r>
      <w:r w:rsidRPr="006B5701">
        <w:rPr>
          <w:bCs/>
          <w:color w:val="000000"/>
          <w:szCs w:val="22"/>
          <w:lang w:val="hr-HR"/>
        </w:rPr>
        <w:t xml:space="preserve"> doze i </w:t>
      </w:r>
      <w:r w:rsidR="005606E1" w:rsidRPr="006B5701">
        <w:rPr>
          <w:bCs/>
          <w:color w:val="000000"/>
          <w:szCs w:val="22"/>
          <w:lang w:val="hr-HR"/>
        </w:rPr>
        <w:t>obustave</w:t>
      </w:r>
      <w:r w:rsidRPr="006B5701">
        <w:rPr>
          <w:bCs/>
          <w:color w:val="000000"/>
          <w:szCs w:val="22"/>
          <w:lang w:val="hr-HR"/>
        </w:rPr>
        <w:t xml:space="preserve"> </w:t>
      </w:r>
      <w:r w:rsidR="001F5B8F">
        <w:rPr>
          <w:bCs/>
          <w:color w:val="000000"/>
          <w:szCs w:val="22"/>
          <w:lang w:val="hr-HR"/>
        </w:rPr>
        <w:t>terapije</w:t>
      </w:r>
      <w:r w:rsidRPr="006B5701">
        <w:rPr>
          <w:bCs/>
          <w:color w:val="000000"/>
          <w:szCs w:val="22"/>
          <w:lang w:val="hr-HR"/>
        </w:rPr>
        <w:t xml:space="preserve">. U slučaju teških i/ili </w:t>
      </w:r>
      <w:r w:rsidR="005606E1" w:rsidRPr="006B5701">
        <w:rPr>
          <w:bCs/>
          <w:color w:val="000000"/>
          <w:szCs w:val="22"/>
          <w:lang w:val="hr-HR"/>
        </w:rPr>
        <w:t>upornih</w:t>
      </w:r>
      <w:r w:rsidRPr="006B5701">
        <w:rPr>
          <w:bCs/>
          <w:color w:val="000000"/>
          <w:szCs w:val="22"/>
          <w:lang w:val="hr-HR"/>
        </w:rPr>
        <w:t xml:space="preserve"> simptoma </w:t>
      </w:r>
      <w:r w:rsidR="005606E1" w:rsidRPr="006B5701">
        <w:rPr>
          <w:bCs/>
          <w:color w:val="000000"/>
          <w:szCs w:val="22"/>
          <w:lang w:val="hr-HR"/>
        </w:rPr>
        <w:t>obustave</w:t>
      </w:r>
      <w:r w:rsidRPr="006B5701">
        <w:rPr>
          <w:bCs/>
          <w:color w:val="000000"/>
          <w:szCs w:val="22"/>
          <w:lang w:val="hr-HR"/>
        </w:rPr>
        <w:t xml:space="preserve">, može </w:t>
      </w:r>
      <w:r w:rsidR="003E1125" w:rsidRPr="006B5701">
        <w:rPr>
          <w:bCs/>
          <w:color w:val="000000"/>
          <w:szCs w:val="22"/>
          <w:lang w:val="hr-HR"/>
        </w:rPr>
        <w:t xml:space="preserve">da </w:t>
      </w:r>
      <w:r w:rsidRPr="006B5701">
        <w:rPr>
          <w:bCs/>
          <w:color w:val="000000"/>
          <w:szCs w:val="22"/>
          <w:lang w:val="hr-HR"/>
        </w:rPr>
        <w:t xml:space="preserve">se razmotri </w:t>
      </w:r>
      <w:r w:rsidR="005606E1" w:rsidRPr="006B5701">
        <w:rPr>
          <w:bCs/>
          <w:color w:val="000000"/>
          <w:szCs w:val="22"/>
          <w:lang w:val="hr-HR"/>
        </w:rPr>
        <w:t xml:space="preserve">ponovna </w:t>
      </w:r>
      <w:r w:rsidRPr="006B5701">
        <w:rPr>
          <w:bCs/>
          <w:color w:val="000000"/>
          <w:szCs w:val="22"/>
          <w:lang w:val="hr-HR"/>
        </w:rPr>
        <w:t>privremen</w:t>
      </w:r>
      <w:r w:rsidR="005606E1" w:rsidRPr="006B5701">
        <w:rPr>
          <w:bCs/>
          <w:color w:val="000000"/>
          <w:szCs w:val="22"/>
          <w:lang w:val="hr-HR"/>
        </w:rPr>
        <w:t>a</w:t>
      </w:r>
      <w:r w:rsidRPr="006B5701">
        <w:rPr>
          <w:bCs/>
          <w:color w:val="000000"/>
          <w:szCs w:val="22"/>
          <w:lang w:val="hr-HR"/>
        </w:rPr>
        <w:t xml:space="preserve"> </w:t>
      </w:r>
      <w:r w:rsidR="005606E1" w:rsidRPr="006B5701">
        <w:rPr>
          <w:bCs/>
          <w:color w:val="000000"/>
          <w:szCs w:val="22"/>
          <w:lang w:val="hr-HR"/>
        </w:rPr>
        <w:t>prim</w:t>
      </w:r>
      <w:r w:rsidR="000C3752">
        <w:rPr>
          <w:bCs/>
          <w:color w:val="000000"/>
          <w:szCs w:val="22"/>
          <w:lang w:val="hr-HR"/>
        </w:rPr>
        <w:t>j</w:t>
      </w:r>
      <w:r w:rsidRPr="006B5701">
        <w:rPr>
          <w:bCs/>
          <w:color w:val="000000"/>
          <w:szCs w:val="22"/>
          <w:lang w:val="hr-HR"/>
        </w:rPr>
        <w:t xml:space="preserve">ena pramipeksola u </w:t>
      </w:r>
      <w:r w:rsidRPr="001F5B8F">
        <w:rPr>
          <w:bCs/>
          <w:color w:val="000000"/>
          <w:szCs w:val="22"/>
          <w:lang w:val="hr-HR"/>
        </w:rPr>
        <w:t xml:space="preserve">najnižoj </w:t>
      </w:r>
      <w:r w:rsidR="003E1125" w:rsidRPr="001F5B8F">
        <w:rPr>
          <w:bCs/>
          <w:color w:val="000000"/>
          <w:szCs w:val="22"/>
          <w:lang w:val="hr-HR"/>
        </w:rPr>
        <w:t>e</w:t>
      </w:r>
      <w:r w:rsidR="003E1125" w:rsidRPr="006B5701">
        <w:rPr>
          <w:bCs/>
          <w:color w:val="000000"/>
          <w:szCs w:val="22"/>
          <w:lang w:val="hr-HR"/>
        </w:rPr>
        <w:t xml:space="preserve">fikasnoj </w:t>
      </w:r>
      <w:r w:rsidRPr="006B5701">
        <w:rPr>
          <w:bCs/>
          <w:color w:val="000000"/>
          <w:szCs w:val="22"/>
          <w:lang w:val="hr-HR"/>
        </w:rPr>
        <w:t>dozi.</w:t>
      </w:r>
      <w:bookmarkEnd w:id="2"/>
      <w:r w:rsidRPr="006B5701">
        <w:rPr>
          <w:bCs/>
          <w:color w:val="000000"/>
          <w:szCs w:val="22"/>
          <w:lang w:val="hr-HR"/>
        </w:rPr>
        <w:t xml:space="preserve"> </w:t>
      </w:r>
    </w:p>
    <w:p w14:paraId="631BE06F" w14:textId="77777777" w:rsidR="0046573B" w:rsidRPr="006B5701" w:rsidRDefault="0046573B" w:rsidP="004B21C0">
      <w:pPr>
        <w:jc w:val="left"/>
        <w:rPr>
          <w:szCs w:val="22"/>
          <w:u w:val="single"/>
          <w:lang w:val="hr-HR"/>
        </w:rPr>
      </w:pPr>
    </w:p>
    <w:p w14:paraId="3F7DE3F5" w14:textId="77777777" w:rsidR="004B21C0" w:rsidRPr="006B5701" w:rsidRDefault="004B21C0" w:rsidP="004B21C0">
      <w:pPr>
        <w:jc w:val="left"/>
        <w:rPr>
          <w:szCs w:val="22"/>
          <w:u w:val="single"/>
          <w:lang w:val="sr-Latn-CS"/>
        </w:rPr>
      </w:pPr>
      <w:r w:rsidRPr="006B5701">
        <w:rPr>
          <w:bCs/>
          <w:szCs w:val="22"/>
          <w:u w:val="single"/>
          <w:lang w:val="sr-Latn-CS"/>
        </w:rPr>
        <w:t>Pojačanje sindroma nemirnih nogu</w:t>
      </w:r>
    </w:p>
    <w:p w14:paraId="3A9853E0" w14:textId="73755CBC" w:rsidR="006B244A" w:rsidRDefault="004B21C0" w:rsidP="004B21C0">
      <w:pPr>
        <w:autoSpaceDE w:val="0"/>
        <w:autoSpaceDN w:val="0"/>
        <w:adjustRightInd w:val="0"/>
        <w:jc w:val="left"/>
        <w:rPr>
          <w:szCs w:val="22"/>
          <w:lang w:val="sr-Latn-CS"/>
        </w:rPr>
      </w:pPr>
      <w:r w:rsidRPr="006B5701">
        <w:rPr>
          <w:szCs w:val="22"/>
          <w:lang w:val="sr-Latn-CS"/>
        </w:rPr>
        <w:t>Prikazi u referentnoj literaturi ukazuju da terapija sindroma nemirnih nogu dopaminergičkim l</w:t>
      </w:r>
      <w:r w:rsidR="000C3752">
        <w:rPr>
          <w:szCs w:val="22"/>
          <w:lang w:val="sr-Latn-CS"/>
        </w:rPr>
        <w:t>j</w:t>
      </w:r>
      <w:r w:rsidRPr="006B5701">
        <w:rPr>
          <w:szCs w:val="22"/>
          <w:lang w:val="sr-Latn-CS"/>
        </w:rPr>
        <w:t xml:space="preserve">ekovima može da dovede do njegovog pojačanja. </w:t>
      </w:r>
    </w:p>
    <w:p w14:paraId="5B9EFB7A" w14:textId="6A655FD1" w:rsidR="004B21C0" w:rsidRPr="006B5701" w:rsidRDefault="004B21C0" w:rsidP="004B21C0">
      <w:pPr>
        <w:autoSpaceDE w:val="0"/>
        <w:autoSpaceDN w:val="0"/>
        <w:adjustRightInd w:val="0"/>
        <w:jc w:val="left"/>
        <w:rPr>
          <w:szCs w:val="22"/>
          <w:lang w:val="sr-Latn-CS"/>
        </w:rPr>
      </w:pPr>
      <w:r w:rsidRPr="006B5701">
        <w:rPr>
          <w:szCs w:val="22"/>
          <w:lang w:val="sr-Latn-CS"/>
        </w:rPr>
        <w:lastRenderedPageBreak/>
        <w:t xml:space="preserve">Ovo pojačanje se odnosi na raniji početak simptoma uveče (ili čak popodne), pogoršanje simptoma i širenje simptoma sa zahvatanjem i drugih </w:t>
      </w:r>
      <w:r w:rsidR="005E6272" w:rsidRPr="006B5701">
        <w:rPr>
          <w:szCs w:val="22"/>
          <w:lang w:val="sr-Latn-CS"/>
        </w:rPr>
        <w:t>ekstremiteta</w:t>
      </w:r>
      <w:r w:rsidRPr="006B5701">
        <w:rPr>
          <w:szCs w:val="22"/>
          <w:lang w:val="sr-Latn-CS"/>
        </w:rPr>
        <w:t>. Pojačanje je posebno ispitivano u jednom placebo kontrolisanom istraživanju u trajanju preko 26 nedelja. Pojačanje je zab</w:t>
      </w:r>
      <w:r w:rsidR="000C3752">
        <w:rPr>
          <w:szCs w:val="22"/>
          <w:lang w:val="sr-Latn-CS"/>
        </w:rPr>
        <w:t>i</w:t>
      </w:r>
      <w:r w:rsidRPr="006B5701">
        <w:rPr>
          <w:szCs w:val="22"/>
          <w:lang w:val="sr-Latn-CS"/>
        </w:rPr>
        <w:t>l</w:t>
      </w:r>
      <w:r w:rsidR="000C3752">
        <w:rPr>
          <w:szCs w:val="22"/>
          <w:lang w:val="sr-Latn-CS"/>
        </w:rPr>
        <w:t>j</w:t>
      </w:r>
      <w:r w:rsidRPr="006B5701">
        <w:rPr>
          <w:szCs w:val="22"/>
          <w:lang w:val="sr-Latn-CS"/>
        </w:rPr>
        <w:t>eženo kod 11,8% pacijenata u grupi koja je primala pramipeksol (N = 152) i kod 9,4% pacijenata u grupi koja je primala placebo (N = 149). Kaplan-Majerova analiza vremena do pojačanja sindroma nije pokazala značajnu razliku između grupa koje su primale pramipeksol i placebo.</w:t>
      </w:r>
    </w:p>
    <w:p w14:paraId="5541715D" w14:textId="22FF8730" w:rsidR="00983364" w:rsidRPr="006B5701" w:rsidRDefault="00983364" w:rsidP="00923865">
      <w:pPr>
        <w:rPr>
          <w:b/>
          <w:bCs/>
          <w:szCs w:val="22"/>
          <w:lang w:val="sr-Latn-CS"/>
        </w:rPr>
      </w:pPr>
    </w:p>
    <w:p w14:paraId="4AA6CE28" w14:textId="6534BB47" w:rsidR="00CE09F3" w:rsidRPr="006B5701" w:rsidRDefault="00CE09F3" w:rsidP="00923865">
      <w:pPr>
        <w:rPr>
          <w:b/>
          <w:bCs/>
          <w:szCs w:val="22"/>
          <w:lang w:val="pl-PL"/>
        </w:rPr>
      </w:pPr>
      <w:r w:rsidRPr="006B5701">
        <w:rPr>
          <w:b/>
          <w:bCs/>
          <w:szCs w:val="22"/>
          <w:lang w:val="pl-PL"/>
        </w:rPr>
        <w:t>4.5. Interakcije sa drugim l</w:t>
      </w:r>
      <w:r w:rsidR="000C3752">
        <w:rPr>
          <w:b/>
          <w:bCs/>
          <w:szCs w:val="22"/>
          <w:lang w:val="pl-PL"/>
        </w:rPr>
        <w:t>j</w:t>
      </w:r>
      <w:r w:rsidRPr="006B5701">
        <w:rPr>
          <w:b/>
          <w:bCs/>
          <w:szCs w:val="22"/>
          <w:lang w:val="pl-PL"/>
        </w:rPr>
        <w:t>ekovima i druge vrste interakcija</w:t>
      </w:r>
    </w:p>
    <w:p w14:paraId="7C3FB868" w14:textId="77777777" w:rsidR="00CE09F3" w:rsidRPr="006B5701" w:rsidRDefault="00CE09F3" w:rsidP="00923865">
      <w:pPr>
        <w:rPr>
          <w:szCs w:val="22"/>
          <w:lang w:val="pl-PL"/>
        </w:rPr>
      </w:pPr>
    </w:p>
    <w:p w14:paraId="339272DB" w14:textId="77777777" w:rsidR="004B21C0" w:rsidRPr="006B5701" w:rsidRDefault="004B21C0" w:rsidP="004B21C0">
      <w:pPr>
        <w:jc w:val="left"/>
        <w:rPr>
          <w:szCs w:val="22"/>
          <w:u w:val="single"/>
          <w:lang w:val="sr-Latn-CS"/>
        </w:rPr>
      </w:pPr>
      <w:r w:rsidRPr="006B5701">
        <w:rPr>
          <w:szCs w:val="22"/>
          <w:u w:val="single"/>
          <w:lang w:val="sr-Latn-CS"/>
        </w:rPr>
        <w:t>Vezivanje za proteine plazme</w:t>
      </w:r>
    </w:p>
    <w:p w14:paraId="144D05D1" w14:textId="6A997FDA" w:rsidR="004B21C0" w:rsidRPr="006B5701" w:rsidRDefault="004B21C0" w:rsidP="004B21C0">
      <w:pPr>
        <w:jc w:val="left"/>
        <w:rPr>
          <w:szCs w:val="22"/>
          <w:lang w:val="sr-Latn-CS"/>
        </w:rPr>
      </w:pPr>
      <w:r w:rsidRPr="006B5701">
        <w:rPr>
          <w:szCs w:val="22"/>
          <w:lang w:val="sr-Latn-CS"/>
        </w:rPr>
        <w:t>Pramipeksol se vezuje za proteine plazme u veoma maloj m</w:t>
      </w:r>
      <w:r w:rsidR="000C3752">
        <w:rPr>
          <w:szCs w:val="22"/>
          <w:lang w:val="sr-Latn-CS"/>
        </w:rPr>
        <w:t>j</w:t>
      </w:r>
      <w:r w:rsidRPr="006B5701">
        <w:rPr>
          <w:szCs w:val="22"/>
          <w:lang w:val="sr-Latn-CS"/>
        </w:rPr>
        <w:t>eri (&lt;20%) i kod ljudi se viđa neznatna biotransformacija. Prema tome, nije v</w:t>
      </w:r>
      <w:r w:rsidR="000C3752">
        <w:rPr>
          <w:szCs w:val="22"/>
          <w:lang w:val="sr-Latn-CS"/>
        </w:rPr>
        <w:t>j</w:t>
      </w:r>
      <w:r w:rsidRPr="006B5701">
        <w:rPr>
          <w:szCs w:val="22"/>
          <w:lang w:val="sr-Latn-CS"/>
        </w:rPr>
        <w:t>erovatno da dođe do interakcija sa drugim l</w:t>
      </w:r>
      <w:r w:rsidR="000C3752">
        <w:rPr>
          <w:szCs w:val="22"/>
          <w:lang w:val="sr-Latn-CS"/>
        </w:rPr>
        <w:t>j</w:t>
      </w:r>
      <w:r w:rsidRPr="006B5701">
        <w:rPr>
          <w:szCs w:val="22"/>
          <w:lang w:val="sr-Latn-CS"/>
        </w:rPr>
        <w:t>ekovima koji utiču na vezivanje za proteine plazme ili eliminaciju biotransformacijom. Budući da se antiholinergici uglavnom eliminišu biotransformacijom, malo je verovatno da može doći do interakcija između ovih l</w:t>
      </w:r>
      <w:r w:rsidR="000C3752">
        <w:rPr>
          <w:szCs w:val="22"/>
          <w:lang w:val="sr-Latn-CS"/>
        </w:rPr>
        <w:t>j</w:t>
      </w:r>
      <w:r w:rsidRPr="006B5701">
        <w:rPr>
          <w:szCs w:val="22"/>
          <w:lang w:val="sr-Latn-CS"/>
        </w:rPr>
        <w:t>ekova i pramipeksola. Interakcija sa antiholinergicima nije ispitivana. Selegilin i levodopa ne utiču na farmakokinetiku pramipeksola.</w:t>
      </w:r>
    </w:p>
    <w:p w14:paraId="69E4D6A0" w14:textId="77777777" w:rsidR="004B21C0" w:rsidRPr="006B5701" w:rsidRDefault="004B21C0" w:rsidP="004B21C0">
      <w:pPr>
        <w:jc w:val="left"/>
        <w:rPr>
          <w:szCs w:val="22"/>
          <w:lang w:val="sr-Latn-CS"/>
        </w:rPr>
      </w:pPr>
    </w:p>
    <w:p w14:paraId="0B0A9EB5" w14:textId="77777777" w:rsidR="004B21C0" w:rsidRPr="006B5701" w:rsidRDefault="004B21C0" w:rsidP="004B21C0">
      <w:pPr>
        <w:jc w:val="left"/>
        <w:rPr>
          <w:szCs w:val="22"/>
          <w:lang w:val="sr-Latn-CS"/>
        </w:rPr>
      </w:pPr>
      <w:r w:rsidRPr="006B5701">
        <w:rPr>
          <w:szCs w:val="22"/>
          <w:u w:val="single"/>
          <w:lang w:val="sr-Latn-CS"/>
        </w:rPr>
        <w:t>Inhibitori/kompetitori aktivnog puta eliminacije putem bubrega</w:t>
      </w:r>
      <w:r w:rsidRPr="006B5701">
        <w:rPr>
          <w:szCs w:val="22"/>
          <w:lang w:val="sr-Latn-CS"/>
        </w:rPr>
        <w:t xml:space="preserve"> </w:t>
      </w:r>
    </w:p>
    <w:p w14:paraId="31772C6B" w14:textId="1DCAAB55" w:rsidR="004B21C0" w:rsidRPr="006B5701" w:rsidRDefault="004B21C0" w:rsidP="004B21C0">
      <w:pPr>
        <w:jc w:val="left"/>
        <w:rPr>
          <w:b/>
          <w:szCs w:val="22"/>
          <w:lang w:val="sr-Latn-CS"/>
        </w:rPr>
      </w:pPr>
      <w:r w:rsidRPr="006B5701">
        <w:rPr>
          <w:szCs w:val="22"/>
          <w:lang w:val="sr-Latn-CS"/>
        </w:rPr>
        <w:t>Cimetidin smanjuje bubrežni klirens pramipeksola za oko 34%, verovatno putem inhibicije sistema odgovornog za sekretorni transport katjona u bubrežnim tubulima. L</w:t>
      </w:r>
      <w:r w:rsidR="000C3752">
        <w:rPr>
          <w:szCs w:val="22"/>
          <w:lang w:val="sr-Latn-CS"/>
        </w:rPr>
        <w:t>j</w:t>
      </w:r>
      <w:r w:rsidRPr="006B5701">
        <w:rPr>
          <w:szCs w:val="22"/>
          <w:lang w:val="sr-Latn-CS"/>
        </w:rPr>
        <w:t>ekovi koji inhibišu ovu aktivnu bubrežnu tubularnu sekreciju ili se i sami eliminišu ovim putem, kao što su cimetidin, amantadin, meksiletin, zidovudin, cisplatin, hinin i prokainamid, mogu da uđu u interakciju sa pramipeksolom,</w:t>
      </w:r>
      <w:r w:rsidRPr="006B5701">
        <w:rPr>
          <w:b/>
          <w:szCs w:val="22"/>
          <w:lang w:val="sr-Latn-CS"/>
        </w:rPr>
        <w:t xml:space="preserve"> </w:t>
      </w:r>
    </w:p>
    <w:p w14:paraId="43EFD438" w14:textId="3AF254B3" w:rsidR="004B21C0" w:rsidRPr="006B5701" w:rsidRDefault="004B21C0" w:rsidP="004B21C0">
      <w:pPr>
        <w:jc w:val="left"/>
        <w:rPr>
          <w:szCs w:val="22"/>
          <w:lang w:val="sr-Latn-CS"/>
        </w:rPr>
      </w:pPr>
      <w:r w:rsidRPr="006B5701">
        <w:rPr>
          <w:szCs w:val="22"/>
          <w:lang w:val="sr-Latn-CS"/>
        </w:rPr>
        <w:t>što dovodi do smanjenog klirensa pramipeksola.</w:t>
      </w:r>
      <w:r w:rsidR="005E6272" w:rsidRPr="006B5701">
        <w:rPr>
          <w:szCs w:val="22"/>
          <w:lang w:val="sr-Latn-CS"/>
        </w:rPr>
        <w:t xml:space="preserve"> </w:t>
      </w:r>
      <w:r w:rsidRPr="006B5701">
        <w:rPr>
          <w:szCs w:val="22"/>
          <w:lang w:val="sr-Latn-CS"/>
        </w:rPr>
        <w:t xml:space="preserve">U slučaju </w:t>
      </w:r>
      <w:r w:rsidR="005E6272" w:rsidRPr="006B5701">
        <w:rPr>
          <w:szCs w:val="22"/>
          <w:lang w:val="sr-Latn-CS"/>
        </w:rPr>
        <w:t>istovremene</w:t>
      </w:r>
      <w:r w:rsidRPr="006B5701">
        <w:rPr>
          <w:szCs w:val="22"/>
          <w:lang w:val="sr-Latn-CS"/>
        </w:rPr>
        <w:t xml:space="preserve"> terapije ovim l</w:t>
      </w:r>
      <w:r w:rsidR="000C3752">
        <w:rPr>
          <w:szCs w:val="22"/>
          <w:lang w:val="sr-Latn-CS"/>
        </w:rPr>
        <w:t>j</w:t>
      </w:r>
      <w:r w:rsidRPr="006B5701">
        <w:rPr>
          <w:szCs w:val="22"/>
          <w:lang w:val="sr-Latn-CS"/>
        </w:rPr>
        <w:t>ekov</w:t>
      </w:r>
      <w:r w:rsidR="005E6272" w:rsidRPr="006B5701">
        <w:rPr>
          <w:szCs w:val="22"/>
          <w:lang w:val="sr-Latn-CS"/>
        </w:rPr>
        <w:t>ima</w:t>
      </w:r>
      <w:r w:rsidRPr="006B5701">
        <w:rPr>
          <w:szCs w:val="22"/>
          <w:lang w:val="sr-Latn-CS"/>
        </w:rPr>
        <w:t xml:space="preserve"> treba razmotriti smanjivanje doze l</w:t>
      </w:r>
      <w:r w:rsidR="000C3752">
        <w:rPr>
          <w:szCs w:val="22"/>
          <w:lang w:val="sr-Latn-CS"/>
        </w:rPr>
        <w:t>ij</w:t>
      </w:r>
      <w:r w:rsidRPr="006B5701">
        <w:rPr>
          <w:szCs w:val="22"/>
          <w:lang w:val="sr-Latn-CS"/>
        </w:rPr>
        <w:t xml:space="preserve">eka </w:t>
      </w:r>
      <w:r w:rsidR="0083579A">
        <w:rPr>
          <w:bCs/>
          <w:szCs w:val="22"/>
          <w:lang w:val="sr-Latn-CS"/>
        </w:rPr>
        <w:t>Mirapexin</w:t>
      </w:r>
      <w:r w:rsidRPr="006B5701">
        <w:rPr>
          <w:szCs w:val="22"/>
          <w:lang w:val="sr-Latn-CS"/>
        </w:rPr>
        <w:t>.</w:t>
      </w:r>
    </w:p>
    <w:p w14:paraId="62AD4FE5" w14:textId="77777777" w:rsidR="004B21C0" w:rsidRPr="006B5701" w:rsidRDefault="004B21C0" w:rsidP="004B21C0">
      <w:pPr>
        <w:jc w:val="left"/>
        <w:rPr>
          <w:szCs w:val="22"/>
          <w:u w:val="single"/>
          <w:lang w:val="sr-Latn-CS"/>
        </w:rPr>
      </w:pPr>
    </w:p>
    <w:p w14:paraId="2DDEDF15" w14:textId="77777777" w:rsidR="004B21C0" w:rsidRPr="006B5701" w:rsidRDefault="004B21C0" w:rsidP="004B21C0">
      <w:pPr>
        <w:jc w:val="left"/>
        <w:rPr>
          <w:szCs w:val="22"/>
          <w:u w:val="single"/>
          <w:lang w:val="sr-Latn-CS"/>
        </w:rPr>
      </w:pPr>
      <w:r w:rsidRPr="006B5701">
        <w:rPr>
          <w:szCs w:val="22"/>
          <w:u w:val="single"/>
          <w:lang w:val="sr-Latn-CS"/>
        </w:rPr>
        <w:t>Kombinacija sa levodopom</w:t>
      </w:r>
    </w:p>
    <w:p w14:paraId="5A20E8C4" w14:textId="39841985" w:rsidR="004B21C0" w:rsidRPr="006B5701" w:rsidRDefault="004B21C0" w:rsidP="004B21C0">
      <w:pPr>
        <w:jc w:val="left"/>
        <w:rPr>
          <w:szCs w:val="22"/>
          <w:lang w:val="sr-Latn-CS"/>
        </w:rPr>
      </w:pPr>
      <w:r w:rsidRPr="006B5701">
        <w:rPr>
          <w:szCs w:val="22"/>
          <w:lang w:val="sr-Latn-CS"/>
        </w:rPr>
        <w:t xml:space="preserve">Kada se </w:t>
      </w:r>
      <w:r w:rsidR="0083579A">
        <w:rPr>
          <w:bCs/>
          <w:szCs w:val="22"/>
          <w:lang w:val="sr-Latn-CS"/>
        </w:rPr>
        <w:t>Mirapexin</w:t>
      </w:r>
      <w:r w:rsidRPr="006B5701">
        <w:rPr>
          <w:szCs w:val="22"/>
          <w:lang w:val="sr-Latn-CS"/>
        </w:rPr>
        <w:t xml:space="preserve"> daje u kombinaciji sa levodopom, preporučuje se da se pacijentima smanji doza levodope, a da se doze ostalih antiparkinsonika zadrže na konstantnom nivou, pri čemu se doza l</w:t>
      </w:r>
      <w:r w:rsidR="000C3752">
        <w:rPr>
          <w:szCs w:val="22"/>
          <w:lang w:val="sr-Latn-CS"/>
        </w:rPr>
        <w:t>ij</w:t>
      </w:r>
      <w:r w:rsidRPr="006B5701">
        <w:rPr>
          <w:szCs w:val="22"/>
          <w:lang w:val="sr-Latn-CS"/>
        </w:rPr>
        <w:t xml:space="preserve">eka </w:t>
      </w:r>
      <w:r w:rsidR="0083579A">
        <w:rPr>
          <w:bCs/>
          <w:szCs w:val="22"/>
          <w:lang w:val="sr-Latn-CS"/>
        </w:rPr>
        <w:t>Mirapexin</w:t>
      </w:r>
      <w:r w:rsidRPr="006B5701">
        <w:rPr>
          <w:szCs w:val="22"/>
          <w:lang w:val="sr-Latn-CS"/>
        </w:rPr>
        <w:t xml:space="preserve"> povećava.</w:t>
      </w:r>
    </w:p>
    <w:p w14:paraId="3B8E93A0" w14:textId="77777777" w:rsidR="004B21C0" w:rsidRPr="006B5701" w:rsidRDefault="004B21C0" w:rsidP="004B21C0">
      <w:pPr>
        <w:jc w:val="left"/>
        <w:rPr>
          <w:szCs w:val="22"/>
          <w:lang w:val="sr-Latn-CS"/>
        </w:rPr>
      </w:pPr>
    </w:p>
    <w:p w14:paraId="67C23498" w14:textId="3B87395D" w:rsidR="004B21C0" w:rsidRPr="006B5701" w:rsidRDefault="004B21C0" w:rsidP="004B21C0">
      <w:pPr>
        <w:jc w:val="left"/>
        <w:rPr>
          <w:szCs w:val="22"/>
          <w:lang w:val="sr-Latn-CS"/>
        </w:rPr>
      </w:pPr>
      <w:r w:rsidRPr="006B5701">
        <w:rPr>
          <w:szCs w:val="22"/>
          <w:lang w:val="sr-Latn-CS"/>
        </w:rPr>
        <w:t>Zbog mogućeg dodatnog dejstva, treba biti posebno oprezan kada pacijenti uzimaju druge sedativne l</w:t>
      </w:r>
      <w:r w:rsidR="000C3752">
        <w:rPr>
          <w:szCs w:val="22"/>
          <w:lang w:val="sr-Latn-CS"/>
        </w:rPr>
        <w:t>j</w:t>
      </w:r>
      <w:r w:rsidRPr="006B5701">
        <w:rPr>
          <w:szCs w:val="22"/>
          <w:lang w:val="sr-Latn-CS"/>
        </w:rPr>
        <w:t>ekove ili alkohol u kombinaciji sa pramipeksolom (vid</w:t>
      </w:r>
      <w:r w:rsidR="000C3752">
        <w:rPr>
          <w:szCs w:val="22"/>
          <w:lang w:val="sr-Latn-CS"/>
        </w:rPr>
        <w:t>j</w:t>
      </w:r>
      <w:r w:rsidRPr="006B5701">
        <w:rPr>
          <w:szCs w:val="22"/>
          <w:lang w:val="sr-Latn-CS"/>
        </w:rPr>
        <w:t>eti od</w:t>
      </w:r>
      <w:r w:rsidR="000C3752">
        <w:rPr>
          <w:szCs w:val="22"/>
          <w:lang w:val="sr-Latn-CS"/>
        </w:rPr>
        <w:t>j</w:t>
      </w:r>
      <w:r w:rsidRPr="006B5701">
        <w:rPr>
          <w:szCs w:val="22"/>
          <w:lang w:val="sr-Latn-CS"/>
        </w:rPr>
        <w:t>eljke 4.4, 4.7 i 4.8).</w:t>
      </w:r>
    </w:p>
    <w:p w14:paraId="20689266" w14:textId="77777777" w:rsidR="004B21C0" w:rsidRPr="006B5701" w:rsidRDefault="004B21C0" w:rsidP="004B21C0">
      <w:pPr>
        <w:jc w:val="left"/>
        <w:rPr>
          <w:szCs w:val="22"/>
          <w:u w:val="single"/>
          <w:lang w:val="sr-Latn-CS"/>
        </w:rPr>
      </w:pPr>
    </w:p>
    <w:p w14:paraId="66C50B19" w14:textId="77777777" w:rsidR="004B21C0" w:rsidRPr="006B5701" w:rsidRDefault="004B21C0" w:rsidP="004B21C0">
      <w:pPr>
        <w:jc w:val="left"/>
        <w:rPr>
          <w:szCs w:val="22"/>
          <w:u w:val="single"/>
          <w:lang w:val="sr-Latn-CS"/>
        </w:rPr>
      </w:pPr>
      <w:r w:rsidRPr="006B5701">
        <w:rPr>
          <w:szCs w:val="22"/>
          <w:u w:val="single"/>
          <w:lang w:val="sr-Latn-CS"/>
        </w:rPr>
        <w:t>Antipsihotici</w:t>
      </w:r>
    </w:p>
    <w:p w14:paraId="3047B931" w14:textId="3D5BC110" w:rsidR="004B21C0" w:rsidRPr="006B5701" w:rsidRDefault="004B21C0" w:rsidP="004B21C0">
      <w:pPr>
        <w:pStyle w:val="Header"/>
        <w:tabs>
          <w:tab w:val="clear" w:pos="4536"/>
          <w:tab w:val="clear" w:pos="9072"/>
          <w:tab w:val="left" w:pos="284"/>
        </w:tabs>
        <w:jc w:val="left"/>
        <w:rPr>
          <w:szCs w:val="22"/>
          <w:lang w:val="sr-Latn-CS"/>
        </w:rPr>
      </w:pPr>
      <w:r w:rsidRPr="006B5701">
        <w:rPr>
          <w:szCs w:val="22"/>
          <w:lang w:val="sr-Latn-CS"/>
        </w:rPr>
        <w:t>Istovremenu prim</w:t>
      </w:r>
      <w:r w:rsidR="000C3752">
        <w:rPr>
          <w:szCs w:val="22"/>
          <w:lang w:val="sr-Latn-CS"/>
        </w:rPr>
        <w:t>j</w:t>
      </w:r>
      <w:r w:rsidRPr="006B5701">
        <w:rPr>
          <w:szCs w:val="22"/>
          <w:lang w:val="sr-Latn-CS"/>
        </w:rPr>
        <w:t>enu antipsihotika sa pramipeksolom treba izb</w:t>
      </w:r>
      <w:r w:rsidR="000C3752">
        <w:rPr>
          <w:szCs w:val="22"/>
          <w:lang w:val="sr-Latn-CS"/>
        </w:rPr>
        <w:t>j</w:t>
      </w:r>
      <w:r w:rsidRPr="006B5701">
        <w:rPr>
          <w:szCs w:val="22"/>
          <w:lang w:val="sr-Latn-CS"/>
        </w:rPr>
        <w:t>egavati (vid</w:t>
      </w:r>
      <w:r w:rsidR="000C3752">
        <w:rPr>
          <w:szCs w:val="22"/>
          <w:lang w:val="sr-Latn-CS"/>
        </w:rPr>
        <w:t>j</w:t>
      </w:r>
      <w:r w:rsidRPr="006B5701">
        <w:rPr>
          <w:szCs w:val="22"/>
          <w:lang w:val="sr-Latn-CS"/>
        </w:rPr>
        <w:t>eti od</w:t>
      </w:r>
      <w:r w:rsidR="000C3752">
        <w:rPr>
          <w:szCs w:val="22"/>
          <w:lang w:val="sr-Latn-CS"/>
        </w:rPr>
        <w:t>j</w:t>
      </w:r>
      <w:r w:rsidRPr="006B5701">
        <w:rPr>
          <w:szCs w:val="22"/>
          <w:lang w:val="sr-Latn-CS"/>
        </w:rPr>
        <w:t>eljak 4.4) ako se, na prim</w:t>
      </w:r>
      <w:r w:rsidR="000C3752">
        <w:rPr>
          <w:szCs w:val="22"/>
          <w:lang w:val="sr-Latn-CS"/>
        </w:rPr>
        <w:t>j</w:t>
      </w:r>
      <w:r w:rsidRPr="006B5701">
        <w:rPr>
          <w:szCs w:val="22"/>
          <w:lang w:val="sr-Latn-CS"/>
        </w:rPr>
        <w:t xml:space="preserve">er, očekuje antagonistički efekat. </w:t>
      </w:r>
    </w:p>
    <w:p w14:paraId="4A9850FC" w14:textId="77777777" w:rsidR="00CE09F3" w:rsidRPr="006B5701" w:rsidRDefault="00CE09F3" w:rsidP="00923865">
      <w:pPr>
        <w:rPr>
          <w:szCs w:val="22"/>
          <w:lang w:val="sr-Latn-CS"/>
        </w:rPr>
      </w:pPr>
    </w:p>
    <w:p w14:paraId="5067B8A0" w14:textId="77777777" w:rsidR="00CE09F3" w:rsidRPr="006B5701" w:rsidRDefault="00CE09F3" w:rsidP="00923865">
      <w:pPr>
        <w:rPr>
          <w:b/>
          <w:bCs/>
          <w:szCs w:val="22"/>
          <w:lang w:val="pl-PL"/>
        </w:rPr>
      </w:pPr>
      <w:r w:rsidRPr="006B5701">
        <w:rPr>
          <w:b/>
          <w:bCs/>
          <w:szCs w:val="22"/>
          <w:lang w:val="pl-PL"/>
        </w:rPr>
        <w:t>4.6. Plodnost, trudnoća i dojenje</w:t>
      </w:r>
    </w:p>
    <w:p w14:paraId="3622AD3D" w14:textId="77777777" w:rsidR="00CE09F3" w:rsidRPr="006B5701" w:rsidRDefault="00CE09F3" w:rsidP="00923865">
      <w:pPr>
        <w:rPr>
          <w:szCs w:val="22"/>
          <w:lang w:val="pl-PL"/>
        </w:rPr>
      </w:pPr>
    </w:p>
    <w:p w14:paraId="6B5CD234" w14:textId="77777777" w:rsidR="004B21C0" w:rsidRPr="006B5701" w:rsidRDefault="004B21C0" w:rsidP="004B21C0">
      <w:pPr>
        <w:pStyle w:val="HeadNoNum1"/>
        <w:rPr>
          <w:b w:val="0"/>
          <w:szCs w:val="22"/>
          <w:u w:val="single"/>
          <w:lang w:val="sr-Latn-CS"/>
        </w:rPr>
      </w:pPr>
      <w:r w:rsidRPr="006B5701">
        <w:rPr>
          <w:b w:val="0"/>
          <w:szCs w:val="22"/>
          <w:u w:val="single"/>
          <w:lang w:val="pl-PL"/>
        </w:rPr>
        <w:t>Trudnoća</w:t>
      </w:r>
    </w:p>
    <w:p w14:paraId="62F8F4F2" w14:textId="1D437C53" w:rsidR="004B21C0" w:rsidRPr="006B5701" w:rsidRDefault="004B21C0" w:rsidP="004B21C0">
      <w:pPr>
        <w:jc w:val="left"/>
        <w:rPr>
          <w:szCs w:val="22"/>
          <w:lang w:val="sr-Latn-CS"/>
        </w:rPr>
      </w:pPr>
      <w:r w:rsidRPr="006B5701">
        <w:rPr>
          <w:szCs w:val="22"/>
          <w:lang w:val="sr-Latn-CS"/>
        </w:rPr>
        <w:t>Dejstvo na trudnoću i dojenje nije ispitivano na ljudima. Pramipeksol nije imao teratogeno dejstvo kod pacova i</w:t>
      </w:r>
      <w:r w:rsidR="00631D52" w:rsidRPr="006B5701">
        <w:rPr>
          <w:szCs w:val="22"/>
          <w:lang w:val="sr-Latn-CS"/>
        </w:rPr>
        <w:t xml:space="preserve"> kunića</w:t>
      </w:r>
      <w:r w:rsidRPr="006B5701">
        <w:rPr>
          <w:szCs w:val="22"/>
          <w:lang w:val="sr-Latn-CS"/>
        </w:rPr>
        <w:t>, ali je bio embriotoksičan kod pacova pri dozama koje su bile toksične i po majku (vid</w:t>
      </w:r>
      <w:r w:rsidR="000C3752">
        <w:rPr>
          <w:szCs w:val="22"/>
          <w:lang w:val="sr-Latn-CS"/>
        </w:rPr>
        <w:t>j</w:t>
      </w:r>
      <w:r w:rsidRPr="006B5701">
        <w:rPr>
          <w:szCs w:val="22"/>
          <w:lang w:val="sr-Latn-CS"/>
        </w:rPr>
        <w:t>eti od</w:t>
      </w:r>
      <w:r w:rsidR="000C3752">
        <w:rPr>
          <w:szCs w:val="22"/>
          <w:lang w:val="sr-Latn-CS"/>
        </w:rPr>
        <w:t>j</w:t>
      </w:r>
      <w:r w:rsidRPr="006B5701">
        <w:rPr>
          <w:szCs w:val="22"/>
          <w:lang w:val="sr-Latn-CS"/>
        </w:rPr>
        <w:t>eljak 5.3.).</w:t>
      </w:r>
    </w:p>
    <w:p w14:paraId="03D9E306" w14:textId="3BCA3130" w:rsidR="004B21C0" w:rsidRPr="006B5701" w:rsidRDefault="0083579A" w:rsidP="004B21C0">
      <w:pPr>
        <w:jc w:val="left"/>
        <w:rPr>
          <w:szCs w:val="22"/>
          <w:lang w:val="sr-Latn-CS"/>
        </w:rPr>
      </w:pPr>
      <w:r>
        <w:rPr>
          <w:bCs/>
          <w:szCs w:val="22"/>
          <w:lang w:val="sr-Latn-CS"/>
        </w:rPr>
        <w:t>Mirapexin</w:t>
      </w:r>
      <w:r w:rsidR="004B21C0" w:rsidRPr="006B5701">
        <w:rPr>
          <w:szCs w:val="22"/>
          <w:lang w:val="sr-Latn-CS"/>
        </w:rPr>
        <w:t xml:space="preserve"> ne treba koristiti u trudnoći osim ako potencijalna korist opravdava potencijalni rizik po fetus.</w:t>
      </w:r>
    </w:p>
    <w:p w14:paraId="58E7215D" w14:textId="77777777" w:rsidR="004B21C0" w:rsidRPr="006B5701" w:rsidRDefault="004B21C0" w:rsidP="004B21C0">
      <w:pPr>
        <w:jc w:val="left"/>
        <w:rPr>
          <w:b/>
          <w:szCs w:val="22"/>
          <w:lang w:val="sr-Latn-CS"/>
        </w:rPr>
      </w:pPr>
    </w:p>
    <w:p w14:paraId="35F7D1DD" w14:textId="77777777" w:rsidR="004B21C0" w:rsidRPr="006B5701" w:rsidRDefault="004B21C0" w:rsidP="004B21C0">
      <w:pPr>
        <w:pStyle w:val="HeadNoNum1"/>
        <w:rPr>
          <w:b w:val="0"/>
          <w:szCs w:val="22"/>
          <w:u w:val="single"/>
          <w:lang w:val="sr-Latn-CS"/>
        </w:rPr>
      </w:pPr>
      <w:r w:rsidRPr="006B5701">
        <w:rPr>
          <w:b w:val="0"/>
          <w:szCs w:val="22"/>
          <w:u w:val="single"/>
        </w:rPr>
        <w:t>Dojenje</w:t>
      </w:r>
    </w:p>
    <w:p w14:paraId="7F3AE665" w14:textId="37E647AF" w:rsidR="00631D52" w:rsidRPr="006B5701" w:rsidRDefault="004B21C0" w:rsidP="004B21C0">
      <w:pPr>
        <w:jc w:val="left"/>
        <w:rPr>
          <w:szCs w:val="22"/>
          <w:lang w:val="sr-Latn-CS"/>
        </w:rPr>
      </w:pPr>
      <w:r w:rsidRPr="006B5701">
        <w:rPr>
          <w:szCs w:val="22"/>
          <w:lang w:val="sr-Latn-CS"/>
        </w:rPr>
        <w:t xml:space="preserve">Kako terapija </w:t>
      </w:r>
      <w:r w:rsidR="0083579A">
        <w:rPr>
          <w:bCs/>
          <w:szCs w:val="22"/>
          <w:lang w:val="sr-Latn-CS"/>
        </w:rPr>
        <w:t>Mirapexin</w:t>
      </w:r>
      <w:r w:rsidRPr="006B5701">
        <w:rPr>
          <w:szCs w:val="22"/>
          <w:lang w:val="sr-Latn-CS"/>
        </w:rPr>
        <w:t xml:space="preserve"> tabletama</w:t>
      </w:r>
      <w:r w:rsidRPr="006B5701">
        <w:rPr>
          <w:b/>
          <w:szCs w:val="22"/>
          <w:lang w:val="sr-Latn-CS"/>
        </w:rPr>
        <w:t xml:space="preserve"> </w:t>
      </w:r>
      <w:r w:rsidRPr="006B5701">
        <w:rPr>
          <w:szCs w:val="22"/>
          <w:lang w:val="sr-Latn-CS"/>
        </w:rPr>
        <w:t xml:space="preserve">inhibira sekreciju prolaktina kod žena, očekuje se i inhibicija laktacije. </w:t>
      </w:r>
    </w:p>
    <w:p w14:paraId="11A5AC1A" w14:textId="2B665747" w:rsidR="004B21C0" w:rsidRPr="006B5701" w:rsidRDefault="004B21C0" w:rsidP="004B21C0">
      <w:pPr>
        <w:jc w:val="left"/>
        <w:rPr>
          <w:szCs w:val="22"/>
          <w:lang w:val="sr-Latn-CS"/>
        </w:rPr>
      </w:pPr>
      <w:r w:rsidRPr="006B5701">
        <w:rPr>
          <w:szCs w:val="22"/>
          <w:lang w:val="sr-Latn-CS"/>
        </w:rPr>
        <w:t>Izlučivanje pramipeksola u majčino ml</w:t>
      </w:r>
      <w:r w:rsidR="000C3752">
        <w:rPr>
          <w:szCs w:val="22"/>
          <w:lang w:val="sr-Latn-CS"/>
        </w:rPr>
        <w:t>ij</w:t>
      </w:r>
      <w:r w:rsidRPr="006B5701">
        <w:rPr>
          <w:szCs w:val="22"/>
          <w:lang w:val="sr-Latn-CS"/>
        </w:rPr>
        <w:t>eko nije ispitivano kod žena. Kod pacova koncentracija radioaktivnosti povezane sa aktivnom supstancom, bila je veća u ml</w:t>
      </w:r>
      <w:r w:rsidR="000C3752">
        <w:rPr>
          <w:szCs w:val="22"/>
          <w:lang w:val="sr-Latn-CS"/>
        </w:rPr>
        <w:t>ij</w:t>
      </w:r>
      <w:r w:rsidRPr="006B5701">
        <w:rPr>
          <w:szCs w:val="22"/>
          <w:lang w:val="sr-Latn-CS"/>
        </w:rPr>
        <w:t xml:space="preserve">eku majke nego u plazmi. U odsustvu podataka iz humane populacije, </w:t>
      </w:r>
      <w:r w:rsidR="00631D52" w:rsidRPr="006B5701">
        <w:rPr>
          <w:szCs w:val="22"/>
          <w:lang w:val="sr-Latn-CS"/>
        </w:rPr>
        <w:t>l</w:t>
      </w:r>
      <w:r w:rsidR="000C3752">
        <w:rPr>
          <w:szCs w:val="22"/>
          <w:lang w:val="sr-Latn-CS"/>
        </w:rPr>
        <w:t>ij</w:t>
      </w:r>
      <w:r w:rsidR="00631D52" w:rsidRPr="006B5701">
        <w:rPr>
          <w:szCs w:val="22"/>
          <w:lang w:val="sr-Latn-CS"/>
        </w:rPr>
        <w:t xml:space="preserve">ek </w:t>
      </w:r>
      <w:r w:rsidR="0083579A">
        <w:rPr>
          <w:bCs/>
          <w:szCs w:val="22"/>
          <w:lang w:val="sr-Latn-CS"/>
        </w:rPr>
        <w:t>Mirapexin</w:t>
      </w:r>
      <w:r w:rsidRPr="006B5701">
        <w:rPr>
          <w:szCs w:val="22"/>
          <w:lang w:val="sr-Latn-CS"/>
        </w:rPr>
        <w:t xml:space="preserve"> ne treba koristiti tokom dojenja. Međutim, ako je njegova upotreba neizbežna, dojenje treba prekinuti. </w:t>
      </w:r>
    </w:p>
    <w:p w14:paraId="1BC81B38" w14:textId="77777777" w:rsidR="004B21C0" w:rsidRPr="006B5701" w:rsidRDefault="004B21C0" w:rsidP="004B21C0">
      <w:pPr>
        <w:pStyle w:val="HeadNoNum1"/>
        <w:ind w:left="0"/>
        <w:rPr>
          <w:szCs w:val="22"/>
          <w:lang w:val="sr-Latn-CS"/>
        </w:rPr>
      </w:pPr>
    </w:p>
    <w:p w14:paraId="66C8E88A" w14:textId="6BD93681" w:rsidR="00631D52" w:rsidRPr="006B5701" w:rsidRDefault="00631D52" w:rsidP="00631D52">
      <w:pPr>
        <w:pStyle w:val="HeadNoNum1"/>
        <w:ind w:left="0" w:firstLine="0"/>
        <w:rPr>
          <w:b w:val="0"/>
          <w:szCs w:val="22"/>
          <w:u w:val="single"/>
          <w:lang w:val="sr-Latn-CS"/>
        </w:rPr>
      </w:pPr>
      <w:r w:rsidRPr="006B5701">
        <w:rPr>
          <w:b w:val="0"/>
          <w:szCs w:val="22"/>
          <w:u w:val="single"/>
          <w:lang w:val="sr-Latn-CS"/>
        </w:rPr>
        <w:t>Plodnost</w:t>
      </w:r>
    </w:p>
    <w:p w14:paraId="448DF4FD" w14:textId="5F00AD43" w:rsidR="00CE09F3" w:rsidRPr="006B5701" w:rsidRDefault="004B21C0" w:rsidP="004B21C0">
      <w:pPr>
        <w:rPr>
          <w:szCs w:val="22"/>
          <w:lang w:val="sr-Latn-CS"/>
        </w:rPr>
      </w:pPr>
      <w:r w:rsidRPr="006B5701">
        <w:rPr>
          <w:szCs w:val="22"/>
          <w:lang w:val="sr-Latn-CS"/>
        </w:rPr>
        <w:t>Ispitivanja dejstva l</w:t>
      </w:r>
      <w:r w:rsidR="000C3752">
        <w:rPr>
          <w:szCs w:val="22"/>
          <w:lang w:val="sr-Latn-CS"/>
        </w:rPr>
        <w:t>ij</w:t>
      </w:r>
      <w:r w:rsidRPr="006B5701">
        <w:rPr>
          <w:szCs w:val="22"/>
          <w:lang w:val="sr-Latn-CS"/>
        </w:rPr>
        <w:t>eka na fertilitet kod ljudi ni</w:t>
      </w:r>
      <w:r w:rsidR="000C3752">
        <w:rPr>
          <w:szCs w:val="22"/>
          <w:lang w:val="sr-Latn-CS"/>
        </w:rPr>
        <w:t>je</w:t>
      </w:r>
      <w:r w:rsidRPr="006B5701">
        <w:rPr>
          <w:szCs w:val="22"/>
          <w:lang w:val="sr-Latn-CS"/>
        </w:rPr>
        <w:t>su sprovedena. U ispitivanjima na životinjama, pramipeksol je uticao na estrusni ciklus i smanjivao fertilitet ženki, što je i očekivano za dopaminski agonist. Međutim, ove studije ni</w:t>
      </w:r>
      <w:r w:rsidR="000C3752">
        <w:rPr>
          <w:szCs w:val="22"/>
          <w:lang w:val="sr-Latn-CS"/>
        </w:rPr>
        <w:t>je</w:t>
      </w:r>
      <w:r w:rsidRPr="006B5701">
        <w:rPr>
          <w:szCs w:val="22"/>
          <w:lang w:val="sr-Latn-CS"/>
        </w:rPr>
        <w:t>su ukazale ni na direktno, ni na indirektno štetno dejstvo na fertilitet mužjaka.</w:t>
      </w:r>
    </w:p>
    <w:p w14:paraId="14FC553F" w14:textId="5DBD73E8" w:rsidR="004B21C0" w:rsidRDefault="004B21C0" w:rsidP="00923865">
      <w:pPr>
        <w:rPr>
          <w:b/>
          <w:bCs/>
          <w:spacing w:val="-8"/>
          <w:szCs w:val="22"/>
          <w:lang w:val="sr-Latn-CS"/>
        </w:rPr>
      </w:pPr>
    </w:p>
    <w:p w14:paraId="48146D5D" w14:textId="77777777" w:rsidR="00B81474" w:rsidRPr="006B5701" w:rsidRDefault="00B81474" w:rsidP="00923865">
      <w:pPr>
        <w:rPr>
          <w:b/>
          <w:bCs/>
          <w:spacing w:val="-8"/>
          <w:szCs w:val="22"/>
          <w:lang w:val="sr-Latn-CS"/>
        </w:rPr>
      </w:pPr>
    </w:p>
    <w:p w14:paraId="2F5F025E" w14:textId="05549EAB" w:rsidR="00CE09F3" w:rsidRPr="006B5701" w:rsidRDefault="00CE09F3" w:rsidP="00923865">
      <w:pPr>
        <w:rPr>
          <w:b/>
          <w:bCs/>
          <w:spacing w:val="-8"/>
          <w:szCs w:val="22"/>
          <w:lang w:val="sr-Latn-CS"/>
        </w:rPr>
      </w:pPr>
      <w:r w:rsidRPr="006B5701">
        <w:rPr>
          <w:b/>
          <w:bCs/>
          <w:spacing w:val="-8"/>
          <w:szCs w:val="22"/>
          <w:lang w:val="sr-Latn-CS"/>
        </w:rPr>
        <w:t>4.7. Uticaj l</w:t>
      </w:r>
      <w:r w:rsidR="000C3752">
        <w:rPr>
          <w:b/>
          <w:bCs/>
          <w:spacing w:val="-8"/>
          <w:szCs w:val="22"/>
          <w:lang w:val="sr-Latn-CS"/>
        </w:rPr>
        <w:t>ij</w:t>
      </w:r>
      <w:r w:rsidRPr="006B5701">
        <w:rPr>
          <w:b/>
          <w:bCs/>
          <w:spacing w:val="-8"/>
          <w:szCs w:val="22"/>
          <w:lang w:val="sr-Latn-CS"/>
        </w:rPr>
        <w:t>eka na sposobnost upravljanja vozilima i rukovanja mašinama</w:t>
      </w:r>
    </w:p>
    <w:p w14:paraId="6AEA97A1" w14:textId="77777777" w:rsidR="00CE09F3" w:rsidRPr="006B5701" w:rsidRDefault="00CE09F3" w:rsidP="00923865">
      <w:pPr>
        <w:rPr>
          <w:szCs w:val="22"/>
          <w:lang w:val="sr-Latn-CS"/>
        </w:rPr>
      </w:pPr>
    </w:p>
    <w:p w14:paraId="44C7E044" w14:textId="0772A04E" w:rsidR="004B21C0" w:rsidRPr="006B5701" w:rsidRDefault="0083579A" w:rsidP="004B21C0">
      <w:pPr>
        <w:jc w:val="left"/>
        <w:rPr>
          <w:szCs w:val="22"/>
          <w:lang w:val="sr-Latn-CS"/>
        </w:rPr>
      </w:pPr>
      <w:r>
        <w:rPr>
          <w:bCs/>
          <w:szCs w:val="22"/>
          <w:lang w:val="sr-Latn-CS"/>
        </w:rPr>
        <w:t>Mirapexin</w:t>
      </w:r>
      <w:r w:rsidR="004B21C0" w:rsidRPr="006B5701">
        <w:rPr>
          <w:szCs w:val="22"/>
          <w:lang w:val="sr-Latn-CS"/>
        </w:rPr>
        <w:t xml:space="preserve"> može da ima veliki uticaj na sposobnost upravljanja</w:t>
      </w:r>
      <w:r w:rsidR="0042412A" w:rsidRPr="006B5701">
        <w:rPr>
          <w:szCs w:val="22"/>
          <w:lang w:val="sr-Latn-CS"/>
        </w:rPr>
        <w:t xml:space="preserve"> </w:t>
      </w:r>
      <w:r w:rsidR="004B21C0" w:rsidRPr="006B5701">
        <w:rPr>
          <w:szCs w:val="22"/>
          <w:lang w:val="sr-Latn-CS"/>
        </w:rPr>
        <w:t xml:space="preserve">vozilom i rukovanje mašinama. </w:t>
      </w:r>
    </w:p>
    <w:p w14:paraId="42F37662" w14:textId="77777777" w:rsidR="004B21C0" w:rsidRPr="006B5701" w:rsidRDefault="004B21C0" w:rsidP="004B21C0">
      <w:pPr>
        <w:jc w:val="left"/>
        <w:rPr>
          <w:szCs w:val="22"/>
          <w:lang w:val="sr-Latn-CS"/>
        </w:rPr>
      </w:pPr>
    </w:p>
    <w:p w14:paraId="111153BD" w14:textId="77777777" w:rsidR="004B21C0" w:rsidRPr="006B5701" w:rsidRDefault="004B21C0" w:rsidP="004B21C0">
      <w:pPr>
        <w:jc w:val="left"/>
        <w:rPr>
          <w:szCs w:val="22"/>
          <w:lang w:val="sr-Latn-CS"/>
        </w:rPr>
      </w:pPr>
      <w:r w:rsidRPr="006B5701">
        <w:rPr>
          <w:szCs w:val="22"/>
          <w:lang w:val="sr-Latn-CS"/>
        </w:rPr>
        <w:t xml:space="preserve">Moguća je pojava halucinacija i somnolencije. </w:t>
      </w:r>
    </w:p>
    <w:p w14:paraId="60C62DBC" w14:textId="77777777" w:rsidR="004B21C0" w:rsidRPr="006B5701" w:rsidRDefault="004B21C0" w:rsidP="004B21C0">
      <w:pPr>
        <w:jc w:val="left"/>
        <w:rPr>
          <w:szCs w:val="22"/>
          <w:lang w:val="sr-Latn-CS"/>
        </w:rPr>
      </w:pPr>
    </w:p>
    <w:p w14:paraId="2DD5685A" w14:textId="4E19CAA3" w:rsidR="004B21C0" w:rsidRPr="006B5701" w:rsidRDefault="004B21C0" w:rsidP="004B21C0">
      <w:pPr>
        <w:jc w:val="left"/>
        <w:rPr>
          <w:szCs w:val="22"/>
          <w:lang w:val="sr-Latn-CS"/>
        </w:rPr>
      </w:pPr>
      <w:r w:rsidRPr="006B5701">
        <w:rPr>
          <w:szCs w:val="22"/>
          <w:lang w:val="sr-Latn-CS"/>
        </w:rPr>
        <w:t>Pacijenti koji se l</w:t>
      </w:r>
      <w:r w:rsidR="000C3752">
        <w:rPr>
          <w:szCs w:val="22"/>
          <w:lang w:val="sr-Latn-CS"/>
        </w:rPr>
        <w:t>ij</w:t>
      </w:r>
      <w:r w:rsidRPr="006B5701">
        <w:rPr>
          <w:szCs w:val="22"/>
          <w:lang w:val="sr-Latn-CS"/>
        </w:rPr>
        <w:t xml:space="preserve">eče </w:t>
      </w:r>
      <w:r w:rsidR="0083579A">
        <w:rPr>
          <w:bCs/>
          <w:szCs w:val="22"/>
          <w:lang w:val="sr-Latn-CS"/>
        </w:rPr>
        <w:t>Mirapexin</w:t>
      </w:r>
      <w:r w:rsidRPr="006B5701">
        <w:rPr>
          <w:szCs w:val="22"/>
          <w:lang w:val="sr-Latn-CS"/>
        </w:rPr>
        <w:t xml:space="preserve"> tabletama, kod kojih je prim</w:t>
      </w:r>
      <w:r w:rsidR="000C3752">
        <w:rPr>
          <w:szCs w:val="22"/>
          <w:lang w:val="sr-Latn-CS"/>
        </w:rPr>
        <w:t>ij</w:t>
      </w:r>
      <w:r w:rsidRPr="006B5701">
        <w:rPr>
          <w:szCs w:val="22"/>
          <w:lang w:val="sr-Latn-CS"/>
        </w:rPr>
        <w:t>ećena pospanost i/ili epizode iznenadnog nastupa sna, moraju biti upozoreni da ne sm</w:t>
      </w:r>
      <w:r w:rsidR="000C3752">
        <w:rPr>
          <w:szCs w:val="22"/>
          <w:lang w:val="sr-Latn-CS"/>
        </w:rPr>
        <w:t>i</w:t>
      </w:r>
      <w:r w:rsidRPr="006B5701">
        <w:rPr>
          <w:szCs w:val="22"/>
          <w:lang w:val="sr-Latn-CS"/>
        </w:rPr>
        <w:t>ju da voze</w:t>
      </w:r>
      <w:r w:rsidR="0042412A" w:rsidRPr="006B5701">
        <w:rPr>
          <w:szCs w:val="22"/>
          <w:lang w:val="sr-Latn-CS"/>
        </w:rPr>
        <w:t>,</w:t>
      </w:r>
      <w:r w:rsidRPr="006B5701">
        <w:rPr>
          <w:szCs w:val="22"/>
          <w:lang w:val="sr-Latn-CS"/>
        </w:rPr>
        <w:t xml:space="preserve"> niti da učestvuju u aktivnostima</w:t>
      </w:r>
      <w:r w:rsidR="00244B5E" w:rsidRPr="006B5701">
        <w:rPr>
          <w:szCs w:val="22"/>
          <w:lang w:val="sr-Latn-CS"/>
        </w:rPr>
        <w:t xml:space="preserve"> tokom kojih</w:t>
      </w:r>
      <w:r w:rsidRPr="006B5701">
        <w:rPr>
          <w:szCs w:val="22"/>
          <w:lang w:val="sr-Latn-CS"/>
        </w:rPr>
        <w:t xml:space="preserve">, </w:t>
      </w:r>
      <w:r w:rsidR="00244B5E" w:rsidRPr="006B5701">
        <w:rPr>
          <w:szCs w:val="22"/>
          <w:lang w:val="sr-Latn-CS"/>
        </w:rPr>
        <w:t>zbog smanjene mogućnosti reagovanja</w:t>
      </w:r>
      <w:r w:rsidR="00244B5E" w:rsidRPr="006B5701" w:rsidDel="00244B5E">
        <w:rPr>
          <w:szCs w:val="22"/>
          <w:lang w:val="sr-Latn-CS"/>
        </w:rPr>
        <w:t xml:space="preserve"> </w:t>
      </w:r>
      <w:r w:rsidRPr="006B5701">
        <w:rPr>
          <w:szCs w:val="22"/>
          <w:lang w:val="sr-Latn-CS"/>
        </w:rPr>
        <w:t xml:space="preserve">mogu sebe i druge izložiti riziku od teške povrede ili smrti (npr. da upravljaju mašinama) dokle </w:t>
      </w:r>
      <w:r w:rsidR="007C2452" w:rsidRPr="006B5701">
        <w:rPr>
          <w:szCs w:val="22"/>
          <w:lang w:val="sr-Latn-CS"/>
        </w:rPr>
        <w:t>se te</w:t>
      </w:r>
      <w:r w:rsidRPr="006B5701">
        <w:rPr>
          <w:szCs w:val="22"/>
          <w:lang w:val="sr-Latn-CS"/>
        </w:rPr>
        <w:t xml:space="preserve"> </w:t>
      </w:r>
      <w:r w:rsidR="00244B5E" w:rsidRPr="006B5701">
        <w:rPr>
          <w:szCs w:val="22"/>
          <w:lang w:val="sr-Latn-CS"/>
        </w:rPr>
        <w:t xml:space="preserve">rekurentne </w:t>
      </w:r>
      <w:r w:rsidRPr="006B5701">
        <w:rPr>
          <w:szCs w:val="22"/>
          <w:lang w:val="sr-Latn-CS"/>
        </w:rPr>
        <w:t xml:space="preserve">epizode sna i </w:t>
      </w:r>
      <w:r w:rsidR="007C2452" w:rsidRPr="006B5701">
        <w:rPr>
          <w:szCs w:val="22"/>
          <w:lang w:val="sr-Latn-CS"/>
        </w:rPr>
        <w:t xml:space="preserve">somnolencija ne povuku </w:t>
      </w:r>
      <w:r w:rsidRPr="006B5701">
        <w:rPr>
          <w:szCs w:val="22"/>
          <w:lang w:val="sr-Latn-CS"/>
        </w:rPr>
        <w:t>(vid</w:t>
      </w:r>
      <w:r w:rsidR="000C3752">
        <w:rPr>
          <w:szCs w:val="22"/>
          <w:lang w:val="sr-Latn-CS"/>
        </w:rPr>
        <w:t>j</w:t>
      </w:r>
      <w:r w:rsidRPr="006B5701">
        <w:rPr>
          <w:szCs w:val="22"/>
          <w:lang w:val="sr-Latn-CS"/>
        </w:rPr>
        <w:t>eti od</w:t>
      </w:r>
      <w:r w:rsidR="000C3752">
        <w:rPr>
          <w:szCs w:val="22"/>
          <w:lang w:val="sr-Latn-CS"/>
        </w:rPr>
        <w:t>j</w:t>
      </w:r>
      <w:r w:rsidRPr="006B5701">
        <w:rPr>
          <w:szCs w:val="22"/>
          <w:lang w:val="sr-Latn-CS"/>
        </w:rPr>
        <w:t>eljke 4.4, 4.5 i 4.8).</w:t>
      </w:r>
    </w:p>
    <w:p w14:paraId="6F11237A" w14:textId="77777777" w:rsidR="00D35E73" w:rsidRPr="006B5701" w:rsidRDefault="00D35E73" w:rsidP="00923865">
      <w:pPr>
        <w:rPr>
          <w:szCs w:val="22"/>
          <w:lang w:val="sr-Latn-CS"/>
        </w:rPr>
      </w:pPr>
    </w:p>
    <w:p w14:paraId="7F8AF6E7" w14:textId="77777777" w:rsidR="00CE09F3" w:rsidRPr="006B5701" w:rsidRDefault="00CE09F3" w:rsidP="00923865">
      <w:pPr>
        <w:rPr>
          <w:b/>
          <w:bCs/>
          <w:szCs w:val="22"/>
          <w:lang w:val="sr-Latn-CS"/>
        </w:rPr>
      </w:pPr>
      <w:r w:rsidRPr="006B5701">
        <w:rPr>
          <w:b/>
          <w:bCs/>
          <w:szCs w:val="22"/>
          <w:lang w:val="sr-Latn-CS"/>
        </w:rPr>
        <w:t xml:space="preserve">4.8. </w:t>
      </w:r>
      <w:r w:rsidRPr="006B5701">
        <w:rPr>
          <w:b/>
          <w:bCs/>
          <w:szCs w:val="22"/>
        </w:rPr>
        <w:t>Ne</w:t>
      </w:r>
      <w:r w:rsidRPr="006B5701">
        <w:rPr>
          <w:b/>
          <w:bCs/>
          <w:szCs w:val="22"/>
          <w:lang w:val="sr-Latn-CS"/>
        </w:rPr>
        <w:t>ž</w:t>
      </w:r>
      <w:r w:rsidRPr="006B5701">
        <w:rPr>
          <w:b/>
          <w:bCs/>
          <w:szCs w:val="22"/>
        </w:rPr>
        <w:t>eljena</w:t>
      </w:r>
      <w:r w:rsidRPr="006B5701">
        <w:rPr>
          <w:b/>
          <w:bCs/>
          <w:szCs w:val="22"/>
          <w:lang w:val="sr-Latn-CS"/>
        </w:rPr>
        <w:t xml:space="preserve"> </w:t>
      </w:r>
      <w:r w:rsidRPr="006B5701">
        <w:rPr>
          <w:b/>
          <w:bCs/>
          <w:szCs w:val="22"/>
        </w:rPr>
        <w:t>dejstva</w:t>
      </w:r>
    </w:p>
    <w:p w14:paraId="112EF83A" w14:textId="77777777" w:rsidR="004B21C0" w:rsidRPr="006B5701" w:rsidRDefault="004B21C0" w:rsidP="004B21C0">
      <w:pPr>
        <w:jc w:val="left"/>
        <w:rPr>
          <w:szCs w:val="22"/>
          <w:lang w:val="sr-Latn-CS"/>
        </w:rPr>
      </w:pPr>
    </w:p>
    <w:p w14:paraId="51F589BC" w14:textId="4E7FB6C4" w:rsidR="004B21C0" w:rsidRPr="006B5701" w:rsidRDefault="004B21C0" w:rsidP="00C76D6B">
      <w:pPr>
        <w:rPr>
          <w:szCs w:val="22"/>
          <w:lang w:val="sr-Latn-CS"/>
        </w:rPr>
      </w:pPr>
      <w:r w:rsidRPr="006B5701">
        <w:rPr>
          <w:szCs w:val="22"/>
          <w:lang w:val="sr-Latn-CS"/>
        </w:rPr>
        <w:t>Na osnovu analize objedinjenih, placebo-kontrolisanih ispitivanja koja su obuhvatila ukupno 1923 pacijenta koji su primali pramipeksol i 1354 pacijenta koji su primali placebo, neželjene reakcije na l</w:t>
      </w:r>
      <w:r w:rsidR="000C3752">
        <w:rPr>
          <w:szCs w:val="22"/>
          <w:lang w:val="sr-Latn-CS"/>
        </w:rPr>
        <w:t>ij</w:t>
      </w:r>
      <w:r w:rsidRPr="006B5701">
        <w:rPr>
          <w:szCs w:val="22"/>
          <w:lang w:val="sr-Latn-CS"/>
        </w:rPr>
        <w:t>ek zab</w:t>
      </w:r>
      <w:r w:rsidR="000C3752">
        <w:rPr>
          <w:szCs w:val="22"/>
          <w:lang w:val="sr-Latn-CS"/>
        </w:rPr>
        <w:t>i</w:t>
      </w:r>
      <w:r w:rsidRPr="006B5701">
        <w:rPr>
          <w:szCs w:val="22"/>
          <w:lang w:val="sr-Latn-CS"/>
        </w:rPr>
        <w:t>l</w:t>
      </w:r>
      <w:r w:rsidR="000C3752">
        <w:rPr>
          <w:szCs w:val="22"/>
          <w:lang w:val="sr-Latn-CS"/>
        </w:rPr>
        <w:t>j</w:t>
      </w:r>
      <w:r w:rsidRPr="006B5701">
        <w:rPr>
          <w:szCs w:val="22"/>
          <w:lang w:val="sr-Latn-CS"/>
        </w:rPr>
        <w:t>ežene su često u ob</w:t>
      </w:r>
      <w:r w:rsidR="0075204F">
        <w:rPr>
          <w:szCs w:val="22"/>
          <w:lang w:val="sr-Latn-CS"/>
        </w:rPr>
        <w:t>j</w:t>
      </w:r>
      <w:r w:rsidRPr="006B5701">
        <w:rPr>
          <w:szCs w:val="22"/>
          <w:lang w:val="sr-Latn-CS"/>
        </w:rPr>
        <w:t xml:space="preserve">e grupe: 63% pacijenata koji su primali pramipeksol i 52% pacijenata koji su primali placebo prijavili su po najmanje jedno neželjeno dejstvo. </w:t>
      </w:r>
    </w:p>
    <w:p w14:paraId="53B1C1C5" w14:textId="77777777" w:rsidR="004B21C0" w:rsidRPr="006B5701" w:rsidRDefault="004B21C0" w:rsidP="00C76D6B">
      <w:pPr>
        <w:rPr>
          <w:szCs w:val="22"/>
          <w:lang w:val="sr-Latn-CS"/>
        </w:rPr>
      </w:pPr>
    </w:p>
    <w:p w14:paraId="65637F8D" w14:textId="77777777" w:rsidR="002C42EB" w:rsidRPr="006B5701" w:rsidRDefault="002C42EB" w:rsidP="00C76D6B">
      <w:pPr>
        <w:rPr>
          <w:szCs w:val="22"/>
          <w:lang w:val="sr-Latn-CS"/>
        </w:rPr>
      </w:pPr>
      <w:r w:rsidRPr="006B5701">
        <w:rPr>
          <w:szCs w:val="22"/>
          <w:lang w:val="sr-Latn-CS"/>
        </w:rPr>
        <w:t>Većina neželjenih reakcija se obično ispolji na početku terapije i najveći broj se povuče, čak i ukoliko se terapija nastavi.</w:t>
      </w:r>
    </w:p>
    <w:p w14:paraId="35212E06" w14:textId="77777777" w:rsidR="002C42EB" w:rsidRPr="006B5701" w:rsidRDefault="002C42EB" w:rsidP="00C76D6B">
      <w:pPr>
        <w:rPr>
          <w:szCs w:val="22"/>
          <w:lang w:val="sr-Latn-CS"/>
        </w:rPr>
      </w:pPr>
    </w:p>
    <w:p w14:paraId="54EF61F0" w14:textId="14935818" w:rsidR="004B21C0" w:rsidRPr="006B5701" w:rsidRDefault="004B21C0" w:rsidP="00C76D6B">
      <w:pPr>
        <w:rPr>
          <w:szCs w:val="22"/>
          <w:lang w:val="sr-Latn-CS"/>
        </w:rPr>
      </w:pPr>
      <w:r w:rsidRPr="006B5701">
        <w:rPr>
          <w:szCs w:val="22"/>
          <w:lang w:val="sr-Latn-CS"/>
        </w:rPr>
        <w:t>Unutar klasifikacije po sistemima organa, neželjene reakcije su grupisane prema učestalostima ispoljavanja (broj pacijenata za koj</w:t>
      </w:r>
      <w:r w:rsidR="0075204F">
        <w:rPr>
          <w:szCs w:val="22"/>
          <w:lang w:val="sr-Latn-CS"/>
        </w:rPr>
        <w:t>e</w:t>
      </w:r>
      <w:r w:rsidRPr="006B5701">
        <w:rPr>
          <w:szCs w:val="22"/>
          <w:lang w:val="sr-Latn-CS"/>
        </w:rPr>
        <w:t xml:space="preserve"> se očekuje da će ispoljiti reakciju) koristeći sl</w:t>
      </w:r>
      <w:r w:rsidR="000C3752">
        <w:rPr>
          <w:szCs w:val="22"/>
          <w:lang w:val="sr-Latn-CS"/>
        </w:rPr>
        <w:t>j</w:t>
      </w:r>
      <w:r w:rsidRPr="006B5701">
        <w:rPr>
          <w:szCs w:val="22"/>
          <w:lang w:val="sr-Latn-CS"/>
        </w:rPr>
        <w:t xml:space="preserve">edeću konvenciju: </w:t>
      </w:r>
    </w:p>
    <w:p w14:paraId="7E8D1225" w14:textId="77777777" w:rsidR="004B21C0" w:rsidRPr="006B5701" w:rsidRDefault="004B21C0" w:rsidP="00C76D6B">
      <w:pPr>
        <w:rPr>
          <w:szCs w:val="22"/>
          <w:lang w:val="sr-Latn-CS"/>
        </w:rPr>
      </w:pPr>
      <w:r w:rsidRPr="006B5701">
        <w:rPr>
          <w:bCs/>
          <w:szCs w:val="22"/>
          <w:lang w:val="sr-Latn-CS"/>
        </w:rPr>
        <w:t xml:space="preserve">Veoma često </w:t>
      </w:r>
      <w:r w:rsidRPr="006B5701">
        <w:rPr>
          <w:szCs w:val="22"/>
          <w:lang w:val="sr-Latn-CS"/>
        </w:rPr>
        <w:t>≥</w:t>
      </w:r>
      <w:r w:rsidRPr="006B5701">
        <w:rPr>
          <w:bCs/>
          <w:szCs w:val="22"/>
          <w:lang w:val="sr-Latn-CS"/>
        </w:rPr>
        <w:t>1/10;</w:t>
      </w:r>
    </w:p>
    <w:p w14:paraId="04FE0D1B" w14:textId="77777777" w:rsidR="004B21C0" w:rsidRPr="006B5701" w:rsidRDefault="004B21C0" w:rsidP="00C76D6B">
      <w:pPr>
        <w:rPr>
          <w:bCs/>
          <w:szCs w:val="22"/>
          <w:lang w:val="sr-Latn-CS"/>
        </w:rPr>
      </w:pPr>
      <w:r w:rsidRPr="006B5701">
        <w:rPr>
          <w:bCs/>
          <w:szCs w:val="22"/>
          <w:lang w:val="sr-Latn-CS"/>
        </w:rPr>
        <w:t xml:space="preserve">Često </w:t>
      </w:r>
      <w:r w:rsidRPr="006B5701">
        <w:rPr>
          <w:szCs w:val="22"/>
          <w:lang w:val="sr-Latn-CS"/>
        </w:rPr>
        <w:t>≥</w:t>
      </w:r>
      <w:r w:rsidRPr="006B5701">
        <w:rPr>
          <w:bCs/>
          <w:szCs w:val="22"/>
          <w:lang w:val="sr-Latn-CS"/>
        </w:rPr>
        <w:t>1/100</w:t>
      </w:r>
      <w:r w:rsidR="00E735A5" w:rsidRPr="006B5701">
        <w:rPr>
          <w:bCs/>
          <w:szCs w:val="22"/>
          <w:lang w:val="sr-Latn-CS"/>
        </w:rPr>
        <w:t xml:space="preserve"> do </w:t>
      </w:r>
      <w:r w:rsidRPr="006B5701">
        <w:rPr>
          <w:bCs/>
          <w:szCs w:val="22"/>
          <w:lang w:val="sr-Latn-CS"/>
        </w:rPr>
        <w:t>&lt;1/10;</w:t>
      </w:r>
    </w:p>
    <w:p w14:paraId="21497B6F" w14:textId="77777777" w:rsidR="004B21C0" w:rsidRPr="006B5701" w:rsidRDefault="004B21C0" w:rsidP="00C76D6B">
      <w:pPr>
        <w:rPr>
          <w:bCs/>
          <w:szCs w:val="22"/>
          <w:lang w:val="sr-Latn-CS"/>
        </w:rPr>
      </w:pPr>
      <w:r w:rsidRPr="006B5701">
        <w:rPr>
          <w:bCs/>
          <w:szCs w:val="22"/>
          <w:lang w:val="sr-Latn-CS"/>
        </w:rPr>
        <w:t xml:space="preserve">Povremeno </w:t>
      </w:r>
      <w:r w:rsidRPr="006B5701">
        <w:rPr>
          <w:szCs w:val="22"/>
          <w:lang w:val="sr-Latn-CS"/>
        </w:rPr>
        <w:t>≥</w:t>
      </w:r>
      <w:r w:rsidRPr="006B5701">
        <w:rPr>
          <w:bCs/>
          <w:szCs w:val="22"/>
          <w:lang w:val="sr-Latn-CS"/>
        </w:rPr>
        <w:t>1/1 000</w:t>
      </w:r>
      <w:r w:rsidR="00E735A5" w:rsidRPr="006B5701">
        <w:rPr>
          <w:bCs/>
          <w:szCs w:val="22"/>
          <w:lang w:val="sr-Latn-CS"/>
        </w:rPr>
        <w:t xml:space="preserve"> do </w:t>
      </w:r>
      <w:r w:rsidRPr="006B5701">
        <w:rPr>
          <w:bCs/>
          <w:szCs w:val="22"/>
          <w:lang w:val="sr-Latn-CS"/>
        </w:rPr>
        <w:t>&lt;1/100;</w:t>
      </w:r>
    </w:p>
    <w:p w14:paraId="1B1114C3" w14:textId="4D7AADA0" w:rsidR="004B21C0" w:rsidRPr="006B5701" w:rsidRDefault="004B21C0" w:rsidP="00C76D6B">
      <w:pPr>
        <w:rPr>
          <w:szCs w:val="22"/>
          <w:lang w:val="sr-Latn-CS"/>
        </w:rPr>
      </w:pPr>
      <w:r w:rsidRPr="006B5701">
        <w:rPr>
          <w:bCs/>
          <w:szCs w:val="22"/>
          <w:lang w:val="sr-Latn-CS"/>
        </w:rPr>
        <w:t>R</w:t>
      </w:r>
      <w:r w:rsidR="000C3752">
        <w:rPr>
          <w:bCs/>
          <w:szCs w:val="22"/>
          <w:lang w:val="sr-Latn-CS"/>
        </w:rPr>
        <w:t>ij</w:t>
      </w:r>
      <w:r w:rsidRPr="006B5701">
        <w:rPr>
          <w:bCs/>
          <w:szCs w:val="22"/>
          <w:lang w:val="sr-Latn-CS"/>
        </w:rPr>
        <w:t xml:space="preserve">etko </w:t>
      </w:r>
      <w:r w:rsidRPr="006B5701">
        <w:rPr>
          <w:szCs w:val="22"/>
          <w:lang w:val="sr-Latn-CS"/>
        </w:rPr>
        <w:t>≥</w:t>
      </w:r>
      <w:r w:rsidR="00AC33C1" w:rsidRPr="006B5701">
        <w:rPr>
          <w:bCs/>
          <w:szCs w:val="22"/>
          <w:lang w:val="sr-Latn-CS"/>
        </w:rPr>
        <w:t>1/10</w:t>
      </w:r>
      <w:r w:rsidRPr="006B5701">
        <w:rPr>
          <w:bCs/>
          <w:szCs w:val="22"/>
          <w:lang w:val="sr-Latn-CS"/>
        </w:rPr>
        <w:t>000</w:t>
      </w:r>
      <w:r w:rsidR="00E735A5" w:rsidRPr="006B5701">
        <w:rPr>
          <w:bCs/>
          <w:szCs w:val="22"/>
          <w:lang w:val="sr-Latn-CS"/>
        </w:rPr>
        <w:t xml:space="preserve"> do </w:t>
      </w:r>
      <w:r w:rsidRPr="006B5701">
        <w:rPr>
          <w:bCs/>
          <w:szCs w:val="22"/>
          <w:lang w:val="sr-Latn-CS"/>
        </w:rPr>
        <w:t>&lt;1/1 000;</w:t>
      </w:r>
    </w:p>
    <w:p w14:paraId="79564298" w14:textId="6953ECE0" w:rsidR="004B21C0" w:rsidRPr="006B5701" w:rsidRDefault="00AC33C1" w:rsidP="00C76D6B">
      <w:pPr>
        <w:rPr>
          <w:bCs/>
          <w:szCs w:val="22"/>
          <w:lang w:val="sr-Latn-CS"/>
        </w:rPr>
      </w:pPr>
      <w:r w:rsidRPr="006B5701">
        <w:rPr>
          <w:bCs/>
          <w:szCs w:val="22"/>
          <w:lang w:val="sr-Latn-CS"/>
        </w:rPr>
        <w:t>Veoma r</w:t>
      </w:r>
      <w:r w:rsidR="000C3752">
        <w:rPr>
          <w:bCs/>
          <w:szCs w:val="22"/>
          <w:lang w:val="sr-Latn-CS"/>
        </w:rPr>
        <w:t>ij</w:t>
      </w:r>
      <w:r w:rsidRPr="006B5701">
        <w:rPr>
          <w:bCs/>
          <w:szCs w:val="22"/>
          <w:lang w:val="sr-Latn-CS"/>
        </w:rPr>
        <w:t>etko &lt;1/10</w:t>
      </w:r>
      <w:r w:rsidR="004B21C0" w:rsidRPr="006B5701">
        <w:rPr>
          <w:bCs/>
          <w:szCs w:val="22"/>
          <w:lang w:val="sr-Latn-CS"/>
        </w:rPr>
        <w:t>000;</w:t>
      </w:r>
    </w:p>
    <w:p w14:paraId="7D45C58A" w14:textId="1C476B65" w:rsidR="002C42EB" w:rsidRPr="006B5701" w:rsidRDefault="002C42EB" w:rsidP="00C76D6B">
      <w:pPr>
        <w:tabs>
          <w:tab w:val="clear" w:pos="284"/>
          <w:tab w:val="left" w:pos="1440"/>
        </w:tabs>
        <w:rPr>
          <w:bCs/>
          <w:szCs w:val="22"/>
          <w:lang w:val="sr-Latn-CS"/>
        </w:rPr>
      </w:pPr>
      <w:r w:rsidRPr="006B5701">
        <w:rPr>
          <w:bCs/>
          <w:szCs w:val="22"/>
          <w:lang w:val="sr-Latn-CS"/>
        </w:rPr>
        <w:t>Nepoznat</w:t>
      </w:r>
      <w:r w:rsidR="00244B5E" w:rsidRPr="006B5701">
        <w:rPr>
          <w:bCs/>
          <w:szCs w:val="22"/>
          <w:lang w:val="sr-Latn-CS"/>
        </w:rPr>
        <w:t>e učestalosti</w:t>
      </w:r>
      <w:r w:rsidRPr="006B5701">
        <w:rPr>
          <w:bCs/>
          <w:szCs w:val="22"/>
          <w:lang w:val="sr-Latn-CS"/>
        </w:rPr>
        <w:t xml:space="preserve"> (ne može se proc</w:t>
      </w:r>
      <w:r w:rsidR="000C3752">
        <w:rPr>
          <w:bCs/>
          <w:szCs w:val="22"/>
          <w:lang w:val="sr-Latn-CS"/>
        </w:rPr>
        <w:t>ij</w:t>
      </w:r>
      <w:r w:rsidRPr="006B5701">
        <w:rPr>
          <w:bCs/>
          <w:szCs w:val="22"/>
          <w:lang w:val="sr-Latn-CS"/>
        </w:rPr>
        <w:t>eniti na osnovu dostupnih podataka).</w:t>
      </w:r>
    </w:p>
    <w:p w14:paraId="78B836F1" w14:textId="77777777" w:rsidR="00D471D0" w:rsidRPr="006B5701" w:rsidRDefault="00D471D0" w:rsidP="00C76D6B">
      <w:pPr>
        <w:rPr>
          <w:szCs w:val="22"/>
          <w:u w:val="single"/>
          <w:lang w:val="sr-Latn-CS"/>
        </w:rPr>
      </w:pPr>
    </w:p>
    <w:p w14:paraId="4E20A679" w14:textId="77777777" w:rsidR="007915F0" w:rsidRPr="006B5701" w:rsidRDefault="007915F0" w:rsidP="00C76D6B">
      <w:pPr>
        <w:rPr>
          <w:szCs w:val="22"/>
          <w:u w:val="single"/>
          <w:lang w:val="sr-Latn-CS"/>
        </w:rPr>
      </w:pPr>
      <w:r w:rsidRPr="006B5701">
        <w:rPr>
          <w:szCs w:val="22"/>
          <w:u w:val="single"/>
          <w:lang w:val="sr-Latn-CS"/>
        </w:rPr>
        <w:t>Parkinsonova bolest, najčešće neželjenje reakcije</w:t>
      </w:r>
    </w:p>
    <w:p w14:paraId="559F5196" w14:textId="494BE9BA" w:rsidR="007915F0" w:rsidRPr="006B5701" w:rsidRDefault="007915F0" w:rsidP="00C76D6B">
      <w:pPr>
        <w:rPr>
          <w:szCs w:val="22"/>
          <w:lang w:val="sr-Latn-CS"/>
        </w:rPr>
      </w:pPr>
      <w:r w:rsidRPr="006B5701">
        <w:rPr>
          <w:szCs w:val="22"/>
          <w:lang w:val="sr-Latn-CS"/>
        </w:rPr>
        <w:t>Najčešće (≥ 5%) zab</w:t>
      </w:r>
      <w:r w:rsidR="000C3752">
        <w:rPr>
          <w:szCs w:val="22"/>
          <w:lang w:val="sr-Latn-CS"/>
        </w:rPr>
        <w:t>i</w:t>
      </w:r>
      <w:r w:rsidRPr="006B5701">
        <w:rPr>
          <w:szCs w:val="22"/>
          <w:lang w:val="sr-Latn-CS"/>
        </w:rPr>
        <w:t>l</w:t>
      </w:r>
      <w:r w:rsidR="000C3752">
        <w:rPr>
          <w:szCs w:val="22"/>
          <w:lang w:val="sr-Latn-CS"/>
        </w:rPr>
        <w:t>j</w:t>
      </w:r>
      <w:r w:rsidRPr="006B5701">
        <w:rPr>
          <w:szCs w:val="22"/>
          <w:lang w:val="sr-Latn-CS"/>
        </w:rPr>
        <w:t>ežene neželjene reakcije na l</w:t>
      </w:r>
      <w:r w:rsidR="000C3752">
        <w:rPr>
          <w:szCs w:val="22"/>
          <w:lang w:val="sr-Latn-CS"/>
        </w:rPr>
        <w:t>ij</w:t>
      </w:r>
      <w:r w:rsidRPr="006B5701">
        <w:rPr>
          <w:szCs w:val="22"/>
          <w:lang w:val="sr-Latn-CS"/>
        </w:rPr>
        <w:t>ek kod pacijenata sa Parkinsonovom bolešću i češće sa pramipeksolom nego sa placebom, bile su mučnina, diskinezija, hipotenzija, vrtoglavic</w:t>
      </w:r>
      <w:r w:rsidR="0075204F">
        <w:rPr>
          <w:szCs w:val="22"/>
          <w:lang w:val="sr-Latn-CS"/>
        </w:rPr>
        <w:t>a</w:t>
      </w:r>
      <w:r w:rsidRPr="006B5701">
        <w:rPr>
          <w:szCs w:val="22"/>
          <w:lang w:val="sr-Latn-CS"/>
        </w:rPr>
        <w:t>, somnolencija, nesanica, konstipacija, halucinacija, glavobolja i zamor. Incidenca somnolencije povećavala se sa dozama većim od 1</w:t>
      </w:r>
      <w:r w:rsidR="00244B5E" w:rsidRPr="006B5701">
        <w:rPr>
          <w:szCs w:val="22"/>
          <w:lang w:val="sr-Latn-CS"/>
        </w:rPr>
        <w:t>,</w:t>
      </w:r>
      <w:r w:rsidRPr="006B5701">
        <w:rPr>
          <w:szCs w:val="22"/>
          <w:lang w:val="sr-Latn-CS"/>
        </w:rPr>
        <w:t>5 mg pramipeksol soli na dan (vid</w:t>
      </w:r>
      <w:r w:rsidR="000C3752">
        <w:rPr>
          <w:szCs w:val="22"/>
          <w:lang w:val="sr-Latn-CS"/>
        </w:rPr>
        <w:t>j</w:t>
      </w:r>
      <w:r w:rsidRPr="006B5701">
        <w:rPr>
          <w:szCs w:val="22"/>
          <w:lang w:val="sr-Latn-CS"/>
        </w:rPr>
        <w:t>eti od</w:t>
      </w:r>
      <w:r w:rsidR="000C3752">
        <w:rPr>
          <w:szCs w:val="22"/>
          <w:lang w:val="sr-Latn-CS"/>
        </w:rPr>
        <w:t>j</w:t>
      </w:r>
      <w:r w:rsidRPr="006B5701">
        <w:rPr>
          <w:szCs w:val="22"/>
          <w:lang w:val="sr-Latn-CS"/>
        </w:rPr>
        <w:t>eljak 4.2). Češća neželjena reakcija u kombinaciji sa levodopom bila je pojava diskinezij</w:t>
      </w:r>
      <w:r w:rsidR="00E07AAD">
        <w:rPr>
          <w:szCs w:val="22"/>
          <w:lang w:val="sr-Latn-CS"/>
        </w:rPr>
        <w:t>e</w:t>
      </w:r>
      <w:r w:rsidRPr="006B5701">
        <w:rPr>
          <w:szCs w:val="22"/>
          <w:lang w:val="sr-Latn-CS"/>
        </w:rPr>
        <w:t>. Hipotenzija može da se pojavi na početku terapije, posebno ako se pramipeksol titrira prebrzo.</w:t>
      </w:r>
    </w:p>
    <w:p w14:paraId="5C09DB54" w14:textId="77777777" w:rsidR="007915F0" w:rsidRPr="006B5701" w:rsidRDefault="007915F0" w:rsidP="00C76D6B">
      <w:pPr>
        <w:rPr>
          <w:szCs w:val="22"/>
          <w:u w:val="single"/>
          <w:lang w:val="sr-Latn-CS"/>
        </w:rPr>
      </w:pPr>
    </w:p>
    <w:p w14:paraId="01301EAE" w14:textId="77777777" w:rsidR="004B21C0" w:rsidRPr="006B5701" w:rsidRDefault="00D471D0" w:rsidP="004B21C0">
      <w:pPr>
        <w:jc w:val="left"/>
        <w:rPr>
          <w:szCs w:val="22"/>
          <w:lang w:val="sr-Latn-CS"/>
        </w:rPr>
      </w:pPr>
      <w:r w:rsidRPr="006B5701">
        <w:rPr>
          <w:szCs w:val="22"/>
          <w:lang w:val="sr-Latn-CS"/>
        </w:rPr>
        <w:t>Tabela 1: Parkinsonova bolest</w:t>
      </w:r>
    </w:p>
    <w:p w14:paraId="2E15A1AC" w14:textId="77777777" w:rsidR="00D471D0" w:rsidRPr="006B5701" w:rsidRDefault="00D471D0" w:rsidP="004B21C0">
      <w:pPr>
        <w:jc w:val="left"/>
        <w:rPr>
          <w:szCs w:val="22"/>
          <w:u w:val="single"/>
          <w:lang w:val="sr-Latn-CS"/>
        </w:rPr>
      </w:pPr>
    </w:p>
    <w:tbl>
      <w:tblPr>
        <w:tblStyle w:val="TableGrid"/>
        <w:tblW w:w="0" w:type="auto"/>
        <w:tblLook w:val="04A0" w:firstRow="1" w:lastRow="0" w:firstColumn="1" w:lastColumn="0" w:noHBand="0" w:noVBand="1"/>
      </w:tblPr>
      <w:tblGrid>
        <w:gridCol w:w="1781"/>
        <w:gridCol w:w="1445"/>
        <w:gridCol w:w="1378"/>
        <w:gridCol w:w="1738"/>
        <w:gridCol w:w="1418"/>
        <w:gridCol w:w="1310"/>
      </w:tblGrid>
      <w:tr w:rsidR="00A03D75" w:rsidRPr="006B5701" w14:paraId="27F16F67" w14:textId="77777777" w:rsidTr="009B1D63">
        <w:tc>
          <w:tcPr>
            <w:tcW w:w="1526" w:type="dxa"/>
          </w:tcPr>
          <w:p w14:paraId="0EE820A0" w14:textId="77777777" w:rsidR="00D471D0" w:rsidRPr="006B5701" w:rsidRDefault="00D471D0" w:rsidP="009B1D63">
            <w:pPr>
              <w:tabs>
                <w:tab w:val="left" w:pos="2700"/>
              </w:tabs>
              <w:jc w:val="left"/>
              <w:rPr>
                <w:b/>
                <w:szCs w:val="22"/>
                <w:lang w:val="sr-Latn-CS"/>
              </w:rPr>
            </w:pPr>
            <w:r w:rsidRPr="006B5701">
              <w:rPr>
                <w:b/>
                <w:szCs w:val="22"/>
                <w:lang w:val="sr-Latn-CS"/>
              </w:rPr>
              <w:t>Klasa sistema organa</w:t>
            </w:r>
          </w:p>
        </w:tc>
        <w:tc>
          <w:tcPr>
            <w:tcW w:w="1417" w:type="dxa"/>
          </w:tcPr>
          <w:p w14:paraId="7A3850A2" w14:textId="77777777" w:rsidR="00D471D0" w:rsidRPr="006B5701" w:rsidRDefault="00D471D0" w:rsidP="00D471D0">
            <w:pPr>
              <w:tabs>
                <w:tab w:val="left" w:pos="2700"/>
              </w:tabs>
              <w:jc w:val="left"/>
              <w:rPr>
                <w:b/>
                <w:szCs w:val="22"/>
                <w:lang w:val="sr-Latn-CS"/>
              </w:rPr>
            </w:pPr>
            <w:r w:rsidRPr="006B5701">
              <w:rPr>
                <w:b/>
                <w:szCs w:val="22"/>
              </w:rPr>
              <w:t>Veoma često (≥1/10)</w:t>
            </w:r>
          </w:p>
        </w:tc>
        <w:tc>
          <w:tcPr>
            <w:tcW w:w="1276" w:type="dxa"/>
          </w:tcPr>
          <w:p w14:paraId="5D7A4961" w14:textId="77777777" w:rsidR="00D471D0" w:rsidRPr="006B5701" w:rsidRDefault="00D471D0" w:rsidP="009B1D63">
            <w:pPr>
              <w:tabs>
                <w:tab w:val="left" w:pos="2700"/>
              </w:tabs>
              <w:jc w:val="left"/>
              <w:rPr>
                <w:b/>
                <w:szCs w:val="22"/>
              </w:rPr>
            </w:pPr>
            <w:r w:rsidRPr="006B5701">
              <w:rPr>
                <w:b/>
                <w:szCs w:val="22"/>
              </w:rPr>
              <w:t>Često</w:t>
            </w:r>
          </w:p>
          <w:p w14:paraId="375DED79" w14:textId="77777777" w:rsidR="00D471D0" w:rsidRPr="006B5701" w:rsidRDefault="00D471D0" w:rsidP="009B1D63">
            <w:pPr>
              <w:tabs>
                <w:tab w:val="left" w:pos="2700"/>
              </w:tabs>
              <w:jc w:val="left"/>
              <w:rPr>
                <w:b/>
                <w:szCs w:val="22"/>
                <w:lang w:val="sr-Latn-CS"/>
              </w:rPr>
            </w:pPr>
            <w:r w:rsidRPr="006B5701">
              <w:rPr>
                <w:b/>
                <w:szCs w:val="22"/>
              </w:rPr>
              <w:t>(≥1/100 do &lt;1/10)</w:t>
            </w:r>
          </w:p>
        </w:tc>
        <w:tc>
          <w:tcPr>
            <w:tcW w:w="1701" w:type="dxa"/>
          </w:tcPr>
          <w:p w14:paraId="296C0FA1" w14:textId="77777777" w:rsidR="00D471D0" w:rsidRPr="006B5701" w:rsidRDefault="00D471D0" w:rsidP="009B1D63">
            <w:pPr>
              <w:tabs>
                <w:tab w:val="left" w:pos="2700"/>
              </w:tabs>
              <w:jc w:val="left"/>
              <w:rPr>
                <w:b/>
                <w:szCs w:val="22"/>
              </w:rPr>
            </w:pPr>
            <w:r w:rsidRPr="006B5701">
              <w:rPr>
                <w:b/>
                <w:szCs w:val="22"/>
              </w:rPr>
              <w:t>Povremeno</w:t>
            </w:r>
          </w:p>
          <w:p w14:paraId="31A050B5" w14:textId="77777777" w:rsidR="00D471D0" w:rsidRPr="006B5701" w:rsidRDefault="006C472C" w:rsidP="009B1D63">
            <w:pPr>
              <w:tabs>
                <w:tab w:val="left" w:pos="2700"/>
              </w:tabs>
              <w:jc w:val="left"/>
              <w:rPr>
                <w:b/>
                <w:szCs w:val="22"/>
                <w:lang w:val="sr-Latn-CS"/>
              </w:rPr>
            </w:pPr>
            <w:r w:rsidRPr="006B5701">
              <w:rPr>
                <w:b/>
                <w:szCs w:val="22"/>
                <w:lang w:val="sr-Latn-CS"/>
              </w:rPr>
              <w:t>(≥1/1</w:t>
            </w:r>
            <w:r w:rsidR="00D471D0" w:rsidRPr="006B5701">
              <w:rPr>
                <w:b/>
                <w:szCs w:val="22"/>
                <w:lang w:val="sr-Latn-CS"/>
              </w:rPr>
              <w:t>000 do &lt; 1/100)</w:t>
            </w:r>
          </w:p>
        </w:tc>
        <w:tc>
          <w:tcPr>
            <w:tcW w:w="1418" w:type="dxa"/>
          </w:tcPr>
          <w:p w14:paraId="6E44F296" w14:textId="44537895" w:rsidR="00D471D0" w:rsidRPr="006B5701" w:rsidRDefault="00D471D0" w:rsidP="009B1D63">
            <w:pPr>
              <w:tabs>
                <w:tab w:val="left" w:pos="2700"/>
              </w:tabs>
              <w:jc w:val="left"/>
              <w:rPr>
                <w:b/>
                <w:szCs w:val="22"/>
              </w:rPr>
            </w:pPr>
            <w:r w:rsidRPr="006B5701">
              <w:rPr>
                <w:b/>
                <w:szCs w:val="22"/>
              </w:rPr>
              <w:t>R</w:t>
            </w:r>
            <w:r w:rsidR="000C3752">
              <w:rPr>
                <w:b/>
                <w:szCs w:val="22"/>
              </w:rPr>
              <w:t>ij</w:t>
            </w:r>
            <w:r w:rsidRPr="006B5701">
              <w:rPr>
                <w:b/>
                <w:szCs w:val="22"/>
              </w:rPr>
              <w:t xml:space="preserve">etko </w:t>
            </w:r>
          </w:p>
          <w:p w14:paraId="661B6597" w14:textId="77777777" w:rsidR="00D471D0" w:rsidRPr="006B5701" w:rsidRDefault="00AC33C1" w:rsidP="009B1D63">
            <w:pPr>
              <w:tabs>
                <w:tab w:val="left" w:pos="2700"/>
              </w:tabs>
              <w:jc w:val="left"/>
              <w:rPr>
                <w:b/>
                <w:szCs w:val="22"/>
              </w:rPr>
            </w:pPr>
            <w:r w:rsidRPr="006B5701">
              <w:rPr>
                <w:b/>
                <w:bCs/>
                <w:spacing w:val="-1"/>
                <w:szCs w:val="22"/>
              </w:rPr>
              <w:t>(≥1/10</w:t>
            </w:r>
            <w:r w:rsidR="00D471D0" w:rsidRPr="006B5701">
              <w:rPr>
                <w:b/>
                <w:bCs/>
                <w:spacing w:val="-1"/>
                <w:szCs w:val="22"/>
              </w:rPr>
              <w:t>000</w:t>
            </w:r>
          </w:p>
          <w:p w14:paraId="441550DC" w14:textId="77777777" w:rsidR="00D471D0" w:rsidRPr="006B5701" w:rsidRDefault="00AC33C1" w:rsidP="009B1D63">
            <w:pPr>
              <w:pStyle w:val="TableParagraph"/>
              <w:spacing w:before="4"/>
              <w:rPr>
                <w:rFonts w:ascii="Times New Roman" w:eastAsia="Times New Roman" w:hAnsi="Times New Roman" w:cs="Times New Roman"/>
              </w:rPr>
            </w:pPr>
            <w:r w:rsidRPr="006B5701">
              <w:rPr>
                <w:rFonts w:ascii="Times New Roman" w:hAnsi="Times New Roman" w:cs="Times New Roman"/>
                <w:b/>
                <w:spacing w:val="-1"/>
              </w:rPr>
              <w:t>do &lt;1/1</w:t>
            </w:r>
            <w:r w:rsidR="00D471D0" w:rsidRPr="006B5701">
              <w:rPr>
                <w:rFonts w:ascii="Times New Roman" w:hAnsi="Times New Roman" w:cs="Times New Roman"/>
                <w:b/>
                <w:spacing w:val="-1"/>
              </w:rPr>
              <w:t>000)</w:t>
            </w:r>
          </w:p>
        </w:tc>
        <w:tc>
          <w:tcPr>
            <w:tcW w:w="1047" w:type="dxa"/>
          </w:tcPr>
          <w:p w14:paraId="00CBDD32" w14:textId="77777777" w:rsidR="00D471D0" w:rsidRPr="006B5701" w:rsidRDefault="00D471D0" w:rsidP="00D471D0">
            <w:pPr>
              <w:tabs>
                <w:tab w:val="left" w:pos="2700"/>
              </w:tabs>
              <w:jc w:val="left"/>
              <w:rPr>
                <w:b/>
                <w:szCs w:val="22"/>
                <w:lang w:val="sr-Latn-CS"/>
              </w:rPr>
            </w:pPr>
            <w:r w:rsidRPr="006B5701">
              <w:rPr>
                <w:b/>
                <w:szCs w:val="22"/>
                <w:lang w:val="sr-Latn-CS"/>
              </w:rPr>
              <w:t>Nepoznat</w:t>
            </w:r>
            <w:r w:rsidR="00244B5E" w:rsidRPr="006B5701">
              <w:rPr>
                <w:b/>
                <w:szCs w:val="22"/>
                <w:lang w:val="sr-Latn-CS"/>
              </w:rPr>
              <w:t>e učestalosti</w:t>
            </w:r>
          </w:p>
        </w:tc>
      </w:tr>
      <w:tr w:rsidR="00A03D75" w:rsidRPr="006B5701" w14:paraId="33AAE796" w14:textId="77777777" w:rsidTr="009B1D63">
        <w:tc>
          <w:tcPr>
            <w:tcW w:w="1526" w:type="dxa"/>
          </w:tcPr>
          <w:p w14:paraId="744B8AA6" w14:textId="77777777" w:rsidR="00D471D0" w:rsidRPr="006B5701" w:rsidRDefault="00D471D0" w:rsidP="009B1D63">
            <w:pPr>
              <w:tabs>
                <w:tab w:val="left" w:pos="2700"/>
              </w:tabs>
              <w:jc w:val="left"/>
              <w:rPr>
                <w:szCs w:val="22"/>
                <w:lang w:val="sr-Latn-CS"/>
              </w:rPr>
            </w:pPr>
            <w:r w:rsidRPr="006B5701">
              <w:rPr>
                <w:szCs w:val="22"/>
                <w:lang w:val="sr-Latn-CS"/>
              </w:rPr>
              <w:t>Infekcije i infestacije</w:t>
            </w:r>
          </w:p>
        </w:tc>
        <w:tc>
          <w:tcPr>
            <w:tcW w:w="1417" w:type="dxa"/>
          </w:tcPr>
          <w:p w14:paraId="1112EB8B" w14:textId="77777777" w:rsidR="00D471D0" w:rsidRPr="006B5701" w:rsidRDefault="00D471D0" w:rsidP="009B1D63">
            <w:pPr>
              <w:tabs>
                <w:tab w:val="left" w:pos="2700"/>
              </w:tabs>
              <w:jc w:val="left"/>
              <w:rPr>
                <w:szCs w:val="22"/>
                <w:lang w:val="sr-Latn-CS"/>
              </w:rPr>
            </w:pPr>
          </w:p>
        </w:tc>
        <w:tc>
          <w:tcPr>
            <w:tcW w:w="1276" w:type="dxa"/>
          </w:tcPr>
          <w:p w14:paraId="1DE2FEA7" w14:textId="77777777" w:rsidR="00D471D0" w:rsidRPr="006B5701" w:rsidRDefault="00D471D0" w:rsidP="009B1D63">
            <w:pPr>
              <w:tabs>
                <w:tab w:val="left" w:pos="2700"/>
              </w:tabs>
              <w:jc w:val="left"/>
              <w:rPr>
                <w:szCs w:val="22"/>
                <w:lang w:val="sr-Latn-CS"/>
              </w:rPr>
            </w:pPr>
            <w:r w:rsidRPr="006B5701">
              <w:rPr>
                <w:szCs w:val="22"/>
                <w:lang w:val="sr-Latn-CS"/>
              </w:rPr>
              <w:t xml:space="preserve"> </w:t>
            </w:r>
          </w:p>
        </w:tc>
        <w:tc>
          <w:tcPr>
            <w:tcW w:w="1701" w:type="dxa"/>
          </w:tcPr>
          <w:p w14:paraId="28500743" w14:textId="77777777" w:rsidR="00D471D0" w:rsidRPr="006B5701" w:rsidRDefault="00D471D0" w:rsidP="009B1D63">
            <w:pPr>
              <w:tabs>
                <w:tab w:val="left" w:pos="2700"/>
              </w:tabs>
              <w:jc w:val="left"/>
              <w:rPr>
                <w:szCs w:val="22"/>
                <w:lang w:val="sr-Latn-CS"/>
              </w:rPr>
            </w:pPr>
            <w:r w:rsidRPr="006B5701">
              <w:rPr>
                <w:szCs w:val="22"/>
                <w:lang w:val="sr-Latn-CS"/>
              </w:rPr>
              <w:t>pneumonija</w:t>
            </w:r>
          </w:p>
        </w:tc>
        <w:tc>
          <w:tcPr>
            <w:tcW w:w="1418" w:type="dxa"/>
          </w:tcPr>
          <w:p w14:paraId="213370D4" w14:textId="77777777" w:rsidR="00D471D0" w:rsidRPr="006B5701" w:rsidRDefault="00D471D0" w:rsidP="009B1D63">
            <w:pPr>
              <w:tabs>
                <w:tab w:val="left" w:pos="2700"/>
              </w:tabs>
              <w:jc w:val="left"/>
              <w:rPr>
                <w:szCs w:val="22"/>
                <w:lang w:val="sr-Latn-CS"/>
              </w:rPr>
            </w:pPr>
          </w:p>
        </w:tc>
        <w:tc>
          <w:tcPr>
            <w:tcW w:w="1047" w:type="dxa"/>
          </w:tcPr>
          <w:p w14:paraId="4D7C468A" w14:textId="77777777" w:rsidR="00D471D0" w:rsidRPr="006B5701" w:rsidRDefault="00D471D0" w:rsidP="009B1D63">
            <w:pPr>
              <w:tabs>
                <w:tab w:val="left" w:pos="2700"/>
              </w:tabs>
              <w:jc w:val="left"/>
              <w:rPr>
                <w:szCs w:val="22"/>
                <w:lang w:val="sr-Latn-CS"/>
              </w:rPr>
            </w:pPr>
          </w:p>
        </w:tc>
      </w:tr>
      <w:tr w:rsidR="00A03D75" w:rsidRPr="006B5701" w14:paraId="10FE34D8" w14:textId="77777777" w:rsidTr="009B1D63">
        <w:tc>
          <w:tcPr>
            <w:tcW w:w="1526" w:type="dxa"/>
          </w:tcPr>
          <w:p w14:paraId="3E833BF6" w14:textId="77777777" w:rsidR="00D471D0" w:rsidRPr="006B5701" w:rsidRDefault="00D471D0" w:rsidP="00544702">
            <w:pPr>
              <w:tabs>
                <w:tab w:val="left" w:pos="2700"/>
              </w:tabs>
              <w:jc w:val="left"/>
              <w:rPr>
                <w:szCs w:val="22"/>
                <w:lang w:val="sr-Latn-CS"/>
              </w:rPr>
            </w:pPr>
            <w:r w:rsidRPr="006B5701">
              <w:rPr>
                <w:szCs w:val="22"/>
                <w:lang w:val="sr-Latn-CS"/>
              </w:rPr>
              <w:t>Endokrini poremećaji</w:t>
            </w:r>
          </w:p>
        </w:tc>
        <w:tc>
          <w:tcPr>
            <w:tcW w:w="1417" w:type="dxa"/>
          </w:tcPr>
          <w:p w14:paraId="4BA0175F" w14:textId="77777777" w:rsidR="00D471D0" w:rsidRPr="006B5701" w:rsidRDefault="00D471D0" w:rsidP="009B1D63">
            <w:pPr>
              <w:tabs>
                <w:tab w:val="left" w:pos="2700"/>
              </w:tabs>
              <w:jc w:val="left"/>
              <w:rPr>
                <w:szCs w:val="22"/>
                <w:lang w:val="sr-Latn-CS"/>
              </w:rPr>
            </w:pPr>
          </w:p>
        </w:tc>
        <w:tc>
          <w:tcPr>
            <w:tcW w:w="1276" w:type="dxa"/>
          </w:tcPr>
          <w:p w14:paraId="57AD6A88" w14:textId="77777777" w:rsidR="00D471D0" w:rsidRPr="006B5701" w:rsidRDefault="00D471D0" w:rsidP="009B1D63">
            <w:pPr>
              <w:tabs>
                <w:tab w:val="left" w:pos="2700"/>
              </w:tabs>
              <w:jc w:val="left"/>
              <w:rPr>
                <w:szCs w:val="22"/>
                <w:lang w:val="sr-Latn-CS"/>
              </w:rPr>
            </w:pPr>
          </w:p>
        </w:tc>
        <w:tc>
          <w:tcPr>
            <w:tcW w:w="1701" w:type="dxa"/>
          </w:tcPr>
          <w:p w14:paraId="32DCC723" w14:textId="77777777" w:rsidR="00D471D0" w:rsidRPr="006B5701" w:rsidRDefault="00D471D0" w:rsidP="009B1D63">
            <w:pPr>
              <w:tabs>
                <w:tab w:val="left" w:pos="2700"/>
              </w:tabs>
              <w:jc w:val="left"/>
              <w:rPr>
                <w:szCs w:val="22"/>
                <w:vertAlign w:val="superscript"/>
                <w:lang w:val="sr-Latn-CS"/>
              </w:rPr>
            </w:pPr>
            <w:r w:rsidRPr="006B5701">
              <w:rPr>
                <w:szCs w:val="22"/>
                <w:lang w:val="sr-Latn-CS"/>
              </w:rPr>
              <w:t>neadekvatna sekrecija antidiuretskog hormona</w:t>
            </w:r>
            <w:r w:rsidRPr="006B5701">
              <w:rPr>
                <w:szCs w:val="22"/>
                <w:vertAlign w:val="superscript"/>
                <w:lang w:val="sr-Latn-CS"/>
              </w:rPr>
              <w:t>1</w:t>
            </w:r>
          </w:p>
          <w:p w14:paraId="5AD05A7C" w14:textId="77777777" w:rsidR="00D471D0" w:rsidRPr="006B5701" w:rsidRDefault="00D471D0" w:rsidP="009B1D63">
            <w:pPr>
              <w:tabs>
                <w:tab w:val="left" w:pos="2700"/>
              </w:tabs>
              <w:jc w:val="left"/>
              <w:rPr>
                <w:szCs w:val="22"/>
                <w:lang w:val="sr-Latn-CS"/>
              </w:rPr>
            </w:pPr>
          </w:p>
        </w:tc>
        <w:tc>
          <w:tcPr>
            <w:tcW w:w="1418" w:type="dxa"/>
          </w:tcPr>
          <w:p w14:paraId="062C3FE9" w14:textId="77777777" w:rsidR="00D471D0" w:rsidRPr="006B5701" w:rsidRDefault="00D471D0" w:rsidP="009B1D63">
            <w:pPr>
              <w:tabs>
                <w:tab w:val="left" w:pos="2700"/>
              </w:tabs>
              <w:jc w:val="left"/>
              <w:rPr>
                <w:szCs w:val="22"/>
                <w:lang w:val="sr-Latn-CS"/>
              </w:rPr>
            </w:pPr>
          </w:p>
        </w:tc>
        <w:tc>
          <w:tcPr>
            <w:tcW w:w="1047" w:type="dxa"/>
          </w:tcPr>
          <w:p w14:paraId="6A9C8098" w14:textId="77777777" w:rsidR="00D471D0" w:rsidRPr="006B5701" w:rsidRDefault="00D471D0" w:rsidP="009B1D63">
            <w:pPr>
              <w:tabs>
                <w:tab w:val="left" w:pos="2700"/>
              </w:tabs>
              <w:jc w:val="left"/>
              <w:rPr>
                <w:szCs w:val="22"/>
                <w:lang w:val="sr-Latn-CS"/>
              </w:rPr>
            </w:pPr>
          </w:p>
        </w:tc>
      </w:tr>
      <w:tr w:rsidR="00A03D75" w:rsidRPr="006B5701" w14:paraId="4206F026" w14:textId="77777777" w:rsidTr="009B1D63">
        <w:tc>
          <w:tcPr>
            <w:tcW w:w="1526" w:type="dxa"/>
          </w:tcPr>
          <w:p w14:paraId="033DEBFC" w14:textId="77777777" w:rsidR="00D471D0" w:rsidRPr="006B5701" w:rsidRDefault="00D471D0" w:rsidP="009B1D63">
            <w:pPr>
              <w:tabs>
                <w:tab w:val="left" w:pos="2700"/>
              </w:tabs>
              <w:jc w:val="left"/>
              <w:rPr>
                <w:szCs w:val="22"/>
                <w:lang w:val="sr-Latn-CS"/>
              </w:rPr>
            </w:pPr>
            <w:r w:rsidRPr="006B5701">
              <w:rPr>
                <w:szCs w:val="22"/>
                <w:lang w:val="sr-Latn-CS"/>
              </w:rPr>
              <w:t>Psihijatrijski poremećaji</w:t>
            </w:r>
          </w:p>
        </w:tc>
        <w:tc>
          <w:tcPr>
            <w:tcW w:w="1417" w:type="dxa"/>
          </w:tcPr>
          <w:p w14:paraId="7992C7C8" w14:textId="77777777" w:rsidR="00D471D0" w:rsidRPr="006B5701" w:rsidRDefault="00D471D0" w:rsidP="009B1D63">
            <w:pPr>
              <w:tabs>
                <w:tab w:val="left" w:pos="2700"/>
              </w:tabs>
              <w:jc w:val="left"/>
              <w:rPr>
                <w:szCs w:val="22"/>
                <w:lang w:val="sr-Latn-CS"/>
              </w:rPr>
            </w:pPr>
          </w:p>
        </w:tc>
        <w:tc>
          <w:tcPr>
            <w:tcW w:w="1276" w:type="dxa"/>
          </w:tcPr>
          <w:p w14:paraId="0F074E6E" w14:textId="005272CB" w:rsidR="00D471D0" w:rsidRPr="006B5701" w:rsidRDefault="00E07AAD" w:rsidP="009B1D63">
            <w:pPr>
              <w:tabs>
                <w:tab w:val="left" w:pos="2700"/>
              </w:tabs>
              <w:jc w:val="left"/>
              <w:rPr>
                <w:szCs w:val="22"/>
                <w:lang w:val="sr-Latn-CS"/>
              </w:rPr>
            </w:pPr>
            <w:r>
              <w:rPr>
                <w:szCs w:val="22"/>
                <w:lang w:val="sr-Latn-CS"/>
              </w:rPr>
              <w:t>n</w:t>
            </w:r>
            <w:r w:rsidRPr="006B5701">
              <w:rPr>
                <w:szCs w:val="22"/>
                <w:lang w:val="sr-Latn-CS"/>
              </w:rPr>
              <w:t>esanica</w:t>
            </w:r>
            <w:r w:rsidR="00D471D0" w:rsidRPr="006B5701">
              <w:rPr>
                <w:szCs w:val="22"/>
                <w:lang w:val="sr-Latn-CS"/>
              </w:rPr>
              <w:t xml:space="preserve">, halucinacije, abnormalni </w:t>
            </w:r>
            <w:r w:rsidR="00D471D0" w:rsidRPr="006B5701">
              <w:rPr>
                <w:szCs w:val="22"/>
                <w:lang w:val="sr-Latn-CS"/>
              </w:rPr>
              <w:lastRenderedPageBreak/>
              <w:t>snovi, konfuzija,</w:t>
            </w:r>
          </w:p>
          <w:p w14:paraId="26588570" w14:textId="77777777" w:rsidR="00D471D0" w:rsidRPr="006B5701" w:rsidRDefault="00D471D0" w:rsidP="009B1D63">
            <w:pPr>
              <w:tabs>
                <w:tab w:val="left" w:pos="2700"/>
              </w:tabs>
              <w:jc w:val="left"/>
              <w:rPr>
                <w:szCs w:val="22"/>
                <w:lang w:val="sr-Latn-CS"/>
              </w:rPr>
            </w:pPr>
            <w:r w:rsidRPr="006B5701">
              <w:rPr>
                <w:szCs w:val="22"/>
                <w:lang w:val="sr-Latn-CS"/>
              </w:rPr>
              <w:t>bihejvioralni simptomi poremećaja kontrole impulsa i kompulzivno ponašanje</w:t>
            </w:r>
          </w:p>
          <w:p w14:paraId="2D03EB5C" w14:textId="77777777" w:rsidR="00D471D0" w:rsidRPr="006B5701" w:rsidRDefault="00D471D0" w:rsidP="009B1D63">
            <w:pPr>
              <w:tabs>
                <w:tab w:val="left" w:pos="2700"/>
              </w:tabs>
              <w:jc w:val="left"/>
              <w:rPr>
                <w:szCs w:val="22"/>
                <w:lang w:val="sr-Latn-CS"/>
              </w:rPr>
            </w:pPr>
          </w:p>
        </w:tc>
        <w:tc>
          <w:tcPr>
            <w:tcW w:w="1701" w:type="dxa"/>
          </w:tcPr>
          <w:p w14:paraId="0A6901D1" w14:textId="77777777" w:rsidR="00BF7752" w:rsidRPr="006B5701" w:rsidRDefault="00BF7752" w:rsidP="00BF7752">
            <w:pPr>
              <w:tabs>
                <w:tab w:val="left" w:pos="2700"/>
              </w:tabs>
              <w:jc w:val="left"/>
              <w:rPr>
                <w:szCs w:val="22"/>
                <w:lang w:val="sr-Latn-CS"/>
              </w:rPr>
            </w:pPr>
            <w:r w:rsidRPr="006B5701">
              <w:rPr>
                <w:szCs w:val="22"/>
                <w:lang w:val="sr-Latn-CS"/>
              </w:rPr>
              <w:lastRenderedPageBreak/>
              <w:t>kompulzivno kupovanje,</w:t>
            </w:r>
          </w:p>
          <w:p w14:paraId="797756C9" w14:textId="77777777" w:rsidR="00BF7752" w:rsidRPr="006B5701" w:rsidRDefault="00BF7752" w:rsidP="00BF7752">
            <w:pPr>
              <w:tabs>
                <w:tab w:val="left" w:pos="2700"/>
              </w:tabs>
              <w:jc w:val="left"/>
              <w:rPr>
                <w:szCs w:val="22"/>
                <w:lang w:val="sr-Latn-CS"/>
              </w:rPr>
            </w:pPr>
            <w:r w:rsidRPr="006B5701">
              <w:rPr>
                <w:szCs w:val="22"/>
                <w:lang w:val="sr-Latn-CS"/>
              </w:rPr>
              <w:lastRenderedPageBreak/>
              <w:t xml:space="preserve">patološko kockanje, uznemirenost, hiperseksualnost, pojava sumanutih ideja, </w:t>
            </w:r>
          </w:p>
          <w:p w14:paraId="72494F22" w14:textId="77777777" w:rsidR="00BF7752" w:rsidRPr="006B5701" w:rsidRDefault="00BF7752" w:rsidP="00BF7752">
            <w:pPr>
              <w:tabs>
                <w:tab w:val="left" w:pos="2700"/>
              </w:tabs>
              <w:jc w:val="left"/>
              <w:rPr>
                <w:szCs w:val="22"/>
                <w:lang w:val="sr-Latn-CS"/>
              </w:rPr>
            </w:pPr>
            <w:r w:rsidRPr="006B5701">
              <w:rPr>
                <w:szCs w:val="22"/>
                <w:lang w:val="sr-Latn-CS"/>
              </w:rPr>
              <w:t xml:space="preserve">poremećaj libida, paranoja, </w:t>
            </w:r>
          </w:p>
          <w:p w14:paraId="016DBDC5" w14:textId="77777777" w:rsidR="00BF7752" w:rsidRPr="006B5701" w:rsidRDefault="00BF7752" w:rsidP="00BF7752">
            <w:pPr>
              <w:tabs>
                <w:tab w:val="left" w:pos="2700"/>
              </w:tabs>
              <w:jc w:val="left"/>
              <w:rPr>
                <w:szCs w:val="22"/>
                <w:lang w:val="sr-Latn-CS"/>
              </w:rPr>
            </w:pPr>
            <w:r w:rsidRPr="006B5701">
              <w:rPr>
                <w:szCs w:val="22"/>
                <w:lang w:val="sr-Latn-CS"/>
              </w:rPr>
              <w:t>delirijum, prejedanje</w:t>
            </w:r>
            <w:r w:rsidRPr="006B5701">
              <w:rPr>
                <w:szCs w:val="22"/>
                <w:vertAlign w:val="superscript"/>
                <w:lang w:val="sr-Latn-CS"/>
              </w:rPr>
              <w:t>1</w:t>
            </w:r>
            <w:r w:rsidRPr="006B5701">
              <w:rPr>
                <w:szCs w:val="22"/>
                <w:lang w:val="sr-Latn-CS"/>
              </w:rPr>
              <w:t>,</w:t>
            </w:r>
            <w:r w:rsidRPr="006B5701">
              <w:rPr>
                <w:szCs w:val="22"/>
                <w:vertAlign w:val="superscript"/>
                <w:lang w:val="sr-Latn-CS"/>
              </w:rPr>
              <w:t xml:space="preserve"> </w:t>
            </w:r>
            <w:r w:rsidRPr="006B5701">
              <w:rPr>
                <w:szCs w:val="22"/>
                <w:lang w:val="sr-Latn-CS"/>
              </w:rPr>
              <w:t>hiperfagija</w:t>
            </w:r>
            <w:r w:rsidRPr="006B5701">
              <w:rPr>
                <w:szCs w:val="22"/>
                <w:vertAlign w:val="superscript"/>
                <w:lang w:val="sr-Latn-CS"/>
              </w:rPr>
              <w:t>1</w:t>
            </w:r>
          </w:p>
          <w:p w14:paraId="6A15F020" w14:textId="77777777" w:rsidR="00D471D0" w:rsidRPr="006B5701" w:rsidRDefault="00D471D0" w:rsidP="00BF7752">
            <w:pPr>
              <w:tabs>
                <w:tab w:val="left" w:pos="2700"/>
              </w:tabs>
              <w:jc w:val="left"/>
              <w:rPr>
                <w:szCs w:val="22"/>
                <w:lang w:val="sr-Latn-CS"/>
              </w:rPr>
            </w:pPr>
            <w:r w:rsidRPr="006B5701">
              <w:rPr>
                <w:szCs w:val="22"/>
                <w:lang w:val="sr-Latn-CS"/>
              </w:rPr>
              <w:t xml:space="preserve"> </w:t>
            </w:r>
            <w:r w:rsidR="00BF7752" w:rsidRPr="006B5701">
              <w:rPr>
                <w:szCs w:val="22"/>
                <w:lang w:val="sr-Latn-CS"/>
              </w:rPr>
              <w:t xml:space="preserve"> </w:t>
            </w:r>
          </w:p>
        </w:tc>
        <w:tc>
          <w:tcPr>
            <w:tcW w:w="1418" w:type="dxa"/>
          </w:tcPr>
          <w:p w14:paraId="66A9F95B" w14:textId="77777777" w:rsidR="00D471D0" w:rsidRPr="006B5701" w:rsidRDefault="00D471D0" w:rsidP="009B1D63">
            <w:pPr>
              <w:tabs>
                <w:tab w:val="left" w:pos="2700"/>
              </w:tabs>
              <w:jc w:val="left"/>
              <w:rPr>
                <w:szCs w:val="22"/>
                <w:lang w:val="sr-Latn-CS"/>
              </w:rPr>
            </w:pPr>
            <w:r w:rsidRPr="006B5701">
              <w:rPr>
                <w:szCs w:val="22"/>
                <w:lang w:val="sr-Latn-CS"/>
              </w:rPr>
              <w:lastRenderedPageBreak/>
              <w:t>manija</w:t>
            </w:r>
          </w:p>
        </w:tc>
        <w:tc>
          <w:tcPr>
            <w:tcW w:w="1047" w:type="dxa"/>
          </w:tcPr>
          <w:p w14:paraId="21CFF56C" w14:textId="77777777" w:rsidR="00D471D0" w:rsidRPr="006B5701" w:rsidRDefault="00D471D0" w:rsidP="009B1D63">
            <w:pPr>
              <w:tabs>
                <w:tab w:val="left" w:pos="2700"/>
              </w:tabs>
              <w:jc w:val="left"/>
              <w:rPr>
                <w:szCs w:val="22"/>
                <w:lang w:val="sr-Latn-CS"/>
              </w:rPr>
            </w:pPr>
          </w:p>
        </w:tc>
      </w:tr>
      <w:tr w:rsidR="00A03D75" w:rsidRPr="00693548" w14:paraId="45076C32" w14:textId="77777777" w:rsidTr="009B1D63">
        <w:tc>
          <w:tcPr>
            <w:tcW w:w="1526" w:type="dxa"/>
          </w:tcPr>
          <w:p w14:paraId="1F37B953" w14:textId="77777777" w:rsidR="00D471D0" w:rsidRPr="006B5701" w:rsidRDefault="00D471D0" w:rsidP="009B1D63">
            <w:pPr>
              <w:tabs>
                <w:tab w:val="left" w:pos="2700"/>
              </w:tabs>
              <w:jc w:val="left"/>
              <w:rPr>
                <w:szCs w:val="22"/>
                <w:lang w:val="sr-Latn-CS"/>
              </w:rPr>
            </w:pPr>
            <w:r w:rsidRPr="006B5701">
              <w:rPr>
                <w:szCs w:val="22"/>
                <w:lang w:val="sr-Latn-CS"/>
              </w:rPr>
              <w:t>Poremećaji nervnog sistema</w:t>
            </w:r>
          </w:p>
        </w:tc>
        <w:tc>
          <w:tcPr>
            <w:tcW w:w="1417" w:type="dxa"/>
          </w:tcPr>
          <w:p w14:paraId="37CD5EA0" w14:textId="77777777" w:rsidR="00D471D0" w:rsidRPr="006B5701" w:rsidRDefault="00D471D0" w:rsidP="009B1D63">
            <w:pPr>
              <w:tabs>
                <w:tab w:val="left" w:pos="2700"/>
              </w:tabs>
              <w:jc w:val="left"/>
              <w:rPr>
                <w:szCs w:val="22"/>
                <w:lang w:val="sr-Latn-CS"/>
              </w:rPr>
            </w:pPr>
            <w:r w:rsidRPr="006B5701">
              <w:rPr>
                <w:szCs w:val="22"/>
                <w:lang w:val="sr-Latn-CS"/>
              </w:rPr>
              <w:t xml:space="preserve">somnolencija, vrtoglavica, diskinezija, </w:t>
            </w:r>
          </w:p>
        </w:tc>
        <w:tc>
          <w:tcPr>
            <w:tcW w:w="1276" w:type="dxa"/>
          </w:tcPr>
          <w:p w14:paraId="5CB3DFD0" w14:textId="77777777" w:rsidR="00D471D0" w:rsidRPr="006B5701" w:rsidRDefault="00D471D0" w:rsidP="009B1D63">
            <w:pPr>
              <w:tabs>
                <w:tab w:val="left" w:pos="2700"/>
              </w:tabs>
              <w:jc w:val="left"/>
              <w:rPr>
                <w:szCs w:val="22"/>
                <w:lang w:val="sr-Latn-CS"/>
              </w:rPr>
            </w:pPr>
            <w:r w:rsidRPr="006B5701">
              <w:rPr>
                <w:szCs w:val="22"/>
                <w:lang w:val="sr-Latn-CS"/>
              </w:rPr>
              <w:t>glavobolja</w:t>
            </w:r>
          </w:p>
        </w:tc>
        <w:tc>
          <w:tcPr>
            <w:tcW w:w="1701" w:type="dxa"/>
          </w:tcPr>
          <w:p w14:paraId="7B9E1789" w14:textId="77777777" w:rsidR="00D471D0" w:rsidRPr="006B5701" w:rsidRDefault="00D471D0" w:rsidP="009B1D63">
            <w:pPr>
              <w:tabs>
                <w:tab w:val="left" w:pos="2700"/>
              </w:tabs>
              <w:jc w:val="left"/>
              <w:rPr>
                <w:szCs w:val="22"/>
                <w:lang w:val="sr-Latn-CS"/>
              </w:rPr>
            </w:pPr>
            <w:r w:rsidRPr="006B5701">
              <w:rPr>
                <w:szCs w:val="22"/>
                <w:lang w:val="sr-Latn-CS"/>
              </w:rPr>
              <w:t xml:space="preserve">naglo padanje u san, amnezija, hiperkinezija, sinkopa </w:t>
            </w:r>
          </w:p>
          <w:p w14:paraId="7AF9CEF6" w14:textId="77777777" w:rsidR="00BF7752" w:rsidRPr="006B5701" w:rsidRDefault="00BF7752" w:rsidP="009B1D63">
            <w:pPr>
              <w:tabs>
                <w:tab w:val="left" w:pos="2700"/>
              </w:tabs>
              <w:jc w:val="left"/>
              <w:rPr>
                <w:szCs w:val="22"/>
                <w:lang w:val="sr-Latn-CS"/>
              </w:rPr>
            </w:pPr>
          </w:p>
        </w:tc>
        <w:tc>
          <w:tcPr>
            <w:tcW w:w="1418" w:type="dxa"/>
          </w:tcPr>
          <w:p w14:paraId="5C85BEA8" w14:textId="77777777" w:rsidR="00D471D0" w:rsidRPr="006B5701" w:rsidRDefault="00D471D0" w:rsidP="009B1D63">
            <w:pPr>
              <w:tabs>
                <w:tab w:val="left" w:pos="2700"/>
              </w:tabs>
              <w:jc w:val="left"/>
              <w:rPr>
                <w:szCs w:val="22"/>
                <w:lang w:val="sr-Latn-CS"/>
              </w:rPr>
            </w:pPr>
          </w:p>
        </w:tc>
        <w:tc>
          <w:tcPr>
            <w:tcW w:w="1047" w:type="dxa"/>
          </w:tcPr>
          <w:p w14:paraId="11F026A6" w14:textId="77777777" w:rsidR="00D471D0" w:rsidRPr="006B5701" w:rsidRDefault="00D471D0" w:rsidP="009B1D63">
            <w:pPr>
              <w:tabs>
                <w:tab w:val="left" w:pos="2700"/>
              </w:tabs>
              <w:jc w:val="left"/>
              <w:rPr>
                <w:szCs w:val="22"/>
                <w:lang w:val="sr-Latn-CS"/>
              </w:rPr>
            </w:pPr>
          </w:p>
        </w:tc>
      </w:tr>
      <w:tr w:rsidR="00A03D75" w:rsidRPr="00693548" w14:paraId="783ACF1F" w14:textId="77777777" w:rsidTr="009B1D63">
        <w:tc>
          <w:tcPr>
            <w:tcW w:w="1526" w:type="dxa"/>
          </w:tcPr>
          <w:p w14:paraId="48CE955A" w14:textId="77777777" w:rsidR="00D471D0" w:rsidRPr="006B5701" w:rsidRDefault="00D471D0" w:rsidP="00E735A5">
            <w:pPr>
              <w:tabs>
                <w:tab w:val="left" w:pos="2700"/>
              </w:tabs>
              <w:jc w:val="left"/>
              <w:rPr>
                <w:szCs w:val="22"/>
                <w:lang w:val="sr-Latn-CS"/>
              </w:rPr>
            </w:pPr>
            <w:r w:rsidRPr="006B5701">
              <w:rPr>
                <w:szCs w:val="22"/>
                <w:lang w:val="sr-Latn-CS"/>
              </w:rPr>
              <w:t>Poremećaji oka</w:t>
            </w:r>
          </w:p>
        </w:tc>
        <w:tc>
          <w:tcPr>
            <w:tcW w:w="1417" w:type="dxa"/>
          </w:tcPr>
          <w:p w14:paraId="384479B5" w14:textId="77777777" w:rsidR="00D471D0" w:rsidRPr="006B5701" w:rsidRDefault="00D471D0" w:rsidP="009B1D63">
            <w:pPr>
              <w:tabs>
                <w:tab w:val="left" w:pos="2700"/>
              </w:tabs>
              <w:jc w:val="left"/>
              <w:rPr>
                <w:szCs w:val="22"/>
                <w:lang w:val="sr-Latn-CS"/>
              </w:rPr>
            </w:pPr>
          </w:p>
        </w:tc>
        <w:tc>
          <w:tcPr>
            <w:tcW w:w="1276" w:type="dxa"/>
          </w:tcPr>
          <w:p w14:paraId="35FDF0B1" w14:textId="77777777" w:rsidR="00D471D0" w:rsidRPr="006B5701" w:rsidRDefault="00D471D0" w:rsidP="00BF7752">
            <w:pPr>
              <w:tabs>
                <w:tab w:val="left" w:pos="2700"/>
              </w:tabs>
              <w:jc w:val="left"/>
              <w:rPr>
                <w:szCs w:val="22"/>
                <w:lang w:val="sr-Latn-CS"/>
              </w:rPr>
            </w:pPr>
            <w:r w:rsidRPr="006B5701">
              <w:rPr>
                <w:szCs w:val="22"/>
                <w:lang w:val="sr-Latn-CS"/>
              </w:rPr>
              <w:t>poremećaj vida uključujući diplopiju, zam</w:t>
            </w:r>
            <w:r w:rsidR="00BF7752" w:rsidRPr="006B5701">
              <w:rPr>
                <w:szCs w:val="22"/>
                <w:lang w:val="sr-Latn-CS"/>
              </w:rPr>
              <w:t>agljen</w:t>
            </w:r>
            <w:r w:rsidRPr="006B5701">
              <w:rPr>
                <w:szCs w:val="22"/>
                <w:lang w:val="sr-Latn-CS"/>
              </w:rPr>
              <w:t xml:space="preserve"> vid, smanjenje oštrine                                         vida</w:t>
            </w:r>
          </w:p>
        </w:tc>
        <w:tc>
          <w:tcPr>
            <w:tcW w:w="1701" w:type="dxa"/>
          </w:tcPr>
          <w:p w14:paraId="6A078B44" w14:textId="77777777" w:rsidR="00D471D0" w:rsidRPr="006B5701" w:rsidRDefault="00D471D0" w:rsidP="009B1D63">
            <w:pPr>
              <w:tabs>
                <w:tab w:val="left" w:pos="2700"/>
              </w:tabs>
              <w:jc w:val="left"/>
              <w:rPr>
                <w:szCs w:val="22"/>
                <w:lang w:val="sr-Latn-CS"/>
              </w:rPr>
            </w:pPr>
          </w:p>
        </w:tc>
        <w:tc>
          <w:tcPr>
            <w:tcW w:w="1418" w:type="dxa"/>
          </w:tcPr>
          <w:p w14:paraId="3E76AF28" w14:textId="77777777" w:rsidR="00D471D0" w:rsidRPr="006B5701" w:rsidRDefault="00D471D0" w:rsidP="009B1D63">
            <w:pPr>
              <w:tabs>
                <w:tab w:val="left" w:pos="2700"/>
              </w:tabs>
              <w:jc w:val="left"/>
              <w:rPr>
                <w:szCs w:val="22"/>
                <w:lang w:val="sr-Latn-CS"/>
              </w:rPr>
            </w:pPr>
          </w:p>
        </w:tc>
        <w:tc>
          <w:tcPr>
            <w:tcW w:w="1047" w:type="dxa"/>
          </w:tcPr>
          <w:p w14:paraId="6A2A6A3E" w14:textId="77777777" w:rsidR="00D471D0" w:rsidRPr="006B5701" w:rsidRDefault="00D471D0" w:rsidP="009B1D63">
            <w:pPr>
              <w:tabs>
                <w:tab w:val="left" w:pos="2700"/>
              </w:tabs>
              <w:jc w:val="left"/>
              <w:rPr>
                <w:szCs w:val="22"/>
                <w:lang w:val="sr-Latn-CS"/>
              </w:rPr>
            </w:pPr>
          </w:p>
        </w:tc>
      </w:tr>
      <w:tr w:rsidR="00A03D75" w:rsidRPr="006B5701" w14:paraId="6A36B043" w14:textId="77777777" w:rsidTr="009B1D63">
        <w:tc>
          <w:tcPr>
            <w:tcW w:w="1526" w:type="dxa"/>
          </w:tcPr>
          <w:p w14:paraId="0328C91C" w14:textId="77777777" w:rsidR="00D471D0" w:rsidRPr="006B5701" w:rsidRDefault="00D471D0" w:rsidP="009B1D63">
            <w:pPr>
              <w:tabs>
                <w:tab w:val="left" w:pos="2700"/>
              </w:tabs>
              <w:jc w:val="left"/>
              <w:rPr>
                <w:szCs w:val="22"/>
                <w:lang w:val="sr-Latn-CS"/>
              </w:rPr>
            </w:pPr>
            <w:r w:rsidRPr="006B5701">
              <w:rPr>
                <w:szCs w:val="22"/>
                <w:lang w:val="sr-Latn-CS"/>
              </w:rPr>
              <w:t>Kardiološki poremećaji</w:t>
            </w:r>
          </w:p>
        </w:tc>
        <w:tc>
          <w:tcPr>
            <w:tcW w:w="1417" w:type="dxa"/>
          </w:tcPr>
          <w:p w14:paraId="4EB7D990" w14:textId="77777777" w:rsidR="00D471D0" w:rsidRPr="006B5701" w:rsidRDefault="00D471D0" w:rsidP="009B1D63">
            <w:pPr>
              <w:tabs>
                <w:tab w:val="left" w:pos="2700"/>
              </w:tabs>
              <w:jc w:val="left"/>
              <w:rPr>
                <w:szCs w:val="22"/>
                <w:lang w:val="sr-Latn-CS"/>
              </w:rPr>
            </w:pPr>
          </w:p>
        </w:tc>
        <w:tc>
          <w:tcPr>
            <w:tcW w:w="1276" w:type="dxa"/>
          </w:tcPr>
          <w:p w14:paraId="7E225176" w14:textId="77777777" w:rsidR="00D471D0" w:rsidRPr="006B5701" w:rsidRDefault="00D471D0" w:rsidP="009B1D63">
            <w:pPr>
              <w:tabs>
                <w:tab w:val="left" w:pos="2700"/>
              </w:tabs>
              <w:jc w:val="left"/>
              <w:rPr>
                <w:szCs w:val="22"/>
                <w:lang w:val="sr-Latn-CS"/>
              </w:rPr>
            </w:pPr>
          </w:p>
        </w:tc>
        <w:tc>
          <w:tcPr>
            <w:tcW w:w="1701" w:type="dxa"/>
          </w:tcPr>
          <w:p w14:paraId="059C1F25" w14:textId="77777777" w:rsidR="00D471D0" w:rsidRPr="006B5701" w:rsidRDefault="00D471D0" w:rsidP="009B1D63">
            <w:pPr>
              <w:tabs>
                <w:tab w:val="left" w:pos="2700"/>
              </w:tabs>
              <w:jc w:val="left"/>
              <w:rPr>
                <w:szCs w:val="22"/>
                <w:lang w:val="sr-Latn-CS"/>
              </w:rPr>
            </w:pPr>
            <w:r w:rsidRPr="006B5701">
              <w:rPr>
                <w:szCs w:val="22"/>
                <w:lang w:val="sr-Latn-CS"/>
              </w:rPr>
              <w:t>srčana insuficijencija</w:t>
            </w:r>
            <w:r w:rsidRPr="006B5701">
              <w:rPr>
                <w:szCs w:val="22"/>
                <w:vertAlign w:val="superscript"/>
                <w:lang w:val="sr-Latn-CS"/>
              </w:rPr>
              <w:t>1</w:t>
            </w:r>
          </w:p>
        </w:tc>
        <w:tc>
          <w:tcPr>
            <w:tcW w:w="1418" w:type="dxa"/>
          </w:tcPr>
          <w:p w14:paraId="51638AE8" w14:textId="77777777" w:rsidR="00D471D0" w:rsidRPr="006B5701" w:rsidRDefault="00D471D0" w:rsidP="009B1D63">
            <w:pPr>
              <w:tabs>
                <w:tab w:val="left" w:pos="2700"/>
              </w:tabs>
              <w:jc w:val="left"/>
              <w:rPr>
                <w:szCs w:val="22"/>
                <w:lang w:val="sr-Latn-CS"/>
              </w:rPr>
            </w:pPr>
          </w:p>
        </w:tc>
        <w:tc>
          <w:tcPr>
            <w:tcW w:w="1047" w:type="dxa"/>
          </w:tcPr>
          <w:p w14:paraId="72D4D685" w14:textId="77777777" w:rsidR="00D471D0" w:rsidRPr="006B5701" w:rsidRDefault="00D471D0" w:rsidP="009B1D63">
            <w:pPr>
              <w:tabs>
                <w:tab w:val="left" w:pos="2700"/>
              </w:tabs>
              <w:jc w:val="left"/>
              <w:rPr>
                <w:szCs w:val="22"/>
                <w:lang w:val="sr-Latn-CS"/>
              </w:rPr>
            </w:pPr>
          </w:p>
        </w:tc>
      </w:tr>
      <w:tr w:rsidR="00A03D75" w:rsidRPr="006B5701" w14:paraId="5400427F" w14:textId="77777777" w:rsidTr="009B1D63">
        <w:tc>
          <w:tcPr>
            <w:tcW w:w="1526" w:type="dxa"/>
          </w:tcPr>
          <w:p w14:paraId="4F14F599" w14:textId="77777777" w:rsidR="00D471D0" w:rsidRPr="006B5701" w:rsidRDefault="00D471D0" w:rsidP="009B1D63">
            <w:pPr>
              <w:tabs>
                <w:tab w:val="left" w:pos="2700"/>
              </w:tabs>
              <w:jc w:val="left"/>
              <w:rPr>
                <w:szCs w:val="22"/>
                <w:lang w:val="sr-Latn-CS"/>
              </w:rPr>
            </w:pPr>
            <w:r w:rsidRPr="006B5701">
              <w:rPr>
                <w:szCs w:val="22"/>
                <w:lang w:val="sr-Latn-CS"/>
              </w:rPr>
              <w:t>Vaskularni poremećaji</w:t>
            </w:r>
          </w:p>
          <w:p w14:paraId="721EC0B3" w14:textId="77777777" w:rsidR="00D471D0" w:rsidRPr="006B5701" w:rsidRDefault="00D471D0" w:rsidP="009B1D63">
            <w:pPr>
              <w:tabs>
                <w:tab w:val="left" w:pos="2700"/>
              </w:tabs>
              <w:jc w:val="left"/>
              <w:rPr>
                <w:szCs w:val="22"/>
                <w:lang w:val="sr-Latn-CS"/>
              </w:rPr>
            </w:pPr>
          </w:p>
        </w:tc>
        <w:tc>
          <w:tcPr>
            <w:tcW w:w="1417" w:type="dxa"/>
          </w:tcPr>
          <w:p w14:paraId="20D3963B" w14:textId="77777777" w:rsidR="00D471D0" w:rsidRPr="006B5701" w:rsidRDefault="00D471D0" w:rsidP="009B1D63">
            <w:pPr>
              <w:tabs>
                <w:tab w:val="left" w:pos="2700"/>
              </w:tabs>
              <w:jc w:val="left"/>
              <w:rPr>
                <w:szCs w:val="22"/>
                <w:lang w:val="sr-Latn-CS"/>
              </w:rPr>
            </w:pPr>
          </w:p>
        </w:tc>
        <w:tc>
          <w:tcPr>
            <w:tcW w:w="1276" w:type="dxa"/>
          </w:tcPr>
          <w:p w14:paraId="70370B01" w14:textId="77777777" w:rsidR="00D471D0" w:rsidRPr="006B5701" w:rsidRDefault="00D471D0" w:rsidP="009B1D63">
            <w:pPr>
              <w:tabs>
                <w:tab w:val="clear" w:pos="284"/>
                <w:tab w:val="left" w:pos="2694"/>
              </w:tabs>
              <w:jc w:val="left"/>
              <w:rPr>
                <w:szCs w:val="22"/>
                <w:lang w:val="sr-Latn-CS"/>
              </w:rPr>
            </w:pPr>
            <w:r w:rsidRPr="006B5701">
              <w:rPr>
                <w:szCs w:val="22"/>
              </w:rPr>
              <w:t>hipotenzija</w:t>
            </w:r>
          </w:p>
          <w:p w14:paraId="0AAE20B3" w14:textId="77777777" w:rsidR="00D471D0" w:rsidRPr="006B5701" w:rsidRDefault="00D471D0" w:rsidP="009B1D63">
            <w:pPr>
              <w:tabs>
                <w:tab w:val="left" w:pos="2700"/>
              </w:tabs>
              <w:jc w:val="left"/>
              <w:rPr>
                <w:szCs w:val="22"/>
                <w:lang w:val="sr-Latn-CS"/>
              </w:rPr>
            </w:pPr>
          </w:p>
        </w:tc>
        <w:tc>
          <w:tcPr>
            <w:tcW w:w="1701" w:type="dxa"/>
          </w:tcPr>
          <w:p w14:paraId="552925E7" w14:textId="77777777" w:rsidR="00D471D0" w:rsidRPr="006B5701" w:rsidRDefault="00D471D0" w:rsidP="009B1D63">
            <w:pPr>
              <w:tabs>
                <w:tab w:val="left" w:pos="2700"/>
              </w:tabs>
              <w:jc w:val="left"/>
              <w:rPr>
                <w:szCs w:val="22"/>
                <w:lang w:val="sr-Latn-CS"/>
              </w:rPr>
            </w:pPr>
          </w:p>
        </w:tc>
        <w:tc>
          <w:tcPr>
            <w:tcW w:w="1418" w:type="dxa"/>
          </w:tcPr>
          <w:p w14:paraId="269FF592" w14:textId="77777777" w:rsidR="00D471D0" w:rsidRPr="006B5701" w:rsidRDefault="00D471D0" w:rsidP="009B1D63">
            <w:pPr>
              <w:tabs>
                <w:tab w:val="left" w:pos="2700"/>
              </w:tabs>
              <w:jc w:val="left"/>
              <w:rPr>
                <w:szCs w:val="22"/>
                <w:lang w:val="sr-Latn-CS"/>
              </w:rPr>
            </w:pPr>
          </w:p>
        </w:tc>
        <w:tc>
          <w:tcPr>
            <w:tcW w:w="1047" w:type="dxa"/>
          </w:tcPr>
          <w:p w14:paraId="619CB608" w14:textId="77777777" w:rsidR="00D471D0" w:rsidRPr="006B5701" w:rsidRDefault="00D471D0" w:rsidP="009B1D63">
            <w:pPr>
              <w:tabs>
                <w:tab w:val="left" w:pos="2700"/>
              </w:tabs>
              <w:jc w:val="left"/>
              <w:rPr>
                <w:szCs w:val="22"/>
                <w:lang w:val="sr-Latn-CS"/>
              </w:rPr>
            </w:pPr>
          </w:p>
        </w:tc>
      </w:tr>
      <w:tr w:rsidR="00A03D75" w:rsidRPr="006B5701" w14:paraId="0EAC1C34" w14:textId="77777777" w:rsidTr="009B1D63">
        <w:tc>
          <w:tcPr>
            <w:tcW w:w="1526" w:type="dxa"/>
          </w:tcPr>
          <w:p w14:paraId="2903EA10" w14:textId="77777777" w:rsidR="00D471D0" w:rsidRPr="006B5701" w:rsidRDefault="00D471D0" w:rsidP="009B1D63">
            <w:pPr>
              <w:tabs>
                <w:tab w:val="left" w:pos="2700"/>
              </w:tabs>
              <w:jc w:val="left"/>
              <w:rPr>
                <w:szCs w:val="22"/>
                <w:lang w:val="sr-Latn-CS"/>
              </w:rPr>
            </w:pPr>
            <w:r w:rsidRPr="006B5701">
              <w:rPr>
                <w:szCs w:val="22"/>
                <w:lang w:val="sr-Latn-CS"/>
              </w:rPr>
              <w:t>Respiratorni, torakalni i medijastinalni poremećaji</w:t>
            </w:r>
          </w:p>
          <w:p w14:paraId="16373F2F" w14:textId="77777777" w:rsidR="00D471D0" w:rsidRPr="006B5701" w:rsidRDefault="00D471D0" w:rsidP="009B1D63">
            <w:pPr>
              <w:tabs>
                <w:tab w:val="left" w:pos="2700"/>
              </w:tabs>
              <w:jc w:val="left"/>
              <w:rPr>
                <w:szCs w:val="22"/>
                <w:lang w:val="sr-Latn-CS"/>
              </w:rPr>
            </w:pPr>
          </w:p>
        </w:tc>
        <w:tc>
          <w:tcPr>
            <w:tcW w:w="1417" w:type="dxa"/>
          </w:tcPr>
          <w:p w14:paraId="607F999B" w14:textId="77777777" w:rsidR="00D471D0" w:rsidRPr="006B5701" w:rsidRDefault="00D471D0" w:rsidP="009B1D63">
            <w:pPr>
              <w:tabs>
                <w:tab w:val="left" w:pos="2700"/>
              </w:tabs>
              <w:jc w:val="left"/>
              <w:rPr>
                <w:szCs w:val="22"/>
                <w:lang w:val="sr-Latn-CS"/>
              </w:rPr>
            </w:pPr>
          </w:p>
        </w:tc>
        <w:tc>
          <w:tcPr>
            <w:tcW w:w="1276" w:type="dxa"/>
          </w:tcPr>
          <w:p w14:paraId="1A34BD9B" w14:textId="77777777" w:rsidR="00D471D0" w:rsidRPr="006B5701" w:rsidRDefault="00D471D0" w:rsidP="009B1D63">
            <w:pPr>
              <w:tabs>
                <w:tab w:val="left" w:pos="2700"/>
              </w:tabs>
              <w:jc w:val="left"/>
              <w:rPr>
                <w:szCs w:val="22"/>
                <w:lang w:val="sr-Latn-CS"/>
              </w:rPr>
            </w:pPr>
          </w:p>
        </w:tc>
        <w:tc>
          <w:tcPr>
            <w:tcW w:w="1701" w:type="dxa"/>
          </w:tcPr>
          <w:p w14:paraId="745AA52B" w14:textId="77777777" w:rsidR="00D471D0" w:rsidRPr="006B5701" w:rsidRDefault="00D471D0" w:rsidP="009B1D63">
            <w:pPr>
              <w:tabs>
                <w:tab w:val="left" w:pos="2700"/>
              </w:tabs>
              <w:jc w:val="left"/>
              <w:rPr>
                <w:szCs w:val="22"/>
                <w:lang w:val="sr-Latn-CS"/>
              </w:rPr>
            </w:pPr>
            <w:r w:rsidRPr="006B5701">
              <w:rPr>
                <w:szCs w:val="22"/>
                <w:lang w:val="sr-Latn-CS"/>
              </w:rPr>
              <w:t>dispnea, štucanje</w:t>
            </w:r>
          </w:p>
        </w:tc>
        <w:tc>
          <w:tcPr>
            <w:tcW w:w="1418" w:type="dxa"/>
          </w:tcPr>
          <w:p w14:paraId="547F55DC" w14:textId="77777777" w:rsidR="00D471D0" w:rsidRPr="006B5701" w:rsidRDefault="00D471D0" w:rsidP="009B1D63">
            <w:pPr>
              <w:tabs>
                <w:tab w:val="left" w:pos="2700"/>
              </w:tabs>
              <w:jc w:val="left"/>
              <w:rPr>
                <w:szCs w:val="22"/>
                <w:lang w:val="sr-Latn-CS"/>
              </w:rPr>
            </w:pPr>
          </w:p>
        </w:tc>
        <w:tc>
          <w:tcPr>
            <w:tcW w:w="1047" w:type="dxa"/>
          </w:tcPr>
          <w:p w14:paraId="340DC0D9" w14:textId="77777777" w:rsidR="00D471D0" w:rsidRPr="006B5701" w:rsidRDefault="00D471D0" w:rsidP="009B1D63">
            <w:pPr>
              <w:tabs>
                <w:tab w:val="left" w:pos="2700"/>
              </w:tabs>
              <w:jc w:val="left"/>
              <w:rPr>
                <w:szCs w:val="22"/>
                <w:lang w:val="sr-Latn-CS"/>
              </w:rPr>
            </w:pPr>
          </w:p>
        </w:tc>
      </w:tr>
      <w:tr w:rsidR="00A03D75" w:rsidRPr="006B5701" w14:paraId="46588421" w14:textId="77777777" w:rsidTr="009B1D63">
        <w:tc>
          <w:tcPr>
            <w:tcW w:w="1526" w:type="dxa"/>
          </w:tcPr>
          <w:p w14:paraId="7BC2A26C" w14:textId="77777777" w:rsidR="00D471D0" w:rsidRPr="006B5701" w:rsidRDefault="00D471D0" w:rsidP="009B1D63">
            <w:pPr>
              <w:tabs>
                <w:tab w:val="left" w:pos="2700"/>
              </w:tabs>
              <w:jc w:val="left"/>
              <w:rPr>
                <w:szCs w:val="22"/>
                <w:lang w:val="sr-Latn-CS"/>
              </w:rPr>
            </w:pPr>
            <w:r w:rsidRPr="006B5701">
              <w:rPr>
                <w:szCs w:val="22"/>
                <w:lang w:val="sr-Latn-CS"/>
              </w:rPr>
              <w:t>Gastrointestinalni poremećaji</w:t>
            </w:r>
          </w:p>
        </w:tc>
        <w:tc>
          <w:tcPr>
            <w:tcW w:w="1417" w:type="dxa"/>
          </w:tcPr>
          <w:p w14:paraId="74DDF787" w14:textId="77777777" w:rsidR="00D471D0" w:rsidRPr="006B5701" w:rsidRDefault="00D471D0" w:rsidP="009B1D63">
            <w:pPr>
              <w:tabs>
                <w:tab w:val="left" w:pos="2700"/>
              </w:tabs>
              <w:jc w:val="left"/>
              <w:rPr>
                <w:szCs w:val="22"/>
                <w:lang w:val="sr-Latn-CS"/>
              </w:rPr>
            </w:pPr>
            <w:r w:rsidRPr="006B5701">
              <w:rPr>
                <w:szCs w:val="22"/>
                <w:lang w:val="sr-Latn-CS"/>
              </w:rPr>
              <w:t>mučnina</w:t>
            </w:r>
          </w:p>
          <w:p w14:paraId="026DDE46" w14:textId="77777777" w:rsidR="00D471D0" w:rsidRPr="006B5701" w:rsidRDefault="00D471D0" w:rsidP="009B1D63">
            <w:pPr>
              <w:tabs>
                <w:tab w:val="left" w:pos="2700"/>
              </w:tabs>
              <w:jc w:val="left"/>
              <w:rPr>
                <w:szCs w:val="22"/>
                <w:lang w:val="sr-Latn-CS"/>
              </w:rPr>
            </w:pPr>
          </w:p>
        </w:tc>
        <w:tc>
          <w:tcPr>
            <w:tcW w:w="1276" w:type="dxa"/>
          </w:tcPr>
          <w:p w14:paraId="4BF4CA04" w14:textId="77777777" w:rsidR="00D471D0" w:rsidRPr="006B5701" w:rsidRDefault="00D471D0" w:rsidP="009B1D63">
            <w:pPr>
              <w:rPr>
                <w:szCs w:val="22"/>
                <w:lang w:val="sr-Latn-CS"/>
              </w:rPr>
            </w:pPr>
            <w:r w:rsidRPr="006B5701">
              <w:rPr>
                <w:szCs w:val="22"/>
                <w:lang w:val="sr-Latn-CS"/>
              </w:rPr>
              <w:t>konstipacija, povraćanje</w:t>
            </w:r>
          </w:p>
          <w:p w14:paraId="08F6EA34" w14:textId="77777777" w:rsidR="00D471D0" w:rsidRPr="006B5701" w:rsidRDefault="00D471D0" w:rsidP="009B1D63">
            <w:pPr>
              <w:tabs>
                <w:tab w:val="left" w:pos="2700"/>
              </w:tabs>
              <w:jc w:val="left"/>
              <w:rPr>
                <w:szCs w:val="22"/>
                <w:lang w:val="sr-Latn-CS"/>
              </w:rPr>
            </w:pPr>
          </w:p>
        </w:tc>
        <w:tc>
          <w:tcPr>
            <w:tcW w:w="1701" w:type="dxa"/>
          </w:tcPr>
          <w:p w14:paraId="038382D8" w14:textId="77777777" w:rsidR="00D471D0" w:rsidRPr="006B5701" w:rsidRDefault="00D471D0" w:rsidP="009B1D63">
            <w:pPr>
              <w:tabs>
                <w:tab w:val="left" w:pos="2700"/>
              </w:tabs>
              <w:jc w:val="left"/>
              <w:rPr>
                <w:szCs w:val="22"/>
                <w:lang w:val="sr-Latn-CS"/>
              </w:rPr>
            </w:pPr>
          </w:p>
        </w:tc>
        <w:tc>
          <w:tcPr>
            <w:tcW w:w="1418" w:type="dxa"/>
          </w:tcPr>
          <w:p w14:paraId="673F438D" w14:textId="77777777" w:rsidR="00D471D0" w:rsidRPr="006B5701" w:rsidRDefault="00D471D0" w:rsidP="009B1D63">
            <w:pPr>
              <w:tabs>
                <w:tab w:val="left" w:pos="2700"/>
              </w:tabs>
              <w:jc w:val="left"/>
              <w:rPr>
                <w:szCs w:val="22"/>
                <w:lang w:val="sr-Latn-CS"/>
              </w:rPr>
            </w:pPr>
          </w:p>
        </w:tc>
        <w:tc>
          <w:tcPr>
            <w:tcW w:w="1047" w:type="dxa"/>
          </w:tcPr>
          <w:p w14:paraId="010F6313" w14:textId="77777777" w:rsidR="00D471D0" w:rsidRPr="006B5701" w:rsidRDefault="00D471D0" w:rsidP="009B1D63">
            <w:pPr>
              <w:tabs>
                <w:tab w:val="left" w:pos="2700"/>
              </w:tabs>
              <w:jc w:val="left"/>
              <w:rPr>
                <w:szCs w:val="22"/>
                <w:lang w:val="sr-Latn-CS"/>
              </w:rPr>
            </w:pPr>
          </w:p>
        </w:tc>
      </w:tr>
      <w:tr w:rsidR="00A03D75" w:rsidRPr="006B5701" w14:paraId="49500E0A" w14:textId="77777777" w:rsidTr="009B1D63">
        <w:tc>
          <w:tcPr>
            <w:tcW w:w="1526" w:type="dxa"/>
          </w:tcPr>
          <w:p w14:paraId="4CD1B09E" w14:textId="77777777" w:rsidR="00D471D0" w:rsidRPr="006B5701" w:rsidRDefault="00D471D0" w:rsidP="009B1D63">
            <w:pPr>
              <w:tabs>
                <w:tab w:val="left" w:pos="2700"/>
              </w:tabs>
              <w:jc w:val="left"/>
              <w:rPr>
                <w:szCs w:val="22"/>
                <w:lang w:val="sr-Latn-CS"/>
              </w:rPr>
            </w:pPr>
            <w:r w:rsidRPr="006B5701">
              <w:rPr>
                <w:szCs w:val="22"/>
                <w:lang w:val="sr-Latn-CS"/>
              </w:rPr>
              <w:t>Poremećaji kože i potkožnog tkiva</w:t>
            </w:r>
          </w:p>
          <w:p w14:paraId="23717F68" w14:textId="77777777" w:rsidR="00D471D0" w:rsidRPr="006B5701" w:rsidRDefault="00D471D0" w:rsidP="009B1D63">
            <w:pPr>
              <w:tabs>
                <w:tab w:val="left" w:pos="2700"/>
              </w:tabs>
              <w:jc w:val="left"/>
              <w:rPr>
                <w:szCs w:val="22"/>
                <w:lang w:val="sr-Latn-CS"/>
              </w:rPr>
            </w:pPr>
          </w:p>
        </w:tc>
        <w:tc>
          <w:tcPr>
            <w:tcW w:w="1417" w:type="dxa"/>
          </w:tcPr>
          <w:p w14:paraId="543182BC" w14:textId="77777777" w:rsidR="00D471D0" w:rsidRPr="006B5701" w:rsidRDefault="00D471D0" w:rsidP="009B1D63">
            <w:pPr>
              <w:tabs>
                <w:tab w:val="left" w:pos="2700"/>
              </w:tabs>
              <w:jc w:val="left"/>
              <w:rPr>
                <w:szCs w:val="22"/>
                <w:lang w:val="sr-Latn-CS"/>
              </w:rPr>
            </w:pPr>
          </w:p>
        </w:tc>
        <w:tc>
          <w:tcPr>
            <w:tcW w:w="1276" w:type="dxa"/>
          </w:tcPr>
          <w:p w14:paraId="0A714ADB" w14:textId="77777777" w:rsidR="00D471D0" w:rsidRPr="006B5701" w:rsidRDefault="00D471D0" w:rsidP="009B1D63">
            <w:pPr>
              <w:tabs>
                <w:tab w:val="left" w:pos="2700"/>
              </w:tabs>
              <w:jc w:val="left"/>
              <w:rPr>
                <w:szCs w:val="22"/>
                <w:lang w:val="sr-Latn-CS"/>
              </w:rPr>
            </w:pPr>
          </w:p>
        </w:tc>
        <w:tc>
          <w:tcPr>
            <w:tcW w:w="1701" w:type="dxa"/>
          </w:tcPr>
          <w:p w14:paraId="37515DE5" w14:textId="6F34663E" w:rsidR="00D471D0" w:rsidRPr="006B5701" w:rsidRDefault="00D471D0" w:rsidP="009B1D63">
            <w:pPr>
              <w:tabs>
                <w:tab w:val="left" w:pos="2700"/>
              </w:tabs>
              <w:jc w:val="left"/>
              <w:rPr>
                <w:szCs w:val="22"/>
                <w:lang w:val="sr-Latn-CS"/>
              </w:rPr>
            </w:pPr>
            <w:r w:rsidRPr="006B5701">
              <w:rPr>
                <w:szCs w:val="22"/>
                <w:lang w:val="sr-Latn-CS"/>
              </w:rPr>
              <w:t>preos</w:t>
            </w:r>
            <w:r w:rsidR="000C3752">
              <w:rPr>
                <w:szCs w:val="22"/>
                <w:lang w:val="sr-Latn-CS"/>
              </w:rPr>
              <w:t>j</w:t>
            </w:r>
            <w:r w:rsidRPr="006B5701">
              <w:rPr>
                <w:szCs w:val="22"/>
                <w:lang w:val="sr-Latn-CS"/>
              </w:rPr>
              <w:t>etljivost, pruritus, ospa</w:t>
            </w:r>
          </w:p>
        </w:tc>
        <w:tc>
          <w:tcPr>
            <w:tcW w:w="1418" w:type="dxa"/>
          </w:tcPr>
          <w:p w14:paraId="478BE5B8" w14:textId="77777777" w:rsidR="00D471D0" w:rsidRPr="006B5701" w:rsidRDefault="00D471D0" w:rsidP="009B1D63">
            <w:pPr>
              <w:tabs>
                <w:tab w:val="left" w:pos="2700"/>
              </w:tabs>
              <w:jc w:val="left"/>
              <w:rPr>
                <w:szCs w:val="22"/>
                <w:lang w:val="sr-Latn-CS"/>
              </w:rPr>
            </w:pPr>
          </w:p>
        </w:tc>
        <w:tc>
          <w:tcPr>
            <w:tcW w:w="1047" w:type="dxa"/>
          </w:tcPr>
          <w:p w14:paraId="5CF8A147" w14:textId="77777777" w:rsidR="00D471D0" w:rsidRPr="006B5701" w:rsidRDefault="00D471D0" w:rsidP="009B1D63">
            <w:pPr>
              <w:tabs>
                <w:tab w:val="left" w:pos="2700"/>
              </w:tabs>
              <w:jc w:val="left"/>
              <w:rPr>
                <w:szCs w:val="22"/>
                <w:lang w:val="sr-Latn-CS"/>
              </w:rPr>
            </w:pPr>
          </w:p>
        </w:tc>
      </w:tr>
      <w:tr w:rsidR="00A03D75" w:rsidRPr="00693548" w14:paraId="7D655C06" w14:textId="77777777" w:rsidTr="009B1D63">
        <w:tc>
          <w:tcPr>
            <w:tcW w:w="1526" w:type="dxa"/>
          </w:tcPr>
          <w:p w14:paraId="1F376908" w14:textId="2A9347C0" w:rsidR="00D471D0" w:rsidRPr="006B5701" w:rsidRDefault="00D471D0" w:rsidP="009B1D63">
            <w:pPr>
              <w:tabs>
                <w:tab w:val="left" w:pos="2700"/>
              </w:tabs>
              <w:jc w:val="left"/>
              <w:rPr>
                <w:szCs w:val="22"/>
                <w:lang w:val="sr-Latn-CS"/>
              </w:rPr>
            </w:pPr>
            <w:r w:rsidRPr="006B5701">
              <w:rPr>
                <w:szCs w:val="22"/>
                <w:lang w:val="sr-Latn-CS"/>
              </w:rPr>
              <w:t>Opšti poremećaji i reakcije na m</w:t>
            </w:r>
            <w:r w:rsidR="000C3752">
              <w:rPr>
                <w:szCs w:val="22"/>
                <w:lang w:val="sr-Latn-CS"/>
              </w:rPr>
              <w:t>j</w:t>
            </w:r>
            <w:r w:rsidRPr="006B5701">
              <w:rPr>
                <w:szCs w:val="22"/>
                <w:lang w:val="sr-Latn-CS"/>
              </w:rPr>
              <w:t>estu prim</w:t>
            </w:r>
            <w:r w:rsidR="000C3752">
              <w:rPr>
                <w:szCs w:val="22"/>
                <w:lang w:val="sr-Latn-CS"/>
              </w:rPr>
              <w:t>j</w:t>
            </w:r>
            <w:r w:rsidRPr="006B5701">
              <w:rPr>
                <w:szCs w:val="22"/>
                <w:lang w:val="sr-Latn-CS"/>
              </w:rPr>
              <w:t>ene</w:t>
            </w:r>
          </w:p>
          <w:p w14:paraId="2BC511C1" w14:textId="77777777" w:rsidR="00D471D0" w:rsidRPr="006B5701" w:rsidRDefault="00D471D0" w:rsidP="009B1D63">
            <w:pPr>
              <w:tabs>
                <w:tab w:val="left" w:pos="2700"/>
              </w:tabs>
              <w:jc w:val="left"/>
              <w:rPr>
                <w:szCs w:val="22"/>
                <w:lang w:val="sr-Latn-CS"/>
              </w:rPr>
            </w:pPr>
          </w:p>
        </w:tc>
        <w:tc>
          <w:tcPr>
            <w:tcW w:w="1417" w:type="dxa"/>
          </w:tcPr>
          <w:p w14:paraId="4246D548" w14:textId="77777777" w:rsidR="00D471D0" w:rsidRPr="006B5701" w:rsidRDefault="00D471D0" w:rsidP="009B1D63">
            <w:pPr>
              <w:tabs>
                <w:tab w:val="left" w:pos="2700"/>
              </w:tabs>
              <w:jc w:val="left"/>
              <w:rPr>
                <w:szCs w:val="22"/>
                <w:lang w:val="sr-Latn-CS"/>
              </w:rPr>
            </w:pPr>
          </w:p>
        </w:tc>
        <w:tc>
          <w:tcPr>
            <w:tcW w:w="1276" w:type="dxa"/>
          </w:tcPr>
          <w:p w14:paraId="3270FF87" w14:textId="77777777" w:rsidR="00D471D0" w:rsidRPr="006B5701" w:rsidRDefault="00D471D0" w:rsidP="009B1D63">
            <w:pPr>
              <w:tabs>
                <w:tab w:val="left" w:pos="2700"/>
              </w:tabs>
              <w:jc w:val="left"/>
              <w:rPr>
                <w:szCs w:val="22"/>
                <w:lang w:val="sr-Latn-CS"/>
              </w:rPr>
            </w:pPr>
            <w:r w:rsidRPr="006B5701">
              <w:rPr>
                <w:szCs w:val="22"/>
                <w:lang w:val="sr-Latn-CS"/>
              </w:rPr>
              <w:t>zamor, periferni edem</w:t>
            </w:r>
          </w:p>
          <w:p w14:paraId="3407A5C0" w14:textId="77777777" w:rsidR="00D471D0" w:rsidRPr="006B5701" w:rsidRDefault="00D471D0" w:rsidP="009B1D63">
            <w:pPr>
              <w:tabs>
                <w:tab w:val="left" w:pos="2700"/>
              </w:tabs>
              <w:jc w:val="left"/>
              <w:rPr>
                <w:szCs w:val="22"/>
                <w:lang w:val="sr-Latn-CS"/>
              </w:rPr>
            </w:pPr>
          </w:p>
        </w:tc>
        <w:tc>
          <w:tcPr>
            <w:tcW w:w="1701" w:type="dxa"/>
          </w:tcPr>
          <w:p w14:paraId="246E8A13" w14:textId="77777777" w:rsidR="00D471D0" w:rsidRPr="006B5701" w:rsidRDefault="00D471D0" w:rsidP="009B1D63">
            <w:pPr>
              <w:tabs>
                <w:tab w:val="left" w:pos="2700"/>
              </w:tabs>
              <w:jc w:val="left"/>
              <w:rPr>
                <w:szCs w:val="22"/>
                <w:lang w:val="sr-Latn-CS"/>
              </w:rPr>
            </w:pPr>
          </w:p>
        </w:tc>
        <w:tc>
          <w:tcPr>
            <w:tcW w:w="1418" w:type="dxa"/>
          </w:tcPr>
          <w:p w14:paraId="3FB3ADC7" w14:textId="77777777" w:rsidR="00D471D0" w:rsidRPr="006B5701" w:rsidRDefault="00D471D0" w:rsidP="009B1D63">
            <w:pPr>
              <w:tabs>
                <w:tab w:val="left" w:pos="2700"/>
              </w:tabs>
              <w:jc w:val="left"/>
              <w:rPr>
                <w:szCs w:val="22"/>
                <w:lang w:val="sr-Latn-CS"/>
              </w:rPr>
            </w:pPr>
          </w:p>
        </w:tc>
        <w:tc>
          <w:tcPr>
            <w:tcW w:w="1047" w:type="dxa"/>
          </w:tcPr>
          <w:p w14:paraId="6B1E91F1" w14:textId="77777777" w:rsidR="00D471D0" w:rsidRPr="006B5701" w:rsidRDefault="00D471D0" w:rsidP="009B1D63">
            <w:pPr>
              <w:tabs>
                <w:tab w:val="left" w:pos="2700"/>
              </w:tabs>
              <w:jc w:val="left"/>
              <w:rPr>
                <w:szCs w:val="22"/>
                <w:lang w:val="sr-Latn-CS"/>
              </w:rPr>
            </w:pPr>
            <w:r w:rsidRPr="006B5701">
              <w:rPr>
                <w:szCs w:val="22"/>
                <w:lang w:val="sr-Latn-CS"/>
              </w:rPr>
              <w:t>sindrom obustave agonista dopamina, uključujući</w:t>
            </w:r>
          </w:p>
          <w:p w14:paraId="0ED1C4E9" w14:textId="77777777" w:rsidR="00D471D0" w:rsidRPr="006B5701" w:rsidRDefault="00D471D0" w:rsidP="009B1D63">
            <w:pPr>
              <w:tabs>
                <w:tab w:val="left" w:pos="2700"/>
              </w:tabs>
              <w:jc w:val="left"/>
              <w:rPr>
                <w:szCs w:val="22"/>
                <w:lang w:val="sr-Latn-CS"/>
              </w:rPr>
            </w:pPr>
            <w:r w:rsidRPr="006B5701">
              <w:rPr>
                <w:szCs w:val="22"/>
                <w:lang w:val="sr-Latn-CS"/>
              </w:rPr>
              <w:t>apatiju,</w:t>
            </w:r>
          </w:p>
          <w:p w14:paraId="207BE9F3" w14:textId="77777777" w:rsidR="00D471D0" w:rsidRPr="006B5701" w:rsidRDefault="00D471D0" w:rsidP="009B1D63">
            <w:pPr>
              <w:tabs>
                <w:tab w:val="left" w:pos="2700"/>
              </w:tabs>
              <w:jc w:val="left"/>
              <w:rPr>
                <w:szCs w:val="22"/>
                <w:lang w:val="sr-Latn-CS"/>
              </w:rPr>
            </w:pPr>
            <w:r w:rsidRPr="006B5701">
              <w:rPr>
                <w:szCs w:val="22"/>
                <w:lang w:val="sr-Latn-CS"/>
              </w:rPr>
              <w:t>anksioznost,</w:t>
            </w:r>
          </w:p>
          <w:p w14:paraId="4CCAD7CF" w14:textId="77777777" w:rsidR="00D471D0" w:rsidRPr="006B5701" w:rsidRDefault="00D471D0" w:rsidP="009B1D63">
            <w:pPr>
              <w:tabs>
                <w:tab w:val="left" w:pos="2700"/>
              </w:tabs>
              <w:jc w:val="left"/>
              <w:rPr>
                <w:szCs w:val="22"/>
                <w:lang w:val="sr-Latn-CS"/>
              </w:rPr>
            </w:pPr>
            <w:r w:rsidRPr="006B5701">
              <w:rPr>
                <w:szCs w:val="22"/>
                <w:lang w:val="sr-Latn-CS"/>
              </w:rPr>
              <w:t>depresiju,</w:t>
            </w:r>
          </w:p>
          <w:p w14:paraId="1CC5F372" w14:textId="77777777" w:rsidR="00D471D0" w:rsidRPr="006B5701" w:rsidRDefault="00D471D0" w:rsidP="009B1D63">
            <w:pPr>
              <w:tabs>
                <w:tab w:val="left" w:pos="2700"/>
              </w:tabs>
              <w:jc w:val="left"/>
              <w:rPr>
                <w:szCs w:val="22"/>
                <w:lang w:val="sr-Latn-CS"/>
              </w:rPr>
            </w:pPr>
            <w:r w:rsidRPr="006B5701">
              <w:rPr>
                <w:szCs w:val="22"/>
                <w:lang w:val="sr-Latn-CS"/>
              </w:rPr>
              <w:t>zamor,</w:t>
            </w:r>
          </w:p>
          <w:p w14:paraId="71192EAF" w14:textId="77777777" w:rsidR="00D471D0" w:rsidRPr="006B5701" w:rsidRDefault="00D471D0" w:rsidP="009B1D63">
            <w:pPr>
              <w:tabs>
                <w:tab w:val="left" w:pos="2700"/>
              </w:tabs>
              <w:jc w:val="left"/>
              <w:rPr>
                <w:szCs w:val="22"/>
                <w:lang w:val="sr-Latn-CS"/>
              </w:rPr>
            </w:pPr>
            <w:r w:rsidRPr="006B5701">
              <w:rPr>
                <w:szCs w:val="22"/>
                <w:lang w:val="sr-Latn-CS"/>
              </w:rPr>
              <w:t>znojenje i</w:t>
            </w:r>
          </w:p>
          <w:p w14:paraId="6E20DA58" w14:textId="77777777" w:rsidR="00D471D0" w:rsidRPr="006B5701" w:rsidRDefault="00D471D0" w:rsidP="009B1D63">
            <w:pPr>
              <w:tabs>
                <w:tab w:val="left" w:pos="2700"/>
              </w:tabs>
              <w:jc w:val="left"/>
              <w:rPr>
                <w:szCs w:val="22"/>
                <w:lang w:val="sr-Latn-CS"/>
              </w:rPr>
            </w:pPr>
            <w:r w:rsidRPr="006B5701">
              <w:rPr>
                <w:szCs w:val="22"/>
                <w:lang w:val="sr-Latn-CS"/>
              </w:rPr>
              <w:t>bol</w:t>
            </w:r>
          </w:p>
        </w:tc>
      </w:tr>
      <w:tr w:rsidR="00A03D75" w:rsidRPr="006B5701" w14:paraId="435173C0" w14:textId="77777777" w:rsidTr="009B1D63">
        <w:tc>
          <w:tcPr>
            <w:tcW w:w="1526" w:type="dxa"/>
          </w:tcPr>
          <w:p w14:paraId="34884E56" w14:textId="77777777" w:rsidR="00D471D0" w:rsidRPr="006B5701" w:rsidRDefault="002D0337" w:rsidP="009B1D63">
            <w:pPr>
              <w:tabs>
                <w:tab w:val="left" w:pos="2700"/>
              </w:tabs>
              <w:jc w:val="left"/>
              <w:rPr>
                <w:szCs w:val="22"/>
                <w:lang w:val="sr-Latn-CS"/>
              </w:rPr>
            </w:pPr>
            <w:r w:rsidRPr="006B5701">
              <w:rPr>
                <w:szCs w:val="22"/>
                <w:lang w:val="sr-Latn-CS"/>
              </w:rPr>
              <w:t>I</w:t>
            </w:r>
            <w:r w:rsidR="00D471D0" w:rsidRPr="006B5701">
              <w:rPr>
                <w:szCs w:val="22"/>
                <w:lang w:val="sr-Latn-CS"/>
              </w:rPr>
              <w:t>spitivanja</w:t>
            </w:r>
          </w:p>
        </w:tc>
        <w:tc>
          <w:tcPr>
            <w:tcW w:w="1417" w:type="dxa"/>
          </w:tcPr>
          <w:p w14:paraId="6C321254" w14:textId="77777777" w:rsidR="00D471D0" w:rsidRPr="006B5701" w:rsidRDefault="00D471D0" w:rsidP="009B1D63">
            <w:pPr>
              <w:tabs>
                <w:tab w:val="left" w:pos="2700"/>
              </w:tabs>
              <w:jc w:val="left"/>
              <w:rPr>
                <w:szCs w:val="22"/>
                <w:lang w:val="sr-Latn-CS"/>
              </w:rPr>
            </w:pPr>
          </w:p>
        </w:tc>
        <w:tc>
          <w:tcPr>
            <w:tcW w:w="1276" w:type="dxa"/>
          </w:tcPr>
          <w:p w14:paraId="57F61F98" w14:textId="48433C07" w:rsidR="00D471D0" w:rsidRPr="006B5701" w:rsidRDefault="00D471D0" w:rsidP="009B1D63">
            <w:pPr>
              <w:tabs>
                <w:tab w:val="left" w:pos="2700"/>
              </w:tabs>
              <w:jc w:val="left"/>
              <w:rPr>
                <w:szCs w:val="22"/>
                <w:lang w:val="sr-Latn-CS"/>
              </w:rPr>
            </w:pPr>
            <w:r w:rsidRPr="006B5701">
              <w:rPr>
                <w:szCs w:val="22"/>
                <w:lang w:val="sr-Latn-CS"/>
              </w:rPr>
              <w:t>smanjenje t</w:t>
            </w:r>
            <w:r w:rsidR="000C3752">
              <w:rPr>
                <w:szCs w:val="22"/>
                <w:lang w:val="sr-Latn-CS"/>
              </w:rPr>
              <w:t>j</w:t>
            </w:r>
            <w:r w:rsidRPr="006B5701">
              <w:rPr>
                <w:szCs w:val="22"/>
                <w:lang w:val="sr-Latn-CS"/>
              </w:rPr>
              <w:t xml:space="preserve">elesne </w:t>
            </w:r>
            <w:r w:rsidRPr="006B5701">
              <w:rPr>
                <w:szCs w:val="22"/>
                <w:lang w:val="sr-Latn-CS"/>
              </w:rPr>
              <w:lastRenderedPageBreak/>
              <w:t>mase uključujući smanjenje apetita</w:t>
            </w:r>
          </w:p>
        </w:tc>
        <w:tc>
          <w:tcPr>
            <w:tcW w:w="1701" w:type="dxa"/>
          </w:tcPr>
          <w:p w14:paraId="1826E675" w14:textId="5662BAC6" w:rsidR="00D471D0" w:rsidRPr="006B5701" w:rsidRDefault="00D471D0" w:rsidP="009B1D63">
            <w:pPr>
              <w:tabs>
                <w:tab w:val="left" w:pos="2700"/>
              </w:tabs>
              <w:jc w:val="left"/>
              <w:rPr>
                <w:szCs w:val="22"/>
                <w:lang w:val="sr-Latn-CS"/>
              </w:rPr>
            </w:pPr>
            <w:r w:rsidRPr="006B5701">
              <w:rPr>
                <w:szCs w:val="22"/>
                <w:lang w:val="sr-Latn-CS"/>
              </w:rPr>
              <w:lastRenderedPageBreak/>
              <w:t>povećanje t</w:t>
            </w:r>
            <w:r w:rsidR="000C3752">
              <w:rPr>
                <w:szCs w:val="22"/>
                <w:lang w:val="sr-Latn-CS"/>
              </w:rPr>
              <w:t>j</w:t>
            </w:r>
            <w:r w:rsidRPr="006B5701">
              <w:rPr>
                <w:szCs w:val="22"/>
                <w:lang w:val="sr-Latn-CS"/>
              </w:rPr>
              <w:t>elesne mase</w:t>
            </w:r>
          </w:p>
          <w:p w14:paraId="2763E0FC" w14:textId="77777777" w:rsidR="00D471D0" w:rsidRPr="006B5701" w:rsidRDefault="00D471D0" w:rsidP="009B1D63">
            <w:pPr>
              <w:tabs>
                <w:tab w:val="left" w:pos="2700"/>
              </w:tabs>
              <w:jc w:val="left"/>
              <w:rPr>
                <w:szCs w:val="22"/>
                <w:lang w:val="sr-Latn-CS"/>
              </w:rPr>
            </w:pPr>
          </w:p>
        </w:tc>
        <w:tc>
          <w:tcPr>
            <w:tcW w:w="1418" w:type="dxa"/>
          </w:tcPr>
          <w:p w14:paraId="3DBAEC27" w14:textId="77777777" w:rsidR="00D471D0" w:rsidRPr="006B5701" w:rsidRDefault="00D471D0" w:rsidP="009B1D63">
            <w:pPr>
              <w:tabs>
                <w:tab w:val="left" w:pos="2700"/>
              </w:tabs>
              <w:jc w:val="left"/>
              <w:rPr>
                <w:szCs w:val="22"/>
                <w:lang w:val="sr-Latn-CS"/>
              </w:rPr>
            </w:pPr>
          </w:p>
        </w:tc>
        <w:tc>
          <w:tcPr>
            <w:tcW w:w="1047" w:type="dxa"/>
          </w:tcPr>
          <w:p w14:paraId="47026E62" w14:textId="77777777" w:rsidR="00D471D0" w:rsidRPr="006B5701" w:rsidRDefault="00D471D0" w:rsidP="009B1D63">
            <w:pPr>
              <w:tabs>
                <w:tab w:val="left" w:pos="2700"/>
              </w:tabs>
              <w:jc w:val="left"/>
              <w:rPr>
                <w:szCs w:val="22"/>
                <w:lang w:val="sr-Latn-CS"/>
              </w:rPr>
            </w:pPr>
          </w:p>
        </w:tc>
      </w:tr>
    </w:tbl>
    <w:p w14:paraId="26D277E6" w14:textId="760A90A3" w:rsidR="009B1D63" w:rsidRPr="006B5701" w:rsidRDefault="009B1D63" w:rsidP="00C76D6B">
      <w:pPr>
        <w:pStyle w:val="PIbodytext"/>
        <w:tabs>
          <w:tab w:val="left" w:pos="0"/>
        </w:tabs>
        <w:jc w:val="both"/>
        <w:rPr>
          <w:rFonts w:ascii="Times New Roman" w:hAnsi="Times New Roman"/>
          <w:noProof w:val="0"/>
          <w:szCs w:val="22"/>
          <w:lang w:val="sr-Latn-CS"/>
        </w:rPr>
      </w:pPr>
      <w:r w:rsidRPr="006B5701">
        <w:rPr>
          <w:rFonts w:ascii="Times New Roman" w:hAnsi="Times New Roman"/>
          <w:noProof w:val="0"/>
          <w:szCs w:val="22"/>
          <w:vertAlign w:val="superscript"/>
          <w:lang w:val="sr-Latn-CS"/>
        </w:rPr>
        <w:t>1</w:t>
      </w:r>
      <w:r w:rsidRPr="006B5701">
        <w:rPr>
          <w:rFonts w:ascii="Times New Roman" w:hAnsi="Times New Roman"/>
          <w:noProof w:val="0"/>
          <w:szCs w:val="22"/>
          <w:lang w:val="sr-Latn-CS"/>
        </w:rPr>
        <w:t>Ovo neželjeno dejstvo je zab</w:t>
      </w:r>
      <w:r w:rsidR="000C3752">
        <w:rPr>
          <w:rFonts w:ascii="Times New Roman" w:hAnsi="Times New Roman"/>
          <w:noProof w:val="0"/>
          <w:szCs w:val="22"/>
          <w:lang w:val="sr-Latn-CS"/>
        </w:rPr>
        <w:t>i</w:t>
      </w:r>
      <w:r w:rsidRPr="006B5701">
        <w:rPr>
          <w:rFonts w:ascii="Times New Roman" w:hAnsi="Times New Roman"/>
          <w:noProof w:val="0"/>
          <w:szCs w:val="22"/>
          <w:lang w:val="sr-Latn-CS"/>
        </w:rPr>
        <w:t>l</w:t>
      </w:r>
      <w:r w:rsidR="000C3752">
        <w:rPr>
          <w:rFonts w:ascii="Times New Roman" w:hAnsi="Times New Roman"/>
          <w:noProof w:val="0"/>
          <w:szCs w:val="22"/>
          <w:lang w:val="sr-Latn-CS"/>
        </w:rPr>
        <w:t>j</w:t>
      </w:r>
      <w:r w:rsidRPr="006B5701">
        <w:rPr>
          <w:rFonts w:ascii="Times New Roman" w:hAnsi="Times New Roman"/>
          <w:noProof w:val="0"/>
          <w:szCs w:val="22"/>
          <w:lang w:val="sr-Latn-CS"/>
        </w:rPr>
        <w:t>eženo nakon puštanja l</w:t>
      </w:r>
      <w:r w:rsidR="000C3752">
        <w:rPr>
          <w:rFonts w:ascii="Times New Roman" w:hAnsi="Times New Roman"/>
          <w:noProof w:val="0"/>
          <w:szCs w:val="22"/>
          <w:lang w:val="sr-Latn-CS"/>
        </w:rPr>
        <w:t>ij</w:t>
      </w:r>
      <w:r w:rsidRPr="006B5701">
        <w:rPr>
          <w:rFonts w:ascii="Times New Roman" w:hAnsi="Times New Roman"/>
          <w:noProof w:val="0"/>
          <w:szCs w:val="22"/>
          <w:lang w:val="sr-Latn-CS"/>
        </w:rPr>
        <w:t>eka u promet (postmarketinško iskustvo). Sa sigurnošću od 95% kategorija učestalosti ne prelazi povremenu, ali može da bude niža. Precizna proc</w:t>
      </w:r>
      <w:r w:rsidR="000C3752">
        <w:rPr>
          <w:rFonts w:ascii="Times New Roman" w:hAnsi="Times New Roman"/>
          <w:noProof w:val="0"/>
          <w:szCs w:val="22"/>
          <w:lang w:val="sr-Latn-CS"/>
        </w:rPr>
        <w:t>j</w:t>
      </w:r>
      <w:r w:rsidRPr="006B5701">
        <w:rPr>
          <w:rFonts w:ascii="Times New Roman" w:hAnsi="Times New Roman"/>
          <w:noProof w:val="0"/>
          <w:szCs w:val="22"/>
          <w:lang w:val="sr-Latn-CS"/>
        </w:rPr>
        <w:t>ena učestalosti nije moguća, jer se ovo neželjeno dejstvo nije pojavilo u bazi podataka kliničkih istraživanja na 2762 pacijenta sa Parkinsonovom bolešću koji su l</w:t>
      </w:r>
      <w:r w:rsidR="000C3752">
        <w:rPr>
          <w:rFonts w:ascii="Times New Roman" w:hAnsi="Times New Roman"/>
          <w:noProof w:val="0"/>
          <w:szCs w:val="22"/>
          <w:lang w:val="sr-Latn-CS"/>
        </w:rPr>
        <w:t>ij</w:t>
      </w:r>
      <w:r w:rsidRPr="006B5701">
        <w:rPr>
          <w:rFonts w:ascii="Times New Roman" w:hAnsi="Times New Roman"/>
          <w:noProof w:val="0"/>
          <w:szCs w:val="22"/>
          <w:lang w:val="sr-Latn-CS"/>
        </w:rPr>
        <w:t>ečeni pramipeksolom.</w:t>
      </w:r>
    </w:p>
    <w:p w14:paraId="734E82A6" w14:textId="77777777" w:rsidR="00A37018" w:rsidRPr="006B5701" w:rsidRDefault="00A37018" w:rsidP="004B21C0">
      <w:pPr>
        <w:tabs>
          <w:tab w:val="clear" w:pos="284"/>
        </w:tabs>
        <w:autoSpaceDE w:val="0"/>
        <w:autoSpaceDN w:val="0"/>
        <w:adjustRightInd w:val="0"/>
        <w:jc w:val="left"/>
        <w:rPr>
          <w:szCs w:val="22"/>
          <w:u w:val="single"/>
          <w:lang w:val="sr-Latn-CS" w:bidi="ne-NP"/>
        </w:rPr>
      </w:pPr>
    </w:p>
    <w:p w14:paraId="25F7212D" w14:textId="77777777" w:rsidR="004B21C0" w:rsidRPr="006B5701" w:rsidRDefault="004B21C0" w:rsidP="004B21C0">
      <w:pPr>
        <w:tabs>
          <w:tab w:val="clear" w:pos="284"/>
        </w:tabs>
        <w:autoSpaceDE w:val="0"/>
        <w:autoSpaceDN w:val="0"/>
        <w:adjustRightInd w:val="0"/>
        <w:jc w:val="left"/>
        <w:rPr>
          <w:i/>
          <w:szCs w:val="22"/>
          <w:u w:val="single"/>
          <w:lang w:val="sr-Latn-CS" w:bidi="ne-NP"/>
        </w:rPr>
      </w:pPr>
      <w:r w:rsidRPr="006B5701">
        <w:rPr>
          <w:szCs w:val="22"/>
          <w:u w:val="single"/>
          <w:lang w:val="sr-Latn-CS" w:bidi="ne-NP"/>
        </w:rPr>
        <w:t xml:space="preserve">Sindrom nemirnih nogu, najčešće neželjene reakcije </w:t>
      </w:r>
    </w:p>
    <w:p w14:paraId="14C09364" w14:textId="54802684" w:rsidR="004B21C0" w:rsidRPr="006B5701" w:rsidRDefault="004B21C0" w:rsidP="00C76D6B">
      <w:pPr>
        <w:tabs>
          <w:tab w:val="clear" w:pos="284"/>
        </w:tabs>
        <w:autoSpaceDE w:val="0"/>
        <w:autoSpaceDN w:val="0"/>
        <w:adjustRightInd w:val="0"/>
        <w:rPr>
          <w:szCs w:val="22"/>
          <w:lang w:val="sr-Latn-CS" w:bidi="ne-NP"/>
        </w:rPr>
      </w:pPr>
      <w:r w:rsidRPr="006B5701">
        <w:rPr>
          <w:szCs w:val="22"/>
          <w:lang w:val="sr-Latn-CS" w:bidi="ne-NP"/>
        </w:rPr>
        <w:t>Najčešće (≥ 5%) prijavljene neželjene reakcije kod pacijenata sa sindromom nemirnih nogu koji su l</w:t>
      </w:r>
      <w:r w:rsidR="000C3752">
        <w:rPr>
          <w:szCs w:val="22"/>
          <w:lang w:val="sr-Latn-CS" w:bidi="ne-NP"/>
        </w:rPr>
        <w:t>ij</w:t>
      </w:r>
      <w:r w:rsidRPr="006B5701">
        <w:rPr>
          <w:szCs w:val="22"/>
          <w:lang w:val="sr-Latn-CS" w:bidi="ne-NP"/>
        </w:rPr>
        <w:t>ečeni sa pramipeksolom su bile mučnina, glavobolja, vrtoglavica i zamor. Mučnina i zamor su bili češće prijavljivani kod pacijentkinja koje su uzimale l</w:t>
      </w:r>
      <w:r w:rsidR="000C3752">
        <w:rPr>
          <w:szCs w:val="22"/>
          <w:lang w:val="sr-Latn-CS" w:bidi="ne-NP"/>
        </w:rPr>
        <w:t>ij</w:t>
      </w:r>
      <w:r w:rsidRPr="006B5701">
        <w:rPr>
          <w:szCs w:val="22"/>
          <w:lang w:val="sr-Latn-CS" w:bidi="ne-NP"/>
        </w:rPr>
        <w:t xml:space="preserve">ek </w:t>
      </w:r>
      <w:r w:rsidR="0083579A">
        <w:rPr>
          <w:bCs/>
          <w:szCs w:val="22"/>
          <w:lang w:val="sr-Latn-CS"/>
        </w:rPr>
        <w:t>Mirapexin</w:t>
      </w:r>
      <w:r w:rsidRPr="006B5701">
        <w:rPr>
          <w:szCs w:val="22"/>
          <w:lang w:val="sr-Latn-CS" w:bidi="ne-NP"/>
        </w:rPr>
        <w:t xml:space="preserve"> (20,8%, odnosno 10,5%) u odnosu na pacijente muškog pola (6,7%, odnosno 7,3%).</w:t>
      </w:r>
    </w:p>
    <w:p w14:paraId="3AE32737" w14:textId="77777777" w:rsidR="00364E31" w:rsidRPr="006B5701" w:rsidRDefault="00364E31" w:rsidP="00C76D6B">
      <w:pPr>
        <w:tabs>
          <w:tab w:val="left" w:pos="2700"/>
        </w:tabs>
        <w:rPr>
          <w:szCs w:val="22"/>
          <w:lang w:val="sr-Latn-CS"/>
        </w:rPr>
      </w:pPr>
    </w:p>
    <w:p w14:paraId="37643230" w14:textId="77777777" w:rsidR="00B467C5" w:rsidRPr="006B5701" w:rsidRDefault="00B467C5" w:rsidP="004B21C0">
      <w:pPr>
        <w:tabs>
          <w:tab w:val="left" w:pos="2700"/>
        </w:tabs>
        <w:ind w:left="2694" w:hanging="2694"/>
        <w:jc w:val="left"/>
        <w:rPr>
          <w:szCs w:val="22"/>
          <w:lang w:val="sr-Latn-CS" w:bidi="ne-NP"/>
        </w:rPr>
      </w:pPr>
      <w:r w:rsidRPr="006B5701">
        <w:rPr>
          <w:szCs w:val="22"/>
          <w:lang w:val="sr-Latn-CS"/>
        </w:rPr>
        <w:t xml:space="preserve">Tabela 2: </w:t>
      </w:r>
      <w:r w:rsidRPr="006B5701">
        <w:rPr>
          <w:szCs w:val="22"/>
          <w:lang w:val="sr-Latn-CS" w:bidi="ne-NP"/>
        </w:rPr>
        <w:t>Sindrom nemirnih nogu</w:t>
      </w:r>
    </w:p>
    <w:p w14:paraId="19E620AD" w14:textId="77777777" w:rsidR="004B49A8" w:rsidRPr="006B5701" w:rsidRDefault="004B49A8" w:rsidP="004B21C0">
      <w:pPr>
        <w:tabs>
          <w:tab w:val="left" w:pos="2700"/>
        </w:tabs>
        <w:ind w:left="2694" w:hanging="2694"/>
        <w:jc w:val="left"/>
        <w:rPr>
          <w:szCs w:val="22"/>
          <w:lang w:val="sr-Latn-CS"/>
        </w:rPr>
      </w:pPr>
    </w:p>
    <w:tbl>
      <w:tblPr>
        <w:tblStyle w:val="TableGrid"/>
        <w:tblW w:w="0" w:type="auto"/>
        <w:tblLook w:val="04A0" w:firstRow="1" w:lastRow="0" w:firstColumn="1" w:lastColumn="0" w:noHBand="0" w:noVBand="1"/>
      </w:tblPr>
      <w:tblGrid>
        <w:gridCol w:w="1781"/>
        <w:gridCol w:w="1417"/>
        <w:gridCol w:w="1445"/>
        <w:gridCol w:w="2695"/>
        <w:gridCol w:w="2268"/>
      </w:tblGrid>
      <w:tr w:rsidR="00A03D75" w:rsidRPr="006B5701" w14:paraId="67AA53AC" w14:textId="77777777" w:rsidTr="007104D9">
        <w:tc>
          <w:tcPr>
            <w:tcW w:w="1781" w:type="dxa"/>
          </w:tcPr>
          <w:p w14:paraId="2C803A08" w14:textId="77777777" w:rsidR="00A80CF7" w:rsidRPr="006B5701" w:rsidRDefault="00A80CF7" w:rsidP="00046B53">
            <w:pPr>
              <w:tabs>
                <w:tab w:val="left" w:pos="2700"/>
              </w:tabs>
              <w:jc w:val="left"/>
              <w:rPr>
                <w:b/>
                <w:szCs w:val="22"/>
                <w:lang w:val="sr-Latn-CS"/>
              </w:rPr>
            </w:pPr>
            <w:r w:rsidRPr="006B5701">
              <w:rPr>
                <w:b/>
                <w:szCs w:val="22"/>
                <w:lang w:val="sr-Latn-CS"/>
              </w:rPr>
              <w:t>Klasa sistema organa</w:t>
            </w:r>
          </w:p>
        </w:tc>
        <w:tc>
          <w:tcPr>
            <w:tcW w:w="1417" w:type="dxa"/>
          </w:tcPr>
          <w:p w14:paraId="4E3F0CB0" w14:textId="77777777" w:rsidR="00A80CF7" w:rsidRPr="006B5701" w:rsidRDefault="00A80CF7" w:rsidP="00046B53">
            <w:pPr>
              <w:tabs>
                <w:tab w:val="left" w:pos="2700"/>
              </w:tabs>
              <w:jc w:val="left"/>
              <w:rPr>
                <w:b/>
                <w:szCs w:val="22"/>
                <w:lang w:val="sr-Latn-CS"/>
              </w:rPr>
            </w:pPr>
            <w:r w:rsidRPr="006B5701">
              <w:rPr>
                <w:b/>
                <w:szCs w:val="22"/>
              </w:rPr>
              <w:t>Veoma često (≥1/10)</w:t>
            </w:r>
          </w:p>
        </w:tc>
        <w:tc>
          <w:tcPr>
            <w:tcW w:w="1445" w:type="dxa"/>
          </w:tcPr>
          <w:p w14:paraId="63D69639" w14:textId="77777777" w:rsidR="00A80CF7" w:rsidRPr="006B5701" w:rsidRDefault="00A80CF7" w:rsidP="00046B53">
            <w:pPr>
              <w:tabs>
                <w:tab w:val="left" w:pos="2700"/>
              </w:tabs>
              <w:jc w:val="left"/>
              <w:rPr>
                <w:b/>
                <w:szCs w:val="22"/>
              </w:rPr>
            </w:pPr>
            <w:r w:rsidRPr="006B5701">
              <w:rPr>
                <w:b/>
                <w:szCs w:val="22"/>
              </w:rPr>
              <w:t>Često</w:t>
            </w:r>
          </w:p>
          <w:p w14:paraId="3A4E0431" w14:textId="77777777" w:rsidR="00A80CF7" w:rsidRPr="006B5701" w:rsidRDefault="00A80CF7" w:rsidP="00046B53">
            <w:pPr>
              <w:tabs>
                <w:tab w:val="left" w:pos="2700"/>
              </w:tabs>
              <w:jc w:val="left"/>
              <w:rPr>
                <w:b/>
                <w:szCs w:val="22"/>
                <w:lang w:val="sr-Latn-CS"/>
              </w:rPr>
            </w:pPr>
            <w:r w:rsidRPr="006B5701">
              <w:rPr>
                <w:b/>
                <w:szCs w:val="22"/>
              </w:rPr>
              <w:t>(≥1/100 do &lt;1/10)</w:t>
            </w:r>
          </w:p>
        </w:tc>
        <w:tc>
          <w:tcPr>
            <w:tcW w:w="2695" w:type="dxa"/>
          </w:tcPr>
          <w:p w14:paraId="5E038C76" w14:textId="77777777" w:rsidR="00A80CF7" w:rsidRPr="006B5701" w:rsidRDefault="00A80CF7" w:rsidP="00046B53">
            <w:pPr>
              <w:tabs>
                <w:tab w:val="left" w:pos="2700"/>
              </w:tabs>
              <w:jc w:val="left"/>
              <w:rPr>
                <w:b/>
                <w:szCs w:val="22"/>
              </w:rPr>
            </w:pPr>
            <w:r w:rsidRPr="006B5701">
              <w:rPr>
                <w:b/>
                <w:szCs w:val="22"/>
              </w:rPr>
              <w:t>Povremeno</w:t>
            </w:r>
          </w:p>
          <w:p w14:paraId="493081B4" w14:textId="77777777" w:rsidR="00A80CF7" w:rsidRPr="006B5701" w:rsidRDefault="00855C65" w:rsidP="00046B53">
            <w:pPr>
              <w:tabs>
                <w:tab w:val="left" w:pos="2700"/>
              </w:tabs>
              <w:jc w:val="left"/>
              <w:rPr>
                <w:b/>
                <w:szCs w:val="22"/>
                <w:lang w:val="sr-Latn-CS"/>
              </w:rPr>
            </w:pPr>
            <w:r w:rsidRPr="006B5701">
              <w:rPr>
                <w:b/>
                <w:szCs w:val="22"/>
                <w:lang w:val="sr-Latn-CS"/>
              </w:rPr>
              <w:t>(≥1/1</w:t>
            </w:r>
            <w:r w:rsidR="00A80CF7" w:rsidRPr="006B5701">
              <w:rPr>
                <w:b/>
                <w:szCs w:val="22"/>
                <w:lang w:val="sr-Latn-CS"/>
              </w:rPr>
              <w:t>000 do &lt; 1/100)</w:t>
            </w:r>
          </w:p>
        </w:tc>
        <w:tc>
          <w:tcPr>
            <w:tcW w:w="2268" w:type="dxa"/>
          </w:tcPr>
          <w:p w14:paraId="64ECB360" w14:textId="77777777" w:rsidR="00A80CF7" w:rsidRPr="006B5701" w:rsidRDefault="00A80CF7" w:rsidP="00046B53">
            <w:pPr>
              <w:tabs>
                <w:tab w:val="left" w:pos="2700"/>
              </w:tabs>
              <w:jc w:val="left"/>
              <w:rPr>
                <w:b/>
                <w:szCs w:val="22"/>
                <w:lang w:val="sr-Latn-CS"/>
              </w:rPr>
            </w:pPr>
            <w:r w:rsidRPr="006B5701">
              <w:rPr>
                <w:b/>
                <w:szCs w:val="22"/>
                <w:lang w:val="sr-Latn-CS"/>
              </w:rPr>
              <w:t>Nepoznat</w:t>
            </w:r>
            <w:r w:rsidR="00244B5E" w:rsidRPr="006B5701">
              <w:rPr>
                <w:b/>
                <w:szCs w:val="22"/>
                <w:lang w:val="sr-Latn-CS"/>
              </w:rPr>
              <w:t>e učestalosti</w:t>
            </w:r>
          </w:p>
        </w:tc>
      </w:tr>
      <w:tr w:rsidR="00A03D75" w:rsidRPr="006B5701" w14:paraId="0CCF3605" w14:textId="77777777" w:rsidTr="007104D9">
        <w:tc>
          <w:tcPr>
            <w:tcW w:w="1781" w:type="dxa"/>
          </w:tcPr>
          <w:p w14:paraId="0C58D99C" w14:textId="77777777" w:rsidR="00A80CF7" w:rsidRPr="006B5701" w:rsidRDefault="00A80CF7" w:rsidP="00046B53">
            <w:pPr>
              <w:tabs>
                <w:tab w:val="left" w:pos="2700"/>
              </w:tabs>
              <w:jc w:val="left"/>
              <w:rPr>
                <w:szCs w:val="22"/>
                <w:lang w:val="sr-Latn-CS"/>
              </w:rPr>
            </w:pPr>
            <w:r w:rsidRPr="006B5701">
              <w:rPr>
                <w:szCs w:val="22"/>
                <w:lang w:val="sr-Latn-CS"/>
              </w:rPr>
              <w:t>Infekcije i infestacije</w:t>
            </w:r>
          </w:p>
        </w:tc>
        <w:tc>
          <w:tcPr>
            <w:tcW w:w="1417" w:type="dxa"/>
          </w:tcPr>
          <w:p w14:paraId="47A0ED45" w14:textId="77777777" w:rsidR="00A80CF7" w:rsidRPr="006B5701" w:rsidRDefault="00A80CF7" w:rsidP="00046B53">
            <w:pPr>
              <w:tabs>
                <w:tab w:val="left" w:pos="2700"/>
              </w:tabs>
              <w:jc w:val="left"/>
              <w:rPr>
                <w:szCs w:val="22"/>
                <w:lang w:val="sr-Latn-CS"/>
              </w:rPr>
            </w:pPr>
          </w:p>
        </w:tc>
        <w:tc>
          <w:tcPr>
            <w:tcW w:w="1445" w:type="dxa"/>
          </w:tcPr>
          <w:p w14:paraId="03BB415E" w14:textId="77777777" w:rsidR="00A80CF7" w:rsidRPr="006B5701" w:rsidRDefault="00A80CF7" w:rsidP="00046B53">
            <w:pPr>
              <w:tabs>
                <w:tab w:val="left" w:pos="2700"/>
              </w:tabs>
              <w:jc w:val="left"/>
              <w:rPr>
                <w:szCs w:val="22"/>
                <w:lang w:val="sr-Latn-CS"/>
              </w:rPr>
            </w:pPr>
            <w:r w:rsidRPr="006B5701">
              <w:rPr>
                <w:szCs w:val="22"/>
                <w:lang w:val="sr-Latn-CS"/>
              </w:rPr>
              <w:t xml:space="preserve"> </w:t>
            </w:r>
          </w:p>
        </w:tc>
        <w:tc>
          <w:tcPr>
            <w:tcW w:w="2695" w:type="dxa"/>
          </w:tcPr>
          <w:p w14:paraId="41C769B2" w14:textId="6E3F3CD3" w:rsidR="00A80CF7" w:rsidRPr="006B5701" w:rsidRDefault="00E07AAD" w:rsidP="00046B53">
            <w:pPr>
              <w:tabs>
                <w:tab w:val="left" w:pos="2700"/>
              </w:tabs>
              <w:jc w:val="left"/>
              <w:rPr>
                <w:szCs w:val="22"/>
                <w:lang w:val="sr-Latn-CS"/>
              </w:rPr>
            </w:pPr>
            <w:r>
              <w:rPr>
                <w:szCs w:val="22"/>
                <w:lang w:val="sr-Latn-CS"/>
              </w:rPr>
              <w:t>p</w:t>
            </w:r>
            <w:r w:rsidRPr="006B5701">
              <w:rPr>
                <w:szCs w:val="22"/>
                <w:lang w:val="sr-Latn-CS"/>
              </w:rPr>
              <w:t>neumonija</w:t>
            </w:r>
            <w:r w:rsidRPr="006B5701">
              <w:rPr>
                <w:szCs w:val="22"/>
                <w:vertAlign w:val="superscript"/>
                <w:lang w:val="sr-Latn-CS"/>
              </w:rPr>
              <w:t>1</w:t>
            </w:r>
          </w:p>
        </w:tc>
        <w:tc>
          <w:tcPr>
            <w:tcW w:w="2268" w:type="dxa"/>
          </w:tcPr>
          <w:p w14:paraId="1A2EB47F" w14:textId="77777777" w:rsidR="00A80CF7" w:rsidRPr="006B5701" w:rsidRDefault="00A80CF7" w:rsidP="00046B53">
            <w:pPr>
              <w:tabs>
                <w:tab w:val="left" w:pos="2700"/>
              </w:tabs>
              <w:jc w:val="left"/>
              <w:rPr>
                <w:szCs w:val="22"/>
                <w:lang w:val="sr-Latn-CS"/>
              </w:rPr>
            </w:pPr>
          </w:p>
        </w:tc>
      </w:tr>
      <w:tr w:rsidR="00A03D75" w:rsidRPr="006B5701" w14:paraId="707E304A" w14:textId="77777777" w:rsidTr="007104D9">
        <w:tc>
          <w:tcPr>
            <w:tcW w:w="1781" w:type="dxa"/>
          </w:tcPr>
          <w:p w14:paraId="0458150B" w14:textId="77777777" w:rsidR="00A80CF7" w:rsidRPr="006B5701" w:rsidRDefault="00A80CF7" w:rsidP="00A37018">
            <w:pPr>
              <w:tabs>
                <w:tab w:val="left" w:pos="2700"/>
              </w:tabs>
              <w:jc w:val="left"/>
              <w:rPr>
                <w:szCs w:val="22"/>
                <w:lang w:val="sr-Latn-CS"/>
              </w:rPr>
            </w:pPr>
            <w:r w:rsidRPr="006B5701">
              <w:rPr>
                <w:szCs w:val="22"/>
                <w:lang w:val="sr-Latn-CS"/>
              </w:rPr>
              <w:t>Endokrini poremećaji</w:t>
            </w:r>
          </w:p>
        </w:tc>
        <w:tc>
          <w:tcPr>
            <w:tcW w:w="1417" w:type="dxa"/>
          </w:tcPr>
          <w:p w14:paraId="422BF574" w14:textId="77777777" w:rsidR="00A80CF7" w:rsidRPr="006B5701" w:rsidRDefault="00A80CF7" w:rsidP="00046B53">
            <w:pPr>
              <w:tabs>
                <w:tab w:val="left" w:pos="2700"/>
              </w:tabs>
              <w:jc w:val="left"/>
              <w:rPr>
                <w:szCs w:val="22"/>
                <w:lang w:val="sr-Latn-CS"/>
              </w:rPr>
            </w:pPr>
          </w:p>
        </w:tc>
        <w:tc>
          <w:tcPr>
            <w:tcW w:w="1445" w:type="dxa"/>
          </w:tcPr>
          <w:p w14:paraId="2B742E4C" w14:textId="77777777" w:rsidR="00A80CF7" w:rsidRPr="006B5701" w:rsidRDefault="00A80CF7" w:rsidP="00046B53">
            <w:pPr>
              <w:tabs>
                <w:tab w:val="left" w:pos="2700"/>
              </w:tabs>
              <w:jc w:val="left"/>
              <w:rPr>
                <w:szCs w:val="22"/>
                <w:lang w:val="sr-Latn-CS"/>
              </w:rPr>
            </w:pPr>
          </w:p>
        </w:tc>
        <w:tc>
          <w:tcPr>
            <w:tcW w:w="2695" w:type="dxa"/>
          </w:tcPr>
          <w:p w14:paraId="2320D435" w14:textId="77777777" w:rsidR="00A80CF7" w:rsidRPr="006B5701" w:rsidRDefault="00A80CF7" w:rsidP="00046B53">
            <w:pPr>
              <w:tabs>
                <w:tab w:val="left" w:pos="2700"/>
              </w:tabs>
              <w:jc w:val="left"/>
              <w:rPr>
                <w:szCs w:val="22"/>
                <w:vertAlign w:val="superscript"/>
                <w:lang w:val="sr-Latn-CS"/>
              </w:rPr>
            </w:pPr>
            <w:r w:rsidRPr="006B5701">
              <w:rPr>
                <w:szCs w:val="22"/>
                <w:lang w:val="sr-Latn-CS"/>
              </w:rPr>
              <w:t>neadekvatna sekrecija antidiuretskog hormona</w:t>
            </w:r>
            <w:r w:rsidRPr="006B5701">
              <w:rPr>
                <w:szCs w:val="22"/>
                <w:vertAlign w:val="superscript"/>
                <w:lang w:val="sr-Latn-CS"/>
              </w:rPr>
              <w:t>1</w:t>
            </w:r>
          </w:p>
          <w:p w14:paraId="3D79AA61" w14:textId="77777777" w:rsidR="00A80CF7" w:rsidRPr="006B5701" w:rsidRDefault="00A80CF7" w:rsidP="00046B53">
            <w:pPr>
              <w:tabs>
                <w:tab w:val="left" w:pos="2700"/>
              </w:tabs>
              <w:jc w:val="left"/>
              <w:rPr>
                <w:szCs w:val="22"/>
                <w:lang w:val="sr-Latn-CS"/>
              </w:rPr>
            </w:pPr>
          </w:p>
        </w:tc>
        <w:tc>
          <w:tcPr>
            <w:tcW w:w="2268" w:type="dxa"/>
          </w:tcPr>
          <w:p w14:paraId="7F8A1CC2" w14:textId="77777777" w:rsidR="00A80CF7" w:rsidRPr="006B5701" w:rsidRDefault="00A80CF7" w:rsidP="00046B53">
            <w:pPr>
              <w:tabs>
                <w:tab w:val="left" w:pos="2700"/>
              </w:tabs>
              <w:jc w:val="left"/>
              <w:rPr>
                <w:szCs w:val="22"/>
                <w:lang w:val="sr-Latn-CS"/>
              </w:rPr>
            </w:pPr>
          </w:p>
        </w:tc>
      </w:tr>
      <w:tr w:rsidR="00A03D75" w:rsidRPr="00693548" w14:paraId="68697EDE" w14:textId="77777777" w:rsidTr="007104D9">
        <w:tc>
          <w:tcPr>
            <w:tcW w:w="1781" w:type="dxa"/>
          </w:tcPr>
          <w:p w14:paraId="340F83CA" w14:textId="77777777" w:rsidR="00A80CF7" w:rsidRPr="006B5701" w:rsidRDefault="00A80CF7" w:rsidP="00046B53">
            <w:pPr>
              <w:tabs>
                <w:tab w:val="left" w:pos="2700"/>
              </w:tabs>
              <w:jc w:val="left"/>
              <w:rPr>
                <w:szCs w:val="22"/>
                <w:lang w:val="sr-Latn-CS"/>
              </w:rPr>
            </w:pPr>
            <w:r w:rsidRPr="006B5701">
              <w:rPr>
                <w:szCs w:val="22"/>
                <w:lang w:val="sr-Latn-CS"/>
              </w:rPr>
              <w:t>Psihijatrijski poremećaji</w:t>
            </w:r>
          </w:p>
        </w:tc>
        <w:tc>
          <w:tcPr>
            <w:tcW w:w="1417" w:type="dxa"/>
          </w:tcPr>
          <w:p w14:paraId="523FAE6E" w14:textId="77777777" w:rsidR="00A80CF7" w:rsidRPr="006B5701" w:rsidRDefault="00A80CF7" w:rsidP="00046B53">
            <w:pPr>
              <w:tabs>
                <w:tab w:val="left" w:pos="2700"/>
              </w:tabs>
              <w:jc w:val="left"/>
              <w:rPr>
                <w:szCs w:val="22"/>
                <w:lang w:val="sr-Latn-CS"/>
              </w:rPr>
            </w:pPr>
          </w:p>
        </w:tc>
        <w:tc>
          <w:tcPr>
            <w:tcW w:w="1445" w:type="dxa"/>
          </w:tcPr>
          <w:p w14:paraId="701387D3" w14:textId="77777777" w:rsidR="00A80CF7" w:rsidRPr="006B5701" w:rsidRDefault="00A80CF7" w:rsidP="003220F4">
            <w:pPr>
              <w:tabs>
                <w:tab w:val="left" w:pos="2700"/>
              </w:tabs>
              <w:jc w:val="left"/>
              <w:rPr>
                <w:szCs w:val="22"/>
                <w:lang w:val="sr-Latn-CS"/>
              </w:rPr>
            </w:pPr>
            <w:r w:rsidRPr="006B5701">
              <w:rPr>
                <w:szCs w:val="22"/>
                <w:lang w:val="sr-Latn-CS"/>
              </w:rPr>
              <w:t>nesanica, abnormalni snovi</w:t>
            </w:r>
          </w:p>
        </w:tc>
        <w:tc>
          <w:tcPr>
            <w:tcW w:w="2695" w:type="dxa"/>
          </w:tcPr>
          <w:p w14:paraId="384EB000" w14:textId="77777777" w:rsidR="00A80CF7" w:rsidRPr="006B5701" w:rsidRDefault="00A80CF7" w:rsidP="00046B53">
            <w:pPr>
              <w:tabs>
                <w:tab w:val="left" w:pos="2700"/>
              </w:tabs>
              <w:jc w:val="left"/>
              <w:rPr>
                <w:szCs w:val="22"/>
                <w:lang w:val="sr-Latn-CS"/>
              </w:rPr>
            </w:pPr>
            <w:r w:rsidRPr="006B5701">
              <w:rPr>
                <w:szCs w:val="22"/>
                <w:lang w:val="sr-Latn-CS"/>
              </w:rPr>
              <w:t>uznemirenost, konfuzija, halucinacije, poremećaji libida, pojava sumanutih ideja</w:t>
            </w:r>
            <w:r w:rsidRPr="006B5701">
              <w:rPr>
                <w:szCs w:val="22"/>
                <w:vertAlign w:val="superscript"/>
                <w:lang w:val="sr-Latn-CS"/>
              </w:rPr>
              <w:t>1</w:t>
            </w:r>
            <w:r w:rsidRPr="006B5701">
              <w:rPr>
                <w:szCs w:val="22"/>
                <w:lang w:val="sr-Latn-CS"/>
              </w:rPr>
              <w:t>,</w:t>
            </w:r>
          </w:p>
          <w:p w14:paraId="3DC2BDB3" w14:textId="77777777" w:rsidR="00A80CF7" w:rsidRPr="006B5701" w:rsidRDefault="00A80CF7" w:rsidP="00046B53">
            <w:pPr>
              <w:tabs>
                <w:tab w:val="left" w:pos="2700"/>
              </w:tabs>
              <w:jc w:val="left"/>
              <w:rPr>
                <w:szCs w:val="22"/>
                <w:lang w:val="sr-Latn-CS"/>
              </w:rPr>
            </w:pPr>
            <w:r w:rsidRPr="006B5701">
              <w:rPr>
                <w:szCs w:val="22"/>
                <w:lang w:val="sr-Latn-CS"/>
              </w:rPr>
              <w:t>hiperfagija</w:t>
            </w:r>
            <w:r w:rsidRPr="006B5701">
              <w:rPr>
                <w:szCs w:val="22"/>
                <w:vertAlign w:val="superscript"/>
                <w:lang w:val="sr-Latn-CS"/>
              </w:rPr>
              <w:t>1</w:t>
            </w:r>
            <w:r w:rsidRPr="006B5701">
              <w:rPr>
                <w:szCs w:val="22"/>
                <w:lang w:val="sr-Latn-CS"/>
              </w:rPr>
              <w:t>, paranoja</w:t>
            </w:r>
            <w:r w:rsidRPr="006B5701">
              <w:rPr>
                <w:szCs w:val="22"/>
                <w:vertAlign w:val="superscript"/>
                <w:lang w:val="sr-Latn-CS"/>
              </w:rPr>
              <w:t>1</w:t>
            </w:r>
            <w:r w:rsidRPr="006B5701">
              <w:rPr>
                <w:szCs w:val="22"/>
                <w:lang w:val="sr-Latn-CS"/>
              </w:rPr>
              <w:t xml:space="preserve">, </w:t>
            </w:r>
          </w:p>
          <w:p w14:paraId="72F463BA" w14:textId="77777777" w:rsidR="00A80CF7" w:rsidRPr="006B5701" w:rsidRDefault="00A80CF7" w:rsidP="00046B53">
            <w:pPr>
              <w:tabs>
                <w:tab w:val="left" w:pos="2700"/>
              </w:tabs>
              <w:jc w:val="left"/>
              <w:rPr>
                <w:szCs w:val="22"/>
                <w:lang w:val="sr-Latn-CS"/>
              </w:rPr>
            </w:pPr>
            <w:r w:rsidRPr="006B5701">
              <w:rPr>
                <w:szCs w:val="22"/>
                <w:lang w:val="sr-Latn-CS"/>
              </w:rPr>
              <w:t>manija</w:t>
            </w:r>
            <w:r w:rsidRPr="006B5701">
              <w:rPr>
                <w:szCs w:val="22"/>
                <w:vertAlign w:val="superscript"/>
                <w:lang w:val="sr-Latn-CS"/>
              </w:rPr>
              <w:t>1</w:t>
            </w:r>
            <w:r w:rsidRPr="006B5701">
              <w:rPr>
                <w:szCs w:val="22"/>
                <w:lang w:val="sr-Latn-CS"/>
              </w:rPr>
              <w:t xml:space="preserve">, </w:t>
            </w:r>
          </w:p>
          <w:p w14:paraId="24A2BF66" w14:textId="77777777" w:rsidR="00A80CF7" w:rsidRPr="006B5701" w:rsidRDefault="00A80CF7" w:rsidP="00046B53">
            <w:pPr>
              <w:tabs>
                <w:tab w:val="left" w:pos="2700"/>
              </w:tabs>
              <w:jc w:val="left"/>
              <w:rPr>
                <w:szCs w:val="22"/>
                <w:lang w:val="sr-Latn-CS"/>
              </w:rPr>
            </w:pPr>
            <w:r w:rsidRPr="006B5701">
              <w:rPr>
                <w:szCs w:val="22"/>
                <w:lang w:val="sr-Latn-CS"/>
              </w:rPr>
              <w:t>delirijum</w:t>
            </w:r>
            <w:r w:rsidRPr="006B5701">
              <w:rPr>
                <w:szCs w:val="22"/>
                <w:vertAlign w:val="superscript"/>
                <w:lang w:val="sr-Latn-CS"/>
              </w:rPr>
              <w:t>1</w:t>
            </w:r>
            <w:r w:rsidRPr="006B5701">
              <w:rPr>
                <w:szCs w:val="22"/>
                <w:lang w:val="sr-Latn-CS"/>
              </w:rPr>
              <w:t xml:space="preserve">, abnormalno ponašanje (koje odražava simptome poremećaja kontrole impulsa i kompulzivno ponašanje, kao što je: </w:t>
            </w:r>
          </w:p>
          <w:p w14:paraId="12956407" w14:textId="77777777" w:rsidR="00A80CF7" w:rsidRPr="006B5701" w:rsidRDefault="00A80CF7" w:rsidP="00046B53">
            <w:pPr>
              <w:tabs>
                <w:tab w:val="left" w:pos="2700"/>
              </w:tabs>
              <w:jc w:val="left"/>
              <w:rPr>
                <w:szCs w:val="22"/>
                <w:vertAlign w:val="superscript"/>
                <w:lang w:val="sr-Latn-CS"/>
              </w:rPr>
            </w:pPr>
            <w:r w:rsidRPr="006B5701">
              <w:rPr>
                <w:szCs w:val="22"/>
                <w:lang w:val="sr-Latn-CS"/>
              </w:rPr>
              <w:t>kompulzivno kupovanje, patološko kockanje</w:t>
            </w:r>
            <w:r w:rsidR="00563D37" w:rsidRPr="006B5701">
              <w:rPr>
                <w:szCs w:val="22"/>
                <w:vertAlign w:val="superscript"/>
                <w:lang w:val="sr-Latn-CS"/>
              </w:rPr>
              <w:t>1</w:t>
            </w:r>
          </w:p>
          <w:p w14:paraId="082B2E53" w14:textId="77777777" w:rsidR="00A80CF7" w:rsidRPr="006B5701" w:rsidRDefault="00A80CF7" w:rsidP="00046B53">
            <w:pPr>
              <w:tabs>
                <w:tab w:val="left" w:pos="2700"/>
              </w:tabs>
              <w:jc w:val="left"/>
              <w:rPr>
                <w:szCs w:val="22"/>
                <w:lang w:val="sr-Latn-CS"/>
              </w:rPr>
            </w:pPr>
            <w:r w:rsidRPr="006B5701">
              <w:rPr>
                <w:szCs w:val="22"/>
                <w:lang w:val="sr-Latn-CS"/>
              </w:rPr>
              <w:t>hiperseksualnost, prejedanje)</w:t>
            </w:r>
          </w:p>
          <w:p w14:paraId="7B9CC817" w14:textId="77777777" w:rsidR="00A80CF7" w:rsidRPr="006B5701" w:rsidRDefault="00A80CF7" w:rsidP="00046B53">
            <w:pPr>
              <w:tabs>
                <w:tab w:val="left" w:pos="2700"/>
              </w:tabs>
              <w:jc w:val="left"/>
              <w:rPr>
                <w:szCs w:val="22"/>
                <w:lang w:val="sr-Latn-CS"/>
              </w:rPr>
            </w:pPr>
          </w:p>
        </w:tc>
        <w:tc>
          <w:tcPr>
            <w:tcW w:w="2268" w:type="dxa"/>
          </w:tcPr>
          <w:p w14:paraId="48B5256C" w14:textId="77777777" w:rsidR="00A80CF7" w:rsidRPr="006B5701" w:rsidRDefault="00A80CF7" w:rsidP="00046B53">
            <w:pPr>
              <w:tabs>
                <w:tab w:val="left" w:pos="2700"/>
              </w:tabs>
              <w:jc w:val="left"/>
              <w:rPr>
                <w:szCs w:val="22"/>
                <w:lang w:val="sr-Latn-CS"/>
              </w:rPr>
            </w:pPr>
          </w:p>
        </w:tc>
      </w:tr>
      <w:tr w:rsidR="00A03D75" w:rsidRPr="006B5701" w14:paraId="4FAE490B" w14:textId="77777777" w:rsidTr="007104D9">
        <w:tc>
          <w:tcPr>
            <w:tcW w:w="1781" w:type="dxa"/>
          </w:tcPr>
          <w:p w14:paraId="3234F44C" w14:textId="77777777" w:rsidR="00A80CF7" w:rsidRPr="006B5701" w:rsidRDefault="00A80CF7" w:rsidP="00046B53">
            <w:pPr>
              <w:tabs>
                <w:tab w:val="left" w:pos="2700"/>
              </w:tabs>
              <w:jc w:val="left"/>
              <w:rPr>
                <w:szCs w:val="22"/>
                <w:lang w:val="sr-Latn-CS"/>
              </w:rPr>
            </w:pPr>
            <w:r w:rsidRPr="006B5701">
              <w:rPr>
                <w:szCs w:val="22"/>
                <w:lang w:val="sr-Latn-CS"/>
              </w:rPr>
              <w:t>Poremećaji nervnog sistema</w:t>
            </w:r>
          </w:p>
        </w:tc>
        <w:tc>
          <w:tcPr>
            <w:tcW w:w="1417" w:type="dxa"/>
          </w:tcPr>
          <w:p w14:paraId="348CE5CC" w14:textId="77777777" w:rsidR="00A80CF7" w:rsidRPr="006B5701" w:rsidRDefault="00A80CF7" w:rsidP="00196979">
            <w:pPr>
              <w:tabs>
                <w:tab w:val="left" w:pos="2700"/>
              </w:tabs>
              <w:jc w:val="left"/>
              <w:rPr>
                <w:szCs w:val="22"/>
                <w:lang w:val="sr-Latn-CS"/>
              </w:rPr>
            </w:pPr>
          </w:p>
        </w:tc>
        <w:tc>
          <w:tcPr>
            <w:tcW w:w="1445" w:type="dxa"/>
          </w:tcPr>
          <w:p w14:paraId="1C5882F3" w14:textId="77777777" w:rsidR="00A80CF7" w:rsidRPr="006B5701" w:rsidRDefault="00A80CF7" w:rsidP="00EC77C3">
            <w:pPr>
              <w:tabs>
                <w:tab w:val="left" w:pos="2700"/>
              </w:tabs>
              <w:jc w:val="left"/>
              <w:rPr>
                <w:szCs w:val="22"/>
                <w:lang w:val="sr-Latn-CS"/>
              </w:rPr>
            </w:pPr>
            <w:r w:rsidRPr="006B5701">
              <w:rPr>
                <w:szCs w:val="22"/>
                <w:lang w:val="sr-Latn-CS"/>
              </w:rPr>
              <w:t>glavobolja</w:t>
            </w:r>
            <w:r w:rsidR="00196979" w:rsidRPr="006B5701">
              <w:rPr>
                <w:szCs w:val="22"/>
                <w:lang w:val="sr-Latn-CS"/>
              </w:rPr>
              <w:t xml:space="preserve"> vrtoglavica, somnolencija</w:t>
            </w:r>
          </w:p>
        </w:tc>
        <w:tc>
          <w:tcPr>
            <w:tcW w:w="2695" w:type="dxa"/>
          </w:tcPr>
          <w:p w14:paraId="0AA474D4" w14:textId="77777777" w:rsidR="00A80CF7" w:rsidRPr="006B5701" w:rsidRDefault="00A80CF7" w:rsidP="00046B53">
            <w:pPr>
              <w:tabs>
                <w:tab w:val="left" w:pos="2700"/>
              </w:tabs>
              <w:jc w:val="left"/>
              <w:rPr>
                <w:szCs w:val="22"/>
                <w:lang w:val="sr-Latn-CS"/>
              </w:rPr>
            </w:pPr>
            <w:r w:rsidRPr="006B5701">
              <w:rPr>
                <w:szCs w:val="22"/>
                <w:lang w:val="sr-Latn-CS"/>
              </w:rPr>
              <w:t xml:space="preserve">naglo padanje u san, sinkopa, </w:t>
            </w:r>
          </w:p>
          <w:p w14:paraId="6222A69B" w14:textId="77777777" w:rsidR="00A80CF7" w:rsidRPr="006B5701" w:rsidRDefault="00F05E4E" w:rsidP="004D60FF">
            <w:pPr>
              <w:tabs>
                <w:tab w:val="left" w:pos="2700"/>
              </w:tabs>
              <w:jc w:val="left"/>
              <w:rPr>
                <w:szCs w:val="22"/>
                <w:lang w:val="sr-Latn-CS"/>
              </w:rPr>
            </w:pPr>
            <w:r w:rsidRPr="006B5701">
              <w:rPr>
                <w:szCs w:val="22"/>
                <w:lang w:val="sr-Latn-CS"/>
              </w:rPr>
              <w:t xml:space="preserve">diskinezija, </w:t>
            </w:r>
            <w:r w:rsidR="00A80CF7" w:rsidRPr="006B5701">
              <w:rPr>
                <w:szCs w:val="22"/>
                <w:lang w:val="sr-Latn-CS"/>
              </w:rPr>
              <w:t>amnezija</w:t>
            </w:r>
            <w:r w:rsidR="004D60FF" w:rsidRPr="006B5701">
              <w:rPr>
                <w:szCs w:val="22"/>
                <w:vertAlign w:val="superscript"/>
                <w:lang w:val="sr-Latn-CS"/>
              </w:rPr>
              <w:t>1</w:t>
            </w:r>
            <w:r w:rsidR="00A80CF7" w:rsidRPr="006B5701">
              <w:rPr>
                <w:szCs w:val="22"/>
                <w:lang w:val="sr-Latn-CS"/>
              </w:rPr>
              <w:t>, hiperkinezija</w:t>
            </w:r>
            <w:r w:rsidR="004D60FF" w:rsidRPr="006B5701">
              <w:rPr>
                <w:szCs w:val="22"/>
                <w:vertAlign w:val="superscript"/>
                <w:lang w:val="sr-Latn-CS"/>
              </w:rPr>
              <w:t>1</w:t>
            </w:r>
          </w:p>
        </w:tc>
        <w:tc>
          <w:tcPr>
            <w:tcW w:w="2268" w:type="dxa"/>
          </w:tcPr>
          <w:p w14:paraId="665E6DFC" w14:textId="77777777" w:rsidR="00A80CF7" w:rsidRPr="006B5701" w:rsidRDefault="00A80CF7" w:rsidP="00046B53">
            <w:pPr>
              <w:tabs>
                <w:tab w:val="left" w:pos="2700"/>
              </w:tabs>
              <w:jc w:val="left"/>
              <w:rPr>
                <w:szCs w:val="22"/>
                <w:lang w:val="sr-Latn-CS"/>
              </w:rPr>
            </w:pPr>
          </w:p>
        </w:tc>
      </w:tr>
      <w:tr w:rsidR="00A03D75" w:rsidRPr="00693548" w14:paraId="633D4EDA" w14:textId="77777777" w:rsidTr="007104D9">
        <w:tc>
          <w:tcPr>
            <w:tcW w:w="1781" w:type="dxa"/>
          </w:tcPr>
          <w:p w14:paraId="6C35056F" w14:textId="77777777" w:rsidR="00CA532D" w:rsidRPr="006B5701" w:rsidRDefault="00CA532D" w:rsidP="00046B53">
            <w:pPr>
              <w:tabs>
                <w:tab w:val="left" w:pos="2700"/>
              </w:tabs>
              <w:jc w:val="left"/>
              <w:rPr>
                <w:szCs w:val="22"/>
                <w:lang w:val="sr-Latn-CS"/>
              </w:rPr>
            </w:pPr>
            <w:r w:rsidRPr="006B5701">
              <w:rPr>
                <w:szCs w:val="22"/>
                <w:lang w:val="sr-Latn-CS"/>
              </w:rPr>
              <w:t>Poremećaji oka</w:t>
            </w:r>
          </w:p>
        </w:tc>
        <w:tc>
          <w:tcPr>
            <w:tcW w:w="1417" w:type="dxa"/>
          </w:tcPr>
          <w:p w14:paraId="491E5661" w14:textId="77777777" w:rsidR="00CA532D" w:rsidRPr="006B5701" w:rsidRDefault="00CA532D" w:rsidP="00046B53">
            <w:pPr>
              <w:tabs>
                <w:tab w:val="left" w:pos="2700"/>
              </w:tabs>
              <w:jc w:val="left"/>
              <w:rPr>
                <w:szCs w:val="22"/>
                <w:lang w:val="sr-Latn-CS"/>
              </w:rPr>
            </w:pPr>
          </w:p>
        </w:tc>
        <w:tc>
          <w:tcPr>
            <w:tcW w:w="1445" w:type="dxa"/>
          </w:tcPr>
          <w:p w14:paraId="2BE4A62D" w14:textId="77777777" w:rsidR="00CA532D" w:rsidRPr="006B5701" w:rsidRDefault="00CA532D" w:rsidP="004A2C98">
            <w:pPr>
              <w:tabs>
                <w:tab w:val="left" w:pos="2700"/>
              </w:tabs>
              <w:jc w:val="left"/>
              <w:rPr>
                <w:szCs w:val="22"/>
                <w:lang w:val="sr-Latn-CS"/>
              </w:rPr>
            </w:pPr>
          </w:p>
        </w:tc>
        <w:tc>
          <w:tcPr>
            <w:tcW w:w="2695" w:type="dxa"/>
          </w:tcPr>
          <w:p w14:paraId="7DC7C524" w14:textId="77777777" w:rsidR="00CA532D" w:rsidRPr="006B5701" w:rsidRDefault="00CA532D" w:rsidP="00420059">
            <w:pPr>
              <w:tabs>
                <w:tab w:val="left" w:pos="2700"/>
              </w:tabs>
              <w:jc w:val="left"/>
              <w:rPr>
                <w:szCs w:val="22"/>
                <w:lang w:val="sr-Latn-CS"/>
              </w:rPr>
            </w:pPr>
            <w:r w:rsidRPr="006B5701">
              <w:rPr>
                <w:szCs w:val="22"/>
                <w:lang w:val="sr-Latn-CS"/>
              </w:rPr>
              <w:t>poremećaj vida uključujući diplopiju, zamagljen vid, smanjenje oštrine                                         vida</w:t>
            </w:r>
          </w:p>
        </w:tc>
        <w:tc>
          <w:tcPr>
            <w:tcW w:w="2268" w:type="dxa"/>
          </w:tcPr>
          <w:p w14:paraId="73E2EA24" w14:textId="77777777" w:rsidR="00CA532D" w:rsidRPr="006B5701" w:rsidRDefault="00CA532D" w:rsidP="00046B53">
            <w:pPr>
              <w:tabs>
                <w:tab w:val="left" w:pos="2700"/>
              </w:tabs>
              <w:jc w:val="left"/>
              <w:rPr>
                <w:szCs w:val="22"/>
                <w:lang w:val="sr-Latn-CS"/>
              </w:rPr>
            </w:pPr>
          </w:p>
        </w:tc>
      </w:tr>
      <w:tr w:rsidR="00A03D75" w:rsidRPr="006B5701" w14:paraId="5523EE92" w14:textId="77777777" w:rsidTr="007104D9">
        <w:tc>
          <w:tcPr>
            <w:tcW w:w="1781" w:type="dxa"/>
          </w:tcPr>
          <w:p w14:paraId="4206F110" w14:textId="77777777" w:rsidR="00CA532D" w:rsidRPr="006B5701" w:rsidRDefault="00CA532D" w:rsidP="00046B53">
            <w:pPr>
              <w:tabs>
                <w:tab w:val="left" w:pos="2700"/>
              </w:tabs>
              <w:jc w:val="left"/>
              <w:rPr>
                <w:szCs w:val="22"/>
                <w:lang w:val="sr-Latn-CS"/>
              </w:rPr>
            </w:pPr>
            <w:r w:rsidRPr="006B5701">
              <w:rPr>
                <w:szCs w:val="22"/>
                <w:lang w:val="sr-Latn-CS"/>
              </w:rPr>
              <w:t>Kardiološki poremećaji</w:t>
            </w:r>
          </w:p>
        </w:tc>
        <w:tc>
          <w:tcPr>
            <w:tcW w:w="1417" w:type="dxa"/>
          </w:tcPr>
          <w:p w14:paraId="1F5AD3EC" w14:textId="77777777" w:rsidR="00CA532D" w:rsidRPr="006B5701" w:rsidRDefault="00CA532D" w:rsidP="00046B53">
            <w:pPr>
              <w:tabs>
                <w:tab w:val="left" w:pos="2700"/>
              </w:tabs>
              <w:jc w:val="left"/>
              <w:rPr>
                <w:szCs w:val="22"/>
                <w:lang w:val="sr-Latn-CS"/>
              </w:rPr>
            </w:pPr>
          </w:p>
        </w:tc>
        <w:tc>
          <w:tcPr>
            <w:tcW w:w="1445" w:type="dxa"/>
          </w:tcPr>
          <w:p w14:paraId="7A80C7CB" w14:textId="77777777" w:rsidR="00CA532D" w:rsidRPr="006B5701" w:rsidRDefault="00CA532D" w:rsidP="00046B53">
            <w:pPr>
              <w:tabs>
                <w:tab w:val="left" w:pos="2700"/>
              </w:tabs>
              <w:jc w:val="left"/>
              <w:rPr>
                <w:szCs w:val="22"/>
                <w:lang w:val="sr-Latn-CS"/>
              </w:rPr>
            </w:pPr>
          </w:p>
        </w:tc>
        <w:tc>
          <w:tcPr>
            <w:tcW w:w="2695" w:type="dxa"/>
          </w:tcPr>
          <w:p w14:paraId="397DA664" w14:textId="77777777" w:rsidR="00CA532D" w:rsidRPr="006B5701" w:rsidRDefault="00CA532D" w:rsidP="00046B53">
            <w:pPr>
              <w:tabs>
                <w:tab w:val="left" w:pos="2700"/>
              </w:tabs>
              <w:jc w:val="left"/>
              <w:rPr>
                <w:szCs w:val="22"/>
                <w:lang w:val="sr-Latn-CS"/>
              </w:rPr>
            </w:pPr>
            <w:r w:rsidRPr="006B5701">
              <w:rPr>
                <w:szCs w:val="22"/>
                <w:lang w:val="sr-Latn-CS"/>
              </w:rPr>
              <w:t>srčana insuficijencija</w:t>
            </w:r>
            <w:r w:rsidRPr="006B5701">
              <w:rPr>
                <w:szCs w:val="22"/>
                <w:vertAlign w:val="superscript"/>
                <w:lang w:val="sr-Latn-CS"/>
              </w:rPr>
              <w:t>1</w:t>
            </w:r>
          </w:p>
        </w:tc>
        <w:tc>
          <w:tcPr>
            <w:tcW w:w="2268" w:type="dxa"/>
          </w:tcPr>
          <w:p w14:paraId="246516AF" w14:textId="77777777" w:rsidR="00CA532D" w:rsidRPr="006B5701" w:rsidRDefault="00CA532D" w:rsidP="00046B53">
            <w:pPr>
              <w:tabs>
                <w:tab w:val="left" w:pos="2700"/>
              </w:tabs>
              <w:jc w:val="left"/>
              <w:rPr>
                <w:szCs w:val="22"/>
                <w:lang w:val="sr-Latn-CS"/>
              </w:rPr>
            </w:pPr>
          </w:p>
        </w:tc>
      </w:tr>
      <w:tr w:rsidR="00A03D75" w:rsidRPr="006B5701" w14:paraId="49FB9C67" w14:textId="77777777" w:rsidTr="007104D9">
        <w:tc>
          <w:tcPr>
            <w:tcW w:w="1781" w:type="dxa"/>
          </w:tcPr>
          <w:p w14:paraId="5E843D51" w14:textId="77777777" w:rsidR="00CA532D" w:rsidRPr="006B5701" w:rsidRDefault="00CA532D" w:rsidP="00046B53">
            <w:pPr>
              <w:tabs>
                <w:tab w:val="left" w:pos="2700"/>
              </w:tabs>
              <w:jc w:val="left"/>
              <w:rPr>
                <w:szCs w:val="22"/>
                <w:lang w:val="sr-Latn-CS"/>
              </w:rPr>
            </w:pPr>
            <w:r w:rsidRPr="006B5701">
              <w:rPr>
                <w:szCs w:val="22"/>
                <w:lang w:val="sr-Latn-CS"/>
              </w:rPr>
              <w:t>Vaskularni poremećaji</w:t>
            </w:r>
          </w:p>
          <w:p w14:paraId="123123F2" w14:textId="77777777" w:rsidR="00CA532D" w:rsidRPr="006B5701" w:rsidRDefault="00CA532D" w:rsidP="00046B53">
            <w:pPr>
              <w:tabs>
                <w:tab w:val="left" w:pos="2700"/>
              </w:tabs>
              <w:jc w:val="left"/>
              <w:rPr>
                <w:szCs w:val="22"/>
                <w:lang w:val="sr-Latn-CS"/>
              </w:rPr>
            </w:pPr>
          </w:p>
        </w:tc>
        <w:tc>
          <w:tcPr>
            <w:tcW w:w="1417" w:type="dxa"/>
          </w:tcPr>
          <w:p w14:paraId="023CB463" w14:textId="77777777" w:rsidR="00CA532D" w:rsidRPr="006B5701" w:rsidRDefault="00CA532D" w:rsidP="00046B53">
            <w:pPr>
              <w:tabs>
                <w:tab w:val="left" w:pos="2700"/>
              </w:tabs>
              <w:jc w:val="left"/>
              <w:rPr>
                <w:szCs w:val="22"/>
                <w:lang w:val="sr-Latn-CS"/>
              </w:rPr>
            </w:pPr>
          </w:p>
        </w:tc>
        <w:tc>
          <w:tcPr>
            <w:tcW w:w="1445" w:type="dxa"/>
          </w:tcPr>
          <w:p w14:paraId="6DE0F9A7" w14:textId="77777777" w:rsidR="00CA532D" w:rsidRPr="006B5701" w:rsidRDefault="00CA532D" w:rsidP="004A2C98">
            <w:pPr>
              <w:tabs>
                <w:tab w:val="clear" w:pos="284"/>
                <w:tab w:val="left" w:pos="2694"/>
              </w:tabs>
              <w:jc w:val="left"/>
              <w:rPr>
                <w:szCs w:val="22"/>
                <w:lang w:val="sr-Latn-CS"/>
              </w:rPr>
            </w:pPr>
          </w:p>
        </w:tc>
        <w:tc>
          <w:tcPr>
            <w:tcW w:w="2695" w:type="dxa"/>
          </w:tcPr>
          <w:p w14:paraId="6AD664A4" w14:textId="77777777" w:rsidR="00CA532D" w:rsidRPr="006B5701" w:rsidRDefault="00CA532D" w:rsidP="004A2C98">
            <w:pPr>
              <w:tabs>
                <w:tab w:val="clear" w:pos="284"/>
                <w:tab w:val="left" w:pos="2694"/>
              </w:tabs>
              <w:jc w:val="left"/>
              <w:rPr>
                <w:szCs w:val="22"/>
                <w:lang w:val="sr-Latn-CS"/>
              </w:rPr>
            </w:pPr>
            <w:r w:rsidRPr="006B5701">
              <w:rPr>
                <w:szCs w:val="22"/>
              </w:rPr>
              <w:t>hipotenzija</w:t>
            </w:r>
          </w:p>
          <w:p w14:paraId="3DDFEAC7" w14:textId="77777777" w:rsidR="00CA532D" w:rsidRPr="006B5701" w:rsidRDefault="00CA532D" w:rsidP="00046B53">
            <w:pPr>
              <w:tabs>
                <w:tab w:val="left" w:pos="2700"/>
              </w:tabs>
              <w:jc w:val="left"/>
              <w:rPr>
                <w:szCs w:val="22"/>
                <w:lang w:val="sr-Latn-CS"/>
              </w:rPr>
            </w:pPr>
          </w:p>
        </w:tc>
        <w:tc>
          <w:tcPr>
            <w:tcW w:w="2268" w:type="dxa"/>
          </w:tcPr>
          <w:p w14:paraId="523EB03B" w14:textId="77777777" w:rsidR="00CA532D" w:rsidRPr="006B5701" w:rsidRDefault="00CA532D" w:rsidP="00046B53">
            <w:pPr>
              <w:tabs>
                <w:tab w:val="left" w:pos="2700"/>
              </w:tabs>
              <w:jc w:val="left"/>
              <w:rPr>
                <w:szCs w:val="22"/>
                <w:lang w:val="sr-Latn-CS"/>
              </w:rPr>
            </w:pPr>
          </w:p>
        </w:tc>
      </w:tr>
      <w:tr w:rsidR="00A03D75" w:rsidRPr="006B5701" w14:paraId="5C60FA04" w14:textId="77777777" w:rsidTr="007104D9">
        <w:tc>
          <w:tcPr>
            <w:tcW w:w="1781" w:type="dxa"/>
          </w:tcPr>
          <w:p w14:paraId="54ABF482" w14:textId="77777777" w:rsidR="00CA532D" w:rsidRPr="006B5701" w:rsidRDefault="00CA532D" w:rsidP="00046B53">
            <w:pPr>
              <w:tabs>
                <w:tab w:val="left" w:pos="2700"/>
              </w:tabs>
              <w:jc w:val="left"/>
              <w:rPr>
                <w:szCs w:val="22"/>
                <w:lang w:val="sr-Latn-CS"/>
              </w:rPr>
            </w:pPr>
            <w:r w:rsidRPr="006B5701">
              <w:rPr>
                <w:szCs w:val="22"/>
                <w:lang w:val="sr-Latn-CS"/>
              </w:rPr>
              <w:lastRenderedPageBreak/>
              <w:t>Respiratorni, torakalni i medijastinalni poremećaji</w:t>
            </w:r>
          </w:p>
          <w:p w14:paraId="63CFF7F1" w14:textId="77777777" w:rsidR="00CA532D" w:rsidRPr="006B5701" w:rsidRDefault="00CA532D" w:rsidP="00046B53">
            <w:pPr>
              <w:tabs>
                <w:tab w:val="left" w:pos="2700"/>
              </w:tabs>
              <w:jc w:val="left"/>
              <w:rPr>
                <w:szCs w:val="22"/>
                <w:lang w:val="sr-Latn-CS"/>
              </w:rPr>
            </w:pPr>
          </w:p>
        </w:tc>
        <w:tc>
          <w:tcPr>
            <w:tcW w:w="1417" w:type="dxa"/>
          </w:tcPr>
          <w:p w14:paraId="3C67B4CA" w14:textId="77777777" w:rsidR="00CA532D" w:rsidRPr="006B5701" w:rsidRDefault="00CA532D" w:rsidP="00046B53">
            <w:pPr>
              <w:tabs>
                <w:tab w:val="left" w:pos="2700"/>
              </w:tabs>
              <w:jc w:val="left"/>
              <w:rPr>
                <w:szCs w:val="22"/>
                <w:lang w:val="sr-Latn-CS"/>
              </w:rPr>
            </w:pPr>
          </w:p>
        </w:tc>
        <w:tc>
          <w:tcPr>
            <w:tcW w:w="1445" w:type="dxa"/>
          </w:tcPr>
          <w:p w14:paraId="718F73DC" w14:textId="77777777" w:rsidR="00CA532D" w:rsidRPr="006B5701" w:rsidRDefault="00CA532D" w:rsidP="00046B53">
            <w:pPr>
              <w:tabs>
                <w:tab w:val="left" w:pos="2700"/>
              </w:tabs>
              <w:jc w:val="left"/>
              <w:rPr>
                <w:szCs w:val="22"/>
                <w:lang w:val="sr-Latn-CS"/>
              </w:rPr>
            </w:pPr>
          </w:p>
        </w:tc>
        <w:tc>
          <w:tcPr>
            <w:tcW w:w="2695" w:type="dxa"/>
          </w:tcPr>
          <w:p w14:paraId="275CADE4" w14:textId="77777777" w:rsidR="00CA532D" w:rsidRPr="006B5701" w:rsidRDefault="00CA532D" w:rsidP="00046B53">
            <w:pPr>
              <w:tabs>
                <w:tab w:val="left" w:pos="2700"/>
              </w:tabs>
              <w:jc w:val="left"/>
              <w:rPr>
                <w:szCs w:val="22"/>
                <w:lang w:val="sr-Latn-CS"/>
              </w:rPr>
            </w:pPr>
            <w:r w:rsidRPr="006B5701">
              <w:rPr>
                <w:szCs w:val="22"/>
                <w:lang w:val="sr-Latn-CS"/>
              </w:rPr>
              <w:t>dispnea, štucanje</w:t>
            </w:r>
          </w:p>
        </w:tc>
        <w:tc>
          <w:tcPr>
            <w:tcW w:w="2268" w:type="dxa"/>
          </w:tcPr>
          <w:p w14:paraId="2987DE1E" w14:textId="77777777" w:rsidR="00CA532D" w:rsidRPr="006B5701" w:rsidRDefault="00CA532D" w:rsidP="00046B53">
            <w:pPr>
              <w:tabs>
                <w:tab w:val="left" w:pos="2700"/>
              </w:tabs>
              <w:jc w:val="left"/>
              <w:rPr>
                <w:szCs w:val="22"/>
                <w:lang w:val="sr-Latn-CS"/>
              </w:rPr>
            </w:pPr>
          </w:p>
        </w:tc>
      </w:tr>
      <w:tr w:rsidR="00A03D75" w:rsidRPr="006B5701" w14:paraId="51D8A3C4" w14:textId="77777777" w:rsidTr="007104D9">
        <w:tc>
          <w:tcPr>
            <w:tcW w:w="1781" w:type="dxa"/>
          </w:tcPr>
          <w:p w14:paraId="0F64527C" w14:textId="77777777" w:rsidR="00CA532D" w:rsidRPr="006B5701" w:rsidRDefault="00CA532D" w:rsidP="00046B53">
            <w:pPr>
              <w:tabs>
                <w:tab w:val="left" w:pos="2700"/>
              </w:tabs>
              <w:jc w:val="left"/>
              <w:rPr>
                <w:szCs w:val="22"/>
                <w:lang w:val="sr-Latn-CS"/>
              </w:rPr>
            </w:pPr>
            <w:r w:rsidRPr="006B5701">
              <w:rPr>
                <w:szCs w:val="22"/>
                <w:lang w:val="sr-Latn-CS"/>
              </w:rPr>
              <w:t>Gastrointestinalni poremećaji</w:t>
            </w:r>
          </w:p>
        </w:tc>
        <w:tc>
          <w:tcPr>
            <w:tcW w:w="1417" w:type="dxa"/>
          </w:tcPr>
          <w:p w14:paraId="16BD0929" w14:textId="77777777" w:rsidR="00CA532D" w:rsidRPr="006B5701" w:rsidRDefault="00CA532D" w:rsidP="00046B53">
            <w:pPr>
              <w:tabs>
                <w:tab w:val="left" w:pos="2700"/>
              </w:tabs>
              <w:jc w:val="left"/>
              <w:rPr>
                <w:szCs w:val="22"/>
                <w:lang w:val="sr-Latn-CS"/>
              </w:rPr>
            </w:pPr>
            <w:r w:rsidRPr="006B5701">
              <w:rPr>
                <w:szCs w:val="22"/>
                <w:lang w:val="sr-Latn-CS"/>
              </w:rPr>
              <w:t>mučnina</w:t>
            </w:r>
          </w:p>
          <w:p w14:paraId="6D152084" w14:textId="77777777" w:rsidR="00CA532D" w:rsidRPr="006B5701" w:rsidRDefault="00CA532D" w:rsidP="00046B53">
            <w:pPr>
              <w:tabs>
                <w:tab w:val="left" w:pos="2700"/>
              </w:tabs>
              <w:jc w:val="left"/>
              <w:rPr>
                <w:szCs w:val="22"/>
                <w:lang w:val="sr-Latn-CS"/>
              </w:rPr>
            </w:pPr>
          </w:p>
        </w:tc>
        <w:tc>
          <w:tcPr>
            <w:tcW w:w="1445" w:type="dxa"/>
          </w:tcPr>
          <w:p w14:paraId="5E8D51C0" w14:textId="77777777" w:rsidR="00CA532D" w:rsidRPr="006B5701" w:rsidRDefault="00CA532D" w:rsidP="00046B53">
            <w:pPr>
              <w:rPr>
                <w:szCs w:val="22"/>
                <w:lang w:val="sr-Latn-CS"/>
              </w:rPr>
            </w:pPr>
            <w:r w:rsidRPr="006B5701">
              <w:rPr>
                <w:szCs w:val="22"/>
                <w:lang w:val="sr-Latn-CS"/>
              </w:rPr>
              <w:t>konstipacija, povraćanje</w:t>
            </w:r>
          </w:p>
          <w:p w14:paraId="6E861EDE" w14:textId="77777777" w:rsidR="00CA532D" w:rsidRPr="006B5701" w:rsidRDefault="00CA532D" w:rsidP="00046B53">
            <w:pPr>
              <w:tabs>
                <w:tab w:val="left" w:pos="2700"/>
              </w:tabs>
              <w:jc w:val="left"/>
              <w:rPr>
                <w:szCs w:val="22"/>
                <w:lang w:val="sr-Latn-CS"/>
              </w:rPr>
            </w:pPr>
          </w:p>
        </w:tc>
        <w:tc>
          <w:tcPr>
            <w:tcW w:w="2695" w:type="dxa"/>
          </w:tcPr>
          <w:p w14:paraId="2A5B2EF9" w14:textId="77777777" w:rsidR="00CA532D" w:rsidRPr="006B5701" w:rsidRDefault="00CA532D" w:rsidP="00046B53">
            <w:pPr>
              <w:tabs>
                <w:tab w:val="left" w:pos="2700"/>
              </w:tabs>
              <w:jc w:val="left"/>
              <w:rPr>
                <w:szCs w:val="22"/>
                <w:lang w:val="sr-Latn-CS"/>
              </w:rPr>
            </w:pPr>
          </w:p>
        </w:tc>
        <w:tc>
          <w:tcPr>
            <w:tcW w:w="2268" w:type="dxa"/>
          </w:tcPr>
          <w:p w14:paraId="0725D7E8" w14:textId="77777777" w:rsidR="00CA532D" w:rsidRPr="006B5701" w:rsidRDefault="00CA532D" w:rsidP="00046B53">
            <w:pPr>
              <w:tabs>
                <w:tab w:val="left" w:pos="2700"/>
              </w:tabs>
              <w:jc w:val="left"/>
              <w:rPr>
                <w:szCs w:val="22"/>
                <w:lang w:val="sr-Latn-CS"/>
              </w:rPr>
            </w:pPr>
          </w:p>
        </w:tc>
      </w:tr>
      <w:tr w:rsidR="00A03D75" w:rsidRPr="006B5701" w14:paraId="67E46ADD" w14:textId="77777777" w:rsidTr="007104D9">
        <w:tc>
          <w:tcPr>
            <w:tcW w:w="1781" w:type="dxa"/>
          </w:tcPr>
          <w:p w14:paraId="7F0F70CA" w14:textId="77777777" w:rsidR="00CA532D" w:rsidRPr="006B5701" w:rsidRDefault="00CA532D" w:rsidP="00046B53">
            <w:pPr>
              <w:tabs>
                <w:tab w:val="left" w:pos="2700"/>
              </w:tabs>
              <w:jc w:val="left"/>
              <w:rPr>
                <w:szCs w:val="22"/>
                <w:lang w:val="sr-Latn-CS"/>
              </w:rPr>
            </w:pPr>
            <w:r w:rsidRPr="006B5701">
              <w:rPr>
                <w:szCs w:val="22"/>
                <w:lang w:val="sr-Latn-CS"/>
              </w:rPr>
              <w:t>Poremećaji kože i potkožnog tkiva</w:t>
            </w:r>
          </w:p>
          <w:p w14:paraId="0E66E661" w14:textId="77777777" w:rsidR="00CA532D" w:rsidRPr="006B5701" w:rsidRDefault="00CA532D" w:rsidP="00046B53">
            <w:pPr>
              <w:tabs>
                <w:tab w:val="left" w:pos="2700"/>
              </w:tabs>
              <w:jc w:val="left"/>
              <w:rPr>
                <w:szCs w:val="22"/>
                <w:lang w:val="sr-Latn-CS"/>
              </w:rPr>
            </w:pPr>
          </w:p>
        </w:tc>
        <w:tc>
          <w:tcPr>
            <w:tcW w:w="1417" w:type="dxa"/>
          </w:tcPr>
          <w:p w14:paraId="1CA0C76B" w14:textId="77777777" w:rsidR="00CA532D" w:rsidRPr="006B5701" w:rsidRDefault="00CA532D" w:rsidP="00046B53">
            <w:pPr>
              <w:tabs>
                <w:tab w:val="left" w:pos="2700"/>
              </w:tabs>
              <w:jc w:val="left"/>
              <w:rPr>
                <w:szCs w:val="22"/>
                <w:lang w:val="sr-Latn-CS"/>
              </w:rPr>
            </w:pPr>
          </w:p>
        </w:tc>
        <w:tc>
          <w:tcPr>
            <w:tcW w:w="1445" w:type="dxa"/>
          </w:tcPr>
          <w:p w14:paraId="5F0F25D7" w14:textId="77777777" w:rsidR="00CA532D" w:rsidRPr="006B5701" w:rsidRDefault="00CA532D" w:rsidP="00046B53">
            <w:pPr>
              <w:tabs>
                <w:tab w:val="left" w:pos="2700"/>
              </w:tabs>
              <w:jc w:val="left"/>
              <w:rPr>
                <w:szCs w:val="22"/>
                <w:lang w:val="sr-Latn-CS"/>
              </w:rPr>
            </w:pPr>
          </w:p>
        </w:tc>
        <w:tc>
          <w:tcPr>
            <w:tcW w:w="2695" w:type="dxa"/>
          </w:tcPr>
          <w:p w14:paraId="632B9E5E" w14:textId="5352666D" w:rsidR="00CA532D" w:rsidRPr="006B5701" w:rsidRDefault="00CA532D" w:rsidP="00046B53">
            <w:pPr>
              <w:tabs>
                <w:tab w:val="left" w:pos="2700"/>
              </w:tabs>
              <w:jc w:val="left"/>
              <w:rPr>
                <w:szCs w:val="22"/>
                <w:lang w:val="sr-Latn-CS"/>
              </w:rPr>
            </w:pPr>
            <w:r w:rsidRPr="006B5701">
              <w:rPr>
                <w:szCs w:val="22"/>
                <w:lang w:val="sr-Latn-CS"/>
              </w:rPr>
              <w:t>preos</w:t>
            </w:r>
            <w:r w:rsidR="000C3752">
              <w:rPr>
                <w:szCs w:val="22"/>
                <w:lang w:val="sr-Latn-CS"/>
              </w:rPr>
              <w:t>j</w:t>
            </w:r>
            <w:r w:rsidRPr="006B5701">
              <w:rPr>
                <w:szCs w:val="22"/>
                <w:lang w:val="sr-Latn-CS"/>
              </w:rPr>
              <w:t>etljivost, pruritus, ospa</w:t>
            </w:r>
          </w:p>
        </w:tc>
        <w:tc>
          <w:tcPr>
            <w:tcW w:w="2268" w:type="dxa"/>
          </w:tcPr>
          <w:p w14:paraId="1B676041" w14:textId="77777777" w:rsidR="00CA532D" w:rsidRPr="006B5701" w:rsidRDefault="00CA532D" w:rsidP="00046B53">
            <w:pPr>
              <w:tabs>
                <w:tab w:val="left" w:pos="2700"/>
              </w:tabs>
              <w:jc w:val="left"/>
              <w:rPr>
                <w:szCs w:val="22"/>
                <w:lang w:val="sr-Latn-CS"/>
              </w:rPr>
            </w:pPr>
          </w:p>
        </w:tc>
      </w:tr>
      <w:tr w:rsidR="00A03D75" w:rsidRPr="00693548" w14:paraId="0FD22955" w14:textId="77777777" w:rsidTr="007104D9">
        <w:tc>
          <w:tcPr>
            <w:tcW w:w="1781" w:type="dxa"/>
          </w:tcPr>
          <w:p w14:paraId="40E4848A" w14:textId="252A7DEE" w:rsidR="00CA532D" w:rsidRPr="006B5701" w:rsidRDefault="00CA532D" w:rsidP="00046B53">
            <w:pPr>
              <w:tabs>
                <w:tab w:val="left" w:pos="2700"/>
              </w:tabs>
              <w:jc w:val="left"/>
              <w:rPr>
                <w:szCs w:val="22"/>
                <w:lang w:val="sr-Latn-CS"/>
              </w:rPr>
            </w:pPr>
            <w:r w:rsidRPr="006B5701">
              <w:rPr>
                <w:szCs w:val="22"/>
                <w:lang w:val="sr-Latn-CS"/>
              </w:rPr>
              <w:t>Opšti poremećaji i reakcije na m</w:t>
            </w:r>
            <w:r w:rsidR="000C3752">
              <w:rPr>
                <w:szCs w:val="22"/>
                <w:lang w:val="sr-Latn-CS"/>
              </w:rPr>
              <w:t>j</w:t>
            </w:r>
            <w:r w:rsidRPr="006B5701">
              <w:rPr>
                <w:szCs w:val="22"/>
                <w:lang w:val="sr-Latn-CS"/>
              </w:rPr>
              <w:t>estu prim</w:t>
            </w:r>
            <w:r w:rsidR="000C3752">
              <w:rPr>
                <w:szCs w:val="22"/>
                <w:lang w:val="sr-Latn-CS"/>
              </w:rPr>
              <w:t>j</w:t>
            </w:r>
            <w:r w:rsidRPr="006B5701">
              <w:rPr>
                <w:szCs w:val="22"/>
                <w:lang w:val="sr-Latn-CS"/>
              </w:rPr>
              <w:t>ene</w:t>
            </w:r>
          </w:p>
          <w:p w14:paraId="19BD7D53" w14:textId="77777777" w:rsidR="00CA532D" w:rsidRPr="006B5701" w:rsidRDefault="00CA532D" w:rsidP="00046B53">
            <w:pPr>
              <w:tabs>
                <w:tab w:val="left" w:pos="2700"/>
              </w:tabs>
              <w:jc w:val="left"/>
              <w:rPr>
                <w:szCs w:val="22"/>
                <w:lang w:val="sr-Latn-CS"/>
              </w:rPr>
            </w:pPr>
          </w:p>
        </w:tc>
        <w:tc>
          <w:tcPr>
            <w:tcW w:w="1417" w:type="dxa"/>
          </w:tcPr>
          <w:p w14:paraId="157D8ECE" w14:textId="77777777" w:rsidR="00CA532D" w:rsidRPr="006B5701" w:rsidRDefault="00CA532D" w:rsidP="00046B53">
            <w:pPr>
              <w:tabs>
                <w:tab w:val="left" w:pos="2700"/>
              </w:tabs>
              <w:jc w:val="left"/>
              <w:rPr>
                <w:szCs w:val="22"/>
                <w:lang w:val="sr-Latn-CS"/>
              </w:rPr>
            </w:pPr>
          </w:p>
        </w:tc>
        <w:tc>
          <w:tcPr>
            <w:tcW w:w="1445" w:type="dxa"/>
          </w:tcPr>
          <w:p w14:paraId="0CDC2A6A" w14:textId="77777777" w:rsidR="00CA532D" w:rsidRPr="006B5701" w:rsidRDefault="00FA3C6B" w:rsidP="00046B53">
            <w:pPr>
              <w:tabs>
                <w:tab w:val="left" w:pos="2700"/>
              </w:tabs>
              <w:jc w:val="left"/>
              <w:rPr>
                <w:szCs w:val="22"/>
                <w:lang w:val="sr-Latn-CS"/>
              </w:rPr>
            </w:pPr>
            <w:r w:rsidRPr="006B5701">
              <w:rPr>
                <w:szCs w:val="22"/>
                <w:lang w:val="sr-Latn-CS"/>
              </w:rPr>
              <w:t>zamor</w:t>
            </w:r>
          </w:p>
          <w:p w14:paraId="7553D31C" w14:textId="77777777" w:rsidR="00CA532D" w:rsidRPr="006B5701" w:rsidRDefault="00CA532D" w:rsidP="00046B53">
            <w:pPr>
              <w:tabs>
                <w:tab w:val="left" w:pos="2700"/>
              </w:tabs>
              <w:jc w:val="left"/>
              <w:rPr>
                <w:szCs w:val="22"/>
                <w:lang w:val="sr-Latn-CS"/>
              </w:rPr>
            </w:pPr>
          </w:p>
        </w:tc>
        <w:tc>
          <w:tcPr>
            <w:tcW w:w="2695" w:type="dxa"/>
          </w:tcPr>
          <w:p w14:paraId="2BD6D8A0" w14:textId="77777777" w:rsidR="00CA532D" w:rsidRPr="006B5701" w:rsidRDefault="00CA532D" w:rsidP="00046B53">
            <w:pPr>
              <w:tabs>
                <w:tab w:val="left" w:pos="2700"/>
              </w:tabs>
              <w:jc w:val="left"/>
              <w:rPr>
                <w:szCs w:val="22"/>
                <w:lang w:val="sr-Latn-CS"/>
              </w:rPr>
            </w:pPr>
            <w:r w:rsidRPr="006B5701">
              <w:rPr>
                <w:szCs w:val="22"/>
                <w:lang w:val="sr-Latn-CS"/>
              </w:rPr>
              <w:t>periferni edem</w:t>
            </w:r>
          </w:p>
        </w:tc>
        <w:tc>
          <w:tcPr>
            <w:tcW w:w="2268" w:type="dxa"/>
          </w:tcPr>
          <w:p w14:paraId="6C414AEA" w14:textId="77777777" w:rsidR="00CA532D" w:rsidRPr="006B5701" w:rsidRDefault="00CA532D" w:rsidP="00046B53">
            <w:pPr>
              <w:tabs>
                <w:tab w:val="left" w:pos="2700"/>
              </w:tabs>
              <w:jc w:val="left"/>
              <w:rPr>
                <w:szCs w:val="22"/>
                <w:lang w:val="sr-Latn-CS"/>
              </w:rPr>
            </w:pPr>
            <w:r w:rsidRPr="006B5701">
              <w:rPr>
                <w:szCs w:val="22"/>
                <w:lang w:val="sr-Latn-CS"/>
              </w:rPr>
              <w:t>sindrom obustave agonista dopamina, uključujući</w:t>
            </w:r>
          </w:p>
          <w:p w14:paraId="1FE3D637" w14:textId="77777777" w:rsidR="00CA532D" w:rsidRPr="006B5701" w:rsidRDefault="00CA532D" w:rsidP="00046B53">
            <w:pPr>
              <w:tabs>
                <w:tab w:val="left" w:pos="2700"/>
              </w:tabs>
              <w:jc w:val="left"/>
              <w:rPr>
                <w:szCs w:val="22"/>
                <w:lang w:val="sr-Latn-CS"/>
              </w:rPr>
            </w:pPr>
            <w:r w:rsidRPr="006B5701">
              <w:rPr>
                <w:szCs w:val="22"/>
                <w:lang w:val="sr-Latn-CS"/>
              </w:rPr>
              <w:t>apatiju,</w:t>
            </w:r>
          </w:p>
          <w:p w14:paraId="029DC258" w14:textId="77777777" w:rsidR="00CA532D" w:rsidRPr="006B5701" w:rsidRDefault="00CA532D" w:rsidP="00046B53">
            <w:pPr>
              <w:tabs>
                <w:tab w:val="left" w:pos="2700"/>
              </w:tabs>
              <w:jc w:val="left"/>
              <w:rPr>
                <w:szCs w:val="22"/>
                <w:lang w:val="sr-Latn-CS"/>
              </w:rPr>
            </w:pPr>
            <w:r w:rsidRPr="006B5701">
              <w:rPr>
                <w:szCs w:val="22"/>
                <w:lang w:val="sr-Latn-CS"/>
              </w:rPr>
              <w:t>anksioznost,</w:t>
            </w:r>
          </w:p>
          <w:p w14:paraId="79354C95" w14:textId="77777777" w:rsidR="00CA532D" w:rsidRPr="006B5701" w:rsidRDefault="00CA532D" w:rsidP="00046B53">
            <w:pPr>
              <w:tabs>
                <w:tab w:val="left" w:pos="2700"/>
              </w:tabs>
              <w:jc w:val="left"/>
              <w:rPr>
                <w:szCs w:val="22"/>
                <w:lang w:val="sr-Latn-CS"/>
              </w:rPr>
            </w:pPr>
            <w:r w:rsidRPr="006B5701">
              <w:rPr>
                <w:szCs w:val="22"/>
                <w:lang w:val="sr-Latn-CS"/>
              </w:rPr>
              <w:t>depresiju,</w:t>
            </w:r>
          </w:p>
          <w:p w14:paraId="0CC7ED31" w14:textId="77777777" w:rsidR="00CA532D" w:rsidRPr="006B5701" w:rsidRDefault="00CA532D" w:rsidP="00046B53">
            <w:pPr>
              <w:tabs>
                <w:tab w:val="left" w:pos="2700"/>
              </w:tabs>
              <w:jc w:val="left"/>
              <w:rPr>
                <w:szCs w:val="22"/>
                <w:lang w:val="sr-Latn-CS"/>
              </w:rPr>
            </w:pPr>
            <w:r w:rsidRPr="006B5701">
              <w:rPr>
                <w:szCs w:val="22"/>
                <w:lang w:val="sr-Latn-CS"/>
              </w:rPr>
              <w:t>zamor,</w:t>
            </w:r>
          </w:p>
          <w:p w14:paraId="6CE31AFC" w14:textId="77777777" w:rsidR="00CA532D" w:rsidRPr="006B5701" w:rsidRDefault="00CA532D" w:rsidP="00046B53">
            <w:pPr>
              <w:tabs>
                <w:tab w:val="left" w:pos="2700"/>
              </w:tabs>
              <w:jc w:val="left"/>
              <w:rPr>
                <w:szCs w:val="22"/>
                <w:lang w:val="sr-Latn-CS"/>
              </w:rPr>
            </w:pPr>
            <w:r w:rsidRPr="006B5701">
              <w:rPr>
                <w:szCs w:val="22"/>
                <w:lang w:val="sr-Latn-CS"/>
              </w:rPr>
              <w:t>znojenje i</w:t>
            </w:r>
          </w:p>
          <w:p w14:paraId="5F8F1980" w14:textId="77777777" w:rsidR="00CA532D" w:rsidRPr="006B5701" w:rsidRDefault="00CA532D" w:rsidP="00046B53">
            <w:pPr>
              <w:tabs>
                <w:tab w:val="left" w:pos="2700"/>
              </w:tabs>
              <w:jc w:val="left"/>
              <w:rPr>
                <w:szCs w:val="22"/>
                <w:lang w:val="sr-Latn-CS"/>
              </w:rPr>
            </w:pPr>
            <w:r w:rsidRPr="006B5701">
              <w:rPr>
                <w:szCs w:val="22"/>
                <w:lang w:val="sr-Latn-CS"/>
              </w:rPr>
              <w:t>bol</w:t>
            </w:r>
          </w:p>
        </w:tc>
      </w:tr>
      <w:tr w:rsidR="00A03D75" w:rsidRPr="00693548" w14:paraId="0186823E" w14:textId="77777777" w:rsidTr="007104D9">
        <w:tc>
          <w:tcPr>
            <w:tcW w:w="1781" w:type="dxa"/>
          </w:tcPr>
          <w:p w14:paraId="0C884F97" w14:textId="77777777" w:rsidR="00CA532D" w:rsidRPr="006B5701" w:rsidRDefault="00E92443" w:rsidP="00046B53">
            <w:pPr>
              <w:tabs>
                <w:tab w:val="left" w:pos="2700"/>
              </w:tabs>
              <w:jc w:val="left"/>
              <w:rPr>
                <w:szCs w:val="22"/>
                <w:lang w:val="sr-Latn-CS"/>
              </w:rPr>
            </w:pPr>
            <w:r w:rsidRPr="006B5701">
              <w:rPr>
                <w:szCs w:val="22"/>
                <w:lang w:val="sr-Latn-CS"/>
              </w:rPr>
              <w:t>I</w:t>
            </w:r>
            <w:r w:rsidR="00CA532D" w:rsidRPr="006B5701">
              <w:rPr>
                <w:szCs w:val="22"/>
                <w:lang w:val="sr-Latn-CS"/>
              </w:rPr>
              <w:t>spitivanja</w:t>
            </w:r>
          </w:p>
        </w:tc>
        <w:tc>
          <w:tcPr>
            <w:tcW w:w="1417" w:type="dxa"/>
          </w:tcPr>
          <w:p w14:paraId="6461FFB0" w14:textId="77777777" w:rsidR="00CA532D" w:rsidRPr="006B5701" w:rsidRDefault="00CA532D" w:rsidP="00046B53">
            <w:pPr>
              <w:tabs>
                <w:tab w:val="left" w:pos="2700"/>
              </w:tabs>
              <w:jc w:val="left"/>
              <w:rPr>
                <w:szCs w:val="22"/>
                <w:lang w:val="sr-Latn-CS"/>
              </w:rPr>
            </w:pPr>
          </w:p>
        </w:tc>
        <w:tc>
          <w:tcPr>
            <w:tcW w:w="1445" w:type="dxa"/>
          </w:tcPr>
          <w:p w14:paraId="1E9AE6BF" w14:textId="77777777" w:rsidR="00CA532D" w:rsidRPr="006B5701" w:rsidRDefault="00CA532D" w:rsidP="00046B53">
            <w:pPr>
              <w:tabs>
                <w:tab w:val="left" w:pos="2700"/>
              </w:tabs>
              <w:jc w:val="left"/>
              <w:rPr>
                <w:szCs w:val="22"/>
                <w:lang w:val="sr-Latn-CS"/>
              </w:rPr>
            </w:pPr>
          </w:p>
        </w:tc>
        <w:tc>
          <w:tcPr>
            <w:tcW w:w="2695" w:type="dxa"/>
          </w:tcPr>
          <w:p w14:paraId="3792DEC4" w14:textId="7BF3174D" w:rsidR="00CA532D" w:rsidRPr="006B5701" w:rsidRDefault="00CA532D" w:rsidP="00046B53">
            <w:pPr>
              <w:tabs>
                <w:tab w:val="left" w:pos="2700"/>
              </w:tabs>
              <w:jc w:val="left"/>
              <w:rPr>
                <w:szCs w:val="22"/>
                <w:lang w:val="sr-Latn-CS"/>
              </w:rPr>
            </w:pPr>
            <w:r w:rsidRPr="006B5701">
              <w:rPr>
                <w:szCs w:val="22"/>
                <w:lang w:val="sr-Latn-CS"/>
              </w:rPr>
              <w:t>smanjenje t</w:t>
            </w:r>
            <w:r w:rsidR="000C3752">
              <w:rPr>
                <w:szCs w:val="22"/>
                <w:lang w:val="sr-Latn-CS"/>
              </w:rPr>
              <w:t>j</w:t>
            </w:r>
            <w:r w:rsidRPr="006B5701">
              <w:rPr>
                <w:szCs w:val="22"/>
                <w:lang w:val="sr-Latn-CS"/>
              </w:rPr>
              <w:t>elesne mase uključujući smanjenje apetita, povećanje t</w:t>
            </w:r>
            <w:r w:rsidR="000C3752">
              <w:rPr>
                <w:szCs w:val="22"/>
                <w:lang w:val="sr-Latn-CS"/>
              </w:rPr>
              <w:t>j</w:t>
            </w:r>
            <w:r w:rsidRPr="006B5701">
              <w:rPr>
                <w:szCs w:val="22"/>
                <w:lang w:val="sr-Latn-CS"/>
              </w:rPr>
              <w:t>elesne mase</w:t>
            </w:r>
          </w:p>
          <w:p w14:paraId="1878D395" w14:textId="77777777" w:rsidR="00CA532D" w:rsidRPr="006B5701" w:rsidRDefault="00CA532D" w:rsidP="00046B53">
            <w:pPr>
              <w:tabs>
                <w:tab w:val="left" w:pos="2700"/>
              </w:tabs>
              <w:jc w:val="left"/>
              <w:rPr>
                <w:szCs w:val="22"/>
                <w:lang w:val="sr-Latn-CS"/>
              </w:rPr>
            </w:pPr>
          </w:p>
        </w:tc>
        <w:tc>
          <w:tcPr>
            <w:tcW w:w="2268" w:type="dxa"/>
          </w:tcPr>
          <w:p w14:paraId="6E59AE74" w14:textId="77777777" w:rsidR="00CA532D" w:rsidRPr="006B5701" w:rsidRDefault="00CA532D" w:rsidP="00046B53">
            <w:pPr>
              <w:tabs>
                <w:tab w:val="left" w:pos="2700"/>
              </w:tabs>
              <w:jc w:val="left"/>
              <w:rPr>
                <w:szCs w:val="22"/>
                <w:lang w:val="sr-Latn-CS"/>
              </w:rPr>
            </w:pPr>
          </w:p>
        </w:tc>
      </w:tr>
    </w:tbl>
    <w:p w14:paraId="203F3FCB" w14:textId="1BB531B9" w:rsidR="00BA4358" w:rsidRPr="006B5701" w:rsidRDefault="00BA4358" w:rsidP="00C76D6B">
      <w:pPr>
        <w:pStyle w:val="PIbodytext"/>
        <w:tabs>
          <w:tab w:val="left" w:pos="142"/>
        </w:tabs>
        <w:jc w:val="both"/>
        <w:rPr>
          <w:rFonts w:ascii="Times New Roman" w:hAnsi="Times New Roman"/>
          <w:noProof w:val="0"/>
          <w:lang w:val="sr-Latn-CS"/>
        </w:rPr>
      </w:pPr>
      <w:r w:rsidRPr="006B5701">
        <w:rPr>
          <w:rFonts w:ascii="Times New Roman" w:hAnsi="Times New Roman"/>
          <w:noProof w:val="0"/>
          <w:vertAlign w:val="superscript"/>
          <w:lang w:val="sr-Latn-CS"/>
        </w:rPr>
        <w:t>1</w:t>
      </w:r>
      <w:r w:rsidRPr="006B5701">
        <w:rPr>
          <w:rFonts w:ascii="Times New Roman" w:hAnsi="Times New Roman"/>
          <w:noProof w:val="0"/>
          <w:lang w:val="sr-Latn-CS"/>
        </w:rPr>
        <w:t>Ovo neželjeno dejstvo je zab</w:t>
      </w:r>
      <w:r w:rsidR="000C3752">
        <w:rPr>
          <w:rFonts w:ascii="Times New Roman" w:hAnsi="Times New Roman"/>
          <w:noProof w:val="0"/>
          <w:lang w:val="sr-Latn-CS"/>
        </w:rPr>
        <w:t>i</w:t>
      </w:r>
      <w:r w:rsidRPr="006B5701">
        <w:rPr>
          <w:rFonts w:ascii="Times New Roman" w:hAnsi="Times New Roman"/>
          <w:noProof w:val="0"/>
          <w:lang w:val="sr-Latn-CS"/>
        </w:rPr>
        <w:t>l</w:t>
      </w:r>
      <w:r w:rsidR="000C3752">
        <w:rPr>
          <w:rFonts w:ascii="Times New Roman" w:hAnsi="Times New Roman"/>
          <w:noProof w:val="0"/>
          <w:lang w:val="sr-Latn-CS"/>
        </w:rPr>
        <w:t>j</w:t>
      </w:r>
      <w:r w:rsidRPr="006B5701">
        <w:rPr>
          <w:rFonts w:ascii="Times New Roman" w:hAnsi="Times New Roman"/>
          <w:noProof w:val="0"/>
          <w:lang w:val="sr-Latn-CS"/>
        </w:rPr>
        <w:t>eženo nakon puštanja l</w:t>
      </w:r>
      <w:r w:rsidR="000C3752">
        <w:rPr>
          <w:rFonts w:ascii="Times New Roman" w:hAnsi="Times New Roman"/>
          <w:noProof w:val="0"/>
          <w:lang w:val="sr-Latn-CS"/>
        </w:rPr>
        <w:t>ij</w:t>
      </w:r>
      <w:r w:rsidRPr="006B5701">
        <w:rPr>
          <w:rFonts w:ascii="Times New Roman" w:hAnsi="Times New Roman"/>
          <w:noProof w:val="0"/>
          <w:lang w:val="sr-Latn-CS"/>
        </w:rPr>
        <w:t>eka u promet (postmarketinško iskustvo). Sa sigurnošću od 95% kategorija učestalosti ne prelazi povremenu, ali može da bude niža. Precizna proc</w:t>
      </w:r>
      <w:r w:rsidR="000C3752">
        <w:rPr>
          <w:rFonts w:ascii="Times New Roman" w:hAnsi="Times New Roman"/>
          <w:noProof w:val="0"/>
          <w:lang w:val="sr-Latn-CS"/>
        </w:rPr>
        <w:t>j</w:t>
      </w:r>
      <w:r w:rsidRPr="006B5701">
        <w:rPr>
          <w:rFonts w:ascii="Times New Roman" w:hAnsi="Times New Roman"/>
          <w:noProof w:val="0"/>
          <w:lang w:val="sr-Latn-CS"/>
        </w:rPr>
        <w:t xml:space="preserve">ena učestalosti nije moguća, jer se ovo neželjeno dejstvo nije pojavilo u bazi podataka kliničkih istraživanja sa 1395 pacijenata sa </w:t>
      </w:r>
      <w:r w:rsidR="007302F6">
        <w:rPr>
          <w:rFonts w:ascii="Times New Roman" w:hAnsi="Times New Roman"/>
          <w:noProof w:val="0"/>
          <w:lang w:val="sr-Latn-CS"/>
        </w:rPr>
        <w:t>s</w:t>
      </w:r>
      <w:r w:rsidR="007302F6" w:rsidRPr="006B5701">
        <w:rPr>
          <w:rFonts w:ascii="Times New Roman" w:hAnsi="Times New Roman"/>
          <w:noProof w:val="0"/>
          <w:lang w:val="sr-Latn-CS"/>
        </w:rPr>
        <w:t xml:space="preserve">indromom </w:t>
      </w:r>
      <w:r w:rsidRPr="006B5701">
        <w:rPr>
          <w:rFonts w:ascii="Times New Roman" w:hAnsi="Times New Roman"/>
          <w:noProof w:val="0"/>
          <w:lang w:val="sr-Latn-CS"/>
        </w:rPr>
        <w:t>nemirnih nogu koji su l</w:t>
      </w:r>
      <w:r w:rsidR="005516BC">
        <w:rPr>
          <w:rFonts w:ascii="Times New Roman" w:hAnsi="Times New Roman"/>
          <w:noProof w:val="0"/>
          <w:lang w:val="sr-Latn-CS"/>
        </w:rPr>
        <w:t>ij</w:t>
      </w:r>
      <w:r w:rsidRPr="006B5701">
        <w:rPr>
          <w:rFonts w:ascii="Times New Roman" w:hAnsi="Times New Roman"/>
          <w:noProof w:val="0"/>
          <w:lang w:val="sr-Latn-CS"/>
        </w:rPr>
        <w:t>ečeni pramipeksolom.</w:t>
      </w:r>
    </w:p>
    <w:p w14:paraId="357F1C39" w14:textId="77777777" w:rsidR="004B21C0" w:rsidRPr="006B5701" w:rsidRDefault="004B21C0" w:rsidP="004B21C0">
      <w:pPr>
        <w:jc w:val="left"/>
        <w:rPr>
          <w:szCs w:val="22"/>
          <w:u w:val="single"/>
          <w:lang w:val="sr-Latn-CS"/>
        </w:rPr>
      </w:pPr>
    </w:p>
    <w:p w14:paraId="686A9501" w14:textId="77777777" w:rsidR="002A5401" w:rsidRPr="006B5701" w:rsidRDefault="002A5401" w:rsidP="002A5401">
      <w:pPr>
        <w:tabs>
          <w:tab w:val="left" w:pos="0"/>
        </w:tabs>
        <w:jc w:val="left"/>
        <w:rPr>
          <w:szCs w:val="22"/>
          <w:u w:val="single"/>
          <w:lang w:val="sr-Latn-CS"/>
        </w:rPr>
      </w:pPr>
      <w:r w:rsidRPr="006B5701">
        <w:rPr>
          <w:szCs w:val="22"/>
          <w:u w:val="single"/>
          <w:lang w:val="sr-Latn-CS"/>
        </w:rPr>
        <w:t>Opis odabranih neželjenih dejstava</w:t>
      </w:r>
    </w:p>
    <w:p w14:paraId="5BE324DF" w14:textId="77777777" w:rsidR="002A5401" w:rsidRPr="006B5701" w:rsidRDefault="002A5401" w:rsidP="004B21C0">
      <w:pPr>
        <w:jc w:val="left"/>
        <w:rPr>
          <w:szCs w:val="22"/>
          <w:u w:val="single"/>
          <w:lang w:val="sr-Latn-CS"/>
        </w:rPr>
      </w:pPr>
    </w:p>
    <w:p w14:paraId="340A733A" w14:textId="77777777" w:rsidR="004B21C0" w:rsidRPr="006B5701" w:rsidRDefault="004B21C0" w:rsidP="00C76D6B">
      <w:pPr>
        <w:rPr>
          <w:szCs w:val="22"/>
          <w:u w:val="single"/>
          <w:lang w:val="sr-Latn-CS"/>
        </w:rPr>
      </w:pPr>
      <w:r w:rsidRPr="006B5701">
        <w:rPr>
          <w:szCs w:val="22"/>
          <w:u w:val="single"/>
          <w:lang w:val="sr-Latn-CS"/>
        </w:rPr>
        <w:t xml:space="preserve">Somnolencija </w:t>
      </w:r>
    </w:p>
    <w:p w14:paraId="0FF34759" w14:textId="058E232C" w:rsidR="004B21C0" w:rsidRPr="006B5701" w:rsidRDefault="004B21C0" w:rsidP="00C76D6B">
      <w:pPr>
        <w:rPr>
          <w:szCs w:val="22"/>
          <w:lang w:val="sr-Latn-CS"/>
        </w:rPr>
      </w:pPr>
      <w:r w:rsidRPr="006B5701">
        <w:rPr>
          <w:szCs w:val="22"/>
          <w:lang w:val="sr-Latn-CS"/>
        </w:rPr>
        <w:t>Pramipeksol se često dovodi u vezu sa somnolencijom i povremeno sa prekom</w:t>
      </w:r>
      <w:r w:rsidR="005516BC">
        <w:rPr>
          <w:szCs w:val="22"/>
          <w:lang w:val="sr-Latn-CS"/>
        </w:rPr>
        <w:t>j</w:t>
      </w:r>
      <w:r w:rsidRPr="006B5701">
        <w:rPr>
          <w:szCs w:val="22"/>
          <w:lang w:val="sr-Latn-CS"/>
        </w:rPr>
        <w:t>ernom pospanošću tokom dana, kao i epizodama naglog padanja u san (vid</w:t>
      </w:r>
      <w:r w:rsidR="005516BC">
        <w:rPr>
          <w:szCs w:val="22"/>
          <w:lang w:val="sr-Latn-CS"/>
        </w:rPr>
        <w:t>j</w:t>
      </w:r>
      <w:r w:rsidRPr="006B5701">
        <w:rPr>
          <w:szCs w:val="22"/>
          <w:lang w:val="sr-Latn-CS"/>
        </w:rPr>
        <w:t>eti i od</w:t>
      </w:r>
      <w:r w:rsidR="005516BC">
        <w:rPr>
          <w:szCs w:val="22"/>
          <w:lang w:val="sr-Latn-CS"/>
        </w:rPr>
        <w:t>j</w:t>
      </w:r>
      <w:r w:rsidRPr="006B5701">
        <w:rPr>
          <w:szCs w:val="22"/>
          <w:lang w:val="sr-Latn-CS"/>
        </w:rPr>
        <w:t xml:space="preserve">eljak 4.4). </w:t>
      </w:r>
    </w:p>
    <w:p w14:paraId="0304DB8E" w14:textId="77777777" w:rsidR="004B21C0" w:rsidRPr="006B5701" w:rsidRDefault="004B21C0" w:rsidP="00C76D6B">
      <w:pPr>
        <w:rPr>
          <w:szCs w:val="22"/>
          <w:u w:val="single"/>
          <w:lang w:val="sr-Latn-CS"/>
        </w:rPr>
      </w:pPr>
    </w:p>
    <w:p w14:paraId="6C678F3B" w14:textId="77777777" w:rsidR="004B21C0" w:rsidRPr="006B5701" w:rsidRDefault="004B21C0" w:rsidP="00C76D6B">
      <w:pPr>
        <w:rPr>
          <w:szCs w:val="22"/>
          <w:u w:val="single"/>
          <w:lang w:val="sr-Latn-CS"/>
        </w:rPr>
      </w:pPr>
      <w:r w:rsidRPr="006B5701">
        <w:rPr>
          <w:szCs w:val="22"/>
          <w:u w:val="single"/>
          <w:lang w:val="sr-Latn-CS"/>
        </w:rPr>
        <w:t>Poremećaj libida</w:t>
      </w:r>
    </w:p>
    <w:p w14:paraId="5BEEB090" w14:textId="77777777" w:rsidR="004B21C0" w:rsidRPr="006B5701" w:rsidRDefault="004B21C0" w:rsidP="00C76D6B">
      <w:pPr>
        <w:rPr>
          <w:szCs w:val="22"/>
          <w:lang w:val="sr-Latn-CS"/>
        </w:rPr>
      </w:pPr>
      <w:r w:rsidRPr="006B5701">
        <w:rPr>
          <w:szCs w:val="22"/>
          <w:lang w:val="sr-Latn-CS"/>
        </w:rPr>
        <w:t xml:space="preserve">Pramipeksol može povremeno da se dovede u vezu sa poremećajima libida (pojačan ili oslabljen). </w:t>
      </w:r>
    </w:p>
    <w:p w14:paraId="6EF864E4" w14:textId="77777777" w:rsidR="004B21C0" w:rsidRPr="006B5701" w:rsidRDefault="004B21C0" w:rsidP="00C76D6B">
      <w:pPr>
        <w:rPr>
          <w:szCs w:val="22"/>
          <w:lang w:val="sr-Latn-CS"/>
        </w:rPr>
      </w:pPr>
    </w:p>
    <w:p w14:paraId="4A438433" w14:textId="77777777" w:rsidR="004B21C0" w:rsidRPr="006B5701" w:rsidRDefault="004B21C0" w:rsidP="00C76D6B">
      <w:pPr>
        <w:rPr>
          <w:szCs w:val="22"/>
          <w:lang w:val="sr-Latn-CS"/>
        </w:rPr>
      </w:pPr>
      <w:r w:rsidRPr="006B5701">
        <w:rPr>
          <w:szCs w:val="22"/>
          <w:u w:val="single"/>
          <w:lang w:val="sr-Latn-CS"/>
        </w:rPr>
        <w:t xml:space="preserve">Poremećaji kontrole nagona </w:t>
      </w:r>
    </w:p>
    <w:p w14:paraId="1B337EA8" w14:textId="11414C31" w:rsidR="004B21C0" w:rsidRPr="006B5701" w:rsidRDefault="004B21C0" w:rsidP="00C76D6B">
      <w:pPr>
        <w:rPr>
          <w:szCs w:val="22"/>
          <w:lang w:val="sr-Latn-CS"/>
        </w:rPr>
      </w:pPr>
      <w:r w:rsidRPr="006B5701">
        <w:rPr>
          <w:szCs w:val="22"/>
          <w:lang w:val="sr-Latn-CS"/>
        </w:rPr>
        <w:t>Patološko kockanje, povišen libido, hiperseksualnost, kompulzivno trošenje novca ili kupovanje, prejedanje i kompulzivno prejedanje, mogu se javiti kod pacijenata koji su l</w:t>
      </w:r>
      <w:r w:rsidR="005516BC">
        <w:rPr>
          <w:szCs w:val="22"/>
          <w:lang w:val="sr-Latn-CS"/>
        </w:rPr>
        <w:t>ij</w:t>
      </w:r>
      <w:r w:rsidRPr="006B5701">
        <w:rPr>
          <w:szCs w:val="22"/>
          <w:lang w:val="sr-Latn-CS"/>
        </w:rPr>
        <w:t xml:space="preserve">ečeni dopaminskim agonistima, uključujući i </w:t>
      </w:r>
      <w:r w:rsidR="0083579A">
        <w:rPr>
          <w:bCs/>
          <w:szCs w:val="22"/>
          <w:lang w:val="sr-Latn-CS"/>
        </w:rPr>
        <w:t>Mirapexin</w:t>
      </w:r>
      <w:r w:rsidRPr="006B5701">
        <w:rPr>
          <w:szCs w:val="22"/>
          <w:lang w:val="sr-Latn-CS"/>
        </w:rPr>
        <w:t xml:space="preserve"> (vid</w:t>
      </w:r>
      <w:r w:rsidR="005516BC">
        <w:rPr>
          <w:szCs w:val="22"/>
          <w:lang w:val="sr-Latn-CS"/>
        </w:rPr>
        <w:t>j</w:t>
      </w:r>
      <w:r w:rsidRPr="006B5701">
        <w:rPr>
          <w:szCs w:val="22"/>
          <w:lang w:val="sr-Latn-CS"/>
        </w:rPr>
        <w:t>eti od</w:t>
      </w:r>
      <w:r w:rsidR="005516BC">
        <w:rPr>
          <w:szCs w:val="22"/>
          <w:lang w:val="sr-Latn-CS"/>
        </w:rPr>
        <w:t>j</w:t>
      </w:r>
      <w:r w:rsidRPr="006B5701">
        <w:rPr>
          <w:szCs w:val="22"/>
          <w:lang w:val="sr-Latn-CS"/>
        </w:rPr>
        <w:t>eljak 4.4).</w:t>
      </w:r>
    </w:p>
    <w:p w14:paraId="218EBC9D" w14:textId="77777777" w:rsidR="004B21C0" w:rsidRPr="006B5701" w:rsidRDefault="004B21C0" w:rsidP="00C76D6B">
      <w:pPr>
        <w:rPr>
          <w:szCs w:val="22"/>
          <w:lang w:val="sr-Latn-CS"/>
        </w:rPr>
      </w:pPr>
    </w:p>
    <w:p w14:paraId="7BE694BE" w14:textId="0CA825D8" w:rsidR="004B21C0" w:rsidRPr="006B5701" w:rsidRDefault="004B21C0" w:rsidP="00C76D6B">
      <w:pPr>
        <w:rPr>
          <w:szCs w:val="22"/>
          <w:lang w:val="sr-Latn-CS"/>
        </w:rPr>
      </w:pPr>
      <w:r w:rsidRPr="006B5701">
        <w:rPr>
          <w:szCs w:val="22"/>
          <w:lang w:val="sr-Latn-CS"/>
        </w:rPr>
        <w:t>U jednoj unakrsnoj, retrospektivnoj</w:t>
      </w:r>
      <w:r w:rsidR="00765773" w:rsidRPr="006B5701">
        <w:rPr>
          <w:szCs w:val="22"/>
          <w:lang w:val="sr-Latn-CS"/>
        </w:rPr>
        <w:t xml:space="preserve"> skrining</w:t>
      </w:r>
      <w:r w:rsidRPr="006B5701">
        <w:rPr>
          <w:szCs w:val="22"/>
          <w:lang w:val="sr-Latn-CS"/>
        </w:rPr>
        <w:t>, kontrol</w:t>
      </w:r>
      <w:r w:rsidR="00765773" w:rsidRPr="006B5701">
        <w:rPr>
          <w:szCs w:val="22"/>
          <w:lang w:val="sr-Latn-CS"/>
        </w:rPr>
        <w:t>noj</w:t>
      </w:r>
      <w:r w:rsidRPr="006B5701">
        <w:rPr>
          <w:szCs w:val="22"/>
          <w:lang w:val="sr-Latn-CS"/>
        </w:rPr>
        <w:t xml:space="preserve"> studiji kojom je obuhvaćeno 3090 pacijenata sa Parkinsonovom bolešću, 13,6% svih pacijenata koji su primali dopaminergičku ili ne-dopaminergičku terapiju ispoljilo je simptome poremećaja kontrole impulsa u prethodnih šest m</w:t>
      </w:r>
      <w:r w:rsidR="005516BC">
        <w:rPr>
          <w:szCs w:val="22"/>
          <w:lang w:val="sr-Latn-CS"/>
        </w:rPr>
        <w:t>j</w:t>
      </w:r>
      <w:r w:rsidRPr="006B5701">
        <w:rPr>
          <w:szCs w:val="22"/>
          <w:lang w:val="sr-Latn-CS"/>
        </w:rPr>
        <w:t>eseci. U ove manifestacije spadali su patološko kockanje, kompulzivna kupovina, prejedanje i kompulzivno seksualno ponašanje (hiperseksualnost). U moguće nezavisne faktore rizika za poremećaj kontrole impulsa spadaju dopaminergička terapija i veće doze dopaminergičke terapije, mlađi uzrast (≤ 65 godina), pacijenti koji ni</w:t>
      </w:r>
      <w:r w:rsidR="005516BC">
        <w:rPr>
          <w:szCs w:val="22"/>
          <w:lang w:val="sr-Latn-CS"/>
        </w:rPr>
        <w:t>je</w:t>
      </w:r>
      <w:r w:rsidRPr="006B5701">
        <w:rPr>
          <w:szCs w:val="22"/>
          <w:lang w:val="sr-Latn-CS"/>
        </w:rPr>
        <w:t xml:space="preserve">su u braku (neoženjeni, neudate) i po sopstvenom priznanju slučajevi kockarskog ponašanja u porodici. </w:t>
      </w:r>
    </w:p>
    <w:p w14:paraId="0D899376" w14:textId="3EE210AE" w:rsidR="00E91930" w:rsidRPr="006527C6" w:rsidRDefault="00E91930" w:rsidP="00C76D6B">
      <w:pPr>
        <w:pStyle w:val="Header"/>
        <w:rPr>
          <w:szCs w:val="22"/>
          <w:u w:val="single"/>
          <w:lang w:val="sr-Latn-CS"/>
        </w:rPr>
      </w:pPr>
    </w:p>
    <w:p w14:paraId="122277F5" w14:textId="711353FA" w:rsidR="008A674F" w:rsidRPr="006B5701" w:rsidRDefault="008A674F" w:rsidP="00C76D6B">
      <w:pPr>
        <w:pStyle w:val="Header"/>
        <w:rPr>
          <w:szCs w:val="22"/>
          <w:u w:val="single"/>
          <w:lang w:val="sr-Latn-CS"/>
        </w:rPr>
      </w:pPr>
      <w:r w:rsidRPr="006B5701">
        <w:rPr>
          <w:szCs w:val="22"/>
          <w:u w:val="single"/>
        </w:rPr>
        <w:t>Sindrom</w:t>
      </w:r>
      <w:r w:rsidRPr="006B5701">
        <w:rPr>
          <w:szCs w:val="22"/>
          <w:u w:val="single"/>
          <w:lang w:val="sr-Latn-CS"/>
        </w:rPr>
        <w:t xml:space="preserve"> </w:t>
      </w:r>
      <w:r w:rsidRPr="006B5701">
        <w:rPr>
          <w:szCs w:val="22"/>
          <w:u w:val="single"/>
        </w:rPr>
        <w:t>obustave</w:t>
      </w:r>
      <w:r w:rsidRPr="006B5701">
        <w:rPr>
          <w:szCs w:val="22"/>
          <w:u w:val="single"/>
          <w:lang w:val="sr-Latn-CS"/>
        </w:rPr>
        <w:t xml:space="preserve"> </w:t>
      </w:r>
      <w:r w:rsidRPr="006B5701">
        <w:rPr>
          <w:szCs w:val="22"/>
          <w:u w:val="single"/>
        </w:rPr>
        <w:t>agonista</w:t>
      </w:r>
      <w:r w:rsidRPr="006B5701">
        <w:rPr>
          <w:szCs w:val="22"/>
          <w:u w:val="single"/>
          <w:lang w:val="sr-Latn-CS"/>
        </w:rPr>
        <w:t xml:space="preserve"> </w:t>
      </w:r>
      <w:r w:rsidRPr="006B5701">
        <w:rPr>
          <w:szCs w:val="22"/>
          <w:u w:val="single"/>
        </w:rPr>
        <w:t>dopamina</w:t>
      </w:r>
    </w:p>
    <w:p w14:paraId="4F60BAAF" w14:textId="6297A575" w:rsidR="008A674F" w:rsidRPr="006B5701" w:rsidRDefault="008A674F" w:rsidP="00C76D6B">
      <w:pPr>
        <w:pStyle w:val="PIbodytext"/>
        <w:jc w:val="both"/>
        <w:rPr>
          <w:rFonts w:ascii="Times New Roman" w:hAnsi="Times New Roman"/>
          <w:noProof w:val="0"/>
          <w:szCs w:val="22"/>
          <w:lang w:val="sr-Latn-CS"/>
        </w:rPr>
      </w:pPr>
      <w:r w:rsidRPr="006B5701">
        <w:rPr>
          <w:rFonts w:ascii="Times New Roman" w:hAnsi="Times New Roman"/>
          <w:noProof w:val="0"/>
          <w:szCs w:val="22"/>
          <w:lang w:val="sr-Latn-CS"/>
        </w:rPr>
        <w:t>Kad se doza l</w:t>
      </w:r>
      <w:r w:rsidR="005516BC">
        <w:rPr>
          <w:rFonts w:ascii="Times New Roman" w:hAnsi="Times New Roman"/>
          <w:noProof w:val="0"/>
          <w:szCs w:val="22"/>
          <w:lang w:val="sr-Latn-CS"/>
        </w:rPr>
        <w:t>ij</w:t>
      </w:r>
      <w:r w:rsidRPr="006B5701">
        <w:rPr>
          <w:rFonts w:ascii="Times New Roman" w:hAnsi="Times New Roman"/>
          <w:noProof w:val="0"/>
          <w:szCs w:val="22"/>
          <w:lang w:val="sr-Latn-CS"/>
        </w:rPr>
        <w:t>eka smanjuje ili se obustavlja prim</w:t>
      </w:r>
      <w:r w:rsidR="005516BC">
        <w:rPr>
          <w:rFonts w:ascii="Times New Roman" w:hAnsi="Times New Roman"/>
          <w:noProof w:val="0"/>
          <w:szCs w:val="22"/>
          <w:lang w:val="sr-Latn-CS"/>
        </w:rPr>
        <w:t>j</w:t>
      </w:r>
      <w:r w:rsidRPr="006B5701">
        <w:rPr>
          <w:rFonts w:ascii="Times New Roman" w:hAnsi="Times New Roman"/>
          <w:noProof w:val="0"/>
          <w:szCs w:val="22"/>
          <w:lang w:val="sr-Latn-CS"/>
        </w:rPr>
        <w:t>ena agonista dopamina, uključujući pramipeksol, može doći do nemotoričkih neželjenih dejstava. Simptomi uključuju apatiju, anksioznost, depresiju, zamor, znojenje i bol (vid</w:t>
      </w:r>
      <w:r w:rsidR="005516BC">
        <w:rPr>
          <w:rFonts w:ascii="Times New Roman" w:hAnsi="Times New Roman"/>
          <w:noProof w:val="0"/>
          <w:szCs w:val="22"/>
          <w:lang w:val="sr-Latn-CS"/>
        </w:rPr>
        <w:t>j</w:t>
      </w:r>
      <w:r w:rsidRPr="006B5701">
        <w:rPr>
          <w:rFonts w:ascii="Times New Roman" w:hAnsi="Times New Roman"/>
          <w:noProof w:val="0"/>
          <w:szCs w:val="22"/>
          <w:lang w:val="sr-Latn-CS"/>
        </w:rPr>
        <w:t>eti od</w:t>
      </w:r>
      <w:r w:rsidR="005516BC">
        <w:rPr>
          <w:rFonts w:ascii="Times New Roman" w:hAnsi="Times New Roman"/>
          <w:noProof w:val="0"/>
          <w:szCs w:val="22"/>
          <w:lang w:val="sr-Latn-CS"/>
        </w:rPr>
        <w:t>j</w:t>
      </w:r>
      <w:r w:rsidRPr="006B5701">
        <w:rPr>
          <w:rFonts w:ascii="Times New Roman" w:hAnsi="Times New Roman"/>
          <w:noProof w:val="0"/>
          <w:szCs w:val="22"/>
          <w:lang w:val="sr-Latn-CS"/>
        </w:rPr>
        <w:t>eljak 4.4).</w:t>
      </w:r>
    </w:p>
    <w:p w14:paraId="4CE6ACC1" w14:textId="77777777" w:rsidR="008A674F" w:rsidRPr="006B5701" w:rsidRDefault="008A674F" w:rsidP="00C76D6B">
      <w:pPr>
        <w:pStyle w:val="PIbodytext"/>
        <w:jc w:val="both"/>
        <w:rPr>
          <w:rFonts w:ascii="Times New Roman" w:hAnsi="Times New Roman"/>
          <w:noProof w:val="0"/>
          <w:lang w:val="sr-Latn-CS"/>
        </w:rPr>
      </w:pPr>
    </w:p>
    <w:p w14:paraId="487E5881" w14:textId="77777777" w:rsidR="004B21C0" w:rsidRPr="006B5701" w:rsidRDefault="004B21C0" w:rsidP="00C76D6B">
      <w:pPr>
        <w:pStyle w:val="PIbodytext"/>
        <w:jc w:val="both"/>
        <w:rPr>
          <w:rFonts w:ascii="Times New Roman" w:hAnsi="Times New Roman"/>
          <w:noProof w:val="0"/>
          <w:u w:val="single"/>
          <w:lang w:val="sr-Latn-CS"/>
        </w:rPr>
      </w:pPr>
      <w:r w:rsidRPr="006B5701">
        <w:rPr>
          <w:rFonts w:ascii="Times New Roman" w:hAnsi="Times New Roman"/>
          <w:noProof w:val="0"/>
          <w:u w:val="single"/>
          <w:lang w:val="sr-Latn-CS"/>
        </w:rPr>
        <w:t>Srčana insuficijencija</w:t>
      </w:r>
    </w:p>
    <w:p w14:paraId="6DC2A654" w14:textId="77777777" w:rsidR="006B244A" w:rsidRDefault="004B21C0" w:rsidP="00C76D6B">
      <w:pPr>
        <w:pStyle w:val="PIbodytext"/>
        <w:jc w:val="both"/>
        <w:rPr>
          <w:rFonts w:ascii="Times New Roman" w:hAnsi="Times New Roman"/>
          <w:noProof w:val="0"/>
          <w:lang w:val="sr-Latn-CS"/>
        </w:rPr>
      </w:pPr>
      <w:r w:rsidRPr="006B5701">
        <w:rPr>
          <w:rFonts w:ascii="Times New Roman" w:hAnsi="Times New Roman"/>
          <w:noProof w:val="0"/>
          <w:lang w:val="sr-Latn-CS"/>
        </w:rPr>
        <w:t xml:space="preserve">U kliničkim ispitivanjima i na osnovu postmarketinškog iskustva, srčana insuficijencija se javljala kod pacijenata koji primaju pramipeksol. </w:t>
      </w:r>
    </w:p>
    <w:p w14:paraId="32163863" w14:textId="1114C04E" w:rsidR="004B21C0" w:rsidRPr="006B5701" w:rsidRDefault="004B21C0" w:rsidP="00C76D6B">
      <w:pPr>
        <w:pStyle w:val="PIbodytext"/>
        <w:jc w:val="both"/>
        <w:rPr>
          <w:rFonts w:ascii="Times New Roman" w:hAnsi="Times New Roman"/>
          <w:noProof w:val="0"/>
          <w:lang w:val="sr-Latn-CS"/>
        </w:rPr>
      </w:pPr>
      <w:r w:rsidRPr="006B5701">
        <w:rPr>
          <w:rFonts w:ascii="Times New Roman" w:hAnsi="Times New Roman"/>
          <w:noProof w:val="0"/>
          <w:lang w:val="sr-Latn-CS"/>
        </w:rPr>
        <w:t xml:space="preserve">U jednoj farmakoepidemiološkoj studiji, upotreba pramipeksola je bila povezana sa pojačanim rizikom od srčane insuficijencije u poređenju sa </w:t>
      </w:r>
      <w:r w:rsidR="00496FDF" w:rsidRPr="006B5701">
        <w:rPr>
          <w:rFonts w:ascii="Times New Roman" w:hAnsi="Times New Roman"/>
          <w:noProof w:val="0"/>
          <w:lang w:val="sr-Latn-CS"/>
        </w:rPr>
        <w:t xml:space="preserve">neuzimanjem </w:t>
      </w:r>
      <w:r w:rsidRPr="006B5701">
        <w:rPr>
          <w:rFonts w:ascii="Times New Roman" w:hAnsi="Times New Roman"/>
          <w:noProof w:val="0"/>
          <w:lang w:val="sr-Latn-CS"/>
        </w:rPr>
        <w:t>pramipeksola (zab</w:t>
      </w:r>
      <w:r w:rsidR="005516BC">
        <w:rPr>
          <w:rFonts w:ascii="Times New Roman" w:hAnsi="Times New Roman"/>
          <w:noProof w:val="0"/>
          <w:lang w:val="sr-Latn-CS"/>
        </w:rPr>
        <w:t>i</w:t>
      </w:r>
      <w:r w:rsidRPr="006B5701">
        <w:rPr>
          <w:rFonts w:ascii="Times New Roman" w:hAnsi="Times New Roman"/>
          <w:noProof w:val="0"/>
          <w:lang w:val="sr-Latn-CS"/>
        </w:rPr>
        <w:t>l</w:t>
      </w:r>
      <w:r w:rsidR="005516BC">
        <w:rPr>
          <w:rFonts w:ascii="Times New Roman" w:hAnsi="Times New Roman"/>
          <w:noProof w:val="0"/>
          <w:lang w:val="sr-Latn-CS"/>
        </w:rPr>
        <w:t>j</w:t>
      </w:r>
      <w:r w:rsidRPr="006B5701">
        <w:rPr>
          <w:rFonts w:ascii="Times New Roman" w:hAnsi="Times New Roman"/>
          <w:noProof w:val="0"/>
          <w:lang w:val="sr-Latn-CS"/>
        </w:rPr>
        <w:t>eženi koeficijent rizika 1,86; 95% CI, 1,21-2,85).</w:t>
      </w:r>
    </w:p>
    <w:p w14:paraId="7F8E8CF7" w14:textId="5EBE15F8" w:rsidR="00EB1434" w:rsidRPr="006B5701" w:rsidRDefault="00EB1434" w:rsidP="004B21C0">
      <w:pPr>
        <w:autoSpaceDE w:val="0"/>
        <w:autoSpaceDN w:val="0"/>
        <w:adjustRightInd w:val="0"/>
        <w:jc w:val="left"/>
        <w:rPr>
          <w:bCs/>
          <w:noProof/>
          <w:szCs w:val="22"/>
          <w:u w:val="single"/>
          <w:lang w:val="hr-HR"/>
        </w:rPr>
      </w:pPr>
    </w:p>
    <w:p w14:paraId="6F332D68" w14:textId="77777777" w:rsidR="009C5D73" w:rsidRPr="009C5D73" w:rsidRDefault="009C5D73" w:rsidP="009C5D73">
      <w:pPr>
        <w:tabs>
          <w:tab w:val="clear" w:pos="284"/>
        </w:tabs>
        <w:spacing w:after="200" w:line="276" w:lineRule="auto"/>
        <w:jc w:val="left"/>
        <w:rPr>
          <w:rFonts w:eastAsia="Calibri"/>
          <w:szCs w:val="22"/>
          <w:u w:val="single"/>
          <w:lang w:val="sr-Latn-RS"/>
        </w:rPr>
      </w:pPr>
      <w:r w:rsidRPr="009C5D73">
        <w:rPr>
          <w:rFonts w:eastAsia="Calibri"/>
          <w:szCs w:val="22"/>
          <w:u w:val="single"/>
          <w:lang w:val="sr-Latn-RS"/>
        </w:rPr>
        <w:t>Prijavljivanje sumnji na neželjena dejstva</w:t>
      </w:r>
    </w:p>
    <w:p w14:paraId="1961EC24" w14:textId="77777777" w:rsidR="009C5D73" w:rsidRPr="009C5D73" w:rsidRDefault="009C5D73" w:rsidP="009C5D73">
      <w:pPr>
        <w:tabs>
          <w:tab w:val="clear" w:pos="284"/>
        </w:tabs>
        <w:spacing w:after="200"/>
        <w:rPr>
          <w:rFonts w:eastAsia="Calibri"/>
          <w:szCs w:val="22"/>
          <w:lang w:val="sr-Latn-RS"/>
        </w:rPr>
      </w:pPr>
      <w:r w:rsidRPr="009C5D73">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5CACD035" w14:textId="77777777" w:rsidR="009C5D73" w:rsidRPr="009C5D73" w:rsidRDefault="009C5D73" w:rsidP="009C5D73">
      <w:pPr>
        <w:tabs>
          <w:tab w:val="clear" w:pos="284"/>
        </w:tabs>
        <w:rPr>
          <w:rFonts w:eastAsia="Calibri"/>
          <w:szCs w:val="22"/>
          <w:lang w:val="sr-Latn-RS"/>
        </w:rPr>
      </w:pPr>
      <w:r w:rsidRPr="009C5D73">
        <w:rPr>
          <w:rFonts w:eastAsia="Calibri"/>
          <w:szCs w:val="22"/>
          <w:lang w:val="sr-Latn-RS"/>
        </w:rPr>
        <w:t xml:space="preserve">Institut za ljekove i medicinska sredstva </w:t>
      </w:r>
    </w:p>
    <w:p w14:paraId="6CBC64C2" w14:textId="77777777" w:rsidR="009C5D73" w:rsidRPr="009C5D73" w:rsidRDefault="009C5D73" w:rsidP="009C5D73">
      <w:pPr>
        <w:tabs>
          <w:tab w:val="clear" w:pos="284"/>
        </w:tabs>
        <w:rPr>
          <w:rFonts w:eastAsia="Calibri"/>
          <w:szCs w:val="22"/>
          <w:lang w:val="sr-Latn-RS"/>
        </w:rPr>
      </w:pPr>
      <w:r w:rsidRPr="009C5D73">
        <w:rPr>
          <w:rFonts w:eastAsia="Calibri"/>
          <w:szCs w:val="22"/>
          <w:lang w:val="sr-Latn-RS"/>
        </w:rPr>
        <w:t>Odjeljenje za farmakovigilancu</w:t>
      </w:r>
    </w:p>
    <w:p w14:paraId="127248B6" w14:textId="77777777" w:rsidR="009C5D73" w:rsidRPr="009C5D73" w:rsidRDefault="009C5D73" w:rsidP="009C5D73">
      <w:pPr>
        <w:tabs>
          <w:tab w:val="clear" w:pos="284"/>
        </w:tabs>
        <w:rPr>
          <w:rFonts w:eastAsia="Calibri"/>
          <w:szCs w:val="22"/>
          <w:lang w:val="sr-Latn-RS"/>
        </w:rPr>
      </w:pPr>
      <w:r w:rsidRPr="009C5D73">
        <w:rPr>
          <w:rFonts w:eastAsia="Calibri"/>
          <w:szCs w:val="22"/>
          <w:lang w:val="sr-Latn-RS"/>
        </w:rPr>
        <w:t>Bulevar Ivana Crnojevića 64a, 81000 Podgorica</w:t>
      </w:r>
    </w:p>
    <w:p w14:paraId="455C26B0" w14:textId="77777777" w:rsidR="009C5D73" w:rsidRPr="009C5D73" w:rsidRDefault="009C5D73" w:rsidP="009C5D73">
      <w:pPr>
        <w:tabs>
          <w:tab w:val="clear" w:pos="284"/>
        </w:tabs>
        <w:jc w:val="left"/>
        <w:rPr>
          <w:rFonts w:eastAsia="Calibri"/>
          <w:szCs w:val="22"/>
          <w:lang w:val="sr-Latn-RS"/>
        </w:rPr>
      </w:pPr>
    </w:p>
    <w:p w14:paraId="7B450D18" w14:textId="77777777" w:rsidR="009C5D73" w:rsidRPr="009C5D73" w:rsidRDefault="009C5D73" w:rsidP="009C5D73">
      <w:pPr>
        <w:tabs>
          <w:tab w:val="clear" w:pos="284"/>
        </w:tabs>
        <w:rPr>
          <w:rFonts w:eastAsia="Calibri"/>
          <w:szCs w:val="22"/>
          <w:lang w:val="sr-Latn-RS"/>
        </w:rPr>
      </w:pPr>
      <w:r w:rsidRPr="009C5D73">
        <w:rPr>
          <w:rFonts w:eastAsia="Calibri"/>
          <w:szCs w:val="22"/>
          <w:lang w:val="sr-Latn-RS"/>
        </w:rPr>
        <w:t>tel: +382 (0) 20 310 280</w:t>
      </w:r>
    </w:p>
    <w:p w14:paraId="231445C9" w14:textId="77777777" w:rsidR="009C5D73" w:rsidRPr="009C5D73" w:rsidRDefault="009C5D73" w:rsidP="009C5D73">
      <w:pPr>
        <w:tabs>
          <w:tab w:val="clear" w:pos="284"/>
          <w:tab w:val="left" w:pos="6720"/>
        </w:tabs>
        <w:rPr>
          <w:rFonts w:eastAsia="Calibri"/>
          <w:szCs w:val="22"/>
          <w:lang w:val="sr-Latn-RS"/>
        </w:rPr>
      </w:pPr>
      <w:r w:rsidRPr="009C5D73">
        <w:rPr>
          <w:rFonts w:eastAsia="Calibri"/>
          <w:szCs w:val="22"/>
          <w:lang w:val="sr-Latn-RS"/>
        </w:rPr>
        <w:t>fax: +382 (0) 20 310 581</w:t>
      </w:r>
      <w:r w:rsidRPr="009C5D73">
        <w:rPr>
          <w:rFonts w:eastAsia="Calibri"/>
          <w:szCs w:val="22"/>
          <w:lang w:val="sr-Latn-RS"/>
        </w:rPr>
        <w:tab/>
      </w:r>
    </w:p>
    <w:p w14:paraId="5BC5F16E" w14:textId="77777777" w:rsidR="009C5D73" w:rsidRPr="009C5D73" w:rsidRDefault="009C5D73" w:rsidP="009C5D73">
      <w:pPr>
        <w:tabs>
          <w:tab w:val="clear" w:pos="284"/>
        </w:tabs>
        <w:rPr>
          <w:rFonts w:eastAsia="Calibri"/>
          <w:szCs w:val="22"/>
          <w:lang w:val="sr-Latn-RS"/>
        </w:rPr>
      </w:pPr>
      <w:hyperlink r:id="rId8" w:history="1">
        <w:r w:rsidRPr="009C5D73">
          <w:rPr>
            <w:rFonts w:eastAsia="Calibri"/>
            <w:color w:val="0563C1"/>
            <w:szCs w:val="22"/>
            <w:u w:val="single"/>
            <w:lang w:val="sr-Latn-RS"/>
          </w:rPr>
          <w:t>www.cinmed.me</w:t>
        </w:r>
      </w:hyperlink>
    </w:p>
    <w:p w14:paraId="53CBF8C1" w14:textId="77777777" w:rsidR="009C5D73" w:rsidRPr="009C5D73" w:rsidRDefault="009C5D73" w:rsidP="009C5D73">
      <w:pPr>
        <w:tabs>
          <w:tab w:val="clear" w:pos="284"/>
        </w:tabs>
        <w:rPr>
          <w:rFonts w:eastAsia="Calibri"/>
          <w:color w:val="0000FF"/>
          <w:szCs w:val="22"/>
          <w:u w:val="single"/>
          <w:lang w:val="sr-Latn-RS"/>
        </w:rPr>
      </w:pPr>
      <w:hyperlink r:id="rId9" w:history="1">
        <w:r w:rsidRPr="009C5D73">
          <w:rPr>
            <w:rFonts w:eastAsia="Calibri"/>
            <w:color w:val="0563C1"/>
            <w:szCs w:val="22"/>
            <w:u w:val="single"/>
            <w:lang w:val="sr-Latn-RS"/>
          </w:rPr>
          <w:t>nezeljenadejstva@cinmed.me</w:t>
        </w:r>
      </w:hyperlink>
    </w:p>
    <w:p w14:paraId="5312DE40" w14:textId="77777777" w:rsidR="009C5D73" w:rsidRPr="009C5D73" w:rsidRDefault="009C5D73" w:rsidP="009C5D73">
      <w:pPr>
        <w:tabs>
          <w:tab w:val="clear" w:pos="284"/>
        </w:tabs>
        <w:rPr>
          <w:rFonts w:eastAsia="Calibri"/>
          <w:szCs w:val="22"/>
          <w:lang w:val="sr-Latn-RS"/>
        </w:rPr>
      </w:pPr>
      <w:r w:rsidRPr="009C5D73">
        <w:rPr>
          <w:rFonts w:eastAsia="Calibri"/>
          <w:szCs w:val="22"/>
          <w:lang w:val="sr-Latn-RS"/>
        </w:rPr>
        <w:t>putem IS zdravstvene zaštite</w:t>
      </w:r>
    </w:p>
    <w:p w14:paraId="15E52ACC" w14:textId="77777777" w:rsidR="009C5D73" w:rsidRPr="009C5D73" w:rsidRDefault="009C5D73" w:rsidP="009C5D73">
      <w:pPr>
        <w:tabs>
          <w:tab w:val="clear" w:pos="284"/>
        </w:tabs>
        <w:rPr>
          <w:rFonts w:eastAsia="Calibri"/>
          <w:szCs w:val="22"/>
          <w:lang w:val="sr-Latn-RS"/>
        </w:rPr>
      </w:pPr>
      <w:r w:rsidRPr="009C5D73">
        <w:rPr>
          <w:rFonts w:eastAsia="Calibri"/>
          <w:szCs w:val="22"/>
          <w:lang w:val="sr-Latn-RS"/>
        </w:rPr>
        <w:t>QR kod za online prijavu sumnje na neželjeno dejstvo lijeka:</w:t>
      </w:r>
    </w:p>
    <w:p w14:paraId="13A79D05" w14:textId="77777777" w:rsidR="009C5D73" w:rsidRPr="009C5D73" w:rsidRDefault="009C5D73" w:rsidP="009C5D73">
      <w:pPr>
        <w:tabs>
          <w:tab w:val="clear" w:pos="284"/>
        </w:tabs>
        <w:rPr>
          <w:rFonts w:eastAsia="Calibri"/>
          <w:szCs w:val="22"/>
          <w:lang w:val="sr-Latn-RS"/>
        </w:rPr>
      </w:pPr>
    </w:p>
    <w:p w14:paraId="203F722E" w14:textId="77777777" w:rsidR="009C5D73" w:rsidRPr="009C5D73" w:rsidRDefault="009C5D73" w:rsidP="009C5D73">
      <w:pPr>
        <w:tabs>
          <w:tab w:val="clear" w:pos="284"/>
        </w:tabs>
        <w:jc w:val="left"/>
        <w:rPr>
          <w:rFonts w:eastAsia="Calibri"/>
          <w:szCs w:val="22"/>
          <w:lang w:val="sr-Latn-RS"/>
        </w:rPr>
      </w:pPr>
      <w:r w:rsidRPr="009C5D73">
        <w:rPr>
          <w:noProof/>
          <w:sz w:val="24"/>
        </w:rPr>
        <w:drawing>
          <wp:inline distT="0" distB="0" distL="0" distR="0" wp14:anchorId="1243AB86" wp14:editId="4917F5B1">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3D0C0C61" w14:textId="77777777" w:rsidR="009C5D73" w:rsidRPr="009C5D73" w:rsidRDefault="009C5D73" w:rsidP="009C5D73">
      <w:pPr>
        <w:tabs>
          <w:tab w:val="clear" w:pos="284"/>
          <w:tab w:val="left" w:pos="540"/>
          <w:tab w:val="left" w:pos="569"/>
        </w:tabs>
        <w:jc w:val="left"/>
        <w:rPr>
          <w:b/>
          <w:bCs/>
          <w:szCs w:val="22"/>
        </w:rPr>
      </w:pPr>
    </w:p>
    <w:p w14:paraId="52670974" w14:textId="77777777" w:rsidR="00CE09F3" w:rsidRPr="006B5701" w:rsidRDefault="00CE09F3" w:rsidP="00923865">
      <w:pPr>
        <w:rPr>
          <w:b/>
          <w:bCs/>
          <w:szCs w:val="22"/>
          <w:lang w:val="sr-Latn-CS"/>
        </w:rPr>
      </w:pPr>
      <w:r w:rsidRPr="006B5701">
        <w:rPr>
          <w:b/>
          <w:bCs/>
          <w:szCs w:val="22"/>
          <w:lang w:val="sr-Latn-CS"/>
        </w:rPr>
        <w:t xml:space="preserve">4.9. </w:t>
      </w:r>
      <w:r w:rsidRPr="003652BB">
        <w:rPr>
          <w:b/>
          <w:bCs/>
          <w:szCs w:val="22"/>
          <w:lang w:val="pt-PT"/>
        </w:rPr>
        <w:t>Predoziranje</w:t>
      </w:r>
    </w:p>
    <w:p w14:paraId="55E28B18" w14:textId="77777777" w:rsidR="00CE09F3" w:rsidRPr="006B5701" w:rsidRDefault="00CE09F3" w:rsidP="00923865">
      <w:pPr>
        <w:rPr>
          <w:szCs w:val="22"/>
          <w:lang w:val="sr-Latn-CS"/>
        </w:rPr>
      </w:pPr>
    </w:p>
    <w:p w14:paraId="6EFEFD65" w14:textId="1C4C95C5" w:rsidR="004B21C0" w:rsidRDefault="004B21C0" w:rsidP="004B21C0">
      <w:pPr>
        <w:jc w:val="left"/>
        <w:rPr>
          <w:szCs w:val="22"/>
          <w:lang w:val="sr-Latn-CS"/>
        </w:rPr>
      </w:pPr>
      <w:r w:rsidRPr="006B5701">
        <w:rPr>
          <w:szCs w:val="22"/>
          <w:lang w:val="sr-Latn-CS"/>
        </w:rPr>
        <w:t>Nema kliničkog iskustva sa masivnim predoziranjem. Očekivana neželjena dejstva treba da budu ona koja su povezana sa farmakodinamičkim profilom dopaminskog agoniste, uključujući mučninu, povraćanje, hiperkineziju, halucinacije, agitaciju i hipotenziju. Nema utvrđenog antidota za predoziranje dopaminskim agonistom. Ako su prisutni znaci stimulacije centralnog nervnog sistema, mogu biti indikovani neuroleptici. Postupanje u slučaju predoziranja može da iziskuje opšte potporne m</w:t>
      </w:r>
      <w:r w:rsidR="005516BC">
        <w:rPr>
          <w:szCs w:val="22"/>
          <w:lang w:val="sr-Latn-CS"/>
        </w:rPr>
        <w:t>j</w:t>
      </w:r>
      <w:r w:rsidRPr="006B5701">
        <w:rPr>
          <w:szCs w:val="22"/>
          <w:lang w:val="sr-Latn-CS"/>
        </w:rPr>
        <w:t>ere uz ispiranje želuca, intravensko davanje tečnosti, primenu aktivnog uglja i praćenje elektrokardiograma (EKG).</w:t>
      </w:r>
    </w:p>
    <w:p w14:paraId="474BF830" w14:textId="06A8032F" w:rsidR="00CE09F3" w:rsidRPr="006B5701" w:rsidRDefault="00CE09F3" w:rsidP="00923865">
      <w:pPr>
        <w:rPr>
          <w:szCs w:val="22"/>
          <w:lang w:val="sr-Latn-CS"/>
        </w:rPr>
      </w:pPr>
    </w:p>
    <w:p w14:paraId="487D23E0" w14:textId="77777777" w:rsidR="00CE09F3" w:rsidRPr="006B5701" w:rsidRDefault="00CE09F3" w:rsidP="00923865">
      <w:pPr>
        <w:pStyle w:val="NASLOV123"/>
        <w:rPr>
          <w:lang w:val="sr-Latn-CS"/>
        </w:rPr>
      </w:pPr>
      <w:r w:rsidRPr="006B5701">
        <w:rPr>
          <w:lang w:val="sr-Latn-CS"/>
        </w:rPr>
        <w:t xml:space="preserve">5. </w:t>
      </w:r>
      <w:r w:rsidRPr="00FD1EBB">
        <w:rPr>
          <w:lang w:val="es-ES_tradnl"/>
        </w:rPr>
        <w:t>FARMAKOLO</w:t>
      </w:r>
      <w:r w:rsidRPr="006B5701">
        <w:rPr>
          <w:lang w:val="sr-Latn-CS"/>
        </w:rPr>
        <w:t>Š</w:t>
      </w:r>
      <w:r w:rsidRPr="00FD1EBB">
        <w:rPr>
          <w:lang w:val="es-ES_tradnl"/>
        </w:rPr>
        <w:t>KI</w:t>
      </w:r>
      <w:r w:rsidRPr="006B5701">
        <w:rPr>
          <w:lang w:val="sr-Latn-CS"/>
        </w:rPr>
        <w:t xml:space="preserve"> </w:t>
      </w:r>
      <w:r w:rsidRPr="00FD1EBB">
        <w:rPr>
          <w:lang w:val="es-ES_tradnl"/>
        </w:rPr>
        <w:t>PODACI</w:t>
      </w:r>
    </w:p>
    <w:p w14:paraId="03D62B6F" w14:textId="77777777" w:rsidR="00CE09F3" w:rsidRPr="006B5701" w:rsidRDefault="00CE09F3" w:rsidP="00923865">
      <w:pPr>
        <w:rPr>
          <w:b/>
          <w:bCs/>
          <w:szCs w:val="22"/>
          <w:lang w:val="sr-Latn-CS"/>
        </w:rPr>
      </w:pPr>
      <w:r w:rsidRPr="006B5701">
        <w:rPr>
          <w:b/>
          <w:bCs/>
          <w:szCs w:val="22"/>
          <w:lang w:val="sr-Latn-CS"/>
        </w:rPr>
        <w:t xml:space="preserve">5.1. </w:t>
      </w:r>
      <w:r w:rsidRPr="00FD1EBB">
        <w:rPr>
          <w:b/>
          <w:bCs/>
          <w:szCs w:val="22"/>
          <w:lang w:val="es-ES_tradnl"/>
        </w:rPr>
        <w:t>Farmakodinamski</w:t>
      </w:r>
      <w:r w:rsidRPr="006B5701">
        <w:rPr>
          <w:b/>
          <w:bCs/>
          <w:szCs w:val="22"/>
          <w:lang w:val="sr-Latn-CS"/>
        </w:rPr>
        <w:t xml:space="preserve"> </w:t>
      </w:r>
      <w:r w:rsidRPr="00FD1EBB">
        <w:rPr>
          <w:b/>
          <w:bCs/>
          <w:szCs w:val="22"/>
          <w:lang w:val="es-ES_tradnl"/>
        </w:rPr>
        <w:t>podaci</w:t>
      </w:r>
    </w:p>
    <w:p w14:paraId="4A4CF9BF" w14:textId="77777777" w:rsidR="00B372EA" w:rsidRPr="006B5701" w:rsidRDefault="00B372EA" w:rsidP="00923865">
      <w:pPr>
        <w:rPr>
          <w:b/>
          <w:bCs/>
          <w:szCs w:val="22"/>
          <w:lang w:val="sr-Latn-CS"/>
        </w:rPr>
      </w:pPr>
    </w:p>
    <w:p w14:paraId="0615E59D" w14:textId="77777777" w:rsidR="00B372EA" w:rsidRPr="006B5701" w:rsidRDefault="00CE09F3" w:rsidP="00B372EA">
      <w:pPr>
        <w:pStyle w:val="Header"/>
        <w:tabs>
          <w:tab w:val="clear" w:pos="4536"/>
          <w:tab w:val="clear" w:pos="9072"/>
          <w:tab w:val="left" w:pos="284"/>
        </w:tabs>
        <w:jc w:val="left"/>
        <w:rPr>
          <w:b/>
          <w:bCs/>
          <w:szCs w:val="22"/>
          <w:lang w:val="sr-Latn-CS"/>
        </w:rPr>
      </w:pPr>
      <w:r w:rsidRPr="00FD1EBB">
        <w:rPr>
          <w:b/>
          <w:bCs/>
          <w:szCs w:val="22"/>
          <w:lang w:val="es-ES_tradnl"/>
        </w:rPr>
        <w:t>Farmakoterapijska</w:t>
      </w:r>
      <w:r w:rsidRPr="006B5701">
        <w:rPr>
          <w:b/>
          <w:bCs/>
          <w:szCs w:val="22"/>
          <w:lang w:val="sr-Latn-CS"/>
        </w:rPr>
        <w:t xml:space="preserve"> </w:t>
      </w:r>
      <w:r w:rsidRPr="00FD1EBB">
        <w:rPr>
          <w:b/>
          <w:bCs/>
          <w:szCs w:val="22"/>
          <w:lang w:val="es-ES_tradnl"/>
        </w:rPr>
        <w:t>grupa</w:t>
      </w:r>
      <w:r w:rsidRPr="006B5701">
        <w:rPr>
          <w:b/>
          <w:bCs/>
          <w:szCs w:val="22"/>
          <w:lang w:val="sr-Latn-CS"/>
        </w:rPr>
        <w:t>:</w:t>
      </w:r>
      <w:r w:rsidR="00B372EA" w:rsidRPr="006B5701">
        <w:rPr>
          <w:b/>
          <w:bCs/>
          <w:szCs w:val="22"/>
          <w:lang w:val="sr-Latn-CS"/>
        </w:rPr>
        <w:t xml:space="preserve"> </w:t>
      </w:r>
      <w:r w:rsidR="00B372EA" w:rsidRPr="006B5701">
        <w:rPr>
          <w:szCs w:val="22"/>
          <w:lang w:val="sr-Latn-CS"/>
        </w:rPr>
        <w:t>agonisti dopamina</w:t>
      </w:r>
    </w:p>
    <w:p w14:paraId="1116679E" w14:textId="77777777" w:rsidR="00CE09F3" w:rsidRPr="006B5701" w:rsidRDefault="00CE09F3" w:rsidP="00923865">
      <w:pPr>
        <w:rPr>
          <w:b/>
          <w:bCs/>
          <w:szCs w:val="22"/>
          <w:lang w:val="sr-Latn-CS"/>
        </w:rPr>
      </w:pPr>
    </w:p>
    <w:p w14:paraId="2391D8FD" w14:textId="77777777" w:rsidR="00B372EA" w:rsidRPr="006B5701" w:rsidRDefault="00B372EA" w:rsidP="00B372EA">
      <w:pPr>
        <w:rPr>
          <w:bCs/>
          <w:szCs w:val="22"/>
          <w:lang w:val="sr-Latn-CS"/>
        </w:rPr>
      </w:pPr>
      <w:r w:rsidRPr="006B5701">
        <w:rPr>
          <w:b/>
          <w:bCs/>
          <w:szCs w:val="22"/>
        </w:rPr>
        <w:t>ATC</w:t>
      </w:r>
      <w:r w:rsidRPr="006B5701">
        <w:rPr>
          <w:b/>
          <w:bCs/>
          <w:szCs w:val="22"/>
          <w:lang w:val="sr-Latn-CS"/>
        </w:rPr>
        <w:t xml:space="preserve"> š</w:t>
      </w:r>
      <w:r w:rsidRPr="006B5701">
        <w:rPr>
          <w:b/>
          <w:bCs/>
          <w:szCs w:val="22"/>
        </w:rPr>
        <w:t>ifra</w:t>
      </w:r>
      <w:r w:rsidRPr="006B5701">
        <w:rPr>
          <w:b/>
          <w:bCs/>
          <w:szCs w:val="22"/>
          <w:lang w:val="sr-Latn-CS"/>
        </w:rPr>
        <w:t xml:space="preserve">: </w:t>
      </w:r>
      <w:r w:rsidRPr="006B5701">
        <w:rPr>
          <w:bCs/>
          <w:szCs w:val="22"/>
        </w:rPr>
        <w:t>N</w:t>
      </w:r>
      <w:r w:rsidRPr="006B5701">
        <w:rPr>
          <w:bCs/>
          <w:szCs w:val="22"/>
          <w:lang w:val="sr-Latn-CS"/>
        </w:rPr>
        <w:t>04</w:t>
      </w:r>
      <w:r w:rsidRPr="006B5701">
        <w:rPr>
          <w:bCs/>
          <w:szCs w:val="22"/>
        </w:rPr>
        <w:t>BC</w:t>
      </w:r>
      <w:r w:rsidRPr="006B5701">
        <w:rPr>
          <w:bCs/>
          <w:szCs w:val="22"/>
          <w:lang w:val="sr-Latn-CS"/>
        </w:rPr>
        <w:t>05</w:t>
      </w:r>
    </w:p>
    <w:p w14:paraId="2D3E2B6B" w14:textId="77777777" w:rsidR="00B372EA" w:rsidRPr="006B5701" w:rsidRDefault="00B372EA" w:rsidP="00B372EA">
      <w:pPr>
        <w:jc w:val="left"/>
        <w:rPr>
          <w:szCs w:val="22"/>
          <w:u w:val="single"/>
          <w:lang w:val="sr-Latn-CS"/>
        </w:rPr>
      </w:pPr>
    </w:p>
    <w:p w14:paraId="4514629D" w14:textId="77777777" w:rsidR="00B372EA" w:rsidRPr="006B5701" w:rsidRDefault="00B372EA" w:rsidP="00B372EA">
      <w:pPr>
        <w:jc w:val="left"/>
        <w:rPr>
          <w:szCs w:val="22"/>
          <w:u w:val="single"/>
          <w:lang w:val="sr-Latn-CS"/>
        </w:rPr>
      </w:pPr>
      <w:r w:rsidRPr="006B5701">
        <w:rPr>
          <w:szCs w:val="22"/>
          <w:u w:val="single"/>
          <w:lang w:val="sr-Latn-CS"/>
        </w:rPr>
        <w:t>Mehanizam dejstva</w:t>
      </w:r>
    </w:p>
    <w:p w14:paraId="3A180A76" w14:textId="77777777" w:rsidR="00B372EA" w:rsidRPr="006B5701" w:rsidRDefault="00B372EA" w:rsidP="00B372EA">
      <w:pPr>
        <w:jc w:val="left"/>
        <w:rPr>
          <w:szCs w:val="22"/>
          <w:lang w:val="sr-Latn-CS"/>
        </w:rPr>
      </w:pPr>
      <w:r w:rsidRPr="006B5701">
        <w:rPr>
          <w:szCs w:val="22"/>
          <w:lang w:val="sr-Latn-CS"/>
        </w:rPr>
        <w:t xml:space="preserve">Pramipeksol je dopaminski agonist i vezuje se visoko selektivno i specifično za </w:t>
      </w:r>
      <w:r w:rsidR="00C672A3" w:rsidRPr="006B5701">
        <w:rPr>
          <w:szCs w:val="22"/>
          <w:lang w:val="sr-Latn-CS"/>
        </w:rPr>
        <w:t>D</w:t>
      </w:r>
      <w:r w:rsidR="00C672A3" w:rsidRPr="006B5701">
        <w:rPr>
          <w:szCs w:val="22"/>
          <w:vertAlign w:val="subscript"/>
          <w:lang w:val="sr-Latn-CS"/>
        </w:rPr>
        <w:t>2</w:t>
      </w:r>
      <w:r w:rsidR="0057455B" w:rsidRPr="006B5701">
        <w:rPr>
          <w:szCs w:val="22"/>
          <w:vertAlign w:val="subscript"/>
          <w:lang w:val="sr-Latn-CS"/>
        </w:rPr>
        <w:t xml:space="preserve"> </w:t>
      </w:r>
      <w:r w:rsidR="00C672A3" w:rsidRPr="006B5701">
        <w:rPr>
          <w:szCs w:val="22"/>
          <w:lang w:val="sr-Latn-CS"/>
        </w:rPr>
        <w:t xml:space="preserve">podgrupu </w:t>
      </w:r>
      <w:r w:rsidRPr="006B5701">
        <w:rPr>
          <w:szCs w:val="22"/>
          <w:lang w:val="sr-Latn-CS"/>
        </w:rPr>
        <w:t>dopaminskih receptora</w:t>
      </w:r>
      <w:r w:rsidR="00C672A3" w:rsidRPr="006B5701">
        <w:rPr>
          <w:szCs w:val="22"/>
          <w:lang w:val="sr-Latn-CS"/>
        </w:rPr>
        <w:t xml:space="preserve">, od kojih poseban </w:t>
      </w:r>
      <w:r w:rsidRPr="006B5701">
        <w:rPr>
          <w:szCs w:val="22"/>
          <w:lang w:val="sr-Latn-CS"/>
        </w:rPr>
        <w:t xml:space="preserve">afinitet </w:t>
      </w:r>
      <w:r w:rsidR="00C672A3" w:rsidRPr="006B5701">
        <w:rPr>
          <w:szCs w:val="22"/>
          <w:lang w:val="sr-Latn-CS"/>
        </w:rPr>
        <w:t xml:space="preserve">ima </w:t>
      </w:r>
      <w:r w:rsidRPr="006B5701">
        <w:rPr>
          <w:szCs w:val="22"/>
          <w:lang w:val="sr-Latn-CS"/>
        </w:rPr>
        <w:t>za D</w:t>
      </w:r>
      <w:r w:rsidRPr="006B5701">
        <w:rPr>
          <w:szCs w:val="22"/>
          <w:vertAlign w:val="subscript"/>
          <w:lang w:val="sr-Latn-CS"/>
        </w:rPr>
        <w:t>3</w:t>
      </w:r>
      <w:r w:rsidRPr="006B5701">
        <w:rPr>
          <w:szCs w:val="22"/>
          <w:lang w:val="sr-Latn-CS"/>
        </w:rPr>
        <w:t xml:space="preserve"> receptore, i punu </w:t>
      </w:r>
      <w:r w:rsidRPr="006B5701">
        <w:rPr>
          <w:iCs/>
          <w:szCs w:val="22"/>
          <w:lang w:val="sr-Latn-CS"/>
        </w:rPr>
        <w:t>intrin</w:t>
      </w:r>
      <w:r w:rsidR="00A157A1" w:rsidRPr="006B5701">
        <w:rPr>
          <w:iCs/>
          <w:szCs w:val="22"/>
          <w:lang w:val="sr-Latn-CS"/>
        </w:rPr>
        <w:t>s</w:t>
      </w:r>
      <w:r w:rsidRPr="006B5701">
        <w:rPr>
          <w:iCs/>
          <w:szCs w:val="22"/>
          <w:lang w:val="sr-Latn-CS"/>
        </w:rPr>
        <w:t>ičku</w:t>
      </w:r>
      <w:r w:rsidRPr="006B5701">
        <w:rPr>
          <w:szCs w:val="22"/>
          <w:lang w:val="sr-Latn-CS"/>
        </w:rPr>
        <w:t xml:space="preserve"> aktivnost.</w:t>
      </w:r>
      <w:r w:rsidR="00C672A3" w:rsidRPr="006B5701">
        <w:rPr>
          <w:szCs w:val="22"/>
          <w:lang w:val="sr-Latn-CS"/>
        </w:rPr>
        <w:t xml:space="preserve"> </w:t>
      </w:r>
    </w:p>
    <w:p w14:paraId="47561A26" w14:textId="77777777" w:rsidR="00B372EA" w:rsidRPr="006B5701" w:rsidRDefault="00B372EA" w:rsidP="00B372EA">
      <w:pPr>
        <w:jc w:val="left"/>
        <w:rPr>
          <w:szCs w:val="22"/>
          <w:lang w:val="sr-Latn-CS"/>
        </w:rPr>
      </w:pPr>
    </w:p>
    <w:p w14:paraId="4D35F002" w14:textId="77777777" w:rsidR="00B372EA" w:rsidRPr="006B5701" w:rsidRDefault="00B372EA" w:rsidP="00B372EA">
      <w:pPr>
        <w:jc w:val="left"/>
        <w:rPr>
          <w:szCs w:val="22"/>
          <w:lang w:val="sr-Latn-CS"/>
        </w:rPr>
      </w:pPr>
      <w:r w:rsidRPr="006B5701">
        <w:rPr>
          <w:szCs w:val="22"/>
          <w:lang w:val="sr-Latn-CS"/>
        </w:rPr>
        <w:lastRenderedPageBreak/>
        <w:t xml:space="preserve">Pramipeksol ublažava motorni deficit </w:t>
      </w:r>
      <w:r w:rsidR="007D7114" w:rsidRPr="006B5701">
        <w:rPr>
          <w:szCs w:val="22"/>
          <w:lang w:val="sr-Latn-CS"/>
        </w:rPr>
        <w:t xml:space="preserve">povezan </w:t>
      </w:r>
      <w:r w:rsidRPr="006B5701">
        <w:rPr>
          <w:szCs w:val="22"/>
          <w:lang w:val="sr-Latn-CS"/>
        </w:rPr>
        <w:t>sa Parkinsonovom bolešću stimul</w:t>
      </w:r>
      <w:r w:rsidR="007D7114" w:rsidRPr="006B5701">
        <w:rPr>
          <w:szCs w:val="22"/>
          <w:lang w:val="sr-Latn-CS"/>
        </w:rPr>
        <w:t>acijom</w:t>
      </w:r>
      <w:r w:rsidRPr="006B5701">
        <w:rPr>
          <w:szCs w:val="22"/>
          <w:lang w:val="sr-Latn-CS"/>
        </w:rPr>
        <w:t xml:space="preserve"> dopaminsk</w:t>
      </w:r>
      <w:r w:rsidR="007D7114" w:rsidRPr="006B5701">
        <w:rPr>
          <w:szCs w:val="22"/>
          <w:lang w:val="sr-Latn-CS"/>
        </w:rPr>
        <w:t>ih</w:t>
      </w:r>
      <w:r w:rsidRPr="006B5701">
        <w:rPr>
          <w:szCs w:val="22"/>
          <w:lang w:val="sr-Latn-CS"/>
        </w:rPr>
        <w:t xml:space="preserve"> receptor</w:t>
      </w:r>
      <w:r w:rsidR="007D7114" w:rsidRPr="006B5701">
        <w:rPr>
          <w:szCs w:val="22"/>
          <w:lang w:val="sr-Latn-CS"/>
        </w:rPr>
        <w:t>a</w:t>
      </w:r>
      <w:r w:rsidRPr="006B5701">
        <w:rPr>
          <w:szCs w:val="22"/>
          <w:lang w:val="sr-Latn-CS"/>
        </w:rPr>
        <w:t xml:space="preserve"> u strijatumu. Ispitivanja na životinjama su pokazala da pramipeksol inhibira sintezu dopamina, oslobađanje i obrt dopamina. </w:t>
      </w:r>
    </w:p>
    <w:p w14:paraId="29454C27" w14:textId="77777777" w:rsidR="00B372EA" w:rsidRPr="006B5701" w:rsidRDefault="00B372EA" w:rsidP="00B372EA">
      <w:pPr>
        <w:jc w:val="left"/>
        <w:rPr>
          <w:szCs w:val="22"/>
          <w:u w:val="single"/>
          <w:lang w:val="sr-Latn-CS"/>
        </w:rPr>
      </w:pPr>
    </w:p>
    <w:p w14:paraId="62873C52" w14:textId="2EF96A0F" w:rsidR="00B372EA" w:rsidRPr="006B5701" w:rsidRDefault="00B372EA" w:rsidP="00B372EA">
      <w:pPr>
        <w:tabs>
          <w:tab w:val="clear" w:pos="284"/>
        </w:tabs>
        <w:autoSpaceDE w:val="0"/>
        <w:autoSpaceDN w:val="0"/>
        <w:adjustRightInd w:val="0"/>
        <w:jc w:val="left"/>
        <w:rPr>
          <w:szCs w:val="22"/>
          <w:lang w:val="sr-Latn-CS" w:bidi="ne-NP"/>
        </w:rPr>
      </w:pPr>
      <w:r w:rsidRPr="006B5701">
        <w:rPr>
          <w:szCs w:val="22"/>
          <w:lang w:val="sr-Latn-CS" w:bidi="ne-NP"/>
        </w:rPr>
        <w:t>Mehanizam d</w:t>
      </w:r>
      <w:r w:rsidR="005516BC">
        <w:rPr>
          <w:szCs w:val="22"/>
          <w:lang w:val="sr-Latn-CS" w:bidi="ne-NP"/>
        </w:rPr>
        <w:t>j</w:t>
      </w:r>
      <w:r w:rsidRPr="006B5701">
        <w:rPr>
          <w:szCs w:val="22"/>
          <w:lang w:val="sr-Latn-CS" w:bidi="ne-NP"/>
        </w:rPr>
        <w:t>elovanja pramipeksola u l</w:t>
      </w:r>
      <w:r w:rsidR="005516BC">
        <w:rPr>
          <w:szCs w:val="22"/>
          <w:lang w:val="sr-Latn-CS" w:bidi="ne-NP"/>
        </w:rPr>
        <w:t>ij</w:t>
      </w:r>
      <w:r w:rsidRPr="006B5701">
        <w:rPr>
          <w:szCs w:val="22"/>
          <w:lang w:val="sr-Latn-CS" w:bidi="ne-NP"/>
        </w:rPr>
        <w:t>ečenju sindroma nemirnih nogu nije poznat, mada neurofarmakološki dokazi ukazuju na primarnu ulogu dopaminergičkog sistema.</w:t>
      </w:r>
    </w:p>
    <w:p w14:paraId="2623BE34" w14:textId="44E97CC5" w:rsidR="00E91930" w:rsidRDefault="00E91930" w:rsidP="00B372EA">
      <w:pPr>
        <w:jc w:val="left"/>
        <w:rPr>
          <w:szCs w:val="22"/>
          <w:u w:val="single"/>
          <w:lang w:val="sr-Latn-CS"/>
        </w:rPr>
      </w:pPr>
    </w:p>
    <w:p w14:paraId="2B3CA840" w14:textId="7B131544" w:rsidR="00B372EA" w:rsidRPr="006B5701" w:rsidRDefault="00B372EA" w:rsidP="00B372EA">
      <w:pPr>
        <w:jc w:val="left"/>
        <w:rPr>
          <w:szCs w:val="22"/>
          <w:u w:val="single"/>
          <w:lang w:val="sr-Latn-CS"/>
        </w:rPr>
      </w:pPr>
      <w:r w:rsidRPr="006B5701">
        <w:rPr>
          <w:szCs w:val="22"/>
          <w:u w:val="single"/>
          <w:lang w:val="sr-Latn-CS"/>
        </w:rPr>
        <w:t>Farmakodinamski efekti</w:t>
      </w:r>
    </w:p>
    <w:p w14:paraId="510F61DC" w14:textId="77DE6D94" w:rsidR="00B372EA" w:rsidRPr="006B5701" w:rsidRDefault="00B372EA" w:rsidP="00B372EA">
      <w:pPr>
        <w:jc w:val="left"/>
        <w:rPr>
          <w:szCs w:val="22"/>
          <w:lang w:val="sr-Latn-CS"/>
        </w:rPr>
      </w:pPr>
      <w:r w:rsidRPr="006B5701">
        <w:rPr>
          <w:szCs w:val="22"/>
          <w:lang w:val="sr-Latn-CS"/>
        </w:rPr>
        <w:t>U kliničkim studijama na dobrovoljcima zab</w:t>
      </w:r>
      <w:r w:rsidR="005516BC">
        <w:rPr>
          <w:szCs w:val="22"/>
          <w:lang w:val="sr-Latn-CS"/>
        </w:rPr>
        <w:t>i</w:t>
      </w:r>
      <w:r w:rsidRPr="006B5701">
        <w:rPr>
          <w:szCs w:val="22"/>
          <w:lang w:val="sr-Latn-CS"/>
        </w:rPr>
        <w:t>l</w:t>
      </w:r>
      <w:r w:rsidR="005516BC">
        <w:rPr>
          <w:szCs w:val="22"/>
          <w:lang w:val="sr-Latn-CS"/>
        </w:rPr>
        <w:t>j</w:t>
      </w:r>
      <w:r w:rsidRPr="006B5701">
        <w:rPr>
          <w:szCs w:val="22"/>
          <w:lang w:val="sr-Latn-CS"/>
        </w:rPr>
        <w:t>ežen je dozno-zavisan pad nivoa prolaktina. U jednoj kliničkoj studiji na zdravim dobrovoljcima u koj</w:t>
      </w:r>
      <w:r w:rsidR="00905870" w:rsidRPr="006B5701">
        <w:rPr>
          <w:szCs w:val="22"/>
          <w:lang w:val="sr-Latn-CS"/>
        </w:rPr>
        <w:t>oj</w:t>
      </w:r>
      <w:r w:rsidRPr="006B5701">
        <w:rPr>
          <w:szCs w:val="22"/>
          <w:lang w:val="sr-Latn-CS"/>
        </w:rPr>
        <w:t xml:space="preserve"> su </w:t>
      </w:r>
      <w:r w:rsidR="0083579A">
        <w:rPr>
          <w:bCs/>
          <w:szCs w:val="22"/>
          <w:lang w:val="sr-Latn-CS"/>
        </w:rPr>
        <w:t>Mirapexin</w:t>
      </w:r>
      <w:r w:rsidR="00905870" w:rsidRPr="006B5701">
        <w:rPr>
          <w:szCs w:val="22"/>
          <w:lang w:val="sr-Latn-CS"/>
        </w:rPr>
        <w:t xml:space="preserve"> </w:t>
      </w:r>
      <w:r w:rsidRPr="006B5701">
        <w:rPr>
          <w:szCs w:val="22"/>
          <w:lang w:val="sr-Latn-CS"/>
        </w:rPr>
        <w:t xml:space="preserve">tablete sa produženim oslobađanjem titrirane brže (na svaka 3 dana) nego što je preporučeno sve do </w:t>
      </w:r>
      <w:r w:rsidR="00D00485" w:rsidRPr="006B5701">
        <w:rPr>
          <w:szCs w:val="22"/>
          <w:lang w:val="sr-Latn-CS"/>
        </w:rPr>
        <w:t xml:space="preserve">3,15 mg pramipeksol baze </w:t>
      </w:r>
      <w:r w:rsidRPr="006B5701">
        <w:rPr>
          <w:szCs w:val="22"/>
          <w:lang w:val="sr-Latn-CS"/>
        </w:rPr>
        <w:t>(</w:t>
      </w:r>
      <w:r w:rsidR="00D00485" w:rsidRPr="006B5701">
        <w:rPr>
          <w:szCs w:val="22"/>
          <w:lang w:val="sr-Latn-CS"/>
        </w:rPr>
        <w:t>4.5 mg soli</w:t>
      </w:r>
      <w:r w:rsidRPr="006B5701">
        <w:rPr>
          <w:szCs w:val="22"/>
          <w:lang w:val="sr-Latn-CS"/>
        </w:rPr>
        <w:t>) dnevno, zab</w:t>
      </w:r>
      <w:r w:rsidR="005516BC">
        <w:rPr>
          <w:szCs w:val="22"/>
          <w:lang w:val="sr-Latn-CS"/>
        </w:rPr>
        <w:t>i</w:t>
      </w:r>
      <w:r w:rsidRPr="006B5701">
        <w:rPr>
          <w:szCs w:val="22"/>
          <w:lang w:val="sr-Latn-CS"/>
        </w:rPr>
        <w:t>l</w:t>
      </w:r>
      <w:r w:rsidR="005516BC">
        <w:rPr>
          <w:szCs w:val="22"/>
          <w:lang w:val="sr-Latn-CS"/>
        </w:rPr>
        <w:t>j</w:t>
      </w:r>
      <w:r w:rsidRPr="006B5701">
        <w:rPr>
          <w:szCs w:val="22"/>
          <w:lang w:val="sr-Latn-CS"/>
        </w:rPr>
        <w:t>eženi su povećanje krvnog pritiska i ubrzanje pulsa. Ovakvo dejstvo nije zab</w:t>
      </w:r>
      <w:r w:rsidR="005516BC">
        <w:rPr>
          <w:szCs w:val="22"/>
          <w:lang w:val="sr-Latn-CS"/>
        </w:rPr>
        <w:t>i</w:t>
      </w:r>
      <w:r w:rsidRPr="006B5701">
        <w:rPr>
          <w:szCs w:val="22"/>
          <w:lang w:val="sr-Latn-CS"/>
        </w:rPr>
        <w:t>l</w:t>
      </w:r>
      <w:r w:rsidR="005516BC">
        <w:rPr>
          <w:szCs w:val="22"/>
          <w:lang w:val="sr-Latn-CS"/>
        </w:rPr>
        <w:t>j</w:t>
      </w:r>
      <w:r w:rsidRPr="006B5701">
        <w:rPr>
          <w:szCs w:val="22"/>
          <w:lang w:val="sr-Latn-CS"/>
        </w:rPr>
        <w:t xml:space="preserve">eženo u studijama na bolesnicima. </w:t>
      </w:r>
    </w:p>
    <w:p w14:paraId="294560D4" w14:textId="3EE551EF" w:rsidR="00A0076A" w:rsidRPr="006B5701" w:rsidRDefault="00A0076A" w:rsidP="00B372EA">
      <w:pPr>
        <w:tabs>
          <w:tab w:val="clear" w:pos="284"/>
        </w:tabs>
        <w:autoSpaceDE w:val="0"/>
        <w:autoSpaceDN w:val="0"/>
        <w:adjustRightInd w:val="0"/>
        <w:jc w:val="left"/>
        <w:rPr>
          <w:szCs w:val="22"/>
          <w:u w:val="single"/>
          <w:lang w:val="sr-Latn-CS"/>
        </w:rPr>
      </w:pPr>
    </w:p>
    <w:p w14:paraId="65A07231" w14:textId="4AD95BF3" w:rsidR="00B372EA" w:rsidRPr="003652BB" w:rsidRDefault="00B372EA" w:rsidP="00B372EA">
      <w:pPr>
        <w:tabs>
          <w:tab w:val="clear" w:pos="284"/>
        </w:tabs>
        <w:autoSpaceDE w:val="0"/>
        <w:autoSpaceDN w:val="0"/>
        <w:adjustRightInd w:val="0"/>
        <w:jc w:val="left"/>
        <w:rPr>
          <w:szCs w:val="22"/>
          <w:u w:val="single"/>
          <w:lang w:val="sr-Latn-CS" w:bidi="ne-NP"/>
        </w:rPr>
      </w:pPr>
      <w:r w:rsidRPr="006B5701">
        <w:rPr>
          <w:szCs w:val="22"/>
          <w:u w:val="single"/>
          <w:lang w:val="sr-Latn-CS"/>
        </w:rPr>
        <w:t>Klinička efikasnost i bezb</w:t>
      </w:r>
      <w:r w:rsidR="005516BC">
        <w:rPr>
          <w:szCs w:val="22"/>
          <w:u w:val="single"/>
          <w:lang w:val="sr-Latn-CS"/>
        </w:rPr>
        <w:t>j</w:t>
      </w:r>
      <w:r w:rsidRPr="006B5701">
        <w:rPr>
          <w:szCs w:val="22"/>
          <w:u w:val="single"/>
          <w:lang w:val="sr-Latn-CS"/>
        </w:rPr>
        <w:t xml:space="preserve">ednost </w:t>
      </w:r>
      <w:r w:rsidRPr="003652BB">
        <w:rPr>
          <w:szCs w:val="22"/>
          <w:u w:val="single"/>
          <w:lang w:val="sr-Latn-CS" w:bidi="ne-NP"/>
        </w:rPr>
        <w:t xml:space="preserve">kod Parkinsonove bolesti </w:t>
      </w:r>
      <w:r w:rsidR="00C8654A" w:rsidRPr="003652BB">
        <w:rPr>
          <w:szCs w:val="22"/>
          <w:u w:val="single"/>
          <w:lang w:val="sr-Latn-CS" w:bidi="ne-NP"/>
        </w:rPr>
        <w:t xml:space="preserve"> </w:t>
      </w:r>
    </w:p>
    <w:p w14:paraId="7A488D8A" w14:textId="77777777" w:rsidR="006B244A" w:rsidRDefault="00B372EA" w:rsidP="00B372EA">
      <w:pPr>
        <w:jc w:val="left"/>
        <w:rPr>
          <w:szCs w:val="22"/>
          <w:lang w:val="sr-Latn-CS"/>
        </w:rPr>
      </w:pPr>
      <w:r w:rsidRPr="006B5701">
        <w:rPr>
          <w:szCs w:val="22"/>
          <w:lang w:val="sr-Latn-CS"/>
        </w:rPr>
        <w:t xml:space="preserve">Kod pacijenata pramipeksol ublažava znake i simptome idiopatske Parkinsonove bolesti. </w:t>
      </w:r>
    </w:p>
    <w:p w14:paraId="57499F16" w14:textId="11427F19" w:rsidR="00B372EA" w:rsidRPr="006B5701" w:rsidRDefault="00B372EA" w:rsidP="00B372EA">
      <w:pPr>
        <w:jc w:val="left"/>
        <w:rPr>
          <w:szCs w:val="22"/>
          <w:lang w:val="sr-Latn-CS"/>
        </w:rPr>
      </w:pPr>
      <w:r w:rsidRPr="006B5701">
        <w:rPr>
          <w:szCs w:val="22"/>
          <w:lang w:val="sr-Latn-CS"/>
        </w:rPr>
        <w:t>Placebo-kontrolisanim kliničkim st</w:t>
      </w:r>
      <w:r w:rsidR="009F414A">
        <w:rPr>
          <w:szCs w:val="22"/>
          <w:lang w:val="sr-Latn-CS"/>
        </w:rPr>
        <w:t xml:space="preserve">udijama obuhvaćeno je približno </w:t>
      </w:r>
      <w:r w:rsidRPr="006B5701">
        <w:rPr>
          <w:szCs w:val="22"/>
          <w:lang w:val="sr-Latn-CS"/>
        </w:rPr>
        <w:t xml:space="preserve">1800 pacijenata u stadijumima I-V po skali </w:t>
      </w:r>
      <w:r w:rsidRPr="006B5701">
        <w:rPr>
          <w:i/>
          <w:szCs w:val="22"/>
          <w:lang w:val="sr-Latn-CS"/>
        </w:rPr>
        <w:t>Hoehn &amp; Yahr</w:t>
      </w:r>
      <w:r w:rsidRPr="006B5701">
        <w:rPr>
          <w:szCs w:val="22"/>
          <w:lang w:val="sr-Latn-CS"/>
        </w:rPr>
        <w:t xml:space="preserve"> koji su l</w:t>
      </w:r>
      <w:r w:rsidR="005516BC">
        <w:rPr>
          <w:szCs w:val="22"/>
          <w:lang w:val="sr-Latn-CS"/>
        </w:rPr>
        <w:t>ij</w:t>
      </w:r>
      <w:r w:rsidRPr="006B5701">
        <w:rPr>
          <w:szCs w:val="22"/>
          <w:lang w:val="sr-Latn-CS"/>
        </w:rPr>
        <w:t>ečeni pr</w:t>
      </w:r>
      <w:r w:rsidR="009F414A">
        <w:rPr>
          <w:szCs w:val="22"/>
          <w:lang w:val="sr-Latn-CS"/>
        </w:rPr>
        <w:t xml:space="preserve">amipeksolom. Od njih, približno </w:t>
      </w:r>
      <w:r w:rsidRPr="006B5701">
        <w:rPr>
          <w:szCs w:val="22"/>
          <w:lang w:val="sr-Latn-CS"/>
        </w:rPr>
        <w:t>1000 su bili u višim stadijumima</w:t>
      </w:r>
      <w:r w:rsidR="00D15BE3" w:rsidRPr="006B5701">
        <w:rPr>
          <w:szCs w:val="22"/>
          <w:lang w:val="sr-Latn-CS"/>
        </w:rPr>
        <w:t xml:space="preserve"> bolesti</w:t>
      </w:r>
      <w:r w:rsidRPr="006B5701">
        <w:rPr>
          <w:szCs w:val="22"/>
          <w:lang w:val="sr-Latn-CS"/>
        </w:rPr>
        <w:t>, istovremeno l</w:t>
      </w:r>
      <w:r w:rsidR="005516BC">
        <w:rPr>
          <w:szCs w:val="22"/>
          <w:lang w:val="sr-Latn-CS"/>
        </w:rPr>
        <w:t>ij</w:t>
      </w:r>
      <w:r w:rsidRPr="006B5701">
        <w:rPr>
          <w:szCs w:val="22"/>
          <w:lang w:val="sr-Latn-CS"/>
        </w:rPr>
        <w:t xml:space="preserve">ečeni levodopom i </w:t>
      </w:r>
      <w:r w:rsidR="00D15BE3" w:rsidRPr="006B5701">
        <w:rPr>
          <w:szCs w:val="22"/>
          <w:lang w:val="sr-Latn-CS"/>
        </w:rPr>
        <w:t>imali</w:t>
      </w:r>
      <w:r w:rsidRPr="006B5701">
        <w:rPr>
          <w:szCs w:val="22"/>
          <w:lang w:val="sr-Latn-CS"/>
        </w:rPr>
        <w:t xml:space="preserve"> motorn</w:t>
      </w:r>
      <w:r w:rsidR="00D15BE3" w:rsidRPr="006B5701">
        <w:rPr>
          <w:szCs w:val="22"/>
          <w:lang w:val="sr-Latn-CS"/>
        </w:rPr>
        <w:t>e</w:t>
      </w:r>
      <w:r w:rsidRPr="006B5701">
        <w:rPr>
          <w:szCs w:val="22"/>
          <w:lang w:val="sr-Latn-CS"/>
        </w:rPr>
        <w:t xml:space="preserve"> komplikacij</w:t>
      </w:r>
      <w:r w:rsidR="00475879" w:rsidRPr="006B5701">
        <w:rPr>
          <w:szCs w:val="22"/>
          <w:lang w:val="sr-Latn-CS"/>
        </w:rPr>
        <w:t>e</w:t>
      </w:r>
      <w:r w:rsidRPr="006B5701">
        <w:rPr>
          <w:szCs w:val="22"/>
          <w:lang w:val="sr-Latn-CS"/>
        </w:rPr>
        <w:t xml:space="preserve">. </w:t>
      </w:r>
    </w:p>
    <w:p w14:paraId="3E68EE4D" w14:textId="77777777" w:rsidR="00B372EA" w:rsidRPr="006B5701" w:rsidRDefault="00B372EA" w:rsidP="00B372EA">
      <w:pPr>
        <w:jc w:val="left"/>
        <w:rPr>
          <w:szCs w:val="22"/>
          <w:lang w:val="sr-Latn-CS"/>
        </w:rPr>
      </w:pPr>
    </w:p>
    <w:p w14:paraId="5A8ADB9C" w14:textId="3F12A1EC" w:rsidR="00D15BE3" w:rsidRPr="006B5701" w:rsidRDefault="00B372EA" w:rsidP="00B372EA">
      <w:pPr>
        <w:jc w:val="left"/>
        <w:rPr>
          <w:szCs w:val="22"/>
          <w:lang w:val="sr-Latn-CS"/>
        </w:rPr>
      </w:pPr>
      <w:r w:rsidRPr="006B5701">
        <w:rPr>
          <w:szCs w:val="22"/>
          <w:lang w:val="sr-Latn-CS"/>
        </w:rPr>
        <w:t>I u ranim i u uznapredovalim stadijumima Parkinsonove bolesti, efikasnost pramipeksola u kontrolisanim kliničkim ispitivanjima održavana je približno šest m</w:t>
      </w:r>
      <w:r w:rsidR="005516BC">
        <w:rPr>
          <w:szCs w:val="22"/>
          <w:lang w:val="sr-Latn-CS"/>
        </w:rPr>
        <w:t>j</w:t>
      </w:r>
      <w:r w:rsidRPr="006B5701">
        <w:rPr>
          <w:szCs w:val="22"/>
          <w:lang w:val="sr-Latn-CS"/>
        </w:rPr>
        <w:t xml:space="preserve">eseci. U otvorenim nastavcima studija koji su trajali i po više od tri godine, nije bilo znakova smanjenja efikasnosti. </w:t>
      </w:r>
    </w:p>
    <w:p w14:paraId="1C17CF22" w14:textId="77777777" w:rsidR="00D15BE3" w:rsidRPr="006B5701" w:rsidRDefault="00D15BE3" w:rsidP="00B372EA">
      <w:pPr>
        <w:jc w:val="left"/>
        <w:rPr>
          <w:szCs w:val="22"/>
          <w:lang w:val="sr-Latn-CS"/>
        </w:rPr>
      </w:pPr>
    </w:p>
    <w:p w14:paraId="58720E90" w14:textId="07808DF5" w:rsidR="00B372EA" w:rsidRPr="006B5701" w:rsidRDefault="00B372EA" w:rsidP="00B372EA">
      <w:pPr>
        <w:jc w:val="left"/>
        <w:rPr>
          <w:szCs w:val="22"/>
          <w:lang w:val="sr-Latn-CS"/>
        </w:rPr>
      </w:pPr>
      <w:r w:rsidRPr="006B5701">
        <w:rPr>
          <w:szCs w:val="22"/>
          <w:lang w:val="sr-Latn-CS"/>
        </w:rPr>
        <w:t>U jednom kontrolisanom dvostruko sl</w:t>
      </w:r>
      <w:r w:rsidR="005516BC">
        <w:rPr>
          <w:szCs w:val="22"/>
          <w:lang w:val="sr-Latn-CS"/>
        </w:rPr>
        <w:t>ij</w:t>
      </w:r>
      <w:r w:rsidRPr="006B5701">
        <w:rPr>
          <w:szCs w:val="22"/>
          <w:lang w:val="sr-Latn-CS"/>
        </w:rPr>
        <w:t>epom ispitivanju u trajanju od 2 godine, inicijalna terapija pramipeksolom značajno je usporila početak motornih komplikacija, i smanjila njihovu pojavu u poređenju sa inicijalnom terapijom levodopom. Ovo usporavanje motornih komplikacija sa pramipeksolom treba odm</w:t>
      </w:r>
      <w:r w:rsidR="005516BC">
        <w:rPr>
          <w:szCs w:val="22"/>
          <w:lang w:val="sr-Latn-CS"/>
        </w:rPr>
        <w:t>j</w:t>
      </w:r>
      <w:r w:rsidRPr="006B5701">
        <w:rPr>
          <w:szCs w:val="22"/>
          <w:lang w:val="sr-Latn-CS"/>
        </w:rPr>
        <w:t>eriti u odnosu na veće poboljšanje motorne funkcije koje se postiže levodopom (što se m</w:t>
      </w:r>
      <w:r w:rsidR="005516BC">
        <w:rPr>
          <w:szCs w:val="22"/>
          <w:lang w:val="sr-Latn-CS"/>
        </w:rPr>
        <w:t>j</w:t>
      </w:r>
      <w:r w:rsidRPr="006B5701">
        <w:rPr>
          <w:szCs w:val="22"/>
          <w:lang w:val="sr-Latn-CS"/>
        </w:rPr>
        <w:t>eri srednjim prom</w:t>
      </w:r>
      <w:r w:rsidR="005516BC">
        <w:rPr>
          <w:szCs w:val="22"/>
          <w:lang w:val="sr-Latn-CS"/>
        </w:rPr>
        <w:t>j</w:t>
      </w:r>
      <w:r w:rsidRPr="006B5701">
        <w:rPr>
          <w:szCs w:val="22"/>
          <w:lang w:val="sr-Latn-CS"/>
        </w:rPr>
        <w:t xml:space="preserve">enama na skoru UPDRS). Ukupna incidenca halucinacija i somnolencije bila je veća u fazi povećanja doze u grupi koja je primala pramipeksol. Međutim, nije bilo značajnih razlika tokom faze održavanja. Ove aspekte treba uzeti u obzir kada se započinje terapija pramipeksolom kod pacijenata sa Parkinsonovom bolešću. </w:t>
      </w:r>
    </w:p>
    <w:p w14:paraId="2AA58188" w14:textId="77777777" w:rsidR="00B372EA" w:rsidRPr="006B5701" w:rsidRDefault="00B372EA" w:rsidP="00B372EA">
      <w:pPr>
        <w:jc w:val="left"/>
        <w:rPr>
          <w:szCs w:val="22"/>
          <w:lang w:val="sr-Latn-CS"/>
        </w:rPr>
      </w:pPr>
    </w:p>
    <w:p w14:paraId="2A67025E" w14:textId="77777777" w:rsidR="00B372EA" w:rsidRPr="006B5701" w:rsidRDefault="00B372EA" w:rsidP="00B372EA">
      <w:pPr>
        <w:jc w:val="left"/>
        <w:rPr>
          <w:szCs w:val="22"/>
          <w:u w:val="single"/>
          <w:lang w:val="sr-Latn-CS"/>
        </w:rPr>
      </w:pPr>
      <w:bookmarkStart w:id="3" w:name="OLE_LINK4"/>
      <w:bookmarkStart w:id="4" w:name="OLE_LINK5"/>
      <w:r w:rsidRPr="006B5701">
        <w:rPr>
          <w:szCs w:val="22"/>
          <w:u w:val="single"/>
          <w:lang w:val="sr-Latn-CS"/>
        </w:rPr>
        <w:t>Pedijatrijska populacija</w:t>
      </w:r>
    </w:p>
    <w:bookmarkEnd w:id="3"/>
    <w:bookmarkEnd w:id="4"/>
    <w:p w14:paraId="4CD2A052" w14:textId="75EA630F" w:rsidR="00B372EA" w:rsidRPr="006B5701" w:rsidRDefault="00B372EA" w:rsidP="00B372EA">
      <w:pPr>
        <w:jc w:val="left"/>
        <w:rPr>
          <w:szCs w:val="22"/>
          <w:lang w:val="sr-Latn-CS"/>
        </w:rPr>
      </w:pPr>
      <w:r w:rsidRPr="006B5701">
        <w:rPr>
          <w:szCs w:val="22"/>
          <w:lang w:val="sr-Latn-CS"/>
        </w:rPr>
        <w:t xml:space="preserve">Evropska agencija za lekove je ukinula obavezu podnošenja rezultata ispitivanja leka </w:t>
      </w:r>
      <w:r w:rsidR="0083579A">
        <w:rPr>
          <w:bCs/>
          <w:szCs w:val="22"/>
          <w:lang w:val="sr-Latn-CS"/>
        </w:rPr>
        <w:t>Mirapexin</w:t>
      </w:r>
      <w:r w:rsidRPr="006B5701">
        <w:rPr>
          <w:szCs w:val="22"/>
          <w:lang w:val="sr-Latn-CS"/>
        </w:rPr>
        <w:t xml:space="preserve"> u svim podgrupama pedijatrijske populacije kod Parkinsonove bolesti (videti odeljak 4.2. za upotrebu u pedijatriji).</w:t>
      </w:r>
    </w:p>
    <w:p w14:paraId="475D5144" w14:textId="77777777" w:rsidR="00B372EA" w:rsidRPr="006B5701" w:rsidRDefault="00B372EA" w:rsidP="00B372EA">
      <w:pPr>
        <w:jc w:val="left"/>
        <w:rPr>
          <w:szCs w:val="22"/>
          <w:lang w:val="sr-Latn-CS"/>
        </w:rPr>
      </w:pPr>
    </w:p>
    <w:p w14:paraId="6203719F" w14:textId="77777777" w:rsidR="00B372EA" w:rsidRPr="00E91930" w:rsidRDefault="00B372EA" w:rsidP="00B372EA">
      <w:pPr>
        <w:tabs>
          <w:tab w:val="clear" w:pos="284"/>
        </w:tabs>
        <w:autoSpaceDE w:val="0"/>
        <w:autoSpaceDN w:val="0"/>
        <w:adjustRightInd w:val="0"/>
        <w:jc w:val="left"/>
        <w:rPr>
          <w:szCs w:val="22"/>
          <w:u w:val="single"/>
          <w:lang w:val="sr-Latn-CS" w:bidi="ne-NP"/>
        </w:rPr>
      </w:pPr>
      <w:r w:rsidRPr="006B5701">
        <w:rPr>
          <w:szCs w:val="22"/>
          <w:u w:val="single"/>
          <w:lang w:val="sr-Latn-CS"/>
        </w:rPr>
        <w:t xml:space="preserve">Klinička efikasnost i bezbednost </w:t>
      </w:r>
      <w:r w:rsidRPr="00E91930">
        <w:rPr>
          <w:szCs w:val="22"/>
          <w:u w:val="single"/>
          <w:lang w:val="sr-Latn-CS" w:bidi="ne-NP"/>
        </w:rPr>
        <w:t xml:space="preserve">kod sindroma nemirnih nogu </w:t>
      </w:r>
    </w:p>
    <w:p w14:paraId="392ACB63" w14:textId="3E3E5D34" w:rsidR="00B372EA" w:rsidRPr="006B5701" w:rsidRDefault="00B372EA" w:rsidP="00B372EA">
      <w:pPr>
        <w:tabs>
          <w:tab w:val="clear" w:pos="284"/>
        </w:tabs>
        <w:autoSpaceDE w:val="0"/>
        <w:autoSpaceDN w:val="0"/>
        <w:adjustRightInd w:val="0"/>
        <w:jc w:val="left"/>
        <w:rPr>
          <w:szCs w:val="22"/>
          <w:lang w:val="sr-Latn-CS"/>
        </w:rPr>
      </w:pPr>
      <w:r w:rsidRPr="006B5701">
        <w:rPr>
          <w:szCs w:val="22"/>
          <w:lang w:val="sr-Latn-CS"/>
        </w:rPr>
        <w:t>Efikasnost pramipeksola proc</w:t>
      </w:r>
      <w:r w:rsidR="00910B35">
        <w:rPr>
          <w:szCs w:val="22"/>
          <w:lang w:val="sr-Latn-CS"/>
        </w:rPr>
        <w:t>j</w:t>
      </w:r>
      <w:r w:rsidRPr="006B5701">
        <w:rPr>
          <w:szCs w:val="22"/>
          <w:lang w:val="sr-Latn-CS"/>
        </w:rPr>
        <w:t>enjivana je u četiri placebo kontrolisana ispitivanja kod približno 1000 pacijenata sa um</w:t>
      </w:r>
      <w:r w:rsidR="00910B35">
        <w:rPr>
          <w:szCs w:val="22"/>
          <w:lang w:val="sr-Latn-CS"/>
        </w:rPr>
        <w:t>j</w:t>
      </w:r>
      <w:r w:rsidRPr="006B5701">
        <w:rPr>
          <w:szCs w:val="22"/>
          <w:lang w:val="sr-Latn-CS"/>
        </w:rPr>
        <w:t xml:space="preserve">erenim do veoma teškim sindromom nemirnih nogu. </w:t>
      </w:r>
    </w:p>
    <w:p w14:paraId="39C95AA6" w14:textId="77777777" w:rsidR="00B372EA" w:rsidRPr="00E91930" w:rsidRDefault="00B372EA" w:rsidP="00B372EA">
      <w:pPr>
        <w:tabs>
          <w:tab w:val="clear" w:pos="284"/>
        </w:tabs>
        <w:autoSpaceDE w:val="0"/>
        <w:autoSpaceDN w:val="0"/>
        <w:adjustRightInd w:val="0"/>
        <w:jc w:val="left"/>
        <w:rPr>
          <w:szCs w:val="22"/>
          <w:lang w:val="sr-Latn-CS" w:bidi="ne-NP"/>
        </w:rPr>
      </w:pPr>
    </w:p>
    <w:p w14:paraId="7CA7694B" w14:textId="618C14A1" w:rsidR="00B372EA" w:rsidRPr="00E91930" w:rsidRDefault="00B372EA" w:rsidP="00B372EA">
      <w:pPr>
        <w:tabs>
          <w:tab w:val="clear" w:pos="284"/>
        </w:tabs>
        <w:autoSpaceDE w:val="0"/>
        <w:autoSpaceDN w:val="0"/>
        <w:adjustRightInd w:val="0"/>
        <w:jc w:val="left"/>
        <w:rPr>
          <w:szCs w:val="22"/>
          <w:lang w:val="sr-Latn-CS" w:bidi="ne-NP"/>
        </w:rPr>
      </w:pPr>
      <w:r w:rsidRPr="00E91930">
        <w:rPr>
          <w:szCs w:val="22"/>
          <w:lang w:val="pl-PL" w:bidi="ne-NP"/>
        </w:rPr>
        <w:t>Srednja</w:t>
      </w:r>
      <w:r w:rsidRPr="00E91930">
        <w:rPr>
          <w:szCs w:val="22"/>
          <w:lang w:val="sr-Latn-CS" w:bidi="ne-NP"/>
        </w:rPr>
        <w:t xml:space="preserve"> </w:t>
      </w:r>
      <w:r w:rsidRPr="00E91930">
        <w:rPr>
          <w:szCs w:val="22"/>
          <w:lang w:val="pl-PL" w:bidi="ne-NP"/>
        </w:rPr>
        <w:t>prom</w:t>
      </w:r>
      <w:r w:rsidR="00910B35">
        <w:rPr>
          <w:szCs w:val="22"/>
          <w:lang w:val="pl-PL" w:bidi="ne-NP"/>
        </w:rPr>
        <w:t>j</w:t>
      </w:r>
      <w:r w:rsidRPr="00E91930">
        <w:rPr>
          <w:szCs w:val="22"/>
          <w:lang w:val="pl-PL" w:bidi="ne-NP"/>
        </w:rPr>
        <w:t>ena</w:t>
      </w:r>
      <w:r w:rsidRPr="00E91930">
        <w:rPr>
          <w:szCs w:val="22"/>
          <w:lang w:val="sr-Latn-CS" w:bidi="ne-NP"/>
        </w:rPr>
        <w:t xml:space="preserve"> u odnosu na početnu vr</w:t>
      </w:r>
      <w:r w:rsidR="00910B35">
        <w:rPr>
          <w:szCs w:val="22"/>
          <w:lang w:val="sr-Latn-CS" w:bidi="ne-NP"/>
        </w:rPr>
        <w:t>ij</w:t>
      </w:r>
      <w:r w:rsidRPr="00E91930">
        <w:rPr>
          <w:szCs w:val="22"/>
          <w:lang w:val="sr-Latn-CS" w:bidi="ne-NP"/>
        </w:rPr>
        <w:t xml:space="preserve">ednost na skali </w:t>
      </w:r>
      <w:r w:rsidRPr="00E91930">
        <w:rPr>
          <w:i/>
          <w:szCs w:val="22"/>
          <w:lang w:val="pl-PL" w:bidi="ne-NP"/>
        </w:rPr>
        <w:t>Restless</w:t>
      </w:r>
      <w:r w:rsidRPr="00E91930">
        <w:rPr>
          <w:i/>
          <w:szCs w:val="22"/>
          <w:lang w:val="sr-Latn-CS" w:bidi="ne-NP"/>
        </w:rPr>
        <w:t xml:space="preserve"> </w:t>
      </w:r>
      <w:r w:rsidRPr="00E91930">
        <w:rPr>
          <w:i/>
          <w:szCs w:val="22"/>
          <w:lang w:val="pl-PL" w:bidi="ne-NP"/>
        </w:rPr>
        <w:t>Legs</w:t>
      </w:r>
      <w:r w:rsidRPr="00E91930">
        <w:rPr>
          <w:i/>
          <w:szCs w:val="22"/>
          <w:lang w:val="sr-Latn-CS" w:bidi="ne-NP"/>
        </w:rPr>
        <w:t xml:space="preserve"> </w:t>
      </w:r>
      <w:r w:rsidRPr="00E91930">
        <w:rPr>
          <w:i/>
          <w:szCs w:val="22"/>
          <w:lang w:val="pl-PL" w:bidi="ne-NP"/>
        </w:rPr>
        <w:t>Syndrome</w:t>
      </w:r>
      <w:r w:rsidRPr="00E91930">
        <w:rPr>
          <w:i/>
          <w:szCs w:val="22"/>
          <w:lang w:val="sr-Latn-CS" w:bidi="ne-NP"/>
        </w:rPr>
        <w:t xml:space="preserve"> </w:t>
      </w:r>
      <w:r w:rsidRPr="00E91930">
        <w:rPr>
          <w:i/>
          <w:szCs w:val="22"/>
          <w:lang w:val="pl-PL" w:bidi="ne-NP"/>
        </w:rPr>
        <w:t>Rating</w:t>
      </w:r>
      <w:r w:rsidRPr="00E91930">
        <w:rPr>
          <w:i/>
          <w:szCs w:val="22"/>
          <w:lang w:val="sr-Latn-CS" w:bidi="ne-NP"/>
        </w:rPr>
        <w:t xml:space="preserve"> </w:t>
      </w:r>
      <w:r w:rsidRPr="00E91930">
        <w:rPr>
          <w:i/>
          <w:szCs w:val="22"/>
          <w:lang w:val="pl-PL" w:bidi="ne-NP"/>
        </w:rPr>
        <w:t>Scale</w:t>
      </w:r>
      <w:r w:rsidRPr="00E91930">
        <w:rPr>
          <w:szCs w:val="22"/>
          <w:lang w:val="sr-Latn-CS" w:bidi="ne-NP"/>
        </w:rPr>
        <w:t xml:space="preserve"> (</w:t>
      </w:r>
      <w:r w:rsidRPr="00E91930">
        <w:rPr>
          <w:szCs w:val="22"/>
          <w:lang w:val="pl-PL" w:bidi="ne-NP"/>
        </w:rPr>
        <w:t>IRLS</w:t>
      </w:r>
      <w:r w:rsidRPr="00E91930">
        <w:rPr>
          <w:szCs w:val="22"/>
          <w:lang w:val="sr-Latn-CS" w:bidi="ne-NP"/>
        </w:rPr>
        <w:t xml:space="preserve">) </w:t>
      </w:r>
      <w:r w:rsidRPr="00E91930">
        <w:rPr>
          <w:szCs w:val="22"/>
          <w:lang w:val="pl-PL" w:bidi="ne-NP"/>
        </w:rPr>
        <w:t>i</w:t>
      </w:r>
      <w:r w:rsidRPr="00E91930">
        <w:rPr>
          <w:szCs w:val="22"/>
          <w:lang w:val="sr-Latn-CS" w:bidi="ne-NP"/>
        </w:rPr>
        <w:t xml:space="preserve"> </w:t>
      </w:r>
      <w:r w:rsidRPr="00E91930">
        <w:rPr>
          <w:i/>
          <w:szCs w:val="22"/>
          <w:lang w:val="pl-PL" w:bidi="ne-NP"/>
        </w:rPr>
        <w:t>Clinical</w:t>
      </w:r>
      <w:r w:rsidRPr="00E91930">
        <w:rPr>
          <w:i/>
          <w:szCs w:val="22"/>
          <w:lang w:val="sr-Latn-CS" w:bidi="ne-NP"/>
        </w:rPr>
        <w:t xml:space="preserve"> </w:t>
      </w:r>
      <w:r w:rsidRPr="00E91930">
        <w:rPr>
          <w:i/>
          <w:szCs w:val="22"/>
          <w:lang w:val="pl-PL" w:bidi="ne-NP"/>
        </w:rPr>
        <w:t>Global</w:t>
      </w:r>
      <w:r w:rsidRPr="00E91930">
        <w:rPr>
          <w:i/>
          <w:szCs w:val="22"/>
          <w:lang w:val="sr-Latn-CS" w:bidi="ne-NP"/>
        </w:rPr>
        <w:t xml:space="preserve"> </w:t>
      </w:r>
      <w:r w:rsidRPr="00E91930">
        <w:rPr>
          <w:i/>
          <w:szCs w:val="22"/>
          <w:lang w:val="pl-PL" w:bidi="ne-NP"/>
        </w:rPr>
        <w:t>Impression</w:t>
      </w:r>
      <w:r w:rsidRPr="00E91930">
        <w:rPr>
          <w:i/>
          <w:szCs w:val="22"/>
          <w:lang w:val="sr-Latn-CS" w:bidi="ne-NP"/>
        </w:rPr>
        <w:t>-</w:t>
      </w:r>
      <w:r w:rsidRPr="00E91930">
        <w:rPr>
          <w:i/>
          <w:szCs w:val="22"/>
          <w:lang w:val="pl-PL" w:bidi="ne-NP"/>
        </w:rPr>
        <w:t>Improvement</w:t>
      </w:r>
      <w:r w:rsidRPr="00E91930">
        <w:rPr>
          <w:szCs w:val="22"/>
          <w:lang w:val="sr-Latn-CS" w:bidi="ne-NP"/>
        </w:rPr>
        <w:t xml:space="preserve"> (</w:t>
      </w:r>
      <w:r w:rsidRPr="00E91930">
        <w:rPr>
          <w:szCs w:val="22"/>
          <w:lang w:val="pl-PL" w:bidi="ne-NP"/>
        </w:rPr>
        <w:t>CGI</w:t>
      </w:r>
      <w:r w:rsidRPr="00E91930">
        <w:rPr>
          <w:szCs w:val="22"/>
          <w:lang w:val="sr-Latn-CS" w:bidi="ne-NP"/>
        </w:rPr>
        <w:t>-</w:t>
      </w:r>
      <w:r w:rsidRPr="00E91930">
        <w:rPr>
          <w:szCs w:val="22"/>
          <w:lang w:val="pl-PL" w:bidi="ne-NP"/>
        </w:rPr>
        <w:t>I</w:t>
      </w:r>
      <w:r w:rsidRPr="00E91930">
        <w:rPr>
          <w:szCs w:val="22"/>
          <w:lang w:val="sr-Latn-CS" w:bidi="ne-NP"/>
        </w:rPr>
        <w:t>) predstavljala je primarni cilj m</w:t>
      </w:r>
      <w:r w:rsidR="00910B35">
        <w:rPr>
          <w:szCs w:val="22"/>
          <w:lang w:val="sr-Latn-CS" w:bidi="ne-NP"/>
        </w:rPr>
        <w:t>j</w:t>
      </w:r>
      <w:r w:rsidRPr="00E91930">
        <w:rPr>
          <w:szCs w:val="22"/>
          <w:lang w:val="sr-Latn-CS" w:bidi="ne-NP"/>
        </w:rPr>
        <w:t xml:space="preserve">erenja efikasnosti. Za oba primarna </w:t>
      </w:r>
      <w:r w:rsidR="008C4AC1" w:rsidRPr="00E91930">
        <w:rPr>
          <w:szCs w:val="22"/>
          <w:lang w:val="sr-Latn-CS" w:bidi="ne-NP"/>
        </w:rPr>
        <w:t xml:space="preserve">parametra praćenja </w:t>
      </w:r>
      <w:r w:rsidRPr="00E91930">
        <w:rPr>
          <w:szCs w:val="22"/>
          <w:lang w:val="sr-Latn-CS" w:bidi="ne-NP"/>
        </w:rPr>
        <w:t>statistički značajne razlike uočene su u grupama pacijenata koji su primali 0</w:t>
      </w:r>
      <w:r w:rsidR="00A52C91" w:rsidRPr="00E91930">
        <w:rPr>
          <w:szCs w:val="22"/>
          <w:lang w:val="sr-Latn-CS" w:bidi="ne-NP"/>
        </w:rPr>
        <w:t>,</w:t>
      </w:r>
      <w:r w:rsidRPr="00E91930">
        <w:rPr>
          <w:szCs w:val="22"/>
          <w:lang w:val="sr-Latn-CS" w:bidi="ne-NP"/>
        </w:rPr>
        <w:t>25 mg, 0</w:t>
      </w:r>
      <w:r w:rsidR="00A52C91" w:rsidRPr="00E91930">
        <w:rPr>
          <w:szCs w:val="22"/>
          <w:lang w:val="sr-Latn-CS" w:bidi="ne-NP"/>
        </w:rPr>
        <w:t>,</w:t>
      </w:r>
      <w:r w:rsidRPr="00E91930">
        <w:rPr>
          <w:szCs w:val="22"/>
          <w:lang w:val="sr-Latn-CS" w:bidi="ne-NP"/>
        </w:rPr>
        <w:t>5 mg i 0</w:t>
      </w:r>
      <w:r w:rsidR="00A52C91" w:rsidRPr="00E91930">
        <w:rPr>
          <w:szCs w:val="22"/>
          <w:lang w:val="sr-Latn-CS" w:bidi="ne-NP"/>
        </w:rPr>
        <w:t>,</w:t>
      </w:r>
      <w:r w:rsidRPr="00E91930">
        <w:rPr>
          <w:szCs w:val="22"/>
          <w:lang w:val="sr-Latn-CS" w:bidi="ne-NP"/>
        </w:rPr>
        <w:t xml:space="preserve">75 mg pramipeksol soli u odnosu na placebo grupu. Nakon 12 nedelja lečenja početni IRLS skor se poboljšao od 23,5 do 14,1 poena u placebo grupi, i od 23,4 do 9,4 poena u pramipeksol grupi (kombinovane doze). Zaokružena srednja razlika je bila – 4,3 jedinice (CI 95% -6,4; -2,1 jedinice, p &lt;0,0001). CGI-I stope odgovora (poboljšane, znatno poboljšane) su bile 51,2% i 72,0% u placebo, odnosno pramipeksol grupi (sa razlikom od 20% CI 95%: 8,1%; 31,8%, p&lt;0,0005). Efikasnost terapije se ispoljila sa </w:t>
      </w:r>
      <w:r w:rsidR="00481C98" w:rsidRPr="00E91930">
        <w:rPr>
          <w:szCs w:val="22"/>
          <w:lang w:val="sr-Latn-CS" w:bidi="ne-NP"/>
        </w:rPr>
        <w:t xml:space="preserve">0,088 mg baze </w:t>
      </w:r>
      <w:r w:rsidRPr="00E91930">
        <w:rPr>
          <w:szCs w:val="22"/>
          <w:lang w:val="sr-Latn-CS" w:bidi="ne-NP"/>
        </w:rPr>
        <w:t>(</w:t>
      </w:r>
      <w:r w:rsidR="00481C98" w:rsidRPr="00E91930">
        <w:rPr>
          <w:szCs w:val="22"/>
          <w:lang w:val="sr-Latn-CS" w:bidi="ne-NP"/>
        </w:rPr>
        <w:t>0,125 mg soli</w:t>
      </w:r>
      <w:r w:rsidRPr="00E91930">
        <w:rPr>
          <w:szCs w:val="22"/>
          <w:lang w:val="sr-Latn-CS" w:bidi="ne-NP"/>
        </w:rPr>
        <w:t>) dnevno nakon prve ned</w:t>
      </w:r>
      <w:r w:rsidR="00910B35">
        <w:rPr>
          <w:szCs w:val="22"/>
          <w:lang w:val="sr-Latn-CS" w:bidi="ne-NP"/>
        </w:rPr>
        <w:t>j</w:t>
      </w:r>
      <w:r w:rsidRPr="00E91930">
        <w:rPr>
          <w:szCs w:val="22"/>
          <w:lang w:val="sr-Latn-CS" w:bidi="ne-NP"/>
        </w:rPr>
        <w:t>elje l</w:t>
      </w:r>
      <w:r w:rsidR="00910B35">
        <w:rPr>
          <w:szCs w:val="22"/>
          <w:lang w:val="sr-Latn-CS" w:bidi="ne-NP"/>
        </w:rPr>
        <w:t>ij</w:t>
      </w:r>
      <w:r w:rsidRPr="00E91930">
        <w:rPr>
          <w:szCs w:val="22"/>
          <w:lang w:val="sr-Latn-CS" w:bidi="ne-NP"/>
        </w:rPr>
        <w:t>ečenja.</w:t>
      </w:r>
    </w:p>
    <w:p w14:paraId="3D7F5E07" w14:textId="77777777" w:rsidR="00B372EA" w:rsidRPr="00E91930" w:rsidRDefault="00B372EA" w:rsidP="00B372EA">
      <w:pPr>
        <w:tabs>
          <w:tab w:val="clear" w:pos="284"/>
        </w:tabs>
        <w:autoSpaceDE w:val="0"/>
        <w:autoSpaceDN w:val="0"/>
        <w:adjustRightInd w:val="0"/>
        <w:jc w:val="left"/>
        <w:rPr>
          <w:szCs w:val="22"/>
          <w:lang w:val="sr-Latn-CS" w:bidi="ne-NP"/>
        </w:rPr>
      </w:pPr>
    </w:p>
    <w:p w14:paraId="5A470F14" w14:textId="544BA431" w:rsidR="00B372EA" w:rsidRPr="00E91930" w:rsidRDefault="00B372EA" w:rsidP="00B372EA">
      <w:pPr>
        <w:tabs>
          <w:tab w:val="clear" w:pos="284"/>
        </w:tabs>
        <w:autoSpaceDE w:val="0"/>
        <w:autoSpaceDN w:val="0"/>
        <w:adjustRightInd w:val="0"/>
        <w:jc w:val="left"/>
        <w:rPr>
          <w:szCs w:val="22"/>
          <w:lang w:val="sr-Latn-CS" w:bidi="ne-NP"/>
        </w:rPr>
      </w:pPr>
      <w:r w:rsidRPr="00E91930">
        <w:rPr>
          <w:szCs w:val="22"/>
          <w:lang w:val="sr-Latn-CS" w:bidi="ne-NP"/>
        </w:rPr>
        <w:t xml:space="preserve">U placebo kontrolisanoj studiji polisomnografije tokom tri nedelje </w:t>
      </w:r>
      <w:r w:rsidR="0083579A">
        <w:rPr>
          <w:bCs/>
          <w:szCs w:val="22"/>
          <w:lang w:val="sr-Latn-CS"/>
        </w:rPr>
        <w:t>Mirapexin</w:t>
      </w:r>
      <w:r w:rsidRPr="00E91930">
        <w:rPr>
          <w:szCs w:val="22"/>
          <w:lang w:val="sr-Latn-CS" w:bidi="ne-NP"/>
        </w:rPr>
        <w:t xml:space="preserve"> je značajno smanjio broj periodičnih pokreta ekstremiteta tokom vremena provedenog u krevetu.</w:t>
      </w:r>
    </w:p>
    <w:p w14:paraId="731A589D" w14:textId="77777777" w:rsidR="00B372EA" w:rsidRPr="006B5701" w:rsidRDefault="00B372EA" w:rsidP="00B372EA">
      <w:pPr>
        <w:autoSpaceDE w:val="0"/>
        <w:autoSpaceDN w:val="0"/>
        <w:adjustRightInd w:val="0"/>
        <w:jc w:val="left"/>
        <w:rPr>
          <w:szCs w:val="22"/>
          <w:lang w:val="sr-Latn-CS"/>
        </w:rPr>
      </w:pPr>
    </w:p>
    <w:p w14:paraId="54C683E2" w14:textId="4BB44E77" w:rsidR="004D72DF" w:rsidRPr="006B5701" w:rsidRDefault="00B372EA" w:rsidP="00B372EA">
      <w:pPr>
        <w:autoSpaceDE w:val="0"/>
        <w:autoSpaceDN w:val="0"/>
        <w:adjustRightInd w:val="0"/>
        <w:jc w:val="left"/>
        <w:rPr>
          <w:szCs w:val="22"/>
          <w:lang w:val="sr-Latn-CS"/>
        </w:rPr>
      </w:pPr>
      <w:r w:rsidRPr="006B5701">
        <w:rPr>
          <w:szCs w:val="22"/>
          <w:lang w:val="sr-Latn-CS"/>
        </w:rPr>
        <w:t>Dugotrajna efikasnost je proc</w:t>
      </w:r>
      <w:r w:rsidR="00910B35">
        <w:rPr>
          <w:szCs w:val="22"/>
          <w:lang w:val="sr-Latn-CS"/>
        </w:rPr>
        <w:t>j</w:t>
      </w:r>
      <w:r w:rsidRPr="006B5701">
        <w:rPr>
          <w:szCs w:val="22"/>
          <w:lang w:val="sr-Latn-CS"/>
        </w:rPr>
        <w:t>enjivana u jednom placebo-kontrolisanom kliničkom ispitivanju. Posl</w:t>
      </w:r>
      <w:r w:rsidR="00910B35">
        <w:rPr>
          <w:szCs w:val="22"/>
          <w:lang w:val="sr-Latn-CS"/>
        </w:rPr>
        <w:t>ij</w:t>
      </w:r>
      <w:r w:rsidRPr="006B5701">
        <w:rPr>
          <w:szCs w:val="22"/>
          <w:lang w:val="sr-Latn-CS"/>
        </w:rPr>
        <w:t>e 26 ned</w:t>
      </w:r>
      <w:r w:rsidR="00910B35">
        <w:rPr>
          <w:szCs w:val="22"/>
          <w:lang w:val="sr-Latn-CS"/>
        </w:rPr>
        <w:t>j</w:t>
      </w:r>
      <w:r w:rsidRPr="006B5701">
        <w:rPr>
          <w:szCs w:val="22"/>
          <w:lang w:val="sr-Latn-CS"/>
        </w:rPr>
        <w:t xml:space="preserve">elja terapije dolazilo je do podešenog srednjeg smanjenja ukupnog skora IRLS za 13,7 bodova u grupi </w:t>
      </w:r>
      <w:r w:rsidRPr="006B5701">
        <w:rPr>
          <w:szCs w:val="22"/>
          <w:lang w:val="sr-Latn-CS"/>
        </w:rPr>
        <w:lastRenderedPageBreak/>
        <w:t xml:space="preserve">koja je primala pramipeksol, a 11,1 u grupi koja je primala placebo, sa statistički signifikantnom (p = 0,008) srednjom razlikom između terapija od -2,6. </w:t>
      </w:r>
    </w:p>
    <w:p w14:paraId="5EBE50E3" w14:textId="77777777" w:rsidR="004D72DF" w:rsidRPr="006B5701" w:rsidRDefault="004D72DF" w:rsidP="00B372EA">
      <w:pPr>
        <w:autoSpaceDE w:val="0"/>
        <w:autoSpaceDN w:val="0"/>
        <w:adjustRightInd w:val="0"/>
        <w:jc w:val="left"/>
        <w:rPr>
          <w:szCs w:val="22"/>
          <w:lang w:val="sr-Latn-CS"/>
        </w:rPr>
      </w:pPr>
    </w:p>
    <w:p w14:paraId="463201DC" w14:textId="46A92EEE" w:rsidR="00B372EA" w:rsidRPr="006B5701" w:rsidRDefault="00B372EA" w:rsidP="00B372EA">
      <w:pPr>
        <w:autoSpaceDE w:val="0"/>
        <w:autoSpaceDN w:val="0"/>
        <w:adjustRightInd w:val="0"/>
        <w:jc w:val="left"/>
        <w:rPr>
          <w:szCs w:val="22"/>
          <w:lang w:val="sr-Latn-CS"/>
        </w:rPr>
      </w:pPr>
      <w:r w:rsidRPr="006B5701">
        <w:rPr>
          <w:szCs w:val="22"/>
          <w:lang w:val="sr-Latn-CS"/>
        </w:rPr>
        <w:t>Stope odgovora po skali CGI-I (poboljšane, znatno poboljšane) iznosile su 50,3% (80/159) u grupi koja je primala  placebo, a 68,5% (111/162) u grupi koja je primala pramipeksol (p = 0,001), što odgovara broju od 6 pacijenata koje treba l</w:t>
      </w:r>
      <w:r w:rsidR="00910B35">
        <w:rPr>
          <w:szCs w:val="22"/>
          <w:lang w:val="sr-Latn-CS"/>
        </w:rPr>
        <w:t>ij</w:t>
      </w:r>
      <w:r w:rsidRPr="006B5701">
        <w:rPr>
          <w:szCs w:val="22"/>
          <w:lang w:val="sr-Latn-CS"/>
        </w:rPr>
        <w:t>ečiti (</w:t>
      </w:r>
      <w:r w:rsidRPr="006B5701">
        <w:rPr>
          <w:i/>
          <w:szCs w:val="22"/>
          <w:lang w:val="sr-Latn-CS"/>
        </w:rPr>
        <w:t>number needed to treat,</w:t>
      </w:r>
      <w:r w:rsidRPr="006B5701">
        <w:rPr>
          <w:szCs w:val="22"/>
          <w:lang w:val="sr-Latn-CS"/>
        </w:rPr>
        <w:t xml:space="preserve"> NNT) (95%CI: 3,5; 13,4).</w:t>
      </w:r>
    </w:p>
    <w:p w14:paraId="077E3642" w14:textId="77777777" w:rsidR="00B372EA" w:rsidRPr="006B5701" w:rsidRDefault="00B372EA" w:rsidP="00B372EA">
      <w:pPr>
        <w:jc w:val="left"/>
        <w:rPr>
          <w:szCs w:val="22"/>
          <w:u w:val="single"/>
          <w:lang w:val="sr-Latn-CS"/>
        </w:rPr>
      </w:pPr>
    </w:p>
    <w:p w14:paraId="643520F8" w14:textId="77777777" w:rsidR="00910B35" w:rsidRDefault="00910B35" w:rsidP="00B372EA">
      <w:pPr>
        <w:jc w:val="left"/>
        <w:rPr>
          <w:szCs w:val="22"/>
          <w:u w:val="single"/>
          <w:lang w:val="sr-Latn-CS"/>
        </w:rPr>
      </w:pPr>
    </w:p>
    <w:p w14:paraId="31CA3AFA" w14:textId="77777777" w:rsidR="00910B35" w:rsidRDefault="00910B35" w:rsidP="00B372EA">
      <w:pPr>
        <w:jc w:val="left"/>
        <w:rPr>
          <w:szCs w:val="22"/>
          <w:u w:val="single"/>
          <w:lang w:val="sr-Latn-CS"/>
        </w:rPr>
      </w:pPr>
    </w:p>
    <w:p w14:paraId="1CD01720" w14:textId="77777777" w:rsidR="00910B35" w:rsidRDefault="00910B35" w:rsidP="00B372EA">
      <w:pPr>
        <w:jc w:val="left"/>
        <w:rPr>
          <w:szCs w:val="22"/>
          <w:u w:val="single"/>
          <w:lang w:val="sr-Latn-CS"/>
        </w:rPr>
      </w:pPr>
    </w:p>
    <w:p w14:paraId="7274EB2F" w14:textId="77777777" w:rsidR="00910B35" w:rsidRDefault="00910B35" w:rsidP="00B372EA">
      <w:pPr>
        <w:jc w:val="left"/>
        <w:rPr>
          <w:szCs w:val="22"/>
          <w:u w:val="single"/>
          <w:lang w:val="sr-Latn-CS"/>
        </w:rPr>
      </w:pPr>
    </w:p>
    <w:p w14:paraId="0FF43395" w14:textId="7613D8E6" w:rsidR="00B372EA" w:rsidRPr="006B5701" w:rsidRDefault="00B372EA" w:rsidP="00B372EA">
      <w:pPr>
        <w:jc w:val="left"/>
        <w:rPr>
          <w:szCs w:val="22"/>
          <w:u w:val="single"/>
          <w:lang w:val="sr-Latn-CS"/>
        </w:rPr>
      </w:pPr>
      <w:r w:rsidRPr="006B5701">
        <w:rPr>
          <w:szCs w:val="22"/>
          <w:u w:val="single"/>
          <w:lang w:val="sr-Latn-CS"/>
        </w:rPr>
        <w:t>Pedijatrijska populacija</w:t>
      </w:r>
    </w:p>
    <w:p w14:paraId="266B980C" w14:textId="3BC230FF" w:rsidR="00B372EA" w:rsidRPr="006B5701" w:rsidRDefault="00B372EA" w:rsidP="00B372EA">
      <w:pPr>
        <w:jc w:val="left"/>
        <w:rPr>
          <w:i/>
          <w:szCs w:val="22"/>
          <w:u w:val="single"/>
          <w:lang w:val="sr-Latn-CS"/>
        </w:rPr>
      </w:pPr>
      <w:r w:rsidRPr="006B5701">
        <w:rPr>
          <w:szCs w:val="22"/>
          <w:lang w:val="sr-Latn-CS"/>
        </w:rPr>
        <w:t>Evropska agencija za l</w:t>
      </w:r>
      <w:r w:rsidR="00910B35">
        <w:rPr>
          <w:szCs w:val="22"/>
          <w:lang w:val="sr-Latn-CS"/>
        </w:rPr>
        <w:t>j</w:t>
      </w:r>
      <w:r w:rsidRPr="006B5701">
        <w:rPr>
          <w:szCs w:val="22"/>
          <w:lang w:val="sr-Latn-CS"/>
        </w:rPr>
        <w:t>ekove je odložila obavezu da se podnesu rezultati ispitivanja l</w:t>
      </w:r>
      <w:r w:rsidR="00910B35">
        <w:rPr>
          <w:szCs w:val="22"/>
          <w:lang w:val="sr-Latn-CS"/>
        </w:rPr>
        <w:t>ij</w:t>
      </w:r>
      <w:r w:rsidRPr="006B5701">
        <w:rPr>
          <w:szCs w:val="22"/>
          <w:lang w:val="sr-Latn-CS"/>
        </w:rPr>
        <w:t xml:space="preserve">eka </w:t>
      </w:r>
      <w:r w:rsidR="0083579A">
        <w:rPr>
          <w:bCs/>
          <w:szCs w:val="22"/>
          <w:lang w:val="sr-Latn-CS"/>
        </w:rPr>
        <w:t>Mirapexin</w:t>
      </w:r>
      <w:r w:rsidRPr="006B5701">
        <w:rPr>
          <w:szCs w:val="22"/>
          <w:lang w:val="sr-Latn-CS"/>
        </w:rPr>
        <w:t xml:space="preserve"> u jednoj ili više podgrupa pedijatrijske populacije kod sindroma nemirnih nogu (vid</w:t>
      </w:r>
      <w:r w:rsidR="00910B35">
        <w:rPr>
          <w:szCs w:val="22"/>
          <w:lang w:val="sr-Latn-CS"/>
        </w:rPr>
        <w:t>j</w:t>
      </w:r>
      <w:r w:rsidRPr="006B5701">
        <w:rPr>
          <w:szCs w:val="22"/>
          <w:lang w:val="sr-Latn-CS"/>
        </w:rPr>
        <w:t>eti od</w:t>
      </w:r>
      <w:r w:rsidR="00910B35">
        <w:rPr>
          <w:szCs w:val="22"/>
          <w:lang w:val="sr-Latn-CS"/>
        </w:rPr>
        <w:t>j</w:t>
      </w:r>
      <w:r w:rsidRPr="006B5701">
        <w:rPr>
          <w:szCs w:val="22"/>
          <w:lang w:val="sr-Latn-CS"/>
        </w:rPr>
        <w:t>eljak 4.2 upotreba  u Pedijatrijskoj populaciji</w:t>
      </w:r>
      <w:r w:rsidRPr="006B5701">
        <w:rPr>
          <w:i/>
          <w:szCs w:val="22"/>
          <w:lang w:val="sr-Latn-CS"/>
        </w:rPr>
        <w:t>).</w:t>
      </w:r>
    </w:p>
    <w:p w14:paraId="08B4D1B0" w14:textId="77777777" w:rsidR="00B372EA" w:rsidRPr="006B5701" w:rsidRDefault="00B372EA" w:rsidP="00B372EA">
      <w:pPr>
        <w:pStyle w:val="PIbodytext"/>
        <w:rPr>
          <w:rFonts w:ascii="Times New Roman" w:hAnsi="Times New Roman"/>
          <w:iCs/>
          <w:noProof w:val="0"/>
          <w:szCs w:val="22"/>
          <w:lang w:val="sr-Latn-CS"/>
        </w:rPr>
      </w:pPr>
    </w:p>
    <w:p w14:paraId="1BDD11CD" w14:textId="3CA64481" w:rsidR="00B372EA" w:rsidRPr="006B5701" w:rsidRDefault="00B372EA" w:rsidP="00B372EA">
      <w:pPr>
        <w:pStyle w:val="PIbodytext"/>
        <w:rPr>
          <w:rFonts w:ascii="Times New Roman" w:hAnsi="Times New Roman"/>
          <w:iCs/>
          <w:noProof w:val="0"/>
          <w:szCs w:val="22"/>
          <w:u w:val="single"/>
          <w:lang w:val="sr-Latn-CS"/>
        </w:rPr>
      </w:pPr>
      <w:r w:rsidRPr="006B5701">
        <w:rPr>
          <w:rFonts w:ascii="Times New Roman" w:hAnsi="Times New Roman"/>
          <w:szCs w:val="22"/>
          <w:u w:val="single"/>
          <w:lang w:val="sr-Latn-CS"/>
        </w:rPr>
        <w:t>Klinička efikasnost i bezb</w:t>
      </w:r>
      <w:r w:rsidR="00910B35">
        <w:rPr>
          <w:rFonts w:ascii="Times New Roman" w:hAnsi="Times New Roman"/>
          <w:szCs w:val="22"/>
          <w:u w:val="single"/>
          <w:lang w:val="sr-Latn-CS"/>
        </w:rPr>
        <w:t>j</w:t>
      </w:r>
      <w:r w:rsidRPr="006B5701">
        <w:rPr>
          <w:rFonts w:ascii="Times New Roman" w:hAnsi="Times New Roman"/>
          <w:szCs w:val="22"/>
          <w:u w:val="single"/>
          <w:lang w:val="sr-Latn-CS"/>
        </w:rPr>
        <w:t xml:space="preserve">ednost </w:t>
      </w:r>
      <w:r w:rsidRPr="006B5701">
        <w:rPr>
          <w:rFonts w:ascii="Times New Roman" w:hAnsi="Times New Roman"/>
          <w:iCs/>
          <w:noProof w:val="0"/>
          <w:szCs w:val="22"/>
          <w:u w:val="single"/>
          <w:lang w:val="sr-Latn-CS"/>
        </w:rPr>
        <w:t>kod Turetovog poremećaja</w:t>
      </w:r>
    </w:p>
    <w:p w14:paraId="0B00962E" w14:textId="1513BC6F" w:rsidR="00B372EA" w:rsidRPr="006B5701" w:rsidRDefault="00B372EA" w:rsidP="00B372EA">
      <w:pPr>
        <w:pStyle w:val="PIbodytext"/>
        <w:rPr>
          <w:rFonts w:ascii="Times New Roman" w:hAnsi="Times New Roman"/>
          <w:iCs/>
          <w:noProof w:val="0"/>
          <w:szCs w:val="22"/>
          <w:lang w:val="sr-Latn-CS"/>
        </w:rPr>
      </w:pPr>
      <w:r w:rsidRPr="006B5701">
        <w:rPr>
          <w:rFonts w:ascii="Times New Roman" w:hAnsi="Times New Roman"/>
          <w:iCs/>
          <w:noProof w:val="0"/>
          <w:szCs w:val="22"/>
          <w:lang w:val="sr-Latn-CS"/>
        </w:rPr>
        <w:t>Efikasnost pramipeksola (0</w:t>
      </w:r>
      <w:r w:rsidR="00CD10DB" w:rsidRPr="006B5701">
        <w:rPr>
          <w:rFonts w:ascii="Times New Roman" w:hAnsi="Times New Roman"/>
          <w:iCs/>
          <w:noProof w:val="0"/>
          <w:szCs w:val="22"/>
          <w:lang w:val="sr-Latn-CS"/>
        </w:rPr>
        <w:t>,</w:t>
      </w:r>
      <w:r w:rsidRPr="006B5701">
        <w:rPr>
          <w:rFonts w:ascii="Times New Roman" w:hAnsi="Times New Roman"/>
          <w:iCs/>
          <w:noProof w:val="0"/>
          <w:szCs w:val="22"/>
          <w:lang w:val="sr-Latn-CS"/>
        </w:rPr>
        <w:t>0625-0</w:t>
      </w:r>
      <w:r w:rsidR="00A52C91" w:rsidRPr="006B5701">
        <w:rPr>
          <w:rFonts w:ascii="Times New Roman" w:hAnsi="Times New Roman"/>
          <w:iCs/>
          <w:noProof w:val="0"/>
          <w:szCs w:val="22"/>
          <w:lang w:val="sr-Latn-CS"/>
        </w:rPr>
        <w:t>,</w:t>
      </w:r>
      <w:r w:rsidRPr="006B5701">
        <w:rPr>
          <w:rFonts w:ascii="Times New Roman" w:hAnsi="Times New Roman"/>
          <w:iCs/>
          <w:noProof w:val="0"/>
          <w:szCs w:val="22"/>
          <w:lang w:val="sr-Latn-CS"/>
        </w:rPr>
        <w:t>5 mg/dan) kod pedijatrijskih pacijenata uzrasta 6-17 godina sa Turetovim poremećajem, proc</w:t>
      </w:r>
      <w:r w:rsidR="00910B35">
        <w:rPr>
          <w:rFonts w:ascii="Times New Roman" w:hAnsi="Times New Roman"/>
          <w:iCs/>
          <w:noProof w:val="0"/>
          <w:szCs w:val="22"/>
          <w:lang w:val="sr-Latn-CS"/>
        </w:rPr>
        <w:t>j</w:t>
      </w:r>
      <w:r w:rsidRPr="006B5701">
        <w:rPr>
          <w:rFonts w:ascii="Times New Roman" w:hAnsi="Times New Roman"/>
          <w:iCs/>
          <w:noProof w:val="0"/>
          <w:szCs w:val="22"/>
          <w:lang w:val="sr-Latn-CS"/>
        </w:rPr>
        <w:t>enjivana je u jednoj šestoned</w:t>
      </w:r>
      <w:r w:rsidR="00910B35">
        <w:rPr>
          <w:rFonts w:ascii="Times New Roman" w:hAnsi="Times New Roman"/>
          <w:iCs/>
          <w:noProof w:val="0"/>
          <w:szCs w:val="22"/>
          <w:lang w:val="sr-Latn-CS"/>
        </w:rPr>
        <w:t>j</w:t>
      </w:r>
      <w:r w:rsidRPr="006B5701">
        <w:rPr>
          <w:rFonts w:ascii="Times New Roman" w:hAnsi="Times New Roman"/>
          <w:iCs/>
          <w:noProof w:val="0"/>
          <w:szCs w:val="22"/>
          <w:lang w:val="sr-Latn-CS"/>
        </w:rPr>
        <w:t>eljnoj, dvostruko-sl</w:t>
      </w:r>
      <w:r w:rsidR="00910B35">
        <w:rPr>
          <w:rFonts w:ascii="Times New Roman" w:hAnsi="Times New Roman"/>
          <w:iCs/>
          <w:noProof w:val="0"/>
          <w:szCs w:val="22"/>
          <w:lang w:val="sr-Latn-CS"/>
        </w:rPr>
        <w:t>ij</w:t>
      </w:r>
      <w:r w:rsidRPr="006B5701">
        <w:rPr>
          <w:rFonts w:ascii="Times New Roman" w:hAnsi="Times New Roman"/>
          <w:iCs/>
          <w:noProof w:val="0"/>
          <w:szCs w:val="22"/>
          <w:lang w:val="sr-Latn-CS"/>
        </w:rPr>
        <w:t xml:space="preserve">epoj, randomizovanoj, placebo kontrolisanoj studiji sa fleksibilnim dozama. Ukupno je randomizovano 63 pacijenta (43 da primaju pramipeksol, a 20 placebo). Primarni </w:t>
      </w:r>
      <w:r w:rsidR="009B4B64" w:rsidRPr="006B5701">
        <w:rPr>
          <w:rFonts w:ascii="Times New Roman" w:hAnsi="Times New Roman"/>
          <w:iCs/>
          <w:noProof w:val="0"/>
          <w:szCs w:val="22"/>
          <w:lang w:val="sr-Latn-CS"/>
        </w:rPr>
        <w:t xml:space="preserve">parametar praćenja </w:t>
      </w:r>
      <w:r w:rsidRPr="006B5701">
        <w:rPr>
          <w:rFonts w:ascii="Times New Roman" w:hAnsi="Times New Roman"/>
          <w:iCs/>
          <w:noProof w:val="0"/>
          <w:szCs w:val="22"/>
          <w:lang w:val="sr-Latn-CS"/>
        </w:rPr>
        <w:t>bio je prom</w:t>
      </w:r>
      <w:r w:rsidR="00910B35">
        <w:rPr>
          <w:rFonts w:ascii="Times New Roman" w:hAnsi="Times New Roman"/>
          <w:iCs/>
          <w:noProof w:val="0"/>
          <w:szCs w:val="22"/>
          <w:lang w:val="sr-Latn-CS"/>
        </w:rPr>
        <w:t>j</w:t>
      </w:r>
      <w:r w:rsidRPr="006B5701">
        <w:rPr>
          <w:rFonts w:ascii="Times New Roman" w:hAnsi="Times New Roman"/>
          <w:iCs/>
          <w:noProof w:val="0"/>
          <w:szCs w:val="22"/>
          <w:lang w:val="sr-Latn-CS"/>
        </w:rPr>
        <w:t>ena vr</w:t>
      </w:r>
      <w:r w:rsidR="00910B35">
        <w:rPr>
          <w:rFonts w:ascii="Times New Roman" w:hAnsi="Times New Roman"/>
          <w:iCs/>
          <w:noProof w:val="0"/>
          <w:szCs w:val="22"/>
          <w:lang w:val="sr-Latn-CS"/>
        </w:rPr>
        <w:t>ij</w:t>
      </w:r>
      <w:r w:rsidRPr="006B5701">
        <w:rPr>
          <w:rFonts w:ascii="Times New Roman" w:hAnsi="Times New Roman"/>
          <w:iCs/>
          <w:noProof w:val="0"/>
          <w:szCs w:val="22"/>
          <w:lang w:val="sr-Latn-CS"/>
        </w:rPr>
        <w:t>ednosti Ukupnog skora tikova (TTS) na Jel globalnoj skali težine tikova (YGTSS) u odnosu na početne (predterapijske) vr</w:t>
      </w:r>
      <w:r w:rsidR="00910B35">
        <w:rPr>
          <w:rFonts w:ascii="Times New Roman" w:hAnsi="Times New Roman"/>
          <w:iCs/>
          <w:noProof w:val="0"/>
          <w:szCs w:val="22"/>
          <w:lang w:val="sr-Latn-CS"/>
        </w:rPr>
        <w:t>ij</w:t>
      </w:r>
      <w:r w:rsidRPr="006B5701">
        <w:rPr>
          <w:rFonts w:ascii="Times New Roman" w:hAnsi="Times New Roman"/>
          <w:iCs/>
          <w:noProof w:val="0"/>
          <w:szCs w:val="22"/>
          <w:lang w:val="sr-Latn-CS"/>
        </w:rPr>
        <w:t xml:space="preserve">ednosti. </w:t>
      </w:r>
    </w:p>
    <w:p w14:paraId="308E18BC" w14:textId="2B1EB357" w:rsidR="00B372EA" w:rsidRPr="006B5701" w:rsidRDefault="00B372EA" w:rsidP="00B372EA">
      <w:pPr>
        <w:pStyle w:val="PIbodytext"/>
        <w:rPr>
          <w:rFonts w:ascii="Times New Roman" w:hAnsi="Times New Roman"/>
          <w:szCs w:val="22"/>
          <w:lang w:val="sr-Latn-CS"/>
        </w:rPr>
      </w:pPr>
      <w:r w:rsidRPr="006B5701">
        <w:rPr>
          <w:rFonts w:ascii="Times New Roman" w:hAnsi="Times New Roman"/>
          <w:iCs/>
          <w:noProof w:val="0"/>
          <w:szCs w:val="22"/>
          <w:lang w:val="sr-Latn-CS"/>
        </w:rPr>
        <w:t>Nije prim</w:t>
      </w:r>
      <w:r w:rsidR="00910B35">
        <w:rPr>
          <w:rFonts w:ascii="Times New Roman" w:hAnsi="Times New Roman"/>
          <w:iCs/>
          <w:noProof w:val="0"/>
          <w:szCs w:val="22"/>
          <w:lang w:val="sr-Latn-CS"/>
        </w:rPr>
        <w:t>ij</w:t>
      </w:r>
      <w:r w:rsidRPr="006B5701">
        <w:rPr>
          <w:rFonts w:ascii="Times New Roman" w:hAnsi="Times New Roman"/>
          <w:iCs/>
          <w:noProof w:val="0"/>
          <w:szCs w:val="22"/>
          <w:lang w:val="sr-Latn-CS"/>
        </w:rPr>
        <w:t>ećena razlika između pramipeksola i placeba ni u primarnim, ni u sekundarnim</w:t>
      </w:r>
      <w:r w:rsidR="001A4195" w:rsidRPr="006B5701">
        <w:rPr>
          <w:rFonts w:ascii="Times New Roman" w:hAnsi="Times New Roman"/>
          <w:iCs/>
          <w:noProof w:val="0"/>
          <w:szCs w:val="22"/>
          <w:lang w:val="sr-Latn-CS"/>
        </w:rPr>
        <w:t xml:space="preserve"> </w:t>
      </w:r>
      <w:r w:rsidR="008C4AC1" w:rsidRPr="006B5701">
        <w:rPr>
          <w:rFonts w:ascii="Times New Roman" w:hAnsi="Times New Roman"/>
          <w:iCs/>
          <w:noProof w:val="0"/>
          <w:szCs w:val="22"/>
          <w:lang w:val="sr-Latn-CS"/>
        </w:rPr>
        <w:t>parametrima praćenja ishoda</w:t>
      </w:r>
      <w:r w:rsidRPr="006B5701">
        <w:rPr>
          <w:rFonts w:ascii="Times New Roman" w:hAnsi="Times New Roman"/>
          <w:iCs/>
          <w:noProof w:val="0"/>
          <w:szCs w:val="22"/>
          <w:lang w:val="sr-Latn-CS"/>
        </w:rPr>
        <w:t>, uključujući ukupan skor YGTSS, globalni utisak pacijenta o poboljšanju (PGI-I), Klinički globalni utisak o poboljšanju (CGI-I) ili Klinički globalni utisak o težini bolesti (CGI-S). Sl</w:t>
      </w:r>
      <w:r w:rsidR="00910B35">
        <w:rPr>
          <w:rFonts w:ascii="Times New Roman" w:hAnsi="Times New Roman"/>
          <w:iCs/>
          <w:noProof w:val="0"/>
          <w:szCs w:val="22"/>
          <w:lang w:val="sr-Latn-CS"/>
        </w:rPr>
        <w:t>j</w:t>
      </w:r>
      <w:r w:rsidRPr="006B5701">
        <w:rPr>
          <w:rFonts w:ascii="Times New Roman" w:hAnsi="Times New Roman"/>
          <w:iCs/>
          <w:noProof w:val="0"/>
          <w:szCs w:val="22"/>
          <w:lang w:val="sr-Latn-CS"/>
        </w:rPr>
        <w:t>edeći neželjeni događaji su zab</w:t>
      </w:r>
      <w:r w:rsidR="00910B35">
        <w:rPr>
          <w:rFonts w:ascii="Times New Roman" w:hAnsi="Times New Roman"/>
          <w:iCs/>
          <w:noProof w:val="0"/>
          <w:szCs w:val="22"/>
          <w:lang w:val="sr-Latn-CS"/>
        </w:rPr>
        <w:t>i</w:t>
      </w:r>
      <w:r w:rsidRPr="006B5701">
        <w:rPr>
          <w:rFonts w:ascii="Times New Roman" w:hAnsi="Times New Roman"/>
          <w:iCs/>
          <w:noProof w:val="0"/>
          <w:szCs w:val="22"/>
          <w:lang w:val="sr-Latn-CS"/>
        </w:rPr>
        <w:t>l</w:t>
      </w:r>
      <w:r w:rsidR="00910B35">
        <w:rPr>
          <w:rFonts w:ascii="Times New Roman" w:hAnsi="Times New Roman"/>
          <w:iCs/>
          <w:noProof w:val="0"/>
          <w:szCs w:val="22"/>
          <w:lang w:val="sr-Latn-CS"/>
        </w:rPr>
        <w:t>j</w:t>
      </w:r>
      <w:r w:rsidRPr="006B5701">
        <w:rPr>
          <w:rFonts w:ascii="Times New Roman" w:hAnsi="Times New Roman"/>
          <w:iCs/>
          <w:noProof w:val="0"/>
          <w:szCs w:val="22"/>
          <w:lang w:val="sr-Latn-CS"/>
        </w:rPr>
        <w:t>eženi kod najmanje 5% pacijenata u grupi koja je primala pramipeksol i bili su češći kod njih nego u grupi koja je primala placebo: glavobolja (27,9%, placebo 25,0%), somnolencija (7,0%, placebo 5,0%), mučnina (18,6%, placebo 10,0%), povraćanje (11,6%, placebo 0,0%), bol u gornjem d</w:t>
      </w:r>
      <w:r w:rsidR="00910B35">
        <w:rPr>
          <w:rFonts w:ascii="Times New Roman" w:hAnsi="Times New Roman"/>
          <w:iCs/>
          <w:noProof w:val="0"/>
          <w:szCs w:val="22"/>
          <w:lang w:val="sr-Latn-CS"/>
        </w:rPr>
        <w:t>ij</w:t>
      </w:r>
      <w:r w:rsidRPr="006B5701">
        <w:rPr>
          <w:rFonts w:ascii="Times New Roman" w:hAnsi="Times New Roman"/>
          <w:iCs/>
          <w:noProof w:val="0"/>
          <w:szCs w:val="22"/>
          <w:lang w:val="sr-Latn-CS"/>
        </w:rPr>
        <w:t>elu abdomena (7,0%, placebo 5,0%), ortostatska hipotenzija (9,3%, placebo 5,0%), mijalgija (9,3%, placebo 5,0%), poremećaj spavanja (7,0%, placebo 0,0%), dispnea (7,0%, placebo 0,0%) i infekcije gornjih disajnih puteva (7,0%, placebo 5,0%). Drugi značajni neželjeni događaji koji su dovodili do obustave ispitivanog l</w:t>
      </w:r>
      <w:r w:rsidR="00910B35">
        <w:rPr>
          <w:rFonts w:ascii="Times New Roman" w:hAnsi="Times New Roman"/>
          <w:iCs/>
          <w:noProof w:val="0"/>
          <w:szCs w:val="22"/>
          <w:lang w:val="sr-Latn-CS"/>
        </w:rPr>
        <w:t>ij</w:t>
      </w:r>
      <w:r w:rsidRPr="006B5701">
        <w:rPr>
          <w:rFonts w:ascii="Times New Roman" w:hAnsi="Times New Roman"/>
          <w:iCs/>
          <w:noProof w:val="0"/>
          <w:szCs w:val="22"/>
          <w:lang w:val="sr-Latn-CS"/>
        </w:rPr>
        <w:t>eka kod pacijenata koji su primali  pramipeksol, bili su konfuzno stanje, poremećaj govora i pogoršanje stanja (vid</w:t>
      </w:r>
      <w:r w:rsidR="00910B35">
        <w:rPr>
          <w:rFonts w:ascii="Times New Roman" w:hAnsi="Times New Roman"/>
          <w:iCs/>
          <w:noProof w:val="0"/>
          <w:szCs w:val="22"/>
          <w:lang w:val="sr-Latn-CS"/>
        </w:rPr>
        <w:t>j</w:t>
      </w:r>
      <w:r w:rsidRPr="006B5701">
        <w:rPr>
          <w:rFonts w:ascii="Times New Roman" w:hAnsi="Times New Roman"/>
          <w:iCs/>
          <w:noProof w:val="0"/>
          <w:szCs w:val="22"/>
          <w:lang w:val="sr-Latn-CS"/>
        </w:rPr>
        <w:t>eti od</w:t>
      </w:r>
      <w:r w:rsidR="00910B35">
        <w:rPr>
          <w:rFonts w:ascii="Times New Roman" w:hAnsi="Times New Roman"/>
          <w:iCs/>
          <w:noProof w:val="0"/>
          <w:szCs w:val="22"/>
          <w:lang w:val="sr-Latn-CS"/>
        </w:rPr>
        <w:t>j</w:t>
      </w:r>
      <w:r w:rsidRPr="006B5701">
        <w:rPr>
          <w:rFonts w:ascii="Times New Roman" w:hAnsi="Times New Roman"/>
          <w:iCs/>
          <w:noProof w:val="0"/>
          <w:szCs w:val="22"/>
          <w:lang w:val="sr-Latn-CS"/>
        </w:rPr>
        <w:t>eljak 4.2).</w:t>
      </w:r>
      <w:r w:rsidRPr="006B5701">
        <w:rPr>
          <w:rFonts w:ascii="Times New Roman" w:hAnsi="Times New Roman"/>
          <w:szCs w:val="22"/>
          <w:lang w:val="sr-Latn-CS"/>
        </w:rPr>
        <w:t xml:space="preserve"> </w:t>
      </w:r>
    </w:p>
    <w:p w14:paraId="5657BCB6" w14:textId="77777777" w:rsidR="00136932" w:rsidRPr="006B5701" w:rsidRDefault="00136932" w:rsidP="00923865">
      <w:pPr>
        <w:rPr>
          <w:szCs w:val="22"/>
          <w:lang w:val="sr-Latn-CS"/>
        </w:rPr>
      </w:pPr>
    </w:p>
    <w:p w14:paraId="7EEF78D7" w14:textId="77777777" w:rsidR="00CE09F3" w:rsidRPr="006B5701" w:rsidRDefault="00CE09F3" w:rsidP="00923865">
      <w:pPr>
        <w:rPr>
          <w:b/>
          <w:bCs/>
          <w:szCs w:val="22"/>
          <w:lang w:val="sr-Latn-CS"/>
        </w:rPr>
      </w:pPr>
      <w:r w:rsidRPr="006B5701">
        <w:rPr>
          <w:b/>
          <w:bCs/>
          <w:szCs w:val="22"/>
          <w:lang w:val="sr-Latn-CS"/>
        </w:rPr>
        <w:t xml:space="preserve">5.2. </w:t>
      </w:r>
      <w:r w:rsidRPr="00FD1EBB">
        <w:rPr>
          <w:b/>
          <w:bCs/>
          <w:szCs w:val="22"/>
          <w:lang w:val="es-ES_tradnl"/>
        </w:rPr>
        <w:t>Farmakokineti</w:t>
      </w:r>
      <w:r w:rsidRPr="006B5701">
        <w:rPr>
          <w:b/>
          <w:bCs/>
          <w:szCs w:val="22"/>
          <w:lang w:val="sr-Latn-CS"/>
        </w:rPr>
        <w:t>č</w:t>
      </w:r>
      <w:r w:rsidRPr="00FD1EBB">
        <w:rPr>
          <w:b/>
          <w:bCs/>
          <w:szCs w:val="22"/>
          <w:lang w:val="es-ES_tradnl"/>
        </w:rPr>
        <w:t>ki</w:t>
      </w:r>
      <w:r w:rsidRPr="006B5701">
        <w:rPr>
          <w:b/>
          <w:bCs/>
          <w:szCs w:val="22"/>
          <w:lang w:val="sr-Latn-CS"/>
        </w:rPr>
        <w:t xml:space="preserve"> </w:t>
      </w:r>
      <w:r w:rsidRPr="00FD1EBB">
        <w:rPr>
          <w:b/>
          <w:bCs/>
          <w:szCs w:val="22"/>
          <w:lang w:val="es-ES_tradnl"/>
        </w:rPr>
        <w:t>podaci</w:t>
      </w:r>
    </w:p>
    <w:p w14:paraId="43FBD16F" w14:textId="77777777" w:rsidR="00CE09F3" w:rsidRPr="006B5701" w:rsidRDefault="00CE09F3" w:rsidP="00923865">
      <w:pPr>
        <w:rPr>
          <w:szCs w:val="22"/>
          <w:lang w:val="sr-Latn-CS"/>
        </w:rPr>
      </w:pPr>
    </w:p>
    <w:p w14:paraId="2E9E5695" w14:textId="77777777" w:rsidR="00B372EA" w:rsidRPr="006B5701" w:rsidRDefault="00B372EA" w:rsidP="00B372EA">
      <w:pPr>
        <w:jc w:val="left"/>
        <w:rPr>
          <w:szCs w:val="22"/>
          <w:u w:val="single"/>
          <w:lang w:val="sr-Latn-CS"/>
        </w:rPr>
      </w:pPr>
      <w:r w:rsidRPr="006B5701">
        <w:rPr>
          <w:szCs w:val="22"/>
          <w:u w:val="single"/>
          <w:lang w:val="sr-Latn-CS"/>
        </w:rPr>
        <w:t>Resorpcija</w:t>
      </w:r>
    </w:p>
    <w:p w14:paraId="0B6C6202" w14:textId="53D2CBB9" w:rsidR="00B372EA" w:rsidRPr="006B5701" w:rsidRDefault="00B372EA" w:rsidP="00B372EA">
      <w:pPr>
        <w:jc w:val="left"/>
        <w:rPr>
          <w:szCs w:val="22"/>
          <w:lang w:val="sr-Latn-CS"/>
        </w:rPr>
      </w:pPr>
      <w:r w:rsidRPr="006B5701">
        <w:rPr>
          <w:szCs w:val="22"/>
          <w:lang w:val="sr-Latn-CS"/>
        </w:rPr>
        <w:t xml:space="preserve">Pramipeksol se brzo i potpuno resorbuje </w:t>
      </w:r>
      <w:r w:rsidR="001A4195" w:rsidRPr="006B5701">
        <w:rPr>
          <w:szCs w:val="22"/>
          <w:lang w:val="sr-Latn-CS"/>
        </w:rPr>
        <w:t>posl</w:t>
      </w:r>
      <w:r w:rsidR="00910B35">
        <w:rPr>
          <w:szCs w:val="22"/>
          <w:lang w:val="sr-Latn-CS"/>
        </w:rPr>
        <w:t>ij</w:t>
      </w:r>
      <w:r w:rsidR="001A4195" w:rsidRPr="006B5701">
        <w:rPr>
          <w:szCs w:val="22"/>
          <w:lang w:val="sr-Latn-CS"/>
        </w:rPr>
        <w:t>e</w:t>
      </w:r>
      <w:r w:rsidRPr="006B5701">
        <w:rPr>
          <w:szCs w:val="22"/>
          <w:lang w:val="sr-Latn-CS"/>
        </w:rPr>
        <w:t xml:space="preserve"> oraln</w:t>
      </w:r>
      <w:r w:rsidR="00CD10DB" w:rsidRPr="006B5701">
        <w:rPr>
          <w:szCs w:val="22"/>
          <w:lang w:val="sr-Latn-CS"/>
        </w:rPr>
        <w:t>e</w:t>
      </w:r>
      <w:r w:rsidRPr="006B5701">
        <w:rPr>
          <w:szCs w:val="22"/>
          <w:lang w:val="sr-Latn-CS"/>
        </w:rPr>
        <w:t xml:space="preserve"> upotreb</w:t>
      </w:r>
      <w:r w:rsidR="00CD10DB" w:rsidRPr="006B5701">
        <w:rPr>
          <w:szCs w:val="22"/>
          <w:lang w:val="sr-Latn-CS"/>
        </w:rPr>
        <w:t>e</w:t>
      </w:r>
      <w:r w:rsidRPr="006B5701">
        <w:rPr>
          <w:szCs w:val="22"/>
          <w:lang w:val="sr-Latn-CS"/>
        </w:rPr>
        <w:t>. Apsolutna biološka raspoloživost je veća od 90%, a maksimalne koncentracije u plazmi b</w:t>
      </w:r>
      <w:r w:rsidR="00346B55">
        <w:rPr>
          <w:szCs w:val="22"/>
          <w:lang w:val="sr-Latn-CS"/>
        </w:rPr>
        <w:t>i</w:t>
      </w:r>
      <w:r w:rsidRPr="006B5701">
        <w:rPr>
          <w:szCs w:val="22"/>
          <w:lang w:val="sr-Latn-CS"/>
        </w:rPr>
        <w:t>l</w:t>
      </w:r>
      <w:r w:rsidR="00346B55">
        <w:rPr>
          <w:szCs w:val="22"/>
          <w:lang w:val="sr-Latn-CS"/>
        </w:rPr>
        <w:t>j</w:t>
      </w:r>
      <w:r w:rsidRPr="006B5701">
        <w:rPr>
          <w:szCs w:val="22"/>
          <w:lang w:val="sr-Latn-CS"/>
        </w:rPr>
        <w:t>eže se posl</w:t>
      </w:r>
      <w:r w:rsidR="00346B55">
        <w:rPr>
          <w:szCs w:val="22"/>
          <w:lang w:val="sr-Latn-CS"/>
        </w:rPr>
        <w:t>ij</w:t>
      </w:r>
      <w:r w:rsidRPr="006B5701">
        <w:rPr>
          <w:szCs w:val="22"/>
          <w:lang w:val="sr-Latn-CS"/>
        </w:rPr>
        <w:t>e 1 do 3 sata. Brzina resorpcije se smanjuje unošenjem hrane, ali ne i ukupni obim resorpcije. Pramipeksol pokazuje linearnu kinetiku i relativno malu intervarijabilnost</w:t>
      </w:r>
      <w:r w:rsidR="001A4195" w:rsidRPr="006B5701">
        <w:rPr>
          <w:szCs w:val="22"/>
          <w:lang w:val="sr-Latn-CS"/>
        </w:rPr>
        <w:t xml:space="preserve"> koncentracija</w:t>
      </w:r>
      <w:r w:rsidRPr="006B5701">
        <w:rPr>
          <w:szCs w:val="22"/>
          <w:lang w:val="sr-Latn-CS"/>
        </w:rPr>
        <w:t xml:space="preserve"> u plazmi. </w:t>
      </w:r>
    </w:p>
    <w:p w14:paraId="57F88BF7" w14:textId="77777777" w:rsidR="00B372EA" w:rsidRPr="006B5701" w:rsidRDefault="00B372EA" w:rsidP="00B372EA">
      <w:pPr>
        <w:jc w:val="left"/>
        <w:rPr>
          <w:szCs w:val="22"/>
          <w:lang w:val="sr-Latn-CS"/>
        </w:rPr>
      </w:pPr>
    </w:p>
    <w:p w14:paraId="751E6722" w14:textId="77777777" w:rsidR="00B372EA" w:rsidRPr="006B5701" w:rsidRDefault="00B372EA" w:rsidP="00B372EA">
      <w:pPr>
        <w:jc w:val="left"/>
        <w:rPr>
          <w:szCs w:val="22"/>
          <w:u w:val="single"/>
          <w:lang w:val="sr-Latn-CS"/>
        </w:rPr>
      </w:pPr>
      <w:r w:rsidRPr="006B5701">
        <w:rPr>
          <w:szCs w:val="22"/>
          <w:u w:val="single"/>
          <w:lang w:val="sr-Latn-CS"/>
        </w:rPr>
        <w:t>Distribucija</w:t>
      </w:r>
    </w:p>
    <w:p w14:paraId="2A676C7A" w14:textId="58DE5E1C" w:rsidR="00B372EA" w:rsidRPr="006B5701" w:rsidRDefault="00B372EA" w:rsidP="00B372EA">
      <w:pPr>
        <w:jc w:val="left"/>
        <w:rPr>
          <w:szCs w:val="22"/>
          <w:lang w:val="sr-Latn-CS"/>
        </w:rPr>
      </w:pPr>
      <w:r w:rsidRPr="006B5701">
        <w:rPr>
          <w:szCs w:val="22"/>
          <w:lang w:val="sr-Latn-CS"/>
        </w:rPr>
        <w:t>Kod ljudi je vezivanje pramipeksola za proteine veoma nisko (&lt;20%), ali je volumen distribucije veliki (400 L). Kod pacova su zab</w:t>
      </w:r>
      <w:r w:rsidR="00346B55">
        <w:rPr>
          <w:szCs w:val="22"/>
          <w:lang w:val="sr-Latn-CS"/>
        </w:rPr>
        <w:t>i</w:t>
      </w:r>
      <w:r w:rsidRPr="006B5701">
        <w:rPr>
          <w:szCs w:val="22"/>
          <w:lang w:val="sr-Latn-CS"/>
        </w:rPr>
        <w:t>l</w:t>
      </w:r>
      <w:r w:rsidR="00346B55">
        <w:rPr>
          <w:szCs w:val="22"/>
          <w:lang w:val="sr-Latn-CS"/>
        </w:rPr>
        <w:t>j</w:t>
      </w:r>
      <w:r w:rsidRPr="006B5701">
        <w:rPr>
          <w:szCs w:val="22"/>
          <w:lang w:val="sr-Latn-CS"/>
        </w:rPr>
        <w:t>ežene visoke koncentracije u moždanom tkivu (približno 8 puta veće nego u plazmi).</w:t>
      </w:r>
    </w:p>
    <w:p w14:paraId="5CB9582A" w14:textId="77777777" w:rsidR="00B372EA" w:rsidRPr="006B5701" w:rsidRDefault="00B372EA" w:rsidP="00B372EA">
      <w:pPr>
        <w:jc w:val="left"/>
        <w:rPr>
          <w:szCs w:val="22"/>
          <w:lang w:val="sr-Latn-CS"/>
        </w:rPr>
      </w:pPr>
    </w:p>
    <w:p w14:paraId="4D7826E9" w14:textId="77777777" w:rsidR="00B372EA" w:rsidRPr="006B5701" w:rsidRDefault="00B372EA" w:rsidP="00B372EA">
      <w:pPr>
        <w:jc w:val="left"/>
        <w:rPr>
          <w:szCs w:val="22"/>
          <w:u w:val="single"/>
          <w:lang w:val="sr-Latn-CS"/>
        </w:rPr>
      </w:pPr>
      <w:r w:rsidRPr="006B5701">
        <w:rPr>
          <w:szCs w:val="22"/>
          <w:u w:val="single"/>
          <w:lang w:val="sr-Latn-CS"/>
        </w:rPr>
        <w:t>Biotransformacija</w:t>
      </w:r>
    </w:p>
    <w:p w14:paraId="1579A8D1" w14:textId="100E467E" w:rsidR="00B372EA" w:rsidRPr="006B5701" w:rsidRDefault="00B372EA" w:rsidP="00B372EA">
      <w:pPr>
        <w:jc w:val="left"/>
        <w:rPr>
          <w:szCs w:val="22"/>
          <w:lang w:val="sr-Latn-CS"/>
        </w:rPr>
      </w:pPr>
      <w:r w:rsidRPr="006B5701">
        <w:rPr>
          <w:szCs w:val="22"/>
          <w:lang w:val="sr-Latn-CS"/>
        </w:rPr>
        <w:t xml:space="preserve">Pramipeksol se kod čoveka </w:t>
      </w:r>
      <w:r w:rsidR="001A4195" w:rsidRPr="006B5701">
        <w:rPr>
          <w:szCs w:val="22"/>
          <w:lang w:val="sr-Latn-CS"/>
        </w:rPr>
        <w:t>metaboliše</w:t>
      </w:r>
      <w:r w:rsidRPr="006B5701">
        <w:rPr>
          <w:szCs w:val="22"/>
          <w:lang w:val="sr-Latn-CS"/>
        </w:rPr>
        <w:t xml:space="preserve"> samo u maloj m</w:t>
      </w:r>
      <w:r w:rsidR="00346B55">
        <w:rPr>
          <w:szCs w:val="22"/>
          <w:lang w:val="sr-Latn-CS"/>
        </w:rPr>
        <w:t>j</w:t>
      </w:r>
      <w:r w:rsidRPr="006B5701">
        <w:rPr>
          <w:szCs w:val="22"/>
          <w:lang w:val="sr-Latn-CS"/>
        </w:rPr>
        <w:t xml:space="preserve">eri. </w:t>
      </w:r>
    </w:p>
    <w:p w14:paraId="774E0A2D" w14:textId="77777777" w:rsidR="00B372EA" w:rsidRPr="006B5701" w:rsidRDefault="00B372EA" w:rsidP="00B372EA">
      <w:pPr>
        <w:jc w:val="left"/>
        <w:rPr>
          <w:szCs w:val="22"/>
          <w:lang w:val="sr-Latn-CS"/>
        </w:rPr>
      </w:pPr>
    </w:p>
    <w:p w14:paraId="07E95FA8" w14:textId="77777777" w:rsidR="00B372EA" w:rsidRPr="006B5701" w:rsidRDefault="00B372EA" w:rsidP="00B372EA">
      <w:pPr>
        <w:jc w:val="left"/>
        <w:rPr>
          <w:szCs w:val="22"/>
          <w:u w:val="single"/>
          <w:lang w:val="sr-Latn-CS"/>
        </w:rPr>
      </w:pPr>
      <w:r w:rsidRPr="006B5701">
        <w:rPr>
          <w:szCs w:val="22"/>
          <w:u w:val="single"/>
          <w:lang w:val="sr-Latn-CS"/>
        </w:rPr>
        <w:t>Eliminacija</w:t>
      </w:r>
    </w:p>
    <w:p w14:paraId="1F075486" w14:textId="65CD3335" w:rsidR="00B372EA" w:rsidRPr="006B5701" w:rsidRDefault="00B372EA" w:rsidP="00B372EA">
      <w:pPr>
        <w:jc w:val="left"/>
        <w:rPr>
          <w:szCs w:val="22"/>
          <w:lang w:val="sr-Latn-CS"/>
        </w:rPr>
      </w:pPr>
      <w:r w:rsidRPr="006B5701">
        <w:rPr>
          <w:szCs w:val="22"/>
          <w:lang w:val="sr-Latn-CS"/>
        </w:rPr>
        <w:t xml:space="preserve">Bubrežna ekskrecija neizmenjenog pramipeksola je glavni put eliminacije. Približno 90% </w:t>
      </w:r>
      <w:r w:rsidRPr="006B5701">
        <w:rPr>
          <w:szCs w:val="22"/>
          <w:vertAlign w:val="superscript"/>
          <w:lang w:val="sr-Latn-CS"/>
        </w:rPr>
        <w:t>14</w:t>
      </w:r>
      <w:r w:rsidRPr="006B5701">
        <w:rPr>
          <w:szCs w:val="22"/>
          <w:lang w:val="sr-Latn-CS"/>
        </w:rPr>
        <w:t>C-ob</w:t>
      </w:r>
      <w:r w:rsidR="00346B55">
        <w:rPr>
          <w:szCs w:val="22"/>
          <w:lang w:val="sr-Latn-CS"/>
        </w:rPr>
        <w:t>i</w:t>
      </w:r>
      <w:r w:rsidRPr="006B5701">
        <w:rPr>
          <w:szCs w:val="22"/>
          <w:lang w:val="sr-Latn-CS"/>
        </w:rPr>
        <w:t>l</w:t>
      </w:r>
      <w:r w:rsidR="00346B55">
        <w:rPr>
          <w:szCs w:val="22"/>
          <w:lang w:val="sr-Latn-CS"/>
        </w:rPr>
        <w:t>j</w:t>
      </w:r>
      <w:r w:rsidRPr="006B5701">
        <w:rPr>
          <w:szCs w:val="22"/>
          <w:lang w:val="sr-Latn-CS"/>
        </w:rPr>
        <w:t>ežene doze izluči se preko bubrega, dok se manje od 2% nalazi u fecesu. Ukupni klirens pramipeksola je približno 500 mL/min, a bubrežni klirens je približno 400 mL/min. Poluvreme eliminacije (t½ ) se kreće u rasponu od 8 časova kod mlađih do 12 časova kod starijih ispitanika.</w:t>
      </w:r>
    </w:p>
    <w:p w14:paraId="77425DC3" w14:textId="77777777" w:rsidR="00B372EA" w:rsidRPr="006B5701" w:rsidRDefault="00B372EA" w:rsidP="00923865">
      <w:pPr>
        <w:rPr>
          <w:szCs w:val="22"/>
          <w:lang w:val="sr-Latn-CS"/>
        </w:rPr>
      </w:pPr>
    </w:p>
    <w:p w14:paraId="4813EDD0" w14:textId="64403C4D" w:rsidR="00CE09F3" w:rsidRPr="006B5701" w:rsidRDefault="00CE09F3" w:rsidP="00923865">
      <w:pPr>
        <w:rPr>
          <w:b/>
          <w:bCs/>
          <w:szCs w:val="22"/>
          <w:lang w:val="sr-Latn-CS"/>
        </w:rPr>
      </w:pPr>
      <w:r w:rsidRPr="006B5701">
        <w:rPr>
          <w:b/>
          <w:bCs/>
          <w:szCs w:val="22"/>
          <w:lang w:val="sr-Latn-CS"/>
        </w:rPr>
        <w:lastRenderedPageBreak/>
        <w:t xml:space="preserve">5.3. </w:t>
      </w:r>
      <w:r w:rsidRPr="006B5701">
        <w:rPr>
          <w:b/>
          <w:bCs/>
          <w:szCs w:val="22"/>
          <w:lang w:val="ru-RU"/>
        </w:rPr>
        <w:t>Pretklini</w:t>
      </w:r>
      <w:r w:rsidRPr="006B5701">
        <w:rPr>
          <w:b/>
          <w:bCs/>
          <w:szCs w:val="22"/>
          <w:lang w:val="sr-Latn-CS"/>
        </w:rPr>
        <w:t>č</w:t>
      </w:r>
      <w:r w:rsidRPr="006B5701">
        <w:rPr>
          <w:b/>
          <w:bCs/>
          <w:szCs w:val="22"/>
          <w:lang w:val="ru-RU"/>
        </w:rPr>
        <w:t>ki</w:t>
      </w:r>
      <w:r w:rsidRPr="006B5701">
        <w:rPr>
          <w:b/>
          <w:bCs/>
          <w:szCs w:val="22"/>
          <w:lang w:val="sr-Latn-CS"/>
        </w:rPr>
        <w:t xml:space="preserve"> </w:t>
      </w:r>
      <w:r w:rsidRPr="006B5701">
        <w:rPr>
          <w:b/>
          <w:bCs/>
          <w:szCs w:val="22"/>
          <w:lang w:val="ru-RU"/>
        </w:rPr>
        <w:t>podaci</w:t>
      </w:r>
      <w:r w:rsidRPr="006B5701">
        <w:rPr>
          <w:b/>
          <w:bCs/>
          <w:szCs w:val="22"/>
          <w:lang w:val="sr-Latn-CS"/>
        </w:rPr>
        <w:t xml:space="preserve"> </w:t>
      </w:r>
      <w:r w:rsidRPr="006B5701">
        <w:rPr>
          <w:b/>
          <w:bCs/>
          <w:szCs w:val="22"/>
          <w:lang w:val="ru-RU"/>
        </w:rPr>
        <w:t>o</w:t>
      </w:r>
      <w:r w:rsidRPr="006B5701">
        <w:rPr>
          <w:b/>
          <w:bCs/>
          <w:szCs w:val="22"/>
          <w:lang w:val="sr-Latn-CS"/>
        </w:rPr>
        <w:t xml:space="preserve"> </w:t>
      </w:r>
      <w:r w:rsidRPr="006B5701">
        <w:rPr>
          <w:b/>
          <w:bCs/>
          <w:szCs w:val="22"/>
          <w:lang w:val="ru-RU"/>
        </w:rPr>
        <w:t>bezb</w:t>
      </w:r>
      <w:r w:rsidR="00346B55">
        <w:rPr>
          <w:b/>
          <w:bCs/>
          <w:szCs w:val="22"/>
          <w:lang w:val="sr-Latn-ME"/>
        </w:rPr>
        <w:t>j</w:t>
      </w:r>
      <w:r w:rsidRPr="006B5701">
        <w:rPr>
          <w:b/>
          <w:bCs/>
          <w:szCs w:val="22"/>
          <w:lang w:val="ru-RU"/>
        </w:rPr>
        <w:t>ednosti</w:t>
      </w:r>
      <w:r w:rsidRPr="006B5701">
        <w:rPr>
          <w:b/>
          <w:bCs/>
          <w:szCs w:val="22"/>
          <w:lang w:val="sr-Latn-CS"/>
        </w:rPr>
        <w:t xml:space="preserve"> </w:t>
      </w:r>
      <w:r w:rsidRPr="006B5701">
        <w:rPr>
          <w:b/>
          <w:bCs/>
          <w:szCs w:val="22"/>
          <w:lang w:val="ru-RU"/>
        </w:rPr>
        <w:t>l</w:t>
      </w:r>
      <w:r w:rsidR="00346B55">
        <w:rPr>
          <w:b/>
          <w:bCs/>
          <w:szCs w:val="22"/>
          <w:lang w:val="sr-Latn-ME"/>
        </w:rPr>
        <w:t>ij</w:t>
      </w:r>
      <w:r w:rsidRPr="006B5701">
        <w:rPr>
          <w:b/>
          <w:bCs/>
          <w:szCs w:val="22"/>
          <w:lang w:val="ru-RU"/>
        </w:rPr>
        <w:t>eka</w:t>
      </w:r>
    </w:p>
    <w:p w14:paraId="3F9714A9" w14:textId="77777777" w:rsidR="00CE09F3" w:rsidRPr="006B5701" w:rsidRDefault="00CE09F3" w:rsidP="00923865">
      <w:pPr>
        <w:rPr>
          <w:szCs w:val="22"/>
          <w:lang w:val="sr-Latn-CS"/>
        </w:rPr>
      </w:pPr>
    </w:p>
    <w:p w14:paraId="220077E8" w14:textId="0F563716" w:rsidR="00B372EA" w:rsidRPr="006B5701" w:rsidRDefault="00B372EA" w:rsidP="00B372EA">
      <w:pPr>
        <w:jc w:val="left"/>
        <w:rPr>
          <w:szCs w:val="22"/>
          <w:lang w:val="sr-Latn-CS"/>
        </w:rPr>
      </w:pPr>
      <w:r w:rsidRPr="006B5701">
        <w:rPr>
          <w:szCs w:val="22"/>
          <w:lang w:val="pl-PL"/>
        </w:rPr>
        <w:t>Ispitivanja</w:t>
      </w:r>
      <w:r w:rsidRPr="006B5701">
        <w:rPr>
          <w:szCs w:val="22"/>
          <w:lang w:val="sr-Latn-CS"/>
        </w:rPr>
        <w:t xml:space="preserve"> </w:t>
      </w:r>
      <w:r w:rsidRPr="006B5701">
        <w:rPr>
          <w:szCs w:val="22"/>
          <w:lang w:val="pl-PL"/>
        </w:rPr>
        <w:t>toksi</w:t>
      </w:r>
      <w:r w:rsidRPr="006B5701">
        <w:rPr>
          <w:szCs w:val="22"/>
          <w:lang w:val="sr-Latn-CS"/>
        </w:rPr>
        <w:t>č</w:t>
      </w:r>
      <w:r w:rsidRPr="006B5701">
        <w:rPr>
          <w:szCs w:val="22"/>
          <w:lang w:val="pl-PL"/>
        </w:rPr>
        <w:t>nosti</w:t>
      </w:r>
      <w:r w:rsidRPr="006B5701">
        <w:rPr>
          <w:szCs w:val="22"/>
          <w:lang w:val="sr-Latn-CS"/>
        </w:rPr>
        <w:t xml:space="preserve"> </w:t>
      </w:r>
      <w:r w:rsidRPr="006B5701">
        <w:rPr>
          <w:szCs w:val="22"/>
          <w:lang w:val="pl-PL"/>
        </w:rPr>
        <w:t>ponovljenih</w:t>
      </w:r>
      <w:r w:rsidRPr="006B5701">
        <w:rPr>
          <w:szCs w:val="22"/>
          <w:lang w:val="sr-Latn-CS"/>
        </w:rPr>
        <w:t xml:space="preserve"> </w:t>
      </w:r>
      <w:r w:rsidRPr="006B5701">
        <w:rPr>
          <w:szCs w:val="22"/>
          <w:lang w:val="pl-PL"/>
        </w:rPr>
        <w:t>doza</w:t>
      </w:r>
      <w:r w:rsidRPr="006B5701">
        <w:rPr>
          <w:szCs w:val="22"/>
          <w:lang w:val="sr-Latn-CS"/>
        </w:rPr>
        <w:t xml:space="preserve"> </w:t>
      </w:r>
      <w:r w:rsidRPr="006B5701">
        <w:rPr>
          <w:szCs w:val="22"/>
          <w:lang w:val="pl-PL"/>
        </w:rPr>
        <w:t>pokazala</w:t>
      </w:r>
      <w:r w:rsidRPr="006B5701">
        <w:rPr>
          <w:szCs w:val="22"/>
          <w:lang w:val="sr-Latn-CS"/>
        </w:rPr>
        <w:t xml:space="preserve"> </w:t>
      </w:r>
      <w:r w:rsidRPr="006B5701">
        <w:rPr>
          <w:szCs w:val="22"/>
          <w:lang w:val="pl-PL"/>
        </w:rPr>
        <w:t>su</w:t>
      </w:r>
      <w:r w:rsidRPr="006B5701">
        <w:rPr>
          <w:szCs w:val="22"/>
          <w:lang w:val="sr-Latn-CS"/>
        </w:rPr>
        <w:t xml:space="preserve"> </w:t>
      </w:r>
      <w:r w:rsidRPr="006B5701">
        <w:rPr>
          <w:szCs w:val="22"/>
          <w:lang w:val="pl-PL"/>
        </w:rPr>
        <w:t>da</w:t>
      </w:r>
      <w:r w:rsidRPr="006B5701">
        <w:rPr>
          <w:szCs w:val="22"/>
          <w:lang w:val="sr-Latn-CS"/>
        </w:rPr>
        <w:t xml:space="preserve"> </w:t>
      </w:r>
      <w:r w:rsidRPr="006B5701">
        <w:rPr>
          <w:szCs w:val="22"/>
          <w:lang w:val="pl-PL"/>
        </w:rPr>
        <w:t>pramipeksol</w:t>
      </w:r>
      <w:r w:rsidRPr="006B5701">
        <w:rPr>
          <w:szCs w:val="22"/>
          <w:lang w:val="sr-Latn-CS"/>
        </w:rPr>
        <w:t xml:space="preserve"> </w:t>
      </w:r>
      <w:r w:rsidRPr="006B5701">
        <w:rPr>
          <w:szCs w:val="22"/>
          <w:lang w:val="pl-PL"/>
        </w:rPr>
        <w:t>ima</w:t>
      </w:r>
      <w:r w:rsidRPr="006B5701">
        <w:rPr>
          <w:szCs w:val="22"/>
          <w:lang w:val="sr-Latn-CS"/>
        </w:rPr>
        <w:t xml:space="preserve"> </w:t>
      </w:r>
      <w:r w:rsidRPr="006B5701">
        <w:rPr>
          <w:szCs w:val="22"/>
          <w:lang w:val="pl-PL"/>
        </w:rPr>
        <w:t>funkcionalna</w:t>
      </w:r>
      <w:r w:rsidRPr="006B5701">
        <w:rPr>
          <w:szCs w:val="22"/>
          <w:lang w:val="sr-Latn-CS"/>
        </w:rPr>
        <w:t xml:space="preserve"> </w:t>
      </w:r>
      <w:r w:rsidRPr="006B5701">
        <w:rPr>
          <w:szCs w:val="22"/>
          <w:lang w:val="pl-PL"/>
        </w:rPr>
        <w:t>dejstva</w:t>
      </w:r>
      <w:r w:rsidRPr="006B5701">
        <w:rPr>
          <w:szCs w:val="22"/>
          <w:lang w:val="sr-Latn-CS"/>
        </w:rPr>
        <w:t xml:space="preserve">, </w:t>
      </w:r>
      <w:r w:rsidRPr="006B5701">
        <w:rPr>
          <w:szCs w:val="22"/>
          <w:lang w:val="pl-PL"/>
        </w:rPr>
        <w:t>uglavnom</w:t>
      </w:r>
      <w:r w:rsidRPr="006B5701">
        <w:rPr>
          <w:szCs w:val="22"/>
          <w:lang w:val="sr-Latn-CS"/>
        </w:rPr>
        <w:t xml:space="preserve"> </w:t>
      </w:r>
      <w:r w:rsidRPr="006B5701">
        <w:rPr>
          <w:szCs w:val="22"/>
          <w:lang w:val="pl-PL"/>
        </w:rPr>
        <w:t>zahvataju</w:t>
      </w:r>
      <w:r w:rsidRPr="006B5701">
        <w:rPr>
          <w:szCs w:val="22"/>
          <w:lang w:val="sr-Latn-CS"/>
        </w:rPr>
        <w:t>ć</w:t>
      </w:r>
      <w:r w:rsidRPr="006B5701">
        <w:rPr>
          <w:szCs w:val="22"/>
          <w:lang w:val="pl-PL"/>
        </w:rPr>
        <w:t>i</w:t>
      </w:r>
      <w:r w:rsidRPr="006B5701">
        <w:rPr>
          <w:szCs w:val="22"/>
          <w:lang w:val="sr-Latn-CS"/>
        </w:rPr>
        <w:t xml:space="preserve"> </w:t>
      </w:r>
      <w:r w:rsidRPr="006B5701">
        <w:rPr>
          <w:szCs w:val="22"/>
          <w:lang w:val="pl-PL"/>
        </w:rPr>
        <w:t>CNS</w:t>
      </w:r>
      <w:r w:rsidRPr="006B5701">
        <w:rPr>
          <w:szCs w:val="22"/>
          <w:lang w:val="sr-Latn-CS"/>
        </w:rPr>
        <w:t xml:space="preserve"> </w:t>
      </w:r>
      <w:r w:rsidRPr="006B5701">
        <w:rPr>
          <w:szCs w:val="22"/>
          <w:lang w:val="pl-PL"/>
        </w:rPr>
        <w:t>i</w:t>
      </w:r>
      <w:r w:rsidRPr="006B5701">
        <w:rPr>
          <w:szCs w:val="22"/>
          <w:lang w:val="sr-Latn-CS"/>
        </w:rPr>
        <w:t xml:space="preserve"> </w:t>
      </w:r>
      <w:r w:rsidRPr="006B5701">
        <w:rPr>
          <w:szCs w:val="22"/>
          <w:lang w:val="pl-PL"/>
        </w:rPr>
        <w:t>reproduktivni</w:t>
      </w:r>
      <w:r w:rsidRPr="006B5701">
        <w:rPr>
          <w:szCs w:val="22"/>
          <w:lang w:val="sr-Latn-CS"/>
        </w:rPr>
        <w:t xml:space="preserve"> </w:t>
      </w:r>
      <w:r w:rsidRPr="006B5701">
        <w:rPr>
          <w:szCs w:val="22"/>
          <w:lang w:val="pl-PL"/>
        </w:rPr>
        <w:t>sistem</w:t>
      </w:r>
      <w:r w:rsidRPr="006B5701">
        <w:rPr>
          <w:szCs w:val="22"/>
          <w:lang w:val="sr-Latn-CS"/>
        </w:rPr>
        <w:t xml:space="preserve"> ž</w:t>
      </w:r>
      <w:r w:rsidRPr="006B5701">
        <w:rPr>
          <w:szCs w:val="22"/>
          <w:lang w:val="pl-PL"/>
        </w:rPr>
        <w:t>ena</w:t>
      </w:r>
      <w:r w:rsidRPr="006B5701">
        <w:rPr>
          <w:szCs w:val="22"/>
          <w:lang w:val="sr-Latn-CS"/>
        </w:rPr>
        <w:t xml:space="preserve">, </w:t>
      </w:r>
      <w:r w:rsidRPr="006B5701">
        <w:rPr>
          <w:szCs w:val="22"/>
          <w:lang w:val="pl-PL"/>
        </w:rPr>
        <w:t>v</w:t>
      </w:r>
      <w:r w:rsidR="00346B55">
        <w:rPr>
          <w:szCs w:val="22"/>
          <w:lang w:val="pl-PL"/>
        </w:rPr>
        <w:t>j</w:t>
      </w:r>
      <w:r w:rsidRPr="006B5701">
        <w:rPr>
          <w:szCs w:val="22"/>
          <w:lang w:val="pl-PL"/>
        </w:rPr>
        <w:t>erovatno</w:t>
      </w:r>
      <w:r w:rsidRPr="006B5701">
        <w:rPr>
          <w:szCs w:val="22"/>
          <w:lang w:val="sr-Latn-CS"/>
        </w:rPr>
        <w:t xml:space="preserve"> </w:t>
      </w:r>
      <w:r w:rsidRPr="006B5701">
        <w:rPr>
          <w:szCs w:val="22"/>
          <w:lang w:val="pl-PL"/>
        </w:rPr>
        <w:t>kao</w:t>
      </w:r>
      <w:r w:rsidRPr="006B5701">
        <w:rPr>
          <w:szCs w:val="22"/>
          <w:lang w:val="sr-Latn-CS"/>
        </w:rPr>
        <w:t xml:space="preserve"> </w:t>
      </w:r>
      <w:r w:rsidRPr="006B5701">
        <w:rPr>
          <w:szCs w:val="22"/>
          <w:lang w:val="pl-PL"/>
        </w:rPr>
        <w:t>posledica</w:t>
      </w:r>
      <w:r w:rsidRPr="006B5701">
        <w:rPr>
          <w:szCs w:val="22"/>
          <w:lang w:val="sr-Latn-CS"/>
        </w:rPr>
        <w:t xml:space="preserve"> </w:t>
      </w:r>
      <w:r w:rsidRPr="006B5701">
        <w:rPr>
          <w:szCs w:val="22"/>
          <w:lang w:val="pl-PL"/>
        </w:rPr>
        <w:t>prekomernog</w:t>
      </w:r>
      <w:r w:rsidRPr="006B5701">
        <w:rPr>
          <w:szCs w:val="22"/>
          <w:lang w:val="sr-Latn-CS"/>
        </w:rPr>
        <w:t xml:space="preserve"> </w:t>
      </w:r>
      <w:r w:rsidRPr="006B5701">
        <w:rPr>
          <w:szCs w:val="22"/>
          <w:lang w:val="pl-PL"/>
        </w:rPr>
        <w:t>farmakodinamskog</w:t>
      </w:r>
      <w:r w:rsidRPr="006B5701">
        <w:rPr>
          <w:szCs w:val="22"/>
          <w:lang w:val="sr-Latn-CS"/>
        </w:rPr>
        <w:t xml:space="preserve"> </w:t>
      </w:r>
      <w:r w:rsidRPr="006B5701">
        <w:rPr>
          <w:szCs w:val="22"/>
          <w:lang w:val="pl-PL"/>
        </w:rPr>
        <w:t>dejstva</w:t>
      </w:r>
      <w:r w:rsidRPr="006B5701">
        <w:rPr>
          <w:szCs w:val="22"/>
          <w:lang w:val="sr-Latn-CS"/>
        </w:rPr>
        <w:t xml:space="preserve"> </w:t>
      </w:r>
      <w:r w:rsidRPr="006B5701">
        <w:rPr>
          <w:szCs w:val="22"/>
          <w:lang w:val="pl-PL"/>
        </w:rPr>
        <w:t>pramipeksola</w:t>
      </w:r>
      <w:r w:rsidRPr="006B5701">
        <w:rPr>
          <w:szCs w:val="22"/>
          <w:lang w:val="sr-Latn-CS"/>
        </w:rPr>
        <w:t>.</w:t>
      </w:r>
    </w:p>
    <w:p w14:paraId="0704B0F6" w14:textId="77777777" w:rsidR="00B372EA" w:rsidRPr="006B5701" w:rsidRDefault="00B372EA" w:rsidP="00B372EA">
      <w:pPr>
        <w:jc w:val="left"/>
        <w:rPr>
          <w:szCs w:val="22"/>
          <w:lang w:val="sr-Latn-CS"/>
        </w:rPr>
      </w:pPr>
    </w:p>
    <w:p w14:paraId="5A059140" w14:textId="0580A67C" w:rsidR="00B372EA" w:rsidRPr="006B5701" w:rsidRDefault="00B372EA" w:rsidP="00B372EA">
      <w:pPr>
        <w:jc w:val="left"/>
        <w:rPr>
          <w:szCs w:val="22"/>
          <w:lang w:val="sr-Latn-CS"/>
        </w:rPr>
      </w:pPr>
      <w:r w:rsidRPr="006B5701">
        <w:rPr>
          <w:szCs w:val="22"/>
          <w:lang w:val="pl-PL"/>
        </w:rPr>
        <w:t>Kod</w:t>
      </w:r>
      <w:r w:rsidRPr="006B5701">
        <w:rPr>
          <w:szCs w:val="22"/>
          <w:lang w:val="sr-Latn-CS"/>
        </w:rPr>
        <w:t xml:space="preserve"> </w:t>
      </w:r>
      <w:r w:rsidR="0035634E" w:rsidRPr="006B5701">
        <w:rPr>
          <w:szCs w:val="22"/>
          <w:lang w:val="sr-Latn-CS"/>
        </w:rPr>
        <w:t xml:space="preserve">patuljastih </w:t>
      </w:r>
      <w:r w:rsidRPr="006B5701">
        <w:rPr>
          <w:szCs w:val="22"/>
          <w:lang w:val="pl-PL"/>
        </w:rPr>
        <w:t>svinja</w:t>
      </w:r>
      <w:r w:rsidRPr="006B5701">
        <w:rPr>
          <w:szCs w:val="22"/>
          <w:lang w:val="sr-Latn-CS"/>
        </w:rPr>
        <w:t xml:space="preserve"> </w:t>
      </w:r>
      <w:r w:rsidRPr="006B5701">
        <w:rPr>
          <w:szCs w:val="22"/>
          <w:lang w:val="pl-PL"/>
        </w:rPr>
        <w:t>zab</w:t>
      </w:r>
      <w:r w:rsidR="00346B55">
        <w:rPr>
          <w:szCs w:val="22"/>
          <w:lang w:val="pl-PL"/>
        </w:rPr>
        <w:t>i</w:t>
      </w:r>
      <w:r w:rsidRPr="006B5701">
        <w:rPr>
          <w:szCs w:val="22"/>
          <w:lang w:val="pl-PL"/>
        </w:rPr>
        <w:t>l</w:t>
      </w:r>
      <w:r w:rsidR="00346B55">
        <w:rPr>
          <w:szCs w:val="22"/>
          <w:lang w:val="pl-PL"/>
        </w:rPr>
        <w:t>j</w:t>
      </w:r>
      <w:r w:rsidRPr="006B5701">
        <w:rPr>
          <w:szCs w:val="22"/>
          <w:lang w:val="pl-PL"/>
        </w:rPr>
        <w:t>e</w:t>
      </w:r>
      <w:r w:rsidRPr="006B5701">
        <w:rPr>
          <w:szCs w:val="22"/>
          <w:lang w:val="sr-Latn-CS"/>
        </w:rPr>
        <w:t>ž</w:t>
      </w:r>
      <w:r w:rsidRPr="006B5701">
        <w:rPr>
          <w:szCs w:val="22"/>
          <w:lang w:val="pl-PL"/>
        </w:rPr>
        <w:t>eni</w:t>
      </w:r>
      <w:r w:rsidRPr="006B5701">
        <w:rPr>
          <w:szCs w:val="22"/>
          <w:lang w:val="sr-Latn-CS"/>
        </w:rPr>
        <w:t xml:space="preserve"> </w:t>
      </w:r>
      <w:r w:rsidRPr="006B5701">
        <w:rPr>
          <w:szCs w:val="22"/>
          <w:lang w:val="pl-PL"/>
        </w:rPr>
        <w:t>su</w:t>
      </w:r>
      <w:r w:rsidRPr="006B5701">
        <w:rPr>
          <w:szCs w:val="22"/>
          <w:lang w:val="sr-Latn-CS"/>
        </w:rPr>
        <w:t xml:space="preserve"> </w:t>
      </w:r>
      <w:r w:rsidRPr="006B5701">
        <w:rPr>
          <w:szCs w:val="22"/>
          <w:lang w:val="pl-PL"/>
        </w:rPr>
        <w:t>smanjenje</w:t>
      </w:r>
      <w:r w:rsidRPr="006B5701">
        <w:rPr>
          <w:szCs w:val="22"/>
          <w:lang w:val="sr-Latn-CS"/>
        </w:rPr>
        <w:t xml:space="preserve"> </w:t>
      </w:r>
      <w:r w:rsidRPr="006B5701">
        <w:rPr>
          <w:szCs w:val="22"/>
          <w:lang w:val="pl-PL"/>
        </w:rPr>
        <w:t>dijastolnog</w:t>
      </w:r>
      <w:r w:rsidRPr="006B5701">
        <w:rPr>
          <w:szCs w:val="22"/>
          <w:lang w:val="sr-Latn-CS"/>
        </w:rPr>
        <w:t xml:space="preserve"> </w:t>
      </w:r>
      <w:r w:rsidRPr="006B5701">
        <w:rPr>
          <w:szCs w:val="22"/>
          <w:lang w:val="pl-PL"/>
        </w:rPr>
        <w:t>i</w:t>
      </w:r>
      <w:r w:rsidRPr="006B5701">
        <w:rPr>
          <w:szCs w:val="22"/>
          <w:lang w:val="sr-Latn-CS"/>
        </w:rPr>
        <w:t xml:space="preserve"> </w:t>
      </w:r>
      <w:r w:rsidRPr="006B5701">
        <w:rPr>
          <w:szCs w:val="22"/>
          <w:lang w:val="pl-PL"/>
        </w:rPr>
        <w:t>sistolnog</w:t>
      </w:r>
      <w:r w:rsidRPr="006B5701">
        <w:rPr>
          <w:szCs w:val="22"/>
          <w:lang w:val="sr-Latn-CS"/>
        </w:rPr>
        <w:t xml:space="preserve"> </w:t>
      </w:r>
      <w:r w:rsidRPr="006B5701">
        <w:rPr>
          <w:szCs w:val="22"/>
          <w:lang w:val="pl-PL"/>
        </w:rPr>
        <w:t>pritiska</w:t>
      </w:r>
      <w:r w:rsidRPr="006B5701">
        <w:rPr>
          <w:szCs w:val="22"/>
          <w:lang w:val="sr-Latn-CS"/>
        </w:rPr>
        <w:t xml:space="preserve"> </w:t>
      </w:r>
      <w:r w:rsidRPr="006B5701">
        <w:rPr>
          <w:szCs w:val="22"/>
          <w:lang w:val="pl-PL"/>
        </w:rPr>
        <w:t>i</w:t>
      </w:r>
      <w:r w:rsidRPr="006B5701">
        <w:rPr>
          <w:szCs w:val="22"/>
          <w:lang w:val="sr-Latn-CS"/>
        </w:rPr>
        <w:t xml:space="preserve"> </w:t>
      </w:r>
      <w:r w:rsidRPr="006B5701">
        <w:rPr>
          <w:szCs w:val="22"/>
          <w:lang w:val="pl-PL"/>
        </w:rPr>
        <w:t>brzine</w:t>
      </w:r>
      <w:r w:rsidRPr="006B5701">
        <w:rPr>
          <w:szCs w:val="22"/>
          <w:lang w:val="sr-Latn-CS"/>
        </w:rPr>
        <w:t xml:space="preserve"> </w:t>
      </w:r>
      <w:r w:rsidRPr="006B5701">
        <w:rPr>
          <w:szCs w:val="22"/>
          <w:lang w:val="pl-PL"/>
        </w:rPr>
        <w:t>sr</w:t>
      </w:r>
      <w:r w:rsidRPr="006B5701">
        <w:rPr>
          <w:szCs w:val="22"/>
          <w:lang w:val="sr-Latn-CS"/>
        </w:rPr>
        <w:t>č</w:t>
      </w:r>
      <w:r w:rsidRPr="006B5701">
        <w:rPr>
          <w:szCs w:val="22"/>
          <w:lang w:val="pl-PL"/>
        </w:rPr>
        <w:t>anog</w:t>
      </w:r>
      <w:r w:rsidRPr="006B5701">
        <w:rPr>
          <w:szCs w:val="22"/>
          <w:lang w:val="sr-Latn-CS"/>
        </w:rPr>
        <w:t xml:space="preserve"> </w:t>
      </w:r>
      <w:r w:rsidRPr="006B5701">
        <w:rPr>
          <w:szCs w:val="22"/>
          <w:lang w:val="pl-PL"/>
        </w:rPr>
        <w:t>rada</w:t>
      </w:r>
      <w:r w:rsidRPr="006B5701">
        <w:rPr>
          <w:szCs w:val="22"/>
          <w:lang w:val="sr-Latn-CS"/>
        </w:rPr>
        <w:t xml:space="preserve">, </w:t>
      </w:r>
      <w:r w:rsidRPr="006B5701">
        <w:rPr>
          <w:szCs w:val="22"/>
          <w:lang w:val="pl-PL"/>
        </w:rPr>
        <w:t>dok</w:t>
      </w:r>
      <w:r w:rsidRPr="006B5701">
        <w:rPr>
          <w:szCs w:val="22"/>
          <w:lang w:val="sr-Latn-CS"/>
        </w:rPr>
        <w:t xml:space="preserve"> </w:t>
      </w:r>
      <w:r w:rsidRPr="006B5701">
        <w:rPr>
          <w:szCs w:val="22"/>
          <w:lang w:val="pl-PL"/>
        </w:rPr>
        <w:t>je</w:t>
      </w:r>
      <w:r w:rsidRPr="006B5701">
        <w:rPr>
          <w:szCs w:val="22"/>
          <w:lang w:val="sr-Latn-CS"/>
        </w:rPr>
        <w:t xml:space="preserve"> </w:t>
      </w:r>
      <w:r w:rsidRPr="006B5701">
        <w:rPr>
          <w:szCs w:val="22"/>
          <w:lang w:val="pl-PL"/>
        </w:rPr>
        <w:t>kod</w:t>
      </w:r>
      <w:r w:rsidRPr="006B5701">
        <w:rPr>
          <w:szCs w:val="22"/>
          <w:lang w:val="sr-Latn-CS"/>
        </w:rPr>
        <w:t xml:space="preserve"> </w:t>
      </w:r>
      <w:r w:rsidRPr="006B5701">
        <w:rPr>
          <w:szCs w:val="22"/>
          <w:lang w:val="pl-PL"/>
        </w:rPr>
        <w:t>majmuna</w:t>
      </w:r>
      <w:r w:rsidRPr="006B5701">
        <w:rPr>
          <w:szCs w:val="22"/>
          <w:lang w:val="sr-Latn-CS"/>
        </w:rPr>
        <w:t xml:space="preserve"> </w:t>
      </w:r>
      <w:r w:rsidRPr="006B5701">
        <w:rPr>
          <w:szCs w:val="22"/>
          <w:lang w:val="pl-PL"/>
        </w:rPr>
        <w:t>zab</w:t>
      </w:r>
      <w:r w:rsidR="00346B55">
        <w:rPr>
          <w:szCs w:val="22"/>
          <w:lang w:val="pl-PL"/>
        </w:rPr>
        <w:t>i</w:t>
      </w:r>
      <w:r w:rsidRPr="006B5701">
        <w:rPr>
          <w:szCs w:val="22"/>
          <w:lang w:val="pl-PL"/>
        </w:rPr>
        <w:t>l</w:t>
      </w:r>
      <w:r w:rsidR="00346B55">
        <w:rPr>
          <w:szCs w:val="22"/>
          <w:lang w:val="pl-PL"/>
        </w:rPr>
        <w:t>j</w:t>
      </w:r>
      <w:r w:rsidRPr="006B5701">
        <w:rPr>
          <w:szCs w:val="22"/>
          <w:lang w:val="pl-PL"/>
        </w:rPr>
        <w:t>e</w:t>
      </w:r>
      <w:r w:rsidRPr="006B5701">
        <w:rPr>
          <w:szCs w:val="22"/>
          <w:lang w:val="sr-Latn-CS"/>
        </w:rPr>
        <w:t>ž</w:t>
      </w:r>
      <w:r w:rsidRPr="006B5701">
        <w:rPr>
          <w:szCs w:val="22"/>
          <w:lang w:val="pl-PL"/>
        </w:rPr>
        <w:t>ena</w:t>
      </w:r>
      <w:r w:rsidRPr="006B5701">
        <w:rPr>
          <w:szCs w:val="22"/>
          <w:lang w:val="sr-Latn-CS"/>
        </w:rPr>
        <w:t xml:space="preserve"> </w:t>
      </w:r>
      <w:r w:rsidRPr="006B5701">
        <w:rPr>
          <w:szCs w:val="22"/>
          <w:lang w:val="pl-PL"/>
        </w:rPr>
        <w:t>sklonost</w:t>
      </w:r>
      <w:r w:rsidRPr="006B5701">
        <w:rPr>
          <w:szCs w:val="22"/>
          <w:lang w:val="sr-Latn-CS"/>
        </w:rPr>
        <w:t xml:space="preserve"> </w:t>
      </w:r>
      <w:r w:rsidRPr="006B5701">
        <w:rPr>
          <w:szCs w:val="22"/>
          <w:lang w:val="pl-PL"/>
        </w:rPr>
        <w:t>ka</w:t>
      </w:r>
      <w:r w:rsidRPr="006B5701">
        <w:rPr>
          <w:szCs w:val="22"/>
          <w:lang w:val="sr-Latn-CS"/>
        </w:rPr>
        <w:t xml:space="preserve"> </w:t>
      </w:r>
      <w:r w:rsidRPr="006B5701">
        <w:rPr>
          <w:szCs w:val="22"/>
          <w:lang w:val="pl-PL"/>
        </w:rPr>
        <w:t>hipotenzivnom</w:t>
      </w:r>
      <w:r w:rsidRPr="006B5701">
        <w:rPr>
          <w:szCs w:val="22"/>
          <w:lang w:val="sr-Latn-CS"/>
        </w:rPr>
        <w:t xml:space="preserve"> </w:t>
      </w:r>
      <w:r w:rsidRPr="006B5701">
        <w:rPr>
          <w:szCs w:val="22"/>
          <w:lang w:val="pl-PL"/>
        </w:rPr>
        <w:t>dejstvu</w:t>
      </w:r>
      <w:r w:rsidRPr="006B5701">
        <w:rPr>
          <w:szCs w:val="22"/>
          <w:lang w:val="sr-Latn-CS"/>
        </w:rPr>
        <w:t>.</w:t>
      </w:r>
    </w:p>
    <w:p w14:paraId="22A233D2" w14:textId="77777777" w:rsidR="00B372EA" w:rsidRPr="006B5701" w:rsidRDefault="00B372EA" w:rsidP="00B372EA">
      <w:pPr>
        <w:jc w:val="left"/>
        <w:rPr>
          <w:szCs w:val="22"/>
          <w:lang w:val="sr-Latn-CS"/>
        </w:rPr>
      </w:pPr>
    </w:p>
    <w:p w14:paraId="43AAC486" w14:textId="346DCF6E" w:rsidR="00B372EA" w:rsidRPr="006B5701" w:rsidRDefault="00B372EA" w:rsidP="00B372EA">
      <w:pPr>
        <w:jc w:val="left"/>
        <w:rPr>
          <w:szCs w:val="22"/>
          <w:lang w:val="sr-Latn-CS"/>
        </w:rPr>
      </w:pPr>
      <w:r w:rsidRPr="006B5701">
        <w:rPr>
          <w:szCs w:val="22"/>
          <w:lang w:val="pl-PL"/>
        </w:rPr>
        <w:t>Potencijalno</w:t>
      </w:r>
      <w:r w:rsidRPr="006B5701">
        <w:rPr>
          <w:szCs w:val="22"/>
          <w:lang w:val="sr-Latn-CS"/>
        </w:rPr>
        <w:t xml:space="preserve"> </w:t>
      </w:r>
      <w:r w:rsidRPr="006B5701">
        <w:rPr>
          <w:szCs w:val="22"/>
          <w:lang w:val="pl-PL"/>
        </w:rPr>
        <w:t>dejstvo</w:t>
      </w:r>
      <w:r w:rsidRPr="006B5701">
        <w:rPr>
          <w:szCs w:val="22"/>
          <w:lang w:val="sr-Latn-CS"/>
        </w:rPr>
        <w:t xml:space="preserve"> </w:t>
      </w:r>
      <w:r w:rsidRPr="006B5701">
        <w:rPr>
          <w:szCs w:val="22"/>
          <w:lang w:val="pl-PL"/>
        </w:rPr>
        <w:t>pramipeksola</w:t>
      </w:r>
      <w:r w:rsidRPr="006B5701">
        <w:rPr>
          <w:szCs w:val="22"/>
          <w:lang w:val="sr-Latn-CS"/>
        </w:rPr>
        <w:t xml:space="preserve"> </w:t>
      </w:r>
      <w:r w:rsidRPr="006B5701">
        <w:rPr>
          <w:szCs w:val="22"/>
          <w:lang w:val="pl-PL"/>
        </w:rPr>
        <w:t>na</w:t>
      </w:r>
      <w:r w:rsidRPr="006B5701">
        <w:rPr>
          <w:szCs w:val="22"/>
          <w:lang w:val="sr-Latn-CS"/>
        </w:rPr>
        <w:t xml:space="preserve"> </w:t>
      </w:r>
      <w:r w:rsidRPr="006B5701">
        <w:rPr>
          <w:szCs w:val="22"/>
          <w:lang w:val="pl-PL"/>
        </w:rPr>
        <w:t>reproduktivnu</w:t>
      </w:r>
      <w:r w:rsidRPr="006B5701">
        <w:rPr>
          <w:szCs w:val="22"/>
          <w:lang w:val="sr-Latn-CS"/>
        </w:rPr>
        <w:t xml:space="preserve"> </w:t>
      </w:r>
      <w:r w:rsidRPr="006B5701">
        <w:rPr>
          <w:szCs w:val="22"/>
          <w:lang w:val="pl-PL"/>
        </w:rPr>
        <w:t>funkciju</w:t>
      </w:r>
      <w:r w:rsidRPr="006B5701">
        <w:rPr>
          <w:szCs w:val="22"/>
          <w:lang w:val="sr-Latn-CS"/>
        </w:rPr>
        <w:t xml:space="preserve"> </w:t>
      </w:r>
      <w:r w:rsidRPr="006B5701">
        <w:rPr>
          <w:szCs w:val="22"/>
          <w:lang w:val="pl-PL"/>
        </w:rPr>
        <w:t>ispitivano</w:t>
      </w:r>
      <w:r w:rsidRPr="006B5701">
        <w:rPr>
          <w:szCs w:val="22"/>
          <w:lang w:val="sr-Latn-CS"/>
        </w:rPr>
        <w:t xml:space="preserve"> </w:t>
      </w:r>
      <w:r w:rsidRPr="006B5701">
        <w:rPr>
          <w:szCs w:val="22"/>
          <w:lang w:val="pl-PL"/>
        </w:rPr>
        <w:t>je</w:t>
      </w:r>
      <w:r w:rsidRPr="006B5701">
        <w:rPr>
          <w:szCs w:val="22"/>
          <w:lang w:val="sr-Latn-CS"/>
        </w:rPr>
        <w:t xml:space="preserve"> </w:t>
      </w:r>
      <w:r w:rsidRPr="006B5701">
        <w:rPr>
          <w:szCs w:val="22"/>
          <w:lang w:val="pl-PL"/>
        </w:rPr>
        <w:t>na</w:t>
      </w:r>
      <w:r w:rsidRPr="006B5701">
        <w:rPr>
          <w:szCs w:val="22"/>
          <w:lang w:val="sr-Latn-CS"/>
        </w:rPr>
        <w:t xml:space="preserve"> </w:t>
      </w:r>
      <w:r w:rsidRPr="006B5701">
        <w:rPr>
          <w:szCs w:val="22"/>
          <w:lang w:val="pl-PL"/>
        </w:rPr>
        <w:t>pacovima</w:t>
      </w:r>
      <w:r w:rsidRPr="006B5701">
        <w:rPr>
          <w:szCs w:val="22"/>
          <w:lang w:val="sr-Latn-CS"/>
        </w:rPr>
        <w:t xml:space="preserve"> </w:t>
      </w:r>
      <w:r w:rsidRPr="006B5701">
        <w:rPr>
          <w:szCs w:val="22"/>
          <w:lang w:val="pl-PL"/>
        </w:rPr>
        <w:t>i</w:t>
      </w:r>
      <w:r w:rsidR="0035634E" w:rsidRPr="006B5701">
        <w:rPr>
          <w:szCs w:val="22"/>
          <w:lang w:val="sr-Latn-CS"/>
        </w:rPr>
        <w:t xml:space="preserve"> kunićima</w:t>
      </w:r>
      <w:r w:rsidRPr="006B5701">
        <w:rPr>
          <w:szCs w:val="22"/>
          <w:lang w:val="sr-Latn-CS"/>
        </w:rPr>
        <w:t xml:space="preserve">. </w:t>
      </w:r>
      <w:r w:rsidRPr="006B5701">
        <w:rPr>
          <w:szCs w:val="22"/>
          <w:lang w:val="pl-PL"/>
        </w:rPr>
        <w:t>Pramipeksol</w:t>
      </w:r>
      <w:r w:rsidRPr="006B5701">
        <w:rPr>
          <w:szCs w:val="22"/>
          <w:lang w:val="sr-Latn-CS"/>
        </w:rPr>
        <w:t xml:space="preserve"> </w:t>
      </w:r>
      <w:r w:rsidRPr="006B5701">
        <w:rPr>
          <w:szCs w:val="22"/>
          <w:lang w:val="pl-PL"/>
        </w:rPr>
        <w:t>nije</w:t>
      </w:r>
      <w:r w:rsidRPr="006B5701">
        <w:rPr>
          <w:szCs w:val="22"/>
          <w:lang w:val="sr-Latn-CS"/>
        </w:rPr>
        <w:t xml:space="preserve"> </w:t>
      </w:r>
      <w:r w:rsidRPr="006B5701">
        <w:rPr>
          <w:szCs w:val="22"/>
          <w:lang w:val="pl-PL"/>
        </w:rPr>
        <w:t>imao</w:t>
      </w:r>
      <w:r w:rsidRPr="006B5701">
        <w:rPr>
          <w:szCs w:val="22"/>
          <w:lang w:val="sr-Latn-CS"/>
        </w:rPr>
        <w:t xml:space="preserve"> </w:t>
      </w:r>
      <w:r w:rsidRPr="006B5701">
        <w:rPr>
          <w:szCs w:val="22"/>
          <w:lang w:val="pl-PL"/>
        </w:rPr>
        <w:t>teratogeno</w:t>
      </w:r>
      <w:r w:rsidRPr="006B5701">
        <w:rPr>
          <w:szCs w:val="22"/>
          <w:lang w:val="sr-Latn-CS"/>
        </w:rPr>
        <w:t xml:space="preserve"> </w:t>
      </w:r>
      <w:r w:rsidRPr="006B5701">
        <w:rPr>
          <w:szCs w:val="22"/>
          <w:lang w:val="pl-PL"/>
        </w:rPr>
        <w:t>dejstvo</w:t>
      </w:r>
      <w:r w:rsidRPr="006B5701">
        <w:rPr>
          <w:szCs w:val="22"/>
          <w:lang w:val="sr-Latn-CS"/>
        </w:rPr>
        <w:t xml:space="preserve"> </w:t>
      </w:r>
      <w:r w:rsidRPr="006B5701">
        <w:rPr>
          <w:szCs w:val="22"/>
          <w:lang w:val="pl-PL"/>
        </w:rPr>
        <w:t>kod</w:t>
      </w:r>
      <w:r w:rsidRPr="006B5701">
        <w:rPr>
          <w:szCs w:val="22"/>
          <w:lang w:val="sr-Latn-CS"/>
        </w:rPr>
        <w:t xml:space="preserve"> </w:t>
      </w:r>
      <w:r w:rsidRPr="006B5701">
        <w:rPr>
          <w:szCs w:val="22"/>
          <w:lang w:val="pl-PL"/>
        </w:rPr>
        <w:t>pacova</w:t>
      </w:r>
      <w:r w:rsidRPr="006B5701">
        <w:rPr>
          <w:szCs w:val="22"/>
          <w:lang w:val="sr-Latn-CS"/>
        </w:rPr>
        <w:t xml:space="preserve"> </w:t>
      </w:r>
      <w:r w:rsidRPr="006B5701">
        <w:rPr>
          <w:szCs w:val="22"/>
          <w:lang w:val="pl-PL"/>
        </w:rPr>
        <w:t>i</w:t>
      </w:r>
      <w:r w:rsidR="0035634E" w:rsidRPr="006B5701">
        <w:rPr>
          <w:szCs w:val="22"/>
          <w:lang w:val="sr-Latn-CS"/>
        </w:rPr>
        <w:t xml:space="preserve"> kunića</w:t>
      </w:r>
      <w:r w:rsidRPr="006B5701">
        <w:rPr>
          <w:szCs w:val="22"/>
          <w:lang w:val="sr-Latn-CS"/>
        </w:rPr>
        <w:t xml:space="preserve">, </w:t>
      </w:r>
      <w:r w:rsidRPr="006B5701">
        <w:rPr>
          <w:szCs w:val="22"/>
          <w:lang w:val="pl-PL"/>
        </w:rPr>
        <w:t>ali</w:t>
      </w:r>
      <w:r w:rsidRPr="006B5701">
        <w:rPr>
          <w:szCs w:val="22"/>
          <w:lang w:val="sr-Latn-CS"/>
        </w:rPr>
        <w:t xml:space="preserve"> </w:t>
      </w:r>
      <w:r w:rsidRPr="006B5701">
        <w:rPr>
          <w:szCs w:val="22"/>
          <w:lang w:val="pl-PL"/>
        </w:rPr>
        <w:t>je</w:t>
      </w:r>
      <w:r w:rsidRPr="006B5701">
        <w:rPr>
          <w:szCs w:val="22"/>
          <w:lang w:val="sr-Latn-CS"/>
        </w:rPr>
        <w:t xml:space="preserve"> </w:t>
      </w:r>
      <w:r w:rsidRPr="006B5701">
        <w:rPr>
          <w:szCs w:val="22"/>
          <w:lang w:val="pl-PL"/>
        </w:rPr>
        <w:t>bio</w:t>
      </w:r>
      <w:r w:rsidRPr="006B5701">
        <w:rPr>
          <w:szCs w:val="22"/>
          <w:lang w:val="sr-Latn-CS"/>
        </w:rPr>
        <w:t xml:space="preserve"> </w:t>
      </w:r>
      <w:r w:rsidRPr="006B5701">
        <w:rPr>
          <w:szCs w:val="22"/>
          <w:lang w:val="pl-PL"/>
        </w:rPr>
        <w:t>embriotoksi</w:t>
      </w:r>
      <w:r w:rsidRPr="006B5701">
        <w:rPr>
          <w:szCs w:val="22"/>
          <w:lang w:val="sr-Latn-CS"/>
        </w:rPr>
        <w:t>č</w:t>
      </w:r>
      <w:r w:rsidRPr="006B5701">
        <w:rPr>
          <w:szCs w:val="22"/>
          <w:lang w:val="pl-PL"/>
        </w:rPr>
        <w:t>an</w:t>
      </w:r>
      <w:r w:rsidRPr="006B5701">
        <w:rPr>
          <w:szCs w:val="22"/>
          <w:lang w:val="sr-Latn-CS"/>
        </w:rPr>
        <w:t xml:space="preserve"> </w:t>
      </w:r>
      <w:r w:rsidRPr="006B5701">
        <w:rPr>
          <w:szCs w:val="22"/>
          <w:lang w:val="pl-PL"/>
        </w:rPr>
        <w:t>kada</w:t>
      </w:r>
      <w:r w:rsidRPr="006B5701">
        <w:rPr>
          <w:szCs w:val="22"/>
          <w:lang w:val="sr-Latn-CS"/>
        </w:rPr>
        <w:t xml:space="preserve"> </w:t>
      </w:r>
      <w:r w:rsidRPr="006B5701">
        <w:rPr>
          <w:szCs w:val="22"/>
          <w:lang w:val="pl-PL"/>
        </w:rPr>
        <w:t>su</w:t>
      </w:r>
      <w:r w:rsidRPr="006B5701">
        <w:rPr>
          <w:szCs w:val="22"/>
          <w:lang w:val="sr-Latn-CS"/>
        </w:rPr>
        <w:t xml:space="preserve"> </w:t>
      </w:r>
      <w:r w:rsidRPr="006B5701">
        <w:rPr>
          <w:szCs w:val="22"/>
          <w:lang w:val="pl-PL"/>
        </w:rPr>
        <w:t>davane</w:t>
      </w:r>
      <w:r w:rsidRPr="006B5701">
        <w:rPr>
          <w:szCs w:val="22"/>
          <w:lang w:val="sr-Latn-CS"/>
        </w:rPr>
        <w:t xml:space="preserve"> </w:t>
      </w:r>
      <w:r w:rsidRPr="006B5701">
        <w:rPr>
          <w:szCs w:val="22"/>
          <w:lang w:val="pl-PL"/>
        </w:rPr>
        <w:t>maternotoksi</w:t>
      </w:r>
      <w:r w:rsidRPr="006B5701">
        <w:rPr>
          <w:szCs w:val="22"/>
          <w:lang w:val="sr-Latn-CS"/>
        </w:rPr>
        <w:t>č</w:t>
      </w:r>
      <w:r w:rsidRPr="006B5701">
        <w:rPr>
          <w:szCs w:val="22"/>
          <w:lang w:val="pl-PL"/>
        </w:rPr>
        <w:t>ne</w:t>
      </w:r>
      <w:r w:rsidRPr="006B5701">
        <w:rPr>
          <w:szCs w:val="22"/>
          <w:lang w:val="sr-Latn-CS"/>
        </w:rPr>
        <w:t xml:space="preserve"> </w:t>
      </w:r>
      <w:r w:rsidRPr="006B5701">
        <w:rPr>
          <w:szCs w:val="22"/>
          <w:lang w:val="pl-PL"/>
        </w:rPr>
        <w:t>doze</w:t>
      </w:r>
      <w:r w:rsidRPr="006B5701">
        <w:rPr>
          <w:szCs w:val="22"/>
          <w:lang w:val="sr-Latn-CS"/>
        </w:rPr>
        <w:t xml:space="preserve">. </w:t>
      </w:r>
      <w:r w:rsidRPr="006B5701">
        <w:rPr>
          <w:szCs w:val="22"/>
          <w:lang w:val="pl-PL"/>
        </w:rPr>
        <w:t>Zbog</w:t>
      </w:r>
      <w:r w:rsidRPr="006B5701">
        <w:rPr>
          <w:szCs w:val="22"/>
          <w:lang w:val="sr-Latn-CS"/>
        </w:rPr>
        <w:t xml:space="preserve"> </w:t>
      </w:r>
      <w:r w:rsidRPr="006B5701">
        <w:rPr>
          <w:szCs w:val="22"/>
          <w:lang w:val="pl-PL"/>
        </w:rPr>
        <w:t>selekcije</w:t>
      </w:r>
      <w:r w:rsidRPr="006B5701">
        <w:rPr>
          <w:szCs w:val="22"/>
          <w:lang w:val="sr-Latn-CS"/>
        </w:rPr>
        <w:t xml:space="preserve"> ž</w:t>
      </w:r>
      <w:r w:rsidRPr="006B5701">
        <w:rPr>
          <w:szCs w:val="22"/>
          <w:lang w:val="pl-PL"/>
        </w:rPr>
        <w:t>ivotinjskih</w:t>
      </w:r>
      <w:r w:rsidRPr="006B5701">
        <w:rPr>
          <w:szCs w:val="22"/>
          <w:lang w:val="sr-Latn-CS"/>
        </w:rPr>
        <w:t xml:space="preserve"> </w:t>
      </w:r>
      <w:r w:rsidRPr="006B5701">
        <w:rPr>
          <w:szCs w:val="22"/>
          <w:lang w:val="pl-PL"/>
        </w:rPr>
        <w:t>vrsta</w:t>
      </w:r>
      <w:r w:rsidRPr="006B5701">
        <w:rPr>
          <w:szCs w:val="22"/>
          <w:lang w:val="sr-Latn-CS"/>
        </w:rPr>
        <w:t xml:space="preserve"> </w:t>
      </w:r>
      <w:r w:rsidRPr="006B5701">
        <w:rPr>
          <w:szCs w:val="22"/>
          <w:lang w:val="pl-PL"/>
        </w:rPr>
        <w:t>i</w:t>
      </w:r>
      <w:r w:rsidRPr="006B5701">
        <w:rPr>
          <w:szCs w:val="22"/>
          <w:lang w:val="sr-Latn-CS"/>
        </w:rPr>
        <w:t xml:space="preserve"> </w:t>
      </w:r>
      <w:r w:rsidRPr="006B5701">
        <w:rPr>
          <w:szCs w:val="22"/>
          <w:lang w:val="pl-PL"/>
        </w:rPr>
        <w:t>ograni</w:t>
      </w:r>
      <w:r w:rsidRPr="006B5701">
        <w:rPr>
          <w:szCs w:val="22"/>
          <w:lang w:val="sr-Latn-CS"/>
        </w:rPr>
        <w:t>č</w:t>
      </w:r>
      <w:r w:rsidRPr="006B5701">
        <w:rPr>
          <w:szCs w:val="22"/>
          <w:lang w:val="pl-PL"/>
        </w:rPr>
        <w:t>enih</w:t>
      </w:r>
      <w:r w:rsidRPr="006B5701">
        <w:rPr>
          <w:szCs w:val="22"/>
          <w:lang w:val="sr-Latn-CS"/>
        </w:rPr>
        <w:t xml:space="preserve"> </w:t>
      </w:r>
      <w:r w:rsidRPr="006B5701">
        <w:rPr>
          <w:szCs w:val="22"/>
          <w:lang w:val="pl-PL"/>
        </w:rPr>
        <w:t>parametara</w:t>
      </w:r>
      <w:r w:rsidRPr="006B5701">
        <w:rPr>
          <w:szCs w:val="22"/>
          <w:lang w:val="sr-Latn-CS"/>
        </w:rPr>
        <w:t xml:space="preserve"> </w:t>
      </w:r>
      <w:r w:rsidRPr="006B5701">
        <w:rPr>
          <w:szCs w:val="22"/>
          <w:lang w:val="pl-PL"/>
        </w:rPr>
        <w:t>ispitivanja</w:t>
      </w:r>
      <w:r w:rsidRPr="006B5701">
        <w:rPr>
          <w:szCs w:val="22"/>
          <w:lang w:val="sr-Latn-CS"/>
        </w:rPr>
        <w:t xml:space="preserve">, </w:t>
      </w:r>
      <w:r w:rsidRPr="006B5701">
        <w:rPr>
          <w:szCs w:val="22"/>
          <w:lang w:val="pl-PL"/>
        </w:rPr>
        <w:t>ne</w:t>
      </w:r>
      <w:r w:rsidRPr="006B5701">
        <w:rPr>
          <w:szCs w:val="22"/>
          <w:lang w:val="sr-Latn-CS"/>
        </w:rPr>
        <w:t>ž</w:t>
      </w:r>
      <w:r w:rsidRPr="006B5701">
        <w:rPr>
          <w:szCs w:val="22"/>
          <w:lang w:val="pl-PL"/>
        </w:rPr>
        <w:t>eljena</w:t>
      </w:r>
      <w:r w:rsidRPr="006B5701">
        <w:rPr>
          <w:szCs w:val="22"/>
          <w:lang w:val="sr-Latn-CS"/>
        </w:rPr>
        <w:t xml:space="preserve"> </w:t>
      </w:r>
      <w:r w:rsidRPr="006B5701">
        <w:rPr>
          <w:szCs w:val="22"/>
          <w:lang w:val="pl-PL"/>
        </w:rPr>
        <w:t>dejstva</w:t>
      </w:r>
      <w:r w:rsidRPr="006B5701">
        <w:rPr>
          <w:szCs w:val="22"/>
          <w:lang w:val="sr-Latn-CS"/>
        </w:rPr>
        <w:t xml:space="preserve"> </w:t>
      </w:r>
      <w:r w:rsidRPr="006B5701">
        <w:rPr>
          <w:szCs w:val="22"/>
          <w:lang w:val="pl-PL"/>
        </w:rPr>
        <w:t>pramipeksola</w:t>
      </w:r>
      <w:r w:rsidRPr="006B5701">
        <w:rPr>
          <w:szCs w:val="22"/>
          <w:lang w:val="sr-Latn-CS"/>
        </w:rPr>
        <w:t xml:space="preserve"> </w:t>
      </w:r>
      <w:r w:rsidRPr="006B5701">
        <w:rPr>
          <w:szCs w:val="22"/>
          <w:lang w:val="pl-PL"/>
        </w:rPr>
        <w:t>na</w:t>
      </w:r>
      <w:r w:rsidRPr="006B5701">
        <w:rPr>
          <w:szCs w:val="22"/>
          <w:lang w:val="sr-Latn-CS"/>
        </w:rPr>
        <w:t xml:space="preserve"> </w:t>
      </w:r>
      <w:r w:rsidRPr="006B5701">
        <w:rPr>
          <w:szCs w:val="22"/>
          <w:lang w:val="pl-PL"/>
        </w:rPr>
        <w:t>trudno</w:t>
      </w:r>
      <w:r w:rsidRPr="006B5701">
        <w:rPr>
          <w:szCs w:val="22"/>
          <w:lang w:val="sr-Latn-CS"/>
        </w:rPr>
        <w:t>ć</w:t>
      </w:r>
      <w:r w:rsidRPr="006B5701">
        <w:rPr>
          <w:szCs w:val="22"/>
          <w:lang w:val="pl-PL"/>
        </w:rPr>
        <w:t>u</w:t>
      </w:r>
      <w:r w:rsidRPr="006B5701">
        <w:rPr>
          <w:szCs w:val="22"/>
          <w:lang w:val="sr-Latn-CS"/>
        </w:rPr>
        <w:t xml:space="preserve"> </w:t>
      </w:r>
      <w:r w:rsidRPr="006B5701">
        <w:rPr>
          <w:szCs w:val="22"/>
          <w:lang w:val="pl-PL"/>
        </w:rPr>
        <w:t>i</w:t>
      </w:r>
      <w:r w:rsidRPr="006B5701">
        <w:rPr>
          <w:szCs w:val="22"/>
          <w:lang w:val="sr-Latn-CS"/>
        </w:rPr>
        <w:t xml:space="preserve"> </w:t>
      </w:r>
      <w:r w:rsidRPr="006B5701">
        <w:rPr>
          <w:szCs w:val="22"/>
          <w:lang w:val="pl-PL"/>
        </w:rPr>
        <w:t>fertilitet</w:t>
      </w:r>
      <w:r w:rsidRPr="006B5701">
        <w:rPr>
          <w:szCs w:val="22"/>
          <w:lang w:val="sr-Latn-CS"/>
        </w:rPr>
        <w:t xml:space="preserve"> ž</w:t>
      </w:r>
      <w:r w:rsidRPr="006B5701">
        <w:rPr>
          <w:szCs w:val="22"/>
          <w:lang w:val="pl-PL"/>
        </w:rPr>
        <w:t>ena</w:t>
      </w:r>
      <w:r w:rsidRPr="006B5701">
        <w:rPr>
          <w:szCs w:val="22"/>
          <w:lang w:val="sr-Latn-CS"/>
        </w:rPr>
        <w:t xml:space="preserve"> </w:t>
      </w:r>
      <w:r w:rsidRPr="006B5701">
        <w:rPr>
          <w:szCs w:val="22"/>
          <w:lang w:val="pl-PL"/>
        </w:rPr>
        <w:t>ni</w:t>
      </w:r>
      <w:r w:rsidR="00346B55">
        <w:rPr>
          <w:szCs w:val="22"/>
          <w:lang w:val="pl-PL"/>
        </w:rPr>
        <w:t>je</w:t>
      </w:r>
      <w:r w:rsidRPr="006B5701">
        <w:rPr>
          <w:szCs w:val="22"/>
          <w:lang w:val="pl-PL"/>
        </w:rPr>
        <w:t>su</w:t>
      </w:r>
      <w:r w:rsidRPr="006B5701">
        <w:rPr>
          <w:szCs w:val="22"/>
          <w:lang w:val="sr-Latn-CS"/>
        </w:rPr>
        <w:t xml:space="preserve"> </w:t>
      </w:r>
      <w:r w:rsidRPr="006B5701">
        <w:rPr>
          <w:szCs w:val="22"/>
          <w:lang w:val="pl-PL"/>
        </w:rPr>
        <w:t>u</w:t>
      </w:r>
      <w:r w:rsidRPr="006B5701">
        <w:rPr>
          <w:szCs w:val="22"/>
          <w:lang w:val="sr-Latn-CS"/>
        </w:rPr>
        <w:t xml:space="preserve"> </w:t>
      </w:r>
      <w:r w:rsidRPr="006B5701">
        <w:rPr>
          <w:szCs w:val="22"/>
          <w:lang w:val="pl-PL"/>
        </w:rPr>
        <w:t>potpunosti</w:t>
      </w:r>
      <w:r w:rsidRPr="006B5701">
        <w:rPr>
          <w:szCs w:val="22"/>
          <w:lang w:val="sr-Latn-CS"/>
        </w:rPr>
        <w:t xml:space="preserve"> </w:t>
      </w:r>
      <w:r w:rsidRPr="006B5701">
        <w:rPr>
          <w:szCs w:val="22"/>
          <w:lang w:val="pl-PL"/>
        </w:rPr>
        <w:t>razja</w:t>
      </w:r>
      <w:r w:rsidRPr="006B5701">
        <w:rPr>
          <w:szCs w:val="22"/>
          <w:lang w:val="sr-Latn-CS"/>
        </w:rPr>
        <w:t>š</w:t>
      </w:r>
      <w:r w:rsidRPr="006B5701">
        <w:rPr>
          <w:szCs w:val="22"/>
          <w:lang w:val="pl-PL"/>
        </w:rPr>
        <w:t>njena</w:t>
      </w:r>
      <w:r w:rsidRPr="006B5701">
        <w:rPr>
          <w:szCs w:val="22"/>
          <w:lang w:val="sr-Latn-CS"/>
        </w:rPr>
        <w:t>.</w:t>
      </w:r>
    </w:p>
    <w:p w14:paraId="09421C3A" w14:textId="77777777" w:rsidR="00B372EA" w:rsidRPr="006B5701" w:rsidRDefault="00B372EA" w:rsidP="00B372EA">
      <w:pPr>
        <w:jc w:val="left"/>
        <w:rPr>
          <w:szCs w:val="22"/>
          <w:lang w:val="sr-Latn-CS"/>
        </w:rPr>
      </w:pPr>
    </w:p>
    <w:p w14:paraId="4841A4DA" w14:textId="337F90E7" w:rsidR="00B372EA" w:rsidRPr="006B5701" w:rsidRDefault="00B372EA" w:rsidP="00B372EA">
      <w:pPr>
        <w:jc w:val="left"/>
        <w:rPr>
          <w:szCs w:val="22"/>
          <w:lang w:val="sr-Latn-CS"/>
        </w:rPr>
      </w:pPr>
      <w:r w:rsidRPr="006B5701">
        <w:rPr>
          <w:szCs w:val="22"/>
          <w:lang w:val="pl-PL"/>
        </w:rPr>
        <w:t>Ka</w:t>
      </w:r>
      <w:r w:rsidRPr="006B5701">
        <w:rPr>
          <w:szCs w:val="22"/>
          <w:lang w:val="sr-Latn-CS"/>
        </w:rPr>
        <w:t>š</w:t>
      </w:r>
      <w:r w:rsidRPr="006B5701">
        <w:rPr>
          <w:szCs w:val="22"/>
          <w:lang w:val="pl-PL"/>
        </w:rPr>
        <w:t>njenje</w:t>
      </w:r>
      <w:r w:rsidRPr="006B5701">
        <w:rPr>
          <w:szCs w:val="22"/>
          <w:lang w:val="sr-Latn-CS"/>
        </w:rPr>
        <w:t xml:space="preserve"> </w:t>
      </w:r>
      <w:r w:rsidRPr="006B5701">
        <w:rPr>
          <w:szCs w:val="22"/>
          <w:lang w:val="pl-PL"/>
        </w:rPr>
        <w:t>seksualnog</w:t>
      </w:r>
      <w:r w:rsidRPr="006B5701">
        <w:rPr>
          <w:szCs w:val="22"/>
          <w:lang w:val="sr-Latn-CS"/>
        </w:rPr>
        <w:t xml:space="preserve"> </w:t>
      </w:r>
      <w:r w:rsidRPr="006B5701">
        <w:rPr>
          <w:szCs w:val="22"/>
          <w:lang w:val="pl-PL"/>
        </w:rPr>
        <w:t>sazrevanja</w:t>
      </w:r>
      <w:r w:rsidRPr="006B5701">
        <w:rPr>
          <w:szCs w:val="22"/>
          <w:lang w:val="sr-Latn-CS"/>
        </w:rPr>
        <w:t xml:space="preserve"> (</w:t>
      </w:r>
      <w:r w:rsidRPr="006B5701">
        <w:rPr>
          <w:szCs w:val="22"/>
          <w:lang w:val="pl-PL"/>
        </w:rPr>
        <w:t>na</w:t>
      </w:r>
      <w:r w:rsidRPr="006B5701">
        <w:rPr>
          <w:szCs w:val="22"/>
          <w:lang w:val="sr-Latn-CS"/>
        </w:rPr>
        <w:t xml:space="preserve"> </w:t>
      </w:r>
      <w:r w:rsidRPr="006B5701">
        <w:rPr>
          <w:szCs w:val="22"/>
          <w:lang w:val="pl-PL"/>
        </w:rPr>
        <w:t>primer</w:t>
      </w:r>
      <w:r w:rsidRPr="006B5701">
        <w:rPr>
          <w:szCs w:val="22"/>
          <w:lang w:val="sr-Latn-CS"/>
        </w:rPr>
        <w:t xml:space="preserve">, </w:t>
      </w:r>
      <w:r w:rsidRPr="006B5701">
        <w:rPr>
          <w:szCs w:val="22"/>
          <w:lang w:val="pl-PL"/>
        </w:rPr>
        <w:t>odvajanje</w:t>
      </w:r>
      <w:r w:rsidRPr="006B5701">
        <w:rPr>
          <w:szCs w:val="22"/>
          <w:lang w:val="sr-Latn-CS"/>
        </w:rPr>
        <w:t xml:space="preserve"> </w:t>
      </w:r>
      <w:r w:rsidRPr="006B5701">
        <w:rPr>
          <w:szCs w:val="22"/>
          <w:lang w:val="pl-PL"/>
        </w:rPr>
        <w:t>prepucijuma</w:t>
      </w:r>
      <w:r w:rsidRPr="006B5701">
        <w:rPr>
          <w:szCs w:val="22"/>
          <w:lang w:val="sr-Latn-CS"/>
        </w:rPr>
        <w:t xml:space="preserve"> </w:t>
      </w:r>
      <w:r w:rsidRPr="006B5701">
        <w:rPr>
          <w:szCs w:val="22"/>
          <w:lang w:val="pl-PL"/>
        </w:rPr>
        <w:t>i</w:t>
      </w:r>
      <w:r w:rsidRPr="006B5701">
        <w:rPr>
          <w:szCs w:val="22"/>
          <w:lang w:val="sr-Latn-CS"/>
        </w:rPr>
        <w:t xml:space="preserve"> </w:t>
      </w:r>
      <w:r w:rsidRPr="006B5701">
        <w:rPr>
          <w:szCs w:val="22"/>
          <w:lang w:val="pl-PL"/>
        </w:rPr>
        <w:t>formiranje</w:t>
      </w:r>
      <w:r w:rsidRPr="006B5701">
        <w:rPr>
          <w:szCs w:val="22"/>
          <w:lang w:val="sr-Latn-CS"/>
        </w:rPr>
        <w:t xml:space="preserve"> </w:t>
      </w:r>
      <w:r w:rsidRPr="006B5701">
        <w:rPr>
          <w:szCs w:val="22"/>
          <w:lang w:val="pl-PL"/>
        </w:rPr>
        <w:t>vaginalnog</w:t>
      </w:r>
      <w:r w:rsidRPr="006B5701">
        <w:rPr>
          <w:szCs w:val="22"/>
          <w:lang w:val="sr-Latn-CS"/>
        </w:rPr>
        <w:t xml:space="preserve"> </w:t>
      </w:r>
      <w:r w:rsidRPr="006B5701">
        <w:rPr>
          <w:szCs w:val="22"/>
          <w:lang w:val="pl-PL"/>
        </w:rPr>
        <w:t>otvora</w:t>
      </w:r>
      <w:r w:rsidRPr="006B5701">
        <w:rPr>
          <w:szCs w:val="22"/>
          <w:lang w:val="sr-Latn-CS"/>
        </w:rPr>
        <w:t xml:space="preserve">) </w:t>
      </w:r>
      <w:r w:rsidRPr="006B5701">
        <w:rPr>
          <w:szCs w:val="22"/>
          <w:lang w:val="pl-PL"/>
        </w:rPr>
        <w:t>zab</w:t>
      </w:r>
      <w:r w:rsidR="00346B55">
        <w:rPr>
          <w:szCs w:val="22"/>
          <w:lang w:val="pl-PL"/>
        </w:rPr>
        <w:t>i</w:t>
      </w:r>
      <w:r w:rsidRPr="006B5701">
        <w:rPr>
          <w:szCs w:val="22"/>
          <w:lang w:val="pl-PL"/>
        </w:rPr>
        <w:t>l</w:t>
      </w:r>
      <w:r w:rsidR="00346B55">
        <w:rPr>
          <w:szCs w:val="22"/>
          <w:lang w:val="pl-PL"/>
        </w:rPr>
        <w:t>i</w:t>
      </w:r>
      <w:r w:rsidRPr="006B5701">
        <w:rPr>
          <w:szCs w:val="22"/>
          <w:lang w:val="pl-PL"/>
        </w:rPr>
        <w:t>e</w:t>
      </w:r>
      <w:r w:rsidRPr="006B5701">
        <w:rPr>
          <w:szCs w:val="22"/>
          <w:lang w:val="sr-Latn-CS"/>
        </w:rPr>
        <w:t>ž</w:t>
      </w:r>
      <w:r w:rsidRPr="006B5701">
        <w:rPr>
          <w:szCs w:val="22"/>
          <w:lang w:val="pl-PL"/>
        </w:rPr>
        <w:t>eno</w:t>
      </w:r>
      <w:r w:rsidRPr="006B5701">
        <w:rPr>
          <w:szCs w:val="22"/>
          <w:lang w:val="sr-Latn-CS"/>
        </w:rPr>
        <w:t xml:space="preserve"> </w:t>
      </w:r>
      <w:r w:rsidRPr="006B5701">
        <w:rPr>
          <w:szCs w:val="22"/>
          <w:lang w:val="pl-PL"/>
        </w:rPr>
        <w:t>je</w:t>
      </w:r>
      <w:r w:rsidRPr="006B5701">
        <w:rPr>
          <w:szCs w:val="22"/>
          <w:lang w:val="sr-Latn-CS"/>
        </w:rPr>
        <w:t xml:space="preserve"> </w:t>
      </w:r>
      <w:r w:rsidRPr="006B5701">
        <w:rPr>
          <w:szCs w:val="22"/>
          <w:lang w:val="pl-PL"/>
        </w:rPr>
        <w:t>kod</w:t>
      </w:r>
      <w:r w:rsidRPr="006B5701">
        <w:rPr>
          <w:szCs w:val="22"/>
          <w:lang w:val="sr-Latn-CS"/>
        </w:rPr>
        <w:t xml:space="preserve"> </w:t>
      </w:r>
      <w:r w:rsidRPr="006B5701">
        <w:rPr>
          <w:szCs w:val="22"/>
          <w:lang w:val="pl-PL"/>
        </w:rPr>
        <w:t>pacova</w:t>
      </w:r>
      <w:r w:rsidRPr="006B5701">
        <w:rPr>
          <w:szCs w:val="22"/>
          <w:lang w:val="sr-Latn-CS"/>
        </w:rPr>
        <w:t xml:space="preserve">. </w:t>
      </w:r>
      <w:r w:rsidRPr="006B5701">
        <w:rPr>
          <w:szCs w:val="22"/>
          <w:lang w:val="pl-PL"/>
        </w:rPr>
        <w:t>Zna</w:t>
      </w:r>
      <w:r w:rsidRPr="006B5701">
        <w:rPr>
          <w:szCs w:val="22"/>
          <w:lang w:val="sr-Latn-CS"/>
        </w:rPr>
        <w:t>č</w:t>
      </w:r>
      <w:r w:rsidRPr="006B5701">
        <w:rPr>
          <w:szCs w:val="22"/>
          <w:lang w:val="pl-PL"/>
        </w:rPr>
        <w:t>aj</w:t>
      </w:r>
      <w:r w:rsidRPr="006B5701">
        <w:rPr>
          <w:szCs w:val="22"/>
          <w:lang w:val="sr-Latn-CS"/>
        </w:rPr>
        <w:t xml:space="preserve"> </w:t>
      </w:r>
      <w:r w:rsidRPr="006B5701">
        <w:rPr>
          <w:szCs w:val="22"/>
          <w:lang w:val="pl-PL"/>
        </w:rPr>
        <w:t>za</w:t>
      </w:r>
      <w:r w:rsidRPr="006B5701">
        <w:rPr>
          <w:szCs w:val="22"/>
          <w:lang w:val="sr-Latn-CS"/>
        </w:rPr>
        <w:t xml:space="preserve"> </w:t>
      </w:r>
      <w:r w:rsidRPr="006B5701">
        <w:rPr>
          <w:szCs w:val="22"/>
          <w:lang w:val="pl-PL"/>
        </w:rPr>
        <w:t>humanu</w:t>
      </w:r>
      <w:r w:rsidRPr="006B5701">
        <w:rPr>
          <w:szCs w:val="22"/>
          <w:lang w:val="sr-Latn-CS"/>
        </w:rPr>
        <w:t xml:space="preserve"> </w:t>
      </w:r>
      <w:r w:rsidRPr="006B5701">
        <w:rPr>
          <w:szCs w:val="22"/>
          <w:lang w:val="pl-PL"/>
        </w:rPr>
        <w:t>populaciju</w:t>
      </w:r>
      <w:r w:rsidRPr="006B5701">
        <w:rPr>
          <w:szCs w:val="22"/>
          <w:lang w:val="sr-Latn-CS"/>
        </w:rPr>
        <w:t xml:space="preserve"> </w:t>
      </w:r>
      <w:r w:rsidRPr="006B5701">
        <w:rPr>
          <w:szCs w:val="22"/>
          <w:lang w:val="pl-PL"/>
        </w:rPr>
        <w:t>nije</w:t>
      </w:r>
      <w:r w:rsidRPr="006B5701">
        <w:rPr>
          <w:szCs w:val="22"/>
          <w:lang w:val="sr-Latn-CS"/>
        </w:rPr>
        <w:t xml:space="preserve"> </w:t>
      </w:r>
      <w:r w:rsidRPr="006B5701">
        <w:rPr>
          <w:szCs w:val="22"/>
          <w:lang w:val="pl-PL"/>
        </w:rPr>
        <w:t>poznat</w:t>
      </w:r>
      <w:r w:rsidRPr="006B5701">
        <w:rPr>
          <w:szCs w:val="22"/>
          <w:lang w:val="sr-Latn-CS"/>
        </w:rPr>
        <w:t>.</w:t>
      </w:r>
    </w:p>
    <w:p w14:paraId="195E197D" w14:textId="77777777" w:rsidR="00B372EA" w:rsidRPr="006B5701" w:rsidRDefault="00B372EA" w:rsidP="00B372EA">
      <w:pPr>
        <w:jc w:val="left"/>
        <w:rPr>
          <w:szCs w:val="22"/>
          <w:lang w:val="sr-Latn-CS"/>
        </w:rPr>
      </w:pPr>
    </w:p>
    <w:p w14:paraId="4A047F2A" w14:textId="3FE6CE0D" w:rsidR="00B372EA" w:rsidRPr="006B5701" w:rsidRDefault="00B372EA" w:rsidP="00B372EA">
      <w:pPr>
        <w:jc w:val="left"/>
        <w:rPr>
          <w:szCs w:val="22"/>
          <w:lang w:val="sr-Latn-CS"/>
        </w:rPr>
      </w:pPr>
      <w:r w:rsidRPr="006B5701">
        <w:rPr>
          <w:szCs w:val="22"/>
          <w:lang w:val="pl-PL"/>
        </w:rPr>
        <w:t>Pramipeksol</w:t>
      </w:r>
      <w:r w:rsidRPr="006B5701">
        <w:rPr>
          <w:szCs w:val="22"/>
          <w:lang w:val="sr-Latn-CS"/>
        </w:rPr>
        <w:t xml:space="preserve"> </w:t>
      </w:r>
      <w:r w:rsidRPr="006B5701">
        <w:rPr>
          <w:szCs w:val="22"/>
          <w:lang w:val="pl-PL"/>
        </w:rPr>
        <w:t>nije</w:t>
      </w:r>
      <w:r w:rsidRPr="006B5701">
        <w:rPr>
          <w:szCs w:val="22"/>
          <w:lang w:val="sr-Latn-CS"/>
        </w:rPr>
        <w:t xml:space="preserve"> </w:t>
      </w:r>
      <w:r w:rsidRPr="006B5701">
        <w:rPr>
          <w:szCs w:val="22"/>
          <w:lang w:val="pl-PL"/>
        </w:rPr>
        <w:t>bio</w:t>
      </w:r>
      <w:r w:rsidRPr="006B5701">
        <w:rPr>
          <w:szCs w:val="22"/>
          <w:lang w:val="sr-Latn-CS"/>
        </w:rPr>
        <w:t xml:space="preserve"> </w:t>
      </w:r>
      <w:r w:rsidRPr="006B5701">
        <w:rPr>
          <w:szCs w:val="22"/>
          <w:lang w:val="pl-PL"/>
        </w:rPr>
        <w:t>genotoksi</w:t>
      </w:r>
      <w:r w:rsidRPr="006B5701">
        <w:rPr>
          <w:szCs w:val="22"/>
          <w:lang w:val="sr-Latn-CS"/>
        </w:rPr>
        <w:t>č</w:t>
      </w:r>
      <w:r w:rsidRPr="006B5701">
        <w:rPr>
          <w:szCs w:val="22"/>
          <w:lang w:val="pl-PL"/>
        </w:rPr>
        <w:t>an</w:t>
      </w:r>
      <w:r w:rsidRPr="006B5701">
        <w:rPr>
          <w:szCs w:val="22"/>
          <w:lang w:val="sr-Latn-CS"/>
        </w:rPr>
        <w:t xml:space="preserve">. </w:t>
      </w:r>
      <w:r w:rsidRPr="006B5701">
        <w:rPr>
          <w:szCs w:val="22"/>
          <w:lang w:val="pl-PL"/>
        </w:rPr>
        <w:t>U</w:t>
      </w:r>
      <w:r w:rsidRPr="006B5701">
        <w:rPr>
          <w:szCs w:val="22"/>
          <w:lang w:val="sr-Latn-CS"/>
        </w:rPr>
        <w:t xml:space="preserve"> </w:t>
      </w:r>
      <w:r w:rsidRPr="006B5701">
        <w:rPr>
          <w:szCs w:val="22"/>
          <w:lang w:val="pl-PL"/>
        </w:rPr>
        <w:t>ispitivanjima</w:t>
      </w:r>
      <w:r w:rsidRPr="006B5701">
        <w:rPr>
          <w:szCs w:val="22"/>
          <w:lang w:val="sr-Latn-CS"/>
        </w:rPr>
        <w:t xml:space="preserve"> </w:t>
      </w:r>
      <w:r w:rsidRPr="006B5701">
        <w:rPr>
          <w:szCs w:val="22"/>
          <w:lang w:val="pl-PL"/>
        </w:rPr>
        <w:t>kancerogenosti</w:t>
      </w:r>
      <w:r w:rsidRPr="006B5701">
        <w:rPr>
          <w:szCs w:val="22"/>
          <w:lang w:val="sr-Latn-CS"/>
        </w:rPr>
        <w:t xml:space="preserve">, </w:t>
      </w:r>
      <w:r w:rsidRPr="006B5701">
        <w:rPr>
          <w:szCs w:val="22"/>
          <w:lang w:val="pl-PL"/>
        </w:rPr>
        <w:t>pacovi</w:t>
      </w:r>
      <w:r w:rsidRPr="006B5701">
        <w:rPr>
          <w:szCs w:val="22"/>
          <w:lang w:val="sr-Latn-CS"/>
        </w:rPr>
        <w:t xml:space="preserve"> </w:t>
      </w:r>
      <w:r w:rsidRPr="006B5701">
        <w:rPr>
          <w:szCs w:val="22"/>
          <w:lang w:val="pl-PL"/>
        </w:rPr>
        <w:t>mu</w:t>
      </w:r>
      <w:r w:rsidRPr="006B5701">
        <w:rPr>
          <w:szCs w:val="22"/>
          <w:lang w:val="sr-Latn-CS"/>
        </w:rPr>
        <w:t>š</w:t>
      </w:r>
      <w:r w:rsidRPr="006B5701">
        <w:rPr>
          <w:szCs w:val="22"/>
          <w:lang w:val="pl-PL"/>
        </w:rPr>
        <w:t>kog</w:t>
      </w:r>
      <w:r w:rsidRPr="006B5701">
        <w:rPr>
          <w:szCs w:val="22"/>
          <w:lang w:val="sr-Latn-CS"/>
        </w:rPr>
        <w:t xml:space="preserve"> </w:t>
      </w:r>
      <w:r w:rsidRPr="006B5701">
        <w:rPr>
          <w:szCs w:val="22"/>
          <w:lang w:val="pl-PL"/>
        </w:rPr>
        <w:t>pola</w:t>
      </w:r>
      <w:r w:rsidRPr="006B5701">
        <w:rPr>
          <w:szCs w:val="22"/>
          <w:lang w:val="sr-Latn-CS"/>
        </w:rPr>
        <w:t xml:space="preserve"> </w:t>
      </w:r>
      <w:r w:rsidRPr="006B5701">
        <w:rPr>
          <w:szCs w:val="22"/>
          <w:lang w:val="pl-PL"/>
        </w:rPr>
        <w:t>razvijali</w:t>
      </w:r>
      <w:r w:rsidRPr="006B5701">
        <w:rPr>
          <w:szCs w:val="22"/>
          <w:lang w:val="sr-Latn-CS"/>
        </w:rPr>
        <w:t xml:space="preserve"> </w:t>
      </w:r>
      <w:r w:rsidRPr="006B5701">
        <w:rPr>
          <w:szCs w:val="22"/>
          <w:lang w:val="pl-PL"/>
        </w:rPr>
        <w:t>su</w:t>
      </w:r>
      <w:r w:rsidRPr="006B5701">
        <w:rPr>
          <w:szCs w:val="22"/>
          <w:lang w:val="sr-Latn-CS"/>
        </w:rPr>
        <w:t xml:space="preserve"> </w:t>
      </w:r>
      <w:r w:rsidRPr="006B5701">
        <w:rPr>
          <w:szCs w:val="22"/>
          <w:lang w:val="pl-PL"/>
        </w:rPr>
        <w:t>hiperplaziju</w:t>
      </w:r>
      <w:r w:rsidRPr="006B5701">
        <w:rPr>
          <w:szCs w:val="22"/>
          <w:lang w:val="sr-Latn-CS"/>
        </w:rPr>
        <w:t xml:space="preserve"> </w:t>
      </w:r>
      <w:r w:rsidRPr="006B5701">
        <w:rPr>
          <w:szCs w:val="22"/>
          <w:lang w:val="pl-PL"/>
        </w:rPr>
        <w:t>i</w:t>
      </w:r>
      <w:r w:rsidRPr="006B5701">
        <w:rPr>
          <w:szCs w:val="22"/>
          <w:lang w:val="sr-Latn-CS"/>
        </w:rPr>
        <w:t xml:space="preserve"> </w:t>
      </w:r>
      <w:r w:rsidRPr="006B5701">
        <w:rPr>
          <w:szCs w:val="22"/>
          <w:lang w:val="pl-PL"/>
        </w:rPr>
        <w:t>adenome</w:t>
      </w:r>
      <w:r w:rsidRPr="006B5701">
        <w:rPr>
          <w:szCs w:val="22"/>
          <w:lang w:val="sr-Latn-CS"/>
        </w:rPr>
        <w:t xml:space="preserve"> </w:t>
      </w:r>
      <w:r w:rsidRPr="006B5701">
        <w:rPr>
          <w:szCs w:val="22"/>
          <w:lang w:val="pl-PL"/>
        </w:rPr>
        <w:t>Lejdigovih</w:t>
      </w:r>
      <w:r w:rsidRPr="006B5701">
        <w:rPr>
          <w:szCs w:val="22"/>
          <w:lang w:val="sr-Latn-CS"/>
        </w:rPr>
        <w:t xml:space="preserve"> ć</w:t>
      </w:r>
      <w:r w:rsidRPr="006B5701">
        <w:rPr>
          <w:szCs w:val="22"/>
          <w:lang w:val="pl-PL"/>
        </w:rPr>
        <w:t>elija</w:t>
      </w:r>
      <w:r w:rsidRPr="006B5701">
        <w:rPr>
          <w:szCs w:val="22"/>
          <w:lang w:val="sr-Latn-CS"/>
        </w:rPr>
        <w:t>, š</w:t>
      </w:r>
      <w:r w:rsidRPr="006B5701">
        <w:rPr>
          <w:szCs w:val="22"/>
          <w:lang w:val="pl-PL"/>
        </w:rPr>
        <w:t>to</w:t>
      </w:r>
      <w:r w:rsidRPr="006B5701">
        <w:rPr>
          <w:szCs w:val="22"/>
          <w:lang w:val="sr-Latn-CS"/>
        </w:rPr>
        <w:t xml:space="preserve"> </w:t>
      </w:r>
      <w:r w:rsidRPr="006B5701">
        <w:rPr>
          <w:szCs w:val="22"/>
          <w:lang w:val="pl-PL"/>
        </w:rPr>
        <w:t>se</w:t>
      </w:r>
      <w:r w:rsidRPr="006B5701">
        <w:rPr>
          <w:szCs w:val="22"/>
          <w:lang w:val="sr-Latn-CS"/>
        </w:rPr>
        <w:t xml:space="preserve"> </w:t>
      </w:r>
      <w:r w:rsidRPr="006B5701">
        <w:rPr>
          <w:szCs w:val="22"/>
          <w:lang w:val="pl-PL"/>
        </w:rPr>
        <w:t>tuma</w:t>
      </w:r>
      <w:r w:rsidRPr="006B5701">
        <w:rPr>
          <w:szCs w:val="22"/>
          <w:lang w:val="sr-Latn-CS"/>
        </w:rPr>
        <w:t>č</w:t>
      </w:r>
      <w:r w:rsidRPr="006B5701">
        <w:rPr>
          <w:szCs w:val="22"/>
          <w:lang w:val="pl-PL"/>
        </w:rPr>
        <w:t>i</w:t>
      </w:r>
      <w:r w:rsidRPr="006B5701">
        <w:rPr>
          <w:szCs w:val="22"/>
          <w:lang w:val="sr-Latn-CS"/>
        </w:rPr>
        <w:t xml:space="preserve"> </w:t>
      </w:r>
      <w:r w:rsidRPr="006B5701">
        <w:rPr>
          <w:szCs w:val="22"/>
          <w:lang w:val="pl-PL"/>
        </w:rPr>
        <w:t>dejstvom</w:t>
      </w:r>
      <w:r w:rsidRPr="006B5701">
        <w:rPr>
          <w:szCs w:val="22"/>
          <w:lang w:val="sr-Latn-CS"/>
        </w:rPr>
        <w:t xml:space="preserve"> </w:t>
      </w:r>
      <w:r w:rsidRPr="006B5701">
        <w:rPr>
          <w:szCs w:val="22"/>
          <w:lang w:val="pl-PL"/>
        </w:rPr>
        <w:t>pramipeksola</w:t>
      </w:r>
      <w:r w:rsidRPr="006B5701">
        <w:rPr>
          <w:szCs w:val="22"/>
          <w:lang w:val="sr-Latn-CS"/>
        </w:rPr>
        <w:t xml:space="preserve"> </w:t>
      </w:r>
      <w:r w:rsidRPr="006B5701">
        <w:rPr>
          <w:szCs w:val="22"/>
          <w:lang w:val="pl-PL"/>
        </w:rPr>
        <w:t>na</w:t>
      </w:r>
      <w:r w:rsidRPr="006B5701">
        <w:rPr>
          <w:szCs w:val="22"/>
          <w:lang w:val="sr-Latn-CS"/>
        </w:rPr>
        <w:t xml:space="preserve"> </w:t>
      </w:r>
      <w:r w:rsidRPr="006B5701">
        <w:rPr>
          <w:szCs w:val="22"/>
          <w:lang w:val="pl-PL"/>
        </w:rPr>
        <w:t>inhibiciju</w:t>
      </w:r>
      <w:r w:rsidRPr="006B5701">
        <w:rPr>
          <w:szCs w:val="22"/>
          <w:lang w:val="sr-Latn-CS"/>
        </w:rPr>
        <w:t xml:space="preserve"> </w:t>
      </w:r>
      <w:r w:rsidRPr="006B5701">
        <w:rPr>
          <w:szCs w:val="22"/>
          <w:lang w:val="pl-PL"/>
        </w:rPr>
        <w:t>prolaktina</w:t>
      </w:r>
      <w:r w:rsidRPr="006B5701">
        <w:rPr>
          <w:szCs w:val="22"/>
          <w:lang w:val="sr-Latn-CS"/>
        </w:rPr>
        <w:t xml:space="preserve">. </w:t>
      </w:r>
      <w:r w:rsidRPr="006B5701">
        <w:rPr>
          <w:szCs w:val="22"/>
          <w:lang w:val="pl-PL"/>
        </w:rPr>
        <w:t>Ovaj</w:t>
      </w:r>
      <w:r w:rsidRPr="006B5701">
        <w:rPr>
          <w:szCs w:val="22"/>
          <w:lang w:val="sr-Latn-CS"/>
        </w:rPr>
        <w:t xml:space="preserve"> </w:t>
      </w:r>
      <w:r w:rsidRPr="006B5701">
        <w:rPr>
          <w:szCs w:val="22"/>
          <w:lang w:val="pl-PL"/>
        </w:rPr>
        <w:t>nalaz</w:t>
      </w:r>
      <w:r w:rsidRPr="006B5701">
        <w:rPr>
          <w:szCs w:val="22"/>
          <w:lang w:val="sr-Latn-CS"/>
        </w:rPr>
        <w:t xml:space="preserve"> </w:t>
      </w:r>
      <w:r w:rsidRPr="006B5701">
        <w:rPr>
          <w:szCs w:val="22"/>
          <w:lang w:val="pl-PL"/>
        </w:rPr>
        <w:t>nije</w:t>
      </w:r>
      <w:r w:rsidRPr="006B5701">
        <w:rPr>
          <w:szCs w:val="22"/>
          <w:lang w:val="sr-Latn-CS"/>
        </w:rPr>
        <w:t xml:space="preserve"> </w:t>
      </w:r>
      <w:r w:rsidRPr="006B5701">
        <w:rPr>
          <w:szCs w:val="22"/>
          <w:lang w:val="pl-PL"/>
        </w:rPr>
        <w:t>klini</w:t>
      </w:r>
      <w:r w:rsidRPr="006B5701">
        <w:rPr>
          <w:szCs w:val="22"/>
          <w:lang w:val="sr-Latn-CS"/>
        </w:rPr>
        <w:t>č</w:t>
      </w:r>
      <w:r w:rsidRPr="006B5701">
        <w:rPr>
          <w:szCs w:val="22"/>
          <w:lang w:val="pl-PL"/>
        </w:rPr>
        <w:t>ki</w:t>
      </w:r>
      <w:r w:rsidRPr="006B5701">
        <w:rPr>
          <w:szCs w:val="22"/>
          <w:lang w:val="sr-Latn-CS"/>
        </w:rPr>
        <w:t xml:space="preserve"> </w:t>
      </w:r>
      <w:r w:rsidRPr="006B5701">
        <w:rPr>
          <w:szCs w:val="22"/>
          <w:lang w:val="pl-PL"/>
        </w:rPr>
        <w:t>relevantan</w:t>
      </w:r>
      <w:r w:rsidRPr="006B5701">
        <w:rPr>
          <w:szCs w:val="22"/>
          <w:lang w:val="sr-Latn-CS"/>
        </w:rPr>
        <w:t xml:space="preserve"> </w:t>
      </w:r>
      <w:r w:rsidRPr="006B5701">
        <w:rPr>
          <w:szCs w:val="22"/>
          <w:lang w:val="pl-PL"/>
        </w:rPr>
        <w:t>za</w:t>
      </w:r>
      <w:r w:rsidRPr="006B5701">
        <w:rPr>
          <w:szCs w:val="22"/>
          <w:lang w:val="sr-Latn-CS"/>
        </w:rPr>
        <w:t xml:space="preserve"> </w:t>
      </w:r>
      <w:r w:rsidRPr="006B5701">
        <w:rPr>
          <w:szCs w:val="22"/>
          <w:lang w:val="pl-PL"/>
        </w:rPr>
        <w:t>humanu</w:t>
      </w:r>
      <w:r w:rsidRPr="006B5701">
        <w:rPr>
          <w:szCs w:val="22"/>
          <w:lang w:val="sr-Latn-CS"/>
        </w:rPr>
        <w:t xml:space="preserve"> </w:t>
      </w:r>
      <w:r w:rsidRPr="006B5701">
        <w:rPr>
          <w:szCs w:val="22"/>
          <w:lang w:val="pl-PL"/>
        </w:rPr>
        <w:t>populaciju</w:t>
      </w:r>
      <w:r w:rsidRPr="006B5701">
        <w:rPr>
          <w:szCs w:val="22"/>
          <w:lang w:val="sr-Latn-CS"/>
        </w:rPr>
        <w:t xml:space="preserve">. </w:t>
      </w:r>
      <w:r w:rsidRPr="006B5701">
        <w:rPr>
          <w:szCs w:val="22"/>
          <w:lang w:val="pl-PL"/>
        </w:rPr>
        <w:t>U</w:t>
      </w:r>
      <w:r w:rsidRPr="006B5701">
        <w:rPr>
          <w:szCs w:val="22"/>
          <w:lang w:val="sr-Latn-CS"/>
        </w:rPr>
        <w:t xml:space="preserve"> </w:t>
      </w:r>
      <w:r w:rsidRPr="006B5701">
        <w:rPr>
          <w:szCs w:val="22"/>
          <w:lang w:val="pl-PL"/>
        </w:rPr>
        <w:t>istoj</w:t>
      </w:r>
      <w:r w:rsidRPr="006B5701">
        <w:rPr>
          <w:szCs w:val="22"/>
          <w:lang w:val="sr-Latn-CS"/>
        </w:rPr>
        <w:t xml:space="preserve"> </w:t>
      </w:r>
      <w:r w:rsidRPr="006B5701">
        <w:rPr>
          <w:szCs w:val="22"/>
          <w:lang w:val="pl-PL"/>
        </w:rPr>
        <w:t>studiji</w:t>
      </w:r>
      <w:r w:rsidRPr="006B5701">
        <w:rPr>
          <w:szCs w:val="22"/>
          <w:lang w:val="sr-Latn-CS"/>
        </w:rPr>
        <w:t xml:space="preserve"> </w:t>
      </w:r>
      <w:r w:rsidRPr="006B5701">
        <w:rPr>
          <w:szCs w:val="22"/>
          <w:lang w:val="pl-PL"/>
        </w:rPr>
        <w:t>pokazano</w:t>
      </w:r>
      <w:r w:rsidRPr="006B5701">
        <w:rPr>
          <w:szCs w:val="22"/>
          <w:lang w:val="sr-Latn-CS"/>
        </w:rPr>
        <w:t xml:space="preserve"> </w:t>
      </w:r>
      <w:r w:rsidRPr="006B5701">
        <w:rPr>
          <w:szCs w:val="22"/>
          <w:lang w:val="pl-PL"/>
        </w:rPr>
        <w:t>je</w:t>
      </w:r>
      <w:r w:rsidRPr="006B5701">
        <w:rPr>
          <w:szCs w:val="22"/>
          <w:lang w:val="sr-Latn-CS"/>
        </w:rPr>
        <w:t xml:space="preserve"> </w:t>
      </w:r>
      <w:r w:rsidRPr="006B5701">
        <w:rPr>
          <w:szCs w:val="22"/>
          <w:lang w:val="pl-PL"/>
        </w:rPr>
        <w:t>i</w:t>
      </w:r>
      <w:r w:rsidRPr="006B5701">
        <w:rPr>
          <w:szCs w:val="22"/>
          <w:lang w:val="sr-Latn-CS"/>
        </w:rPr>
        <w:t xml:space="preserve"> </w:t>
      </w:r>
      <w:r w:rsidRPr="006B5701">
        <w:rPr>
          <w:szCs w:val="22"/>
          <w:lang w:val="pl-PL"/>
        </w:rPr>
        <w:t>da</w:t>
      </w:r>
      <w:r w:rsidRPr="006B5701">
        <w:rPr>
          <w:szCs w:val="22"/>
          <w:lang w:val="sr-Latn-CS"/>
        </w:rPr>
        <w:t xml:space="preserve"> </w:t>
      </w:r>
      <w:r w:rsidRPr="006B5701">
        <w:rPr>
          <w:szCs w:val="22"/>
          <w:lang w:val="pl-PL"/>
        </w:rPr>
        <w:t>pri</w:t>
      </w:r>
      <w:r w:rsidRPr="006B5701">
        <w:rPr>
          <w:szCs w:val="22"/>
          <w:lang w:val="sr-Latn-CS"/>
        </w:rPr>
        <w:t xml:space="preserve"> </w:t>
      </w:r>
      <w:r w:rsidRPr="006B5701">
        <w:rPr>
          <w:szCs w:val="22"/>
          <w:lang w:val="pl-PL"/>
        </w:rPr>
        <w:t>dozama</w:t>
      </w:r>
      <w:r w:rsidRPr="006B5701">
        <w:rPr>
          <w:szCs w:val="22"/>
          <w:lang w:val="sr-Latn-CS"/>
        </w:rPr>
        <w:t xml:space="preserve"> </w:t>
      </w:r>
      <w:r w:rsidRPr="006B5701">
        <w:rPr>
          <w:szCs w:val="22"/>
          <w:lang w:val="pl-PL"/>
        </w:rPr>
        <w:t>od</w:t>
      </w:r>
      <w:r w:rsidRPr="006B5701">
        <w:rPr>
          <w:szCs w:val="22"/>
          <w:lang w:val="sr-Latn-CS"/>
        </w:rPr>
        <w:t xml:space="preserve"> 2 </w:t>
      </w:r>
      <w:r w:rsidRPr="006B5701">
        <w:rPr>
          <w:szCs w:val="22"/>
          <w:lang w:val="pl-PL"/>
        </w:rPr>
        <w:t>mg</w:t>
      </w:r>
      <w:r w:rsidRPr="006B5701">
        <w:rPr>
          <w:szCs w:val="22"/>
          <w:lang w:val="sr-Latn-CS"/>
        </w:rPr>
        <w:t>/</w:t>
      </w:r>
      <w:r w:rsidRPr="006B5701">
        <w:rPr>
          <w:szCs w:val="22"/>
          <w:lang w:val="pl-PL"/>
        </w:rPr>
        <w:t>kg</w:t>
      </w:r>
      <w:r w:rsidRPr="006B5701">
        <w:rPr>
          <w:szCs w:val="22"/>
          <w:lang w:val="sr-Latn-CS"/>
        </w:rPr>
        <w:t xml:space="preserve"> (</w:t>
      </w:r>
      <w:r w:rsidRPr="006B5701">
        <w:rPr>
          <w:szCs w:val="22"/>
          <w:lang w:val="pl-PL"/>
        </w:rPr>
        <w:t>u</w:t>
      </w:r>
      <w:r w:rsidRPr="006B5701">
        <w:rPr>
          <w:szCs w:val="22"/>
          <w:lang w:val="sr-Latn-CS"/>
        </w:rPr>
        <w:t xml:space="preserve"> </w:t>
      </w:r>
      <w:r w:rsidRPr="006B5701">
        <w:rPr>
          <w:szCs w:val="22"/>
          <w:lang w:val="pl-PL"/>
        </w:rPr>
        <w:t>obliku</w:t>
      </w:r>
      <w:r w:rsidRPr="006B5701">
        <w:rPr>
          <w:szCs w:val="22"/>
          <w:lang w:val="sr-Latn-CS"/>
        </w:rPr>
        <w:t xml:space="preserve"> </w:t>
      </w:r>
      <w:r w:rsidRPr="006B5701">
        <w:rPr>
          <w:szCs w:val="22"/>
          <w:lang w:val="pl-PL"/>
        </w:rPr>
        <w:t>soli</w:t>
      </w:r>
      <w:r w:rsidRPr="006B5701">
        <w:rPr>
          <w:szCs w:val="22"/>
          <w:lang w:val="sr-Latn-CS"/>
        </w:rPr>
        <w:t xml:space="preserve">) </w:t>
      </w:r>
      <w:r w:rsidRPr="006B5701">
        <w:rPr>
          <w:szCs w:val="22"/>
          <w:lang w:val="pl-PL"/>
        </w:rPr>
        <w:t>i</w:t>
      </w:r>
      <w:r w:rsidRPr="006B5701">
        <w:rPr>
          <w:szCs w:val="22"/>
          <w:lang w:val="sr-Latn-CS"/>
        </w:rPr>
        <w:t xml:space="preserve"> </w:t>
      </w:r>
      <w:r w:rsidRPr="006B5701">
        <w:rPr>
          <w:szCs w:val="22"/>
          <w:lang w:val="pl-PL"/>
        </w:rPr>
        <w:t>ve</w:t>
      </w:r>
      <w:r w:rsidRPr="006B5701">
        <w:rPr>
          <w:szCs w:val="22"/>
          <w:lang w:val="sr-Latn-CS"/>
        </w:rPr>
        <w:t>ć</w:t>
      </w:r>
      <w:r w:rsidRPr="006B5701">
        <w:rPr>
          <w:szCs w:val="22"/>
          <w:lang w:val="pl-PL"/>
        </w:rPr>
        <w:t>im</w:t>
      </w:r>
      <w:r w:rsidRPr="006B5701">
        <w:rPr>
          <w:szCs w:val="22"/>
          <w:lang w:val="sr-Latn-CS"/>
        </w:rPr>
        <w:t xml:space="preserve">, </w:t>
      </w:r>
      <w:r w:rsidRPr="006B5701">
        <w:rPr>
          <w:szCs w:val="22"/>
          <w:lang w:val="pl-PL"/>
        </w:rPr>
        <w:t>pramipeksol</w:t>
      </w:r>
      <w:r w:rsidRPr="006B5701">
        <w:rPr>
          <w:szCs w:val="22"/>
          <w:lang w:val="sr-Latn-CS"/>
        </w:rPr>
        <w:t xml:space="preserve"> </w:t>
      </w:r>
      <w:r w:rsidRPr="006B5701">
        <w:rPr>
          <w:szCs w:val="22"/>
          <w:lang w:val="pl-PL"/>
        </w:rPr>
        <w:t>je</w:t>
      </w:r>
      <w:r w:rsidRPr="006B5701">
        <w:rPr>
          <w:szCs w:val="22"/>
          <w:lang w:val="sr-Latn-CS"/>
        </w:rPr>
        <w:t xml:space="preserve"> </w:t>
      </w:r>
      <w:r w:rsidRPr="006B5701">
        <w:rPr>
          <w:szCs w:val="22"/>
          <w:lang w:val="pl-PL"/>
        </w:rPr>
        <w:t>bio</w:t>
      </w:r>
      <w:r w:rsidRPr="006B5701">
        <w:rPr>
          <w:szCs w:val="22"/>
          <w:lang w:val="sr-Latn-CS"/>
        </w:rPr>
        <w:t xml:space="preserve"> </w:t>
      </w:r>
      <w:r w:rsidRPr="006B5701">
        <w:rPr>
          <w:szCs w:val="22"/>
          <w:lang w:val="pl-PL"/>
        </w:rPr>
        <w:t>povezivan</w:t>
      </w:r>
      <w:r w:rsidRPr="006B5701">
        <w:rPr>
          <w:szCs w:val="22"/>
          <w:lang w:val="sr-Latn-CS"/>
        </w:rPr>
        <w:t xml:space="preserve"> </w:t>
      </w:r>
      <w:r w:rsidRPr="006B5701">
        <w:rPr>
          <w:szCs w:val="22"/>
          <w:lang w:val="pl-PL"/>
        </w:rPr>
        <w:t>sa</w:t>
      </w:r>
      <w:r w:rsidRPr="006B5701">
        <w:rPr>
          <w:szCs w:val="22"/>
          <w:lang w:val="sr-Latn-CS"/>
        </w:rPr>
        <w:t xml:space="preserve"> </w:t>
      </w:r>
      <w:r w:rsidRPr="006B5701">
        <w:rPr>
          <w:szCs w:val="22"/>
          <w:lang w:val="pl-PL"/>
        </w:rPr>
        <w:t>degeneracijom</w:t>
      </w:r>
      <w:r w:rsidRPr="006B5701">
        <w:rPr>
          <w:szCs w:val="22"/>
          <w:lang w:val="sr-Latn-CS"/>
        </w:rPr>
        <w:t xml:space="preserve"> </w:t>
      </w:r>
      <w:r w:rsidRPr="006B5701">
        <w:rPr>
          <w:szCs w:val="22"/>
          <w:lang w:val="pl-PL"/>
        </w:rPr>
        <w:t>retine</w:t>
      </w:r>
      <w:r w:rsidRPr="006B5701">
        <w:rPr>
          <w:szCs w:val="22"/>
          <w:lang w:val="sr-Latn-CS"/>
        </w:rPr>
        <w:t xml:space="preserve"> </w:t>
      </w:r>
      <w:r w:rsidRPr="006B5701">
        <w:rPr>
          <w:szCs w:val="22"/>
          <w:lang w:val="pl-PL"/>
        </w:rPr>
        <w:t>kod</w:t>
      </w:r>
      <w:r w:rsidRPr="006B5701">
        <w:rPr>
          <w:szCs w:val="22"/>
          <w:lang w:val="sr-Latn-CS"/>
        </w:rPr>
        <w:t xml:space="preserve"> </w:t>
      </w:r>
      <w:r w:rsidRPr="006B5701">
        <w:rPr>
          <w:szCs w:val="22"/>
          <w:lang w:val="pl-PL"/>
        </w:rPr>
        <w:t>albino</w:t>
      </w:r>
      <w:r w:rsidRPr="006B5701">
        <w:rPr>
          <w:szCs w:val="22"/>
          <w:lang w:val="sr-Latn-CS"/>
        </w:rPr>
        <w:t xml:space="preserve"> </w:t>
      </w:r>
      <w:r w:rsidRPr="006B5701">
        <w:rPr>
          <w:szCs w:val="22"/>
          <w:lang w:val="pl-PL"/>
        </w:rPr>
        <w:t>pacova</w:t>
      </w:r>
      <w:r w:rsidRPr="006B5701">
        <w:rPr>
          <w:szCs w:val="22"/>
          <w:lang w:val="sr-Latn-CS"/>
        </w:rPr>
        <w:t xml:space="preserve">. </w:t>
      </w:r>
      <w:r w:rsidRPr="006B5701">
        <w:rPr>
          <w:szCs w:val="22"/>
          <w:lang w:val="pl-PL"/>
        </w:rPr>
        <w:t>Ovaj</w:t>
      </w:r>
      <w:r w:rsidRPr="006B5701">
        <w:rPr>
          <w:szCs w:val="22"/>
          <w:lang w:val="sr-Latn-CS"/>
        </w:rPr>
        <w:t xml:space="preserve"> </w:t>
      </w:r>
      <w:r w:rsidRPr="006B5701">
        <w:rPr>
          <w:szCs w:val="22"/>
          <w:lang w:val="pl-PL"/>
        </w:rPr>
        <w:t>nalaz</w:t>
      </w:r>
      <w:r w:rsidRPr="006B5701">
        <w:rPr>
          <w:szCs w:val="22"/>
          <w:lang w:val="sr-Latn-CS"/>
        </w:rPr>
        <w:t xml:space="preserve"> </w:t>
      </w:r>
      <w:r w:rsidRPr="006B5701">
        <w:rPr>
          <w:szCs w:val="22"/>
          <w:lang w:val="pl-PL"/>
        </w:rPr>
        <w:t>nije</w:t>
      </w:r>
      <w:r w:rsidRPr="006B5701">
        <w:rPr>
          <w:szCs w:val="22"/>
          <w:lang w:val="sr-Latn-CS"/>
        </w:rPr>
        <w:t xml:space="preserve"> </w:t>
      </w:r>
      <w:r w:rsidRPr="006B5701">
        <w:rPr>
          <w:szCs w:val="22"/>
          <w:lang w:val="pl-PL"/>
        </w:rPr>
        <w:t>zab</w:t>
      </w:r>
      <w:r w:rsidR="00346B55">
        <w:rPr>
          <w:szCs w:val="22"/>
          <w:lang w:val="pl-PL"/>
        </w:rPr>
        <w:t>i</w:t>
      </w:r>
      <w:r w:rsidRPr="006B5701">
        <w:rPr>
          <w:szCs w:val="22"/>
          <w:lang w:val="pl-PL"/>
        </w:rPr>
        <w:t>l</w:t>
      </w:r>
      <w:r w:rsidR="00346B55">
        <w:rPr>
          <w:szCs w:val="22"/>
          <w:lang w:val="pl-PL"/>
        </w:rPr>
        <w:t>i</w:t>
      </w:r>
      <w:r w:rsidRPr="006B5701">
        <w:rPr>
          <w:szCs w:val="22"/>
          <w:lang w:val="pl-PL"/>
        </w:rPr>
        <w:t>e</w:t>
      </w:r>
      <w:r w:rsidRPr="006B5701">
        <w:rPr>
          <w:szCs w:val="22"/>
          <w:lang w:val="sr-Latn-CS"/>
        </w:rPr>
        <w:t>ž</w:t>
      </w:r>
      <w:r w:rsidRPr="006B5701">
        <w:rPr>
          <w:szCs w:val="22"/>
          <w:lang w:val="pl-PL"/>
        </w:rPr>
        <w:t>en</w:t>
      </w:r>
      <w:r w:rsidRPr="006B5701">
        <w:rPr>
          <w:szCs w:val="22"/>
          <w:lang w:val="sr-Latn-CS"/>
        </w:rPr>
        <w:t xml:space="preserve"> </w:t>
      </w:r>
      <w:r w:rsidRPr="006B5701">
        <w:rPr>
          <w:szCs w:val="22"/>
          <w:lang w:val="pl-PL"/>
        </w:rPr>
        <w:t>kod</w:t>
      </w:r>
      <w:r w:rsidRPr="006B5701">
        <w:rPr>
          <w:szCs w:val="22"/>
          <w:lang w:val="sr-Latn-CS"/>
        </w:rPr>
        <w:t xml:space="preserve"> </w:t>
      </w:r>
      <w:r w:rsidRPr="006B5701">
        <w:rPr>
          <w:szCs w:val="22"/>
          <w:lang w:val="pl-PL"/>
        </w:rPr>
        <w:t>pigmentiranih</w:t>
      </w:r>
      <w:r w:rsidRPr="006B5701">
        <w:rPr>
          <w:szCs w:val="22"/>
          <w:lang w:val="sr-Latn-CS"/>
        </w:rPr>
        <w:t xml:space="preserve"> </w:t>
      </w:r>
      <w:r w:rsidRPr="006B5701">
        <w:rPr>
          <w:szCs w:val="22"/>
          <w:lang w:val="pl-PL"/>
        </w:rPr>
        <w:t>pacova</w:t>
      </w:r>
      <w:r w:rsidRPr="006B5701">
        <w:rPr>
          <w:szCs w:val="22"/>
          <w:lang w:val="sr-Latn-CS"/>
        </w:rPr>
        <w:t xml:space="preserve">, </w:t>
      </w:r>
      <w:r w:rsidRPr="006B5701">
        <w:rPr>
          <w:szCs w:val="22"/>
          <w:lang w:val="pl-PL"/>
        </w:rPr>
        <w:t>niti</w:t>
      </w:r>
      <w:r w:rsidRPr="006B5701">
        <w:rPr>
          <w:szCs w:val="22"/>
          <w:lang w:val="sr-Latn-CS"/>
        </w:rPr>
        <w:t xml:space="preserve"> </w:t>
      </w:r>
      <w:r w:rsidRPr="006B5701">
        <w:rPr>
          <w:szCs w:val="22"/>
          <w:lang w:val="pl-PL"/>
        </w:rPr>
        <w:t>u</w:t>
      </w:r>
      <w:r w:rsidRPr="006B5701">
        <w:rPr>
          <w:szCs w:val="22"/>
          <w:lang w:val="sr-Latn-CS"/>
        </w:rPr>
        <w:t xml:space="preserve"> </w:t>
      </w:r>
      <w:r w:rsidRPr="006B5701">
        <w:rPr>
          <w:szCs w:val="22"/>
          <w:lang w:val="pl-PL"/>
        </w:rPr>
        <w:t>dvogodi</w:t>
      </w:r>
      <w:r w:rsidRPr="006B5701">
        <w:rPr>
          <w:szCs w:val="22"/>
          <w:lang w:val="sr-Latn-CS"/>
        </w:rPr>
        <w:t>š</w:t>
      </w:r>
      <w:r w:rsidRPr="006B5701">
        <w:rPr>
          <w:szCs w:val="22"/>
          <w:lang w:val="pl-PL"/>
        </w:rPr>
        <w:t>njem</w:t>
      </w:r>
      <w:r w:rsidRPr="006B5701">
        <w:rPr>
          <w:szCs w:val="22"/>
          <w:lang w:val="sr-Latn-CS"/>
        </w:rPr>
        <w:t xml:space="preserve"> </w:t>
      </w:r>
      <w:r w:rsidRPr="006B5701">
        <w:rPr>
          <w:szCs w:val="22"/>
          <w:lang w:val="pl-PL"/>
        </w:rPr>
        <w:t>ispitivanju</w:t>
      </w:r>
      <w:r w:rsidRPr="006B5701">
        <w:rPr>
          <w:szCs w:val="22"/>
          <w:lang w:val="sr-Latn-CS"/>
        </w:rPr>
        <w:t xml:space="preserve"> </w:t>
      </w:r>
      <w:r w:rsidRPr="006B5701">
        <w:rPr>
          <w:szCs w:val="22"/>
          <w:lang w:val="pl-PL"/>
        </w:rPr>
        <w:t>kancerogenosti</w:t>
      </w:r>
      <w:r w:rsidRPr="006B5701">
        <w:rPr>
          <w:szCs w:val="22"/>
          <w:lang w:val="sr-Latn-CS"/>
        </w:rPr>
        <w:t xml:space="preserve"> </w:t>
      </w:r>
      <w:r w:rsidRPr="006B5701">
        <w:rPr>
          <w:szCs w:val="22"/>
          <w:lang w:val="pl-PL"/>
        </w:rPr>
        <w:t>kod</w:t>
      </w:r>
      <w:r w:rsidRPr="006B5701">
        <w:rPr>
          <w:szCs w:val="22"/>
          <w:lang w:val="sr-Latn-CS"/>
        </w:rPr>
        <w:t xml:space="preserve"> </w:t>
      </w:r>
      <w:r w:rsidRPr="006B5701">
        <w:rPr>
          <w:szCs w:val="22"/>
          <w:lang w:val="pl-PL"/>
        </w:rPr>
        <w:t>albino</w:t>
      </w:r>
      <w:r w:rsidRPr="006B5701">
        <w:rPr>
          <w:szCs w:val="22"/>
          <w:lang w:val="sr-Latn-CS"/>
        </w:rPr>
        <w:t xml:space="preserve"> </w:t>
      </w:r>
      <w:r w:rsidRPr="006B5701">
        <w:rPr>
          <w:szCs w:val="22"/>
          <w:lang w:val="pl-PL"/>
        </w:rPr>
        <w:t>mi</w:t>
      </w:r>
      <w:r w:rsidRPr="006B5701">
        <w:rPr>
          <w:szCs w:val="22"/>
          <w:lang w:val="sr-Latn-CS"/>
        </w:rPr>
        <w:t>š</w:t>
      </w:r>
      <w:r w:rsidRPr="006B5701">
        <w:rPr>
          <w:szCs w:val="22"/>
          <w:lang w:val="pl-PL"/>
        </w:rPr>
        <w:t>a</w:t>
      </w:r>
      <w:r w:rsidRPr="006B5701">
        <w:rPr>
          <w:szCs w:val="22"/>
          <w:lang w:val="sr-Latn-CS"/>
        </w:rPr>
        <w:t xml:space="preserve">, </w:t>
      </w:r>
      <w:r w:rsidRPr="006B5701">
        <w:rPr>
          <w:szCs w:val="22"/>
          <w:lang w:val="pl-PL"/>
        </w:rPr>
        <w:t>niti</w:t>
      </w:r>
      <w:r w:rsidRPr="006B5701">
        <w:rPr>
          <w:szCs w:val="22"/>
          <w:lang w:val="sr-Latn-CS"/>
        </w:rPr>
        <w:t xml:space="preserve"> </w:t>
      </w:r>
      <w:r w:rsidRPr="006B5701">
        <w:rPr>
          <w:szCs w:val="22"/>
          <w:lang w:val="pl-PL"/>
        </w:rPr>
        <w:t>u</w:t>
      </w:r>
      <w:r w:rsidRPr="006B5701">
        <w:rPr>
          <w:szCs w:val="22"/>
          <w:lang w:val="sr-Latn-CS"/>
        </w:rPr>
        <w:t xml:space="preserve"> </w:t>
      </w:r>
      <w:r w:rsidRPr="006B5701">
        <w:rPr>
          <w:szCs w:val="22"/>
          <w:lang w:val="pl-PL"/>
        </w:rPr>
        <w:t>ma</w:t>
      </w:r>
      <w:r w:rsidRPr="006B5701">
        <w:rPr>
          <w:szCs w:val="22"/>
          <w:lang w:val="sr-Latn-CS"/>
        </w:rPr>
        <w:t xml:space="preserve"> </w:t>
      </w:r>
      <w:r w:rsidRPr="006B5701">
        <w:rPr>
          <w:szCs w:val="22"/>
          <w:lang w:val="pl-PL"/>
        </w:rPr>
        <w:t>kojoj</w:t>
      </w:r>
      <w:r w:rsidRPr="006B5701">
        <w:rPr>
          <w:szCs w:val="22"/>
          <w:lang w:val="sr-Latn-CS"/>
        </w:rPr>
        <w:t xml:space="preserve"> </w:t>
      </w:r>
      <w:r w:rsidRPr="006B5701">
        <w:rPr>
          <w:szCs w:val="22"/>
          <w:lang w:val="pl-PL"/>
        </w:rPr>
        <w:t>drugoj</w:t>
      </w:r>
      <w:r w:rsidRPr="006B5701">
        <w:rPr>
          <w:szCs w:val="22"/>
          <w:lang w:val="sr-Latn-CS"/>
        </w:rPr>
        <w:t xml:space="preserve"> </w:t>
      </w:r>
      <w:r w:rsidRPr="006B5701">
        <w:rPr>
          <w:szCs w:val="22"/>
          <w:lang w:val="pl-PL"/>
        </w:rPr>
        <w:t>ispitivanoj</w:t>
      </w:r>
      <w:r w:rsidRPr="006B5701">
        <w:rPr>
          <w:szCs w:val="22"/>
          <w:lang w:val="sr-Latn-CS"/>
        </w:rPr>
        <w:t xml:space="preserve"> </w:t>
      </w:r>
      <w:r w:rsidRPr="006B5701">
        <w:rPr>
          <w:szCs w:val="22"/>
          <w:lang w:val="pl-PL"/>
        </w:rPr>
        <w:t>vrsti</w:t>
      </w:r>
      <w:r w:rsidRPr="006B5701">
        <w:rPr>
          <w:szCs w:val="22"/>
          <w:lang w:val="sr-Latn-CS"/>
        </w:rPr>
        <w:t>.</w:t>
      </w:r>
    </w:p>
    <w:p w14:paraId="298F5549" w14:textId="77777777" w:rsidR="00EB1434" w:rsidRPr="006B5701" w:rsidRDefault="00EB1434" w:rsidP="00923865">
      <w:pPr>
        <w:rPr>
          <w:szCs w:val="22"/>
          <w:lang w:val="sr-Latn-CS"/>
        </w:rPr>
      </w:pPr>
    </w:p>
    <w:p w14:paraId="7AC7A1FD" w14:textId="77777777" w:rsidR="00CE09F3" w:rsidRPr="006B5701" w:rsidRDefault="00CE09F3" w:rsidP="00923865">
      <w:pPr>
        <w:pStyle w:val="NASLOV123"/>
      </w:pPr>
      <w:r w:rsidRPr="006B5701">
        <w:t>6. FARMACEUTSKI PODACI</w:t>
      </w:r>
    </w:p>
    <w:p w14:paraId="579E6A42" w14:textId="77777777" w:rsidR="00CE09F3" w:rsidRPr="006B5701" w:rsidRDefault="00CE09F3" w:rsidP="00923865">
      <w:pPr>
        <w:rPr>
          <w:b/>
          <w:bCs/>
          <w:szCs w:val="22"/>
          <w:lang w:val="sr-Latn-CS"/>
        </w:rPr>
      </w:pPr>
      <w:r w:rsidRPr="006B5701">
        <w:rPr>
          <w:b/>
          <w:bCs/>
          <w:szCs w:val="22"/>
        </w:rPr>
        <w:t>6.1. Lista pomo</w:t>
      </w:r>
      <w:r w:rsidRPr="006B5701">
        <w:rPr>
          <w:b/>
          <w:bCs/>
          <w:szCs w:val="22"/>
          <w:lang w:val="sr-Latn-CS"/>
        </w:rPr>
        <w:t>ćnih supstanci</w:t>
      </w:r>
    </w:p>
    <w:p w14:paraId="735F4FD9" w14:textId="77777777" w:rsidR="009B7630" w:rsidRPr="006B5701" w:rsidRDefault="009B7630" w:rsidP="009B7630">
      <w:pPr>
        <w:pStyle w:val="Header"/>
        <w:tabs>
          <w:tab w:val="clear" w:pos="4536"/>
          <w:tab w:val="clear" w:pos="9072"/>
          <w:tab w:val="left" w:pos="284"/>
        </w:tabs>
        <w:jc w:val="left"/>
        <w:rPr>
          <w:szCs w:val="22"/>
          <w:lang w:val="sr-Latn-CS"/>
        </w:rPr>
      </w:pPr>
    </w:p>
    <w:p w14:paraId="2A872AEC" w14:textId="77777777" w:rsidR="009B7630" w:rsidRPr="006B5701" w:rsidRDefault="009B7630" w:rsidP="009B7630">
      <w:pPr>
        <w:pStyle w:val="Header"/>
        <w:numPr>
          <w:ilvl w:val="0"/>
          <w:numId w:val="4"/>
        </w:numPr>
        <w:tabs>
          <w:tab w:val="clear" w:pos="4536"/>
          <w:tab w:val="clear" w:pos="9072"/>
          <w:tab w:val="left" w:pos="284"/>
        </w:tabs>
        <w:jc w:val="left"/>
        <w:rPr>
          <w:szCs w:val="22"/>
          <w:lang w:val="sr-Latn-CS"/>
        </w:rPr>
      </w:pPr>
      <w:r w:rsidRPr="006B5701">
        <w:rPr>
          <w:szCs w:val="22"/>
          <w:lang w:val="sr-Latn-CS"/>
        </w:rPr>
        <w:t>Manitol;</w:t>
      </w:r>
    </w:p>
    <w:p w14:paraId="1E867993" w14:textId="77777777" w:rsidR="009B7630" w:rsidRPr="006B5701" w:rsidRDefault="009B7630" w:rsidP="009B7630">
      <w:pPr>
        <w:pStyle w:val="Header"/>
        <w:numPr>
          <w:ilvl w:val="0"/>
          <w:numId w:val="4"/>
        </w:numPr>
        <w:tabs>
          <w:tab w:val="clear" w:pos="4536"/>
          <w:tab w:val="clear" w:pos="9072"/>
          <w:tab w:val="left" w:pos="284"/>
        </w:tabs>
        <w:jc w:val="left"/>
        <w:rPr>
          <w:szCs w:val="22"/>
          <w:lang w:val="sr-Latn-CS"/>
        </w:rPr>
      </w:pPr>
      <w:r w:rsidRPr="006B5701">
        <w:rPr>
          <w:szCs w:val="22"/>
          <w:lang w:val="sr-Latn-CS"/>
        </w:rPr>
        <w:t>Skrob, kukuruzni, osušen;</w:t>
      </w:r>
    </w:p>
    <w:p w14:paraId="27F2CE13" w14:textId="77777777" w:rsidR="009B7630" w:rsidRPr="006B5701" w:rsidRDefault="009B7630" w:rsidP="009B7630">
      <w:pPr>
        <w:pStyle w:val="Header"/>
        <w:numPr>
          <w:ilvl w:val="0"/>
          <w:numId w:val="4"/>
        </w:numPr>
        <w:tabs>
          <w:tab w:val="clear" w:pos="4536"/>
          <w:tab w:val="clear" w:pos="9072"/>
          <w:tab w:val="left" w:pos="284"/>
        </w:tabs>
        <w:jc w:val="left"/>
        <w:rPr>
          <w:szCs w:val="22"/>
          <w:lang w:val="sr-Latn-CS"/>
        </w:rPr>
      </w:pPr>
      <w:r w:rsidRPr="006B5701">
        <w:rPr>
          <w:szCs w:val="22"/>
          <w:lang w:val="sr-Latn-CS"/>
        </w:rPr>
        <w:t>Skrob, kukuruzni;</w:t>
      </w:r>
    </w:p>
    <w:p w14:paraId="28D8884B" w14:textId="77777777" w:rsidR="009B7630" w:rsidRPr="006B5701" w:rsidRDefault="009B7630" w:rsidP="009B7630">
      <w:pPr>
        <w:pStyle w:val="Header"/>
        <w:numPr>
          <w:ilvl w:val="0"/>
          <w:numId w:val="4"/>
        </w:numPr>
        <w:tabs>
          <w:tab w:val="clear" w:pos="4536"/>
          <w:tab w:val="clear" w:pos="9072"/>
          <w:tab w:val="left" w:pos="284"/>
        </w:tabs>
        <w:jc w:val="left"/>
        <w:rPr>
          <w:szCs w:val="22"/>
          <w:lang w:val="sr-Latn-CS"/>
        </w:rPr>
      </w:pPr>
      <w:r w:rsidRPr="006B5701">
        <w:rPr>
          <w:szCs w:val="22"/>
          <w:lang w:val="sr-Latn-CS"/>
        </w:rPr>
        <w:t xml:space="preserve">Silicijum-dioksid, koloidni, bezvodni; </w:t>
      </w:r>
    </w:p>
    <w:p w14:paraId="15F17379" w14:textId="77777777" w:rsidR="009B7630" w:rsidRPr="006B5701" w:rsidRDefault="009B7630" w:rsidP="009B7630">
      <w:pPr>
        <w:pStyle w:val="Header"/>
        <w:numPr>
          <w:ilvl w:val="0"/>
          <w:numId w:val="4"/>
        </w:numPr>
        <w:tabs>
          <w:tab w:val="clear" w:pos="4536"/>
          <w:tab w:val="clear" w:pos="9072"/>
          <w:tab w:val="left" w:pos="284"/>
        </w:tabs>
        <w:jc w:val="left"/>
        <w:rPr>
          <w:szCs w:val="22"/>
          <w:lang w:val="sr-Latn-CS"/>
        </w:rPr>
      </w:pPr>
      <w:r w:rsidRPr="006B5701">
        <w:rPr>
          <w:szCs w:val="22"/>
          <w:lang w:val="sr-Latn-CS"/>
        </w:rPr>
        <w:t xml:space="preserve">Povidon K25; </w:t>
      </w:r>
    </w:p>
    <w:p w14:paraId="6AE7B4B5" w14:textId="77777777" w:rsidR="009B7630" w:rsidRPr="006B5701" w:rsidRDefault="009B7630" w:rsidP="009B7630">
      <w:pPr>
        <w:pStyle w:val="Header"/>
        <w:numPr>
          <w:ilvl w:val="0"/>
          <w:numId w:val="4"/>
        </w:numPr>
        <w:tabs>
          <w:tab w:val="clear" w:pos="4536"/>
          <w:tab w:val="clear" w:pos="9072"/>
          <w:tab w:val="left" w:pos="284"/>
        </w:tabs>
        <w:jc w:val="left"/>
        <w:rPr>
          <w:szCs w:val="22"/>
          <w:lang w:val="sr-Latn-CS"/>
        </w:rPr>
      </w:pPr>
      <w:r w:rsidRPr="006B5701">
        <w:rPr>
          <w:szCs w:val="22"/>
          <w:lang w:val="sr-Latn-CS"/>
        </w:rPr>
        <w:t>Magnezijum-stearat.</w:t>
      </w:r>
    </w:p>
    <w:p w14:paraId="560C7618" w14:textId="77777777" w:rsidR="00CE09F3" w:rsidRPr="006B5701" w:rsidRDefault="00CE09F3" w:rsidP="00923865">
      <w:pPr>
        <w:rPr>
          <w:szCs w:val="22"/>
        </w:rPr>
      </w:pPr>
    </w:p>
    <w:p w14:paraId="371B57C0" w14:textId="77777777" w:rsidR="00CE09F3" w:rsidRPr="006B5701" w:rsidRDefault="00CE09F3" w:rsidP="00923865">
      <w:pPr>
        <w:rPr>
          <w:b/>
          <w:bCs/>
          <w:szCs w:val="22"/>
        </w:rPr>
      </w:pPr>
      <w:r w:rsidRPr="006B5701">
        <w:rPr>
          <w:b/>
          <w:bCs/>
          <w:szCs w:val="22"/>
        </w:rPr>
        <w:t>6.2. Inkompatibilnost</w:t>
      </w:r>
    </w:p>
    <w:p w14:paraId="2F024335" w14:textId="77777777" w:rsidR="00CE09F3" w:rsidRPr="006B5701" w:rsidRDefault="00CE09F3" w:rsidP="00923865">
      <w:pPr>
        <w:rPr>
          <w:szCs w:val="22"/>
        </w:rPr>
      </w:pPr>
    </w:p>
    <w:p w14:paraId="04D915A9" w14:textId="77777777" w:rsidR="009B7630" w:rsidRPr="006B5701" w:rsidRDefault="009B7630" w:rsidP="009B7630">
      <w:pPr>
        <w:jc w:val="left"/>
        <w:rPr>
          <w:szCs w:val="22"/>
          <w:lang w:val="sr-Latn-CS"/>
        </w:rPr>
      </w:pPr>
      <w:r w:rsidRPr="006B5701">
        <w:rPr>
          <w:szCs w:val="22"/>
          <w:lang w:val="sr-Latn-CS"/>
        </w:rPr>
        <w:t>Nema poznatih.</w:t>
      </w:r>
    </w:p>
    <w:p w14:paraId="172099DD" w14:textId="77777777" w:rsidR="00CE09F3" w:rsidRPr="006B5701" w:rsidRDefault="00CE09F3" w:rsidP="00923865">
      <w:pPr>
        <w:rPr>
          <w:szCs w:val="22"/>
        </w:rPr>
      </w:pPr>
    </w:p>
    <w:p w14:paraId="58BB5FDE" w14:textId="77777777" w:rsidR="00CE09F3" w:rsidRPr="006B5701" w:rsidRDefault="00CE09F3" w:rsidP="00923865">
      <w:pPr>
        <w:rPr>
          <w:b/>
          <w:bCs/>
          <w:szCs w:val="22"/>
        </w:rPr>
      </w:pPr>
      <w:r w:rsidRPr="006B5701">
        <w:rPr>
          <w:b/>
          <w:bCs/>
          <w:szCs w:val="22"/>
        </w:rPr>
        <w:t>6.3. Rok upotrebe</w:t>
      </w:r>
    </w:p>
    <w:p w14:paraId="2759A469" w14:textId="77777777" w:rsidR="00CE09F3" w:rsidRPr="006B5701" w:rsidRDefault="00CE09F3" w:rsidP="00923865">
      <w:pPr>
        <w:rPr>
          <w:szCs w:val="22"/>
        </w:rPr>
      </w:pPr>
    </w:p>
    <w:p w14:paraId="3505250A" w14:textId="77777777" w:rsidR="009B7630" w:rsidRPr="006B5701" w:rsidRDefault="009B7630" w:rsidP="009B7630">
      <w:pPr>
        <w:jc w:val="left"/>
        <w:rPr>
          <w:szCs w:val="22"/>
          <w:lang w:val="sr-Latn-CS"/>
        </w:rPr>
      </w:pPr>
      <w:r w:rsidRPr="006B5701">
        <w:rPr>
          <w:szCs w:val="22"/>
          <w:lang w:val="sr-Latn-CS"/>
        </w:rPr>
        <w:t>3 godine</w:t>
      </w:r>
    </w:p>
    <w:p w14:paraId="216AC2C2" w14:textId="77777777" w:rsidR="00CE09F3" w:rsidRPr="006B5701" w:rsidRDefault="00CE09F3" w:rsidP="00923865">
      <w:pPr>
        <w:rPr>
          <w:szCs w:val="22"/>
          <w:lang w:val="sr-Latn-CS"/>
        </w:rPr>
      </w:pPr>
    </w:p>
    <w:p w14:paraId="17BE42F4" w14:textId="6AB00793" w:rsidR="00CE09F3" w:rsidRPr="006B5701" w:rsidRDefault="00CE09F3" w:rsidP="00923865">
      <w:pPr>
        <w:rPr>
          <w:b/>
          <w:bCs/>
          <w:szCs w:val="22"/>
          <w:lang w:val="sr-Latn-CS"/>
        </w:rPr>
      </w:pPr>
      <w:r w:rsidRPr="006B5701">
        <w:rPr>
          <w:b/>
          <w:bCs/>
          <w:szCs w:val="22"/>
          <w:lang w:val="sr-Latn-CS"/>
        </w:rPr>
        <w:t xml:space="preserve">6.4. </w:t>
      </w:r>
      <w:r w:rsidRPr="006B5701">
        <w:rPr>
          <w:b/>
          <w:bCs/>
          <w:szCs w:val="22"/>
          <w:lang w:val="ru-RU"/>
        </w:rPr>
        <w:t>Posebne</w:t>
      </w:r>
      <w:r w:rsidRPr="006B5701">
        <w:rPr>
          <w:b/>
          <w:bCs/>
          <w:szCs w:val="22"/>
          <w:lang w:val="sr-Latn-CS"/>
        </w:rPr>
        <w:t xml:space="preserve"> </w:t>
      </w:r>
      <w:r w:rsidRPr="006B5701">
        <w:rPr>
          <w:b/>
          <w:bCs/>
          <w:szCs w:val="22"/>
          <w:lang w:val="ru-RU"/>
        </w:rPr>
        <w:t>m</w:t>
      </w:r>
      <w:r w:rsidR="00346B55">
        <w:rPr>
          <w:b/>
          <w:bCs/>
          <w:szCs w:val="22"/>
          <w:lang w:val="sr-Latn-ME"/>
        </w:rPr>
        <w:t>j</w:t>
      </w:r>
      <w:r w:rsidRPr="006B5701">
        <w:rPr>
          <w:b/>
          <w:bCs/>
          <w:szCs w:val="22"/>
          <w:lang w:val="ru-RU"/>
        </w:rPr>
        <w:t>ere</w:t>
      </w:r>
      <w:r w:rsidRPr="006B5701">
        <w:rPr>
          <w:b/>
          <w:bCs/>
          <w:szCs w:val="22"/>
          <w:lang w:val="sr-Latn-CS"/>
        </w:rPr>
        <w:t xml:space="preserve"> </w:t>
      </w:r>
      <w:r w:rsidRPr="006B5701">
        <w:rPr>
          <w:b/>
          <w:bCs/>
          <w:szCs w:val="22"/>
        </w:rPr>
        <w:t>opreza</w:t>
      </w:r>
      <w:r w:rsidRPr="006B5701">
        <w:rPr>
          <w:b/>
          <w:bCs/>
          <w:szCs w:val="22"/>
          <w:lang w:val="sr-Latn-CS"/>
        </w:rPr>
        <w:t xml:space="preserve"> </w:t>
      </w:r>
      <w:r w:rsidRPr="006B5701">
        <w:rPr>
          <w:b/>
          <w:bCs/>
          <w:szCs w:val="22"/>
          <w:lang w:val="ru-RU"/>
        </w:rPr>
        <w:t>pri</w:t>
      </w:r>
      <w:r w:rsidRPr="006B5701">
        <w:rPr>
          <w:b/>
          <w:bCs/>
          <w:szCs w:val="22"/>
          <w:lang w:val="sr-Latn-CS"/>
        </w:rPr>
        <w:t xml:space="preserve"> č</w:t>
      </w:r>
      <w:r w:rsidRPr="006B5701">
        <w:rPr>
          <w:b/>
          <w:bCs/>
          <w:szCs w:val="22"/>
          <w:lang w:val="ru-RU"/>
        </w:rPr>
        <w:t>uvanju</w:t>
      </w:r>
    </w:p>
    <w:p w14:paraId="791B4023" w14:textId="77777777" w:rsidR="00CE09F3" w:rsidRPr="006B5701" w:rsidRDefault="00CE09F3" w:rsidP="00923865">
      <w:pPr>
        <w:rPr>
          <w:szCs w:val="22"/>
          <w:lang w:val="sr-Latn-CS"/>
        </w:rPr>
      </w:pPr>
    </w:p>
    <w:p w14:paraId="25787315" w14:textId="5B24B1E5" w:rsidR="00F145D1" w:rsidRDefault="009B7630" w:rsidP="007B415D">
      <w:pPr>
        <w:jc w:val="left"/>
        <w:rPr>
          <w:szCs w:val="22"/>
          <w:lang w:val="sr-Latn-CS" w:bidi="ne-NP"/>
        </w:rPr>
      </w:pPr>
      <w:r w:rsidRPr="006B5701">
        <w:rPr>
          <w:szCs w:val="22"/>
          <w:lang w:val="sr-Latn-CS"/>
        </w:rPr>
        <w:t>Čuvati na bezbednom m</w:t>
      </w:r>
      <w:r w:rsidR="00346B55">
        <w:rPr>
          <w:szCs w:val="22"/>
          <w:lang w:val="sr-Latn-CS"/>
        </w:rPr>
        <w:t>j</w:t>
      </w:r>
      <w:r w:rsidRPr="006B5701">
        <w:rPr>
          <w:szCs w:val="22"/>
          <w:lang w:val="sr-Latn-CS"/>
        </w:rPr>
        <w:t>estu van domašaja d</w:t>
      </w:r>
      <w:r w:rsidR="00346B55">
        <w:rPr>
          <w:szCs w:val="22"/>
          <w:lang w:val="sr-Latn-CS"/>
        </w:rPr>
        <w:t>j</w:t>
      </w:r>
      <w:r w:rsidRPr="006B5701">
        <w:rPr>
          <w:szCs w:val="22"/>
          <w:lang w:val="sr-Latn-CS"/>
        </w:rPr>
        <w:t>ece!</w:t>
      </w:r>
      <w:r w:rsidR="00F145D1" w:rsidRPr="006B5701">
        <w:rPr>
          <w:szCs w:val="22"/>
          <w:lang w:val="sr-Latn-CS" w:bidi="ne-NP"/>
        </w:rPr>
        <w:t xml:space="preserve"> </w:t>
      </w:r>
    </w:p>
    <w:p w14:paraId="29C98020" w14:textId="77777777" w:rsidR="009C5D73" w:rsidRPr="006B5701" w:rsidRDefault="009C5D73" w:rsidP="007B415D">
      <w:pPr>
        <w:jc w:val="left"/>
        <w:rPr>
          <w:szCs w:val="22"/>
          <w:lang w:val="sr-Latn-CS"/>
        </w:rPr>
      </w:pPr>
    </w:p>
    <w:p w14:paraId="0952FDF6" w14:textId="77777777" w:rsidR="00D350F5" w:rsidRDefault="009C5D73" w:rsidP="009B7630">
      <w:pPr>
        <w:tabs>
          <w:tab w:val="clear" w:pos="284"/>
        </w:tabs>
        <w:autoSpaceDE w:val="0"/>
        <w:autoSpaceDN w:val="0"/>
        <w:adjustRightInd w:val="0"/>
        <w:jc w:val="left"/>
        <w:rPr>
          <w:rFonts w:ascii="TimesNewRoman" w:hAnsi="TimesNewRoman" w:cs="TimesNewRoman"/>
          <w:szCs w:val="22"/>
        </w:rPr>
      </w:pPr>
      <w:r>
        <w:rPr>
          <w:rFonts w:ascii="TimesNewRoman" w:hAnsi="TimesNewRoman" w:cs="TimesNewRoman"/>
          <w:szCs w:val="22"/>
        </w:rPr>
        <w:t xml:space="preserve">Čuvati </w:t>
      </w:r>
      <w:proofErr w:type="gramStart"/>
      <w:r>
        <w:rPr>
          <w:rFonts w:ascii="TimesNewRoman" w:hAnsi="TimesNewRoman" w:cs="TimesNewRoman"/>
          <w:szCs w:val="22"/>
        </w:rPr>
        <w:t>na</w:t>
      </w:r>
      <w:proofErr w:type="gramEnd"/>
      <w:r>
        <w:rPr>
          <w:rFonts w:ascii="TimesNewRoman" w:hAnsi="TimesNewRoman" w:cs="TimesNewRoman"/>
          <w:szCs w:val="22"/>
        </w:rPr>
        <w:t xml:space="preserve"> temperaturi do 30°C. </w:t>
      </w:r>
    </w:p>
    <w:p w14:paraId="18E3A38E" w14:textId="4C52389F" w:rsidR="009B7630" w:rsidRPr="006B5701" w:rsidRDefault="009C5D73" w:rsidP="009B7630">
      <w:pPr>
        <w:tabs>
          <w:tab w:val="clear" w:pos="284"/>
        </w:tabs>
        <w:autoSpaceDE w:val="0"/>
        <w:autoSpaceDN w:val="0"/>
        <w:adjustRightInd w:val="0"/>
        <w:jc w:val="left"/>
        <w:rPr>
          <w:szCs w:val="22"/>
          <w:lang w:val="sr-Latn-CS" w:bidi="ne-NP"/>
        </w:rPr>
      </w:pPr>
      <w:bookmarkStart w:id="5" w:name="_GoBack"/>
      <w:bookmarkEnd w:id="5"/>
      <w:r>
        <w:rPr>
          <w:rFonts w:ascii="TimesNewRoman" w:hAnsi="TimesNewRoman" w:cs="TimesNewRoman"/>
          <w:szCs w:val="22"/>
        </w:rPr>
        <w:t>Čuvati u originalnom pakovanju radi zaštite od svjetlosti”.</w:t>
      </w:r>
    </w:p>
    <w:p w14:paraId="70063787" w14:textId="77777777" w:rsidR="00BB163D" w:rsidRPr="006B5701" w:rsidRDefault="00BB163D" w:rsidP="00923865">
      <w:pPr>
        <w:rPr>
          <w:szCs w:val="22"/>
          <w:lang w:val="sr-Latn-CS"/>
        </w:rPr>
      </w:pPr>
    </w:p>
    <w:p w14:paraId="398D380B" w14:textId="665A5D02" w:rsidR="00CE09F3" w:rsidRPr="006B5701" w:rsidRDefault="0022223A" w:rsidP="00923865">
      <w:pPr>
        <w:rPr>
          <w:b/>
          <w:bCs/>
          <w:szCs w:val="22"/>
          <w:lang w:val="sr-Latn-CS"/>
        </w:rPr>
      </w:pPr>
      <w:r w:rsidRPr="006B5701">
        <w:rPr>
          <w:b/>
          <w:bCs/>
          <w:szCs w:val="22"/>
          <w:lang w:val="sr-Latn-CS"/>
        </w:rPr>
        <w:t xml:space="preserve">6.5. </w:t>
      </w:r>
      <w:r w:rsidR="00CE09F3" w:rsidRPr="006B5701">
        <w:rPr>
          <w:b/>
          <w:bCs/>
          <w:szCs w:val="22"/>
          <w:lang w:val="sr-Latn-CS"/>
        </w:rPr>
        <w:t>Priroda i sadržaj pakovanja</w:t>
      </w:r>
      <w:r w:rsidR="00F42610" w:rsidRPr="006B5701">
        <w:rPr>
          <w:b/>
          <w:bCs/>
          <w:szCs w:val="22"/>
          <w:lang w:val="sr-Latn-CS"/>
        </w:rPr>
        <w:t xml:space="preserve"> </w:t>
      </w:r>
      <w:r w:rsidR="00CE09F3" w:rsidRPr="006B5701">
        <w:rPr>
          <w:b/>
          <w:bCs/>
          <w:szCs w:val="22"/>
          <w:lang w:val="sr-Latn-CS"/>
        </w:rPr>
        <w:t>i posebne opreme za upotrebu, primenu ili implantaciju l</w:t>
      </w:r>
      <w:r w:rsidR="00346B55">
        <w:rPr>
          <w:b/>
          <w:bCs/>
          <w:szCs w:val="22"/>
          <w:lang w:val="sr-Latn-CS"/>
        </w:rPr>
        <w:t>ij</w:t>
      </w:r>
      <w:r w:rsidR="00CE09F3" w:rsidRPr="006B5701">
        <w:rPr>
          <w:b/>
          <w:bCs/>
          <w:szCs w:val="22"/>
          <w:lang w:val="sr-Latn-CS"/>
        </w:rPr>
        <w:t>eka</w:t>
      </w:r>
    </w:p>
    <w:p w14:paraId="79ABDD87" w14:textId="77777777" w:rsidR="00CE09F3" w:rsidRPr="006B5701" w:rsidRDefault="00CE09F3" w:rsidP="00923865">
      <w:pPr>
        <w:rPr>
          <w:szCs w:val="22"/>
          <w:lang w:val="sr-Latn-CS"/>
        </w:rPr>
      </w:pPr>
    </w:p>
    <w:p w14:paraId="515E7496" w14:textId="33AF036C" w:rsidR="009B7630" w:rsidRPr="006B5701" w:rsidRDefault="0083579A" w:rsidP="009B7630">
      <w:pPr>
        <w:jc w:val="left"/>
        <w:rPr>
          <w:szCs w:val="22"/>
          <w:lang w:val="sr-Latn-CS"/>
        </w:rPr>
      </w:pPr>
      <w:r>
        <w:rPr>
          <w:bCs/>
          <w:szCs w:val="22"/>
          <w:lang w:val="sr-Latn-CS"/>
        </w:rPr>
        <w:t>Mirapexin</w:t>
      </w:r>
      <w:r w:rsidR="009B7630" w:rsidRPr="006B5701">
        <w:rPr>
          <w:bCs/>
          <w:szCs w:val="22"/>
          <w:lang w:val="sr-Latn-CS"/>
        </w:rPr>
        <w:t xml:space="preserve">, </w:t>
      </w:r>
      <w:r w:rsidR="00364E31" w:rsidRPr="006B5701">
        <w:rPr>
          <w:bCs/>
          <w:szCs w:val="22"/>
          <w:lang w:val="sr-Latn-CS"/>
        </w:rPr>
        <w:t>0,</w:t>
      </w:r>
      <w:r w:rsidR="005C59E7">
        <w:rPr>
          <w:bCs/>
          <w:szCs w:val="22"/>
          <w:lang w:val="sr-Latn-CS"/>
        </w:rPr>
        <w:t>18</w:t>
      </w:r>
      <w:r w:rsidR="005C59E7" w:rsidRPr="006B5701">
        <w:rPr>
          <w:bCs/>
          <w:szCs w:val="22"/>
          <w:lang w:val="sr-Latn-CS"/>
        </w:rPr>
        <w:t xml:space="preserve"> </w:t>
      </w:r>
      <w:r w:rsidR="009B7630" w:rsidRPr="006B5701">
        <w:rPr>
          <w:bCs/>
          <w:szCs w:val="22"/>
          <w:lang w:val="sr-Latn-CS"/>
        </w:rPr>
        <w:t>mg, tablet</w:t>
      </w:r>
      <w:r w:rsidR="002A2DFC" w:rsidRPr="006B5701">
        <w:rPr>
          <w:bCs/>
          <w:szCs w:val="22"/>
          <w:lang w:val="sr-Latn-CS"/>
        </w:rPr>
        <w:t>e</w:t>
      </w:r>
      <w:r w:rsidR="009B7630" w:rsidRPr="006B5701">
        <w:rPr>
          <w:szCs w:val="22"/>
          <w:lang w:val="sr-Latn-CS"/>
        </w:rPr>
        <w:t>: 30 tableta (3 blistera x 10 tableta)</w:t>
      </w:r>
    </w:p>
    <w:p w14:paraId="2FAB71BD" w14:textId="3620D0B0" w:rsidR="009B7630" w:rsidRPr="006B5701" w:rsidRDefault="00760098" w:rsidP="009B7630">
      <w:pPr>
        <w:pStyle w:val="Header"/>
        <w:tabs>
          <w:tab w:val="clear" w:pos="4536"/>
          <w:tab w:val="clear" w:pos="9072"/>
          <w:tab w:val="left" w:pos="284"/>
        </w:tabs>
        <w:jc w:val="left"/>
        <w:rPr>
          <w:szCs w:val="22"/>
          <w:lang w:val="sr-Latn-CS"/>
        </w:rPr>
      </w:pPr>
      <w:r w:rsidRPr="006B5701">
        <w:rPr>
          <w:szCs w:val="22"/>
        </w:rPr>
        <w:t>Unutra</w:t>
      </w:r>
      <w:r w:rsidRPr="006B5701">
        <w:rPr>
          <w:szCs w:val="22"/>
          <w:lang w:val="sr-Latn-CS"/>
        </w:rPr>
        <w:t>š</w:t>
      </w:r>
      <w:r w:rsidRPr="006B5701">
        <w:rPr>
          <w:szCs w:val="22"/>
        </w:rPr>
        <w:t>nje</w:t>
      </w:r>
      <w:r w:rsidRPr="006B5701">
        <w:rPr>
          <w:szCs w:val="22"/>
          <w:lang w:val="sr-Latn-CS"/>
        </w:rPr>
        <w:t xml:space="preserve"> </w:t>
      </w:r>
      <w:r w:rsidRPr="006B5701">
        <w:rPr>
          <w:szCs w:val="22"/>
        </w:rPr>
        <w:t>pakovanje</w:t>
      </w:r>
      <w:r w:rsidRPr="006B5701">
        <w:rPr>
          <w:szCs w:val="22"/>
          <w:lang w:val="sr-Latn-CS"/>
        </w:rPr>
        <w:t xml:space="preserve"> </w:t>
      </w:r>
      <w:r w:rsidRPr="006B5701">
        <w:rPr>
          <w:szCs w:val="22"/>
        </w:rPr>
        <w:t>l</w:t>
      </w:r>
      <w:r w:rsidR="00346B55">
        <w:rPr>
          <w:szCs w:val="22"/>
        </w:rPr>
        <w:t>ij</w:t>
      </w:r>
      <w:r w:rsidRPr="006B5701">
        <w:rPr>
          <w:szCs w:val="22"/>
        </w:rPr>
        <w:t>eka</w:t>
      </w:r>
      <w:r w:rsidRPr="006B5701">
        <w:rPr>
          <w:szCs w:val="22"/>
          <w:lang w:val="sr-Latn-CS"/>
        </w:rPr>
        <w:t xml:space="preserve"> </w:t>
      </w:r>
      <w:r w:rsidRPr="006B5701">
        <w:rPr>
          <w:szCs w:val="22"/>
        </w:rPr>
        <w:t>je</w:t>
      </w:r>
      <w:r w:rsidRPr="006B5701">
        <w:rPr>
          <w:szCs w:val="22"/>
          <w:lang w:val="sr-Latn-CS"/>
        </w:rPr>
        <w:t xml:space="preserve"> </w:t>
      </w:r>
      <w:r w:rsidR="009B7630" w:rsidRPr="006B5701">
        <w:rPr>
          <w:szCs w:val="22"/>
          <w:lang w:val="sr-Latn-CS"/>
        </w:rPr>
        <w:t>OPA/aluminijum/PVC-aluminijum blister</w:t>
      </w:r>
      <w:r w:rsidR="00FF778E" w:rsidRPr="006B5701">
        <w:rPr>
          <w:szCs w:val="22"/>
          <w:lang w:val="sr-Latn-CS"/>
        </w:rPr>
        <w:t>.</w:t>
      </w:r>
    </w:p>
    <w:p w14:paraId="5F3731EE" w14:textId="63D85D2F" w:rsidR="009B7630" w:rsidRPr="006B5701" w:rsidRDefault="004106AA" w:rsidP="003C49AF">
      <w:pPr>
        <w:rPr>
          <w:szCs w:val="22"/>
          <w:lang w:val="sr-Latn-RS"/>
        </w:rPr>
      </w:pPr>
      <w:r w:rsidRPr="006B5701">
        <w:rPr>
          <w:szCs w:val="22"/>
        </w:rPr>
        <w:lastRenderedPageBreak/>
        <w:t>Spolja</w:t>
      </w:r>
      <w:r w:rsidRPr="006B5701">
        <w:rPr>
          <w:szCs w:val="22"/>
          <w:lang w:val="sr-Latn-CS"/>
        </w:rPr>
        <w:t>š</w:t>
      </w:r>
      <w:r w:rsidRPr="006B5701">
        <w:rPr>
          <w:szCs w:val="22"/>
        </w:rPr>
        <w:t>nje</w:t>
      </w:r>
      <w:r w:rsidRPr="006B5701">
        <w:rPr>
          <w:szCs w:val="22"/>
          <w:lang w:val="sr-Latn-CS"/>
        </w:rPr>
        <w:t xml:space="preserve"> </w:t>
      </w:r>
      <w:r w:rsidRPr="006B5701">
        <w:rPr>
          <w:szCs w:val="22"/>
        </w:rPr>
        <w:t>pakovanje</w:t>
      </w:r>
      <w:r w:rsidRPr="006B5701">
        <w:rPr>
          <w:szCs w:val="22"/>
          <w:lang w:val="sr-Latn-CS"/>
        </w:rPr>
        <w:t xml:space="preserve"> </w:t>
      </w:r>
      <w:r w:rsidRPr="006B5701">
        <w:rPr>
          <w:szCs w:val="22"/>
        </w:rPr>
        <w:t>l</w:t>
      </w:r>
      <w:r w:rsidR="00346B55">
        <w:rPr>
          <w:szCs w:val="22"/>
        </w:rPr>
        <w:t>ij</w:t>
      </w:r>
      <w:r w:rsidRPr="006B5701">
        <w:rPr>
          <w:szCs w:val="22"/>
        </w:rPr>
        <w:t>eka</w:t>
      </w:r>
      <w:r w:rsidRPr="006B5701">
        <w:rPr>
          <w:szCs w:val="22"/>
          <w:lang w:val="sr-Latn-CS"/>
        </w:rPr>
        <w:t xml:space="preserve"> </w:t>
      </w:r>
      <w:r w:rsidRPr="006B5701">
        <w:rPr>
          <w:szCs w:val="22"/>
        </w:rPr>
        <w:t>je</w:t>
      </w:r>
      <w:r w:rsidRPr="006B5701">
        <w:rPr>
          <w:szCs w:val="22"/>
          <w:lang w:val="sr-Latn-CS"/>
        </w:rPr>
        <w:t xml:space="preserve"> </w:t>
      </w:r>
      <w:r w:rsidRPr="006B5701">
        <w:rPr>
          <w:szCs w:val="22"/>
        </w:rPr>
        <w:t>slo</w:t>
      </w:r>
      <w:r w:rsidRPr="006B5701">
        <w:rPr>
          <w:szCs w:val="22"/>
          <w:lang w:val="sr-Latn-CS"/>
        </w:rPr>
        <w:t>ž</w:t>
      </w:r>
      <w:r w:rsidRPr="006B5701">
        <w:rPr>
          <w:szCs w:val="22"/>
        </w:rPr>
        <w:t>iva</w:t>
      </w:r>
      <w:r w:rsidRPr="006B5701">
        <w:rPr>
          <w:szCs w:val="22"/>
          <w:lang w:val="sr-Latn-CS"/>
        </w:rPr>
        <w:t xml:space="preserve"> </w:t>
      </w:r>
      <w:r w:rsidRPr="006B5701">
        <w:rPr>
          <w:szCs w:val="22"/>
        </w:rPr>
        <w:t>kartonska</w:t>
      </w:r>
      <w:r w:rsidRPr="006B5701">
        <w:rPr>
          <w:szCs w:val="22"/>
          <w:lang w:val="sr-Latn-CS"/>
        </w:rPr>
        <w:t xml:space="preserve"> </w:t>
      </w:r>
      <w:r w:rsidRPr="006B5701">
        <w:rPr>
          <w:szCs w:val="22"/>
        </w:rPr>
        <w:t>kutija</w:t>
      </w:r>
      <w:r w:rsidRPr="006B5701">
        <w:rPr>
          <w:szCs w:val="22"/>
          <w:lang w:val="sr-Latn-CS"/>
        </w:rPr>
        <w:t xml:space="preserve"> </w:t>
      </w:r>
      <w:r w:rsidRPr="006B5701">
        <w:rPr>
          <w:szCs w:val="22"/>
        </w:rPr>
        <w:t>u</w:t>
      </w:r>
      <w:r w:rsidRPr="006B5701">
        <w:rPr>
          <w:szCs w:val="22"/>
          <w:lang w:val="sr-Latn-CS"/>
        </w:rPr>
        <w:t xml:space="preserve"> </w:t>
      </w:r>
      <w:r w:rsidRPr="006B5701">
        <w:rPr>
          <w:szCs w:val="22"/>
        </w:rPr>
        <w:t>kojoj</w:t>
      </w:r>
      <w:r w:rsidRPr="006B5701">
        <w:rPr>
          <w:szCs w:val="22"/>
          <w:lang w:val="sr-Latn-CS"/>
        </w:rPr>
        <w:t xml:space="preserve"> </w:t>
      </w:r>
      <w:r w:rsidRPr="006B5701">
        <w:rPr>
          <w:szCs w:val="22"/>
        </w:rPr>
        <w:t>se</w:t>
      </w:r>
      <w:r w:rsidRPr="006B5701">
        <w:rPr>
          <w:szCs w:val="22"/>
          <w:lang w:val="sr-Latn-CS"/>
        </w:rPr>
        <w:t xml:space="preserve"> </w:t>
      </w:r>
      <w:r w:rsidRPr="006B5701">
        <w:rPr>
          <w:szCs w:val="22"/>
        </w:rPr>
        <w:t>nalazi</w:t>
      </w:r>
      <w:r w:rsidRPr="006B5701">
        <w:rPr>
          <w:szCs w:val="22"/>
          <w:lang w:val="sr-Latn-CS"/>
        </w:rPr>
        <w:t xml:space="preserve"> 3 </w:t>
      </w:r>
      <w:r w:rsidRPr="006B5701">
        <w:rPr>
          <w:szCs w:val="22"/>
        </w:rPr>
        <w:t>blistera</w:t>
      </w:r>
      <w:r w:rsidR="003C49AF" w:rsidRPr="006B5701">
        <w:rPr>
          <w:szCs w:val="22"/>
          <w:lang w:val="sr-Latn-CS"/>
        </w:rPr>
        <w:t xml:space="preserve"> </w:t>
      </w:r>
      <w:proofErr w:type="gramStart"/>
      <w:r w:rsidRPr="006B5701">
        <w:rPr>
          <w:szCs w:val="22"/>
        </w:rPr>
        <w:t>sa</w:t>
      </w:r>
      <w:proofErr w:type="gramEnd"/>
      <w:r w:rsidRPr="006B5701">
        <w:rPr>
          <w:szCs w:val="22"/>
          <w:lang w:val="sr-Latn-CS"/>
        </w:rPr>
        <w:t xml:space="preserve"> </w:t>
      </w:r>
      <w:r w:rsidRPr="006B5701">
        <w:rPr>
          <w:szCs w:val="22"/>
        </w:rPr>
        <w:t>po</w:t>
      </w:r>
      <w:r w:rsidRPr="006B5701">
        <w:rPr>
          <w:szCs w:val="22"/>
          <w:lang w:val="sr-Latn-CS"/>
        </w:rPr>
        <w:t xml:space="preserve"> 10 </w:t>
      </w:r>
      <w:r w:rsidRPr="006B5701">
        <w:rPr>
          <w:szCs w:val="22"/>
        </w:rPr>
        <w:t>tableta</w:t>
      </w:r>
      <w:r w:rsidRPr="006B5701">
        <w:rPr>
          <w:szCs w:val="22"/>
          <w:lang w:val="sr-Latn-CS"/>
        </w:rPr>
        <w:t xml:space="preserve"> </w:t>
      </w:r>
      <w:r w:rsidRPr="006B5701">
        <w:rPr>
          <w:szCs w:val="22"/>
        </w:rPr>
        <w:t>i</w:t>
      </w:r>
      <w:r w:rsidRPr="006B5701">
        <w:rPr>
          <w:szCs w:val="22"/>
          <w:lang w:val="sr-Latn-CS"/>
        </w:rPr>
        <w:t xml:space="preserve"> </w:t>
      </w:r>
      <w:r w:rsidRPr="006B5701">
        <w:rPr>
          <w:szCs w:val="22"/>
        </w:rPr>
        <w:t>Uputstvo</w:t>
      </w:r>
      <w:r w:rsidRPr="006B5701">
        <w:rPr>
          <w:szCs w:val="22"/>
          <w:lang w:val="sr-Latn-CS"/>
        </w:rPr>
        <w:t xml:space="preserve"> </w:t>
      </w:r>
      <w:r w:rsidRPr="006B5701">
        <w:rPr>
          <w:szCs w:val="22"/>
        </w:rPr>
        <w:t>za</w:t>
      </w:r>
      <w:r w:rsidRPr="006B5701">
        <w:rPr>
          <w:szCs w:val="22"/>
          <w:lang w:val="sr-Latn-CS"/>
        </w:rPr>
        <w:t xml:space="preserve"> </w:t>
      </w:r>
      <w:r w:rsidRPr="006B5701">
        <w:rPr>
          <w:szCs w:val="22"/>
        </w:rPr>
        <w:t>l</w:t>
      </w:r>
      <w:r w:rsidR="00346B55">
        <w:rPr>
          <w:szCs w:val="22"/>
        </w:rPr>
        <w:t>ij</w:t>
      </w:r>
      <w:r w:rsidRPr="006B5701">
        <w:rPr>
          <w:szCs w:val="22"/>
        </w:rPr>
        <w:t>ek</w:t>
      </w:r>
      <w:r w:rsidRPr="006B5701">
        <w:rPr>
          <w:szCs w:val="22"/>
          <w:lang w:val="sr-Latn-CS"/>
        </w:rPr>
        <w:t>.</w:t>
      </w:r>
    </w:p>
    <w:p w14:paraId="6383623B" w14:textId="77777777" w:rsidR="00351910" w:rsidRPr="006B5701" w:rsidRDefault="00351910" w:rsidP="009B7630">
      <w:pPr>
        <w:jc w:val="left"/>
        <w:rPr>
          <w:szCs w:val="22"/>
          <w:lang w:val="sr-Latn-CS"/>
        </w:rPr>
      </w:pPr>
    </w:p>
    <w:p w14:paraId="425C6B6B" w14:textId="5C231D13" w:rsidR="009B7630" w:rsidRPr="006B5701" w:rsidRDefault="0083579A" w:rsidP="009B7630">
      <w:pPr>
        <w:jc w:val="left"/>
        <w:rPr>
          <w:szCs w:val="22"/>
          <w:lang w:val="sr-Latn-CS"/>
        </w:rPr>
      </w:pPr>
      <w:r>
        <w:rPr>
          <w:bCs/>
          <w:szCs w:val="22"/>
          <w:lang w:val="sr-Latn-CS"/>
        </w:rPr>
        <w:t>Mirapexin</w:t>
      </w:r>
      <w:r w:rsidR="009B7630" w:rsidRPr="006B5701">
        <w:rPr>
          <w:bCs/>
          <w:szCs w:val="22"/>
          <w:lang w:val="sr-Latn-CS"/>
        </w:rPr>
        <w:t xml:space="preserve">, </w:t>
      </w:r>
      <w:r w:rsidR="005C59E7">
        <w:rPr>
          <w:bCs/>
          <w:szCs w:val="22"/>
          <w:lang w:val="sr-Latn-CS"/>
        </w:rPr>
        <w:t>0,7</w:t>
      </w:r>
      <w:r w:rsidR="005C59E7" w:rsidRPr="006B5701">
        <w:rPr>
          <w:bCs/>
          <w:szCs w:val="22"/>
          <w:lang w:val="sr-Latn-CS"/>
        </w:rPr>
        <w:t xml:space="preserve"> </w:t>
      </w:r>
      <w:r w:rsidR="009B7630" w:rsidRPr="006B5701">
        <w:rPr>
          <w:bCs/>
          <w:szCs w:val="22"/>
          <w:lang w:val="sr-Latn-CS"/>
        </w:rPr>
        <w:t>mg, tablet</w:t>
      </w:r>
      <w:r w:rsidR="00FF778E" w:rsidRPr="006B5701">
        <w:rPr>
          <w:bCs/>
          <w:szCs w:val="22"/>
          <w:lang w:val="sr-Latn-CS"/>
        </w:rPr>
        <w:t>e</w:t>
      </w:r>
      <w:r w:rsidR="009B7630" w:rsidRPr="006B5701">
        <w:rPr>
          <w:szCs w:val="22"/>
          <w:lang w:val="sr-Latn-CS"/>
        </w:rPr>
        <w:t>: 30 tableta (3 blistera x 10 tableta)</w:t>
      </w:r>
    </w:p>
    <w:p w14:paraId="6E91B69E" w14:textId="6F2F7D9A" w:rsidR="009B7630" w:rsidRPr="006B5701" w:rsidRDefault="004106AA" w:rsidP="009B7630">
      <w:pPr>
        <w:pStyle w:val="Header"/>
        <w:tabs>
          <w:tab w:val="clear" w:pos="4536"/>
          <w:tab w:val="clear" w:pos="9072"/>
          <w:tab w:val="left" w:pos="284"/>
        </w:tabs>
        <w:jc w:val="left"/>
        <w:rPr>
          <w:szCs w:val="22"/>
          <w:lang w:val="sr-Latn-CS"/>
        </w:rPr>
      </w:pPr>
      <w:r w:rsidRPr="006B5701">
        <w:rPr>
          <w:szCs w:val="22"/>
        </w:rPr>
        <w:t>Unutra</w:t>
      </w:r>
      <w:r w:rsidRPr="006B5701">
        <w:rPr>
          <w:szCs w:val="22"/>
          <w:lang w:val="sr-Latn-CS"/>
        </w:rPr>
        <w:t>š</w:t>
      </w:r>
      <w:r w:rsidRPr="006B5701">
        <w:rPr>
          <w:szCs w:val="22"/>
        </w:rPr>
        <w:t>nje</w:t>
      </w:r>
      <w:r w:rsidRPr="006B5701">
        <w:rPr>
          <w:szCs w:val="22"/>
          <w:lang w:val="sr-Latn-CS"/>
        </w:rPr>
        <w:t xml:space="preserve"> </w:t>
      </w:r>
      <w:r w:rsidRPr="006B5701">
        <w:rPr>
          <w:szCs w:val="22"/>
        </w:rPr>
        <w:t>pakovanje</w:t>
      </w:r>
      <w:r w:rsidRPr="006B5701">
        <w:rPr>
          <w:szCs w:val="22"/>
          <w:lang w:val="sr-Latn-CS"/>
        </w:rPr>
        <w:t xml:space="preserve"> </w:t>
      </w:r>
      <w:r w:rsidRPr="006B5701">
        <w:rPr>
          <w:szCs w:val="22"/>
        </w:rPr>
        <w:t>l</w:t>
      </w:r>
      <w:r w:rsidR="00346B55">
        <w:rPr>
          <w:szCs w:val="22"/>
        </w:rPr>
        <w:t>ij</w:t>
      </w:r>
      <w:r w:rsidRPr="006B5701">
        <w:rPr>
          <w:szCs w:val="22"/>
        </w:rPr>
        <w:t>eka</w:t>
      </w:r>
      <w:r w:rsidRPr="006B5701">
        <w:rPr>
          <w:szCs w:val="22"/>
          <w:lang w:val="sr-Latn-CS"/>
        </w:rPr>
        <w:t xml:space="preserve"> </w:t>
      </w:r>
      <w:r w:rsidRPr="006B5701">
        <w:rPr>
          <w:szCs w:val="22"/>
        </w:rPr>
        <w:t>je</w:t>
      </w:r>
      <w:r w:rsidRPr="006B5701">
        <w:rPr>
          <w:szCs w:val="22"/>
          <w:lang w:val="sr-Latn-CS"/>
        </w:rPr>
        <w:t xml:space="preserve"> </w:t>
      </w:r>
      <w:r w:rsidR="009B7630" w:rsidRPr="006B5701">
        <w:rPr>
          <w:szCs w:val="22"/>
          <w:lang w:val="sr-Latn-CS"/>
        </w:rPr>
        <w:t>OPA/aluminijum/PVC-aluminijum blister</w:t>
      </w:r>
      <w:r w:rsidR="007979EF" w:rsidRPr="006B5701">
        <w:rPr>
          <w:szCs w:val="22"/>
          <w:lang w:val="sr-Latn-CS"/>
        </w:rPr>
        <w:t>.</w:t>
      </w:r>
    </w:p>
    <w:p w14:paraId="6717C7ED" w14:textId="1D3C4C2D" w:rsidR="004106AA" w:rsidRPr="006B5701" w:rsidRDefault="004106AA" w:rsidP="004106AA">
      <w:pPr>
        <w:jc w:val="left"/>
        <w:rPr>
          <w:szCs w:val="22"/>
          <w:lang w:val="sr-Latn-CS"/>
        </w:rPr>
      </w:pPr>
      <w:r w:rsidRPr="006B5701">
        <w:rPr>
          <w:szCs w:val="22"/>
        </w:rPr>
        <w:t>Spolja</w:t>
      </w:r>
      <w:r w:rsidRPr="006B5701">
        <w:rPr>
          <w:szCs w:val="22"/>
          <w:lang w:val="sr-Latn-CS"/>
        </w:rPr>
        <w:t>š</w:t>
      </w:r>
      <w:r w:rsidRPr="006B5701">
        <w:rPr>
          <w:szCs w:val="22"/>
        </w:rPr>
        <w:t>nje</w:t>
      </w:r>
      <w:r w:rsidRPr="006B5701">
        <w:rPr>
          <w:szCs w:val="22"/>
          <w:lang w:val="sr-Latn-CS"/>
        </w:rPr>
        <w:t xml:space="preserve"> </w:t>
      </w:r>
      <w:r w:rsidRPr="006B5701">
        <w:rPr>
          <w:szCs w:val="22"/>
        </w:rPr>
        <w:t>pakovanje</w:t>
      </w:r>
      <w:r w:rsidRPr="006B5701">
        <w:rPr>
          <w:szCs w:val="22"/>
          <w:lang w:val="sr-Latn-CS"/>
        </w:rPr>
        <w:t xml:space="preserve"> </w:t>
      </w:r>
      <w:r w:rsidRPr="006B5701">
        <w:rPr>
          <w:szCs w:val="22"/>
        </w:rPr>
        <w:t>l</w:t>
      </w:r>
      <w:r w:rsidR="00346B55">
        <w:rPr>
          <w:szCs w:val="22"/>
        </w:rPr>
        <w:t>ij</w:t>
      </w:r>
      <w:r w:rsidRPr="006B5701">
        <w:rPr>
          <w:szCs w:val="22"/>
        </w:rPr>
        <w:t>eka</w:t>
      </w:r>
      <w:r w:rsidRPr="006B5701">
        <w:rPr>
          <w:szCs w:val="22"/>
          <w:lang w:val="sr-Latn-CS"/>
        </w:rPr>
        <w:t xml:space="preserve"> </w:t>
      </w:r>
      <w:r w:rsidRPr="006B5701">
        <w:rPr>
          <w:szCs w:val="22"/>
        </w:rPr>
        <w:t>je</w:t>
      </w:r>
      <w:r w:rsidRPr="006B5701">
        <w:rPr>
          <w:szCs w:val="22"/>
          <w:lang w:val="sr-Latn-CS"/>
        </w:rPr>
        <w:t xml:space="preserve"> </w:t>
      </w:r>
      <w:r w:rsidRPr="006B5701">
        <w:rPr>
          <w:szCs w:val="22"/>
        </w:rPr>
        <w:t>slo</w:t>
      </w:r>
      <w:r w:rsidRPr="006B5701">
        <w:rPr>
          <w:szCs w:val="22"/>
          <w:lang w:val="sr-Latn-CS"/>
        </w:rPr>
        <w:t>ž</w:t>
      </w:r>
      <w:r w:rsidRPr="006B5701">
        <w:rPr>
          <w:szCs w:val="22"/>
        </w:rPr>
        <w:t>iva</w:t>
      </w:r>
      <w:r w:rsidRPr="006B5701">
        <w:rPr>
          <w:szCs w:val="22"/>
          <w:lang w:val="sr-Latn-CS"/>
        </w:rPr>
        <w:t xml:space="preserve"> </w:t>
      </w:r>
      <w:r w:rsidRPr="006B5701">
        <w:rPr>
          <w:szCs w:val="22"/>
        </w:rPr>
        <w:t>kartonska</w:t>
      </w:r>
      <w:r w:rsidRPr="006B5701">
        <w:rPr>
          <w:szCs w:val="22"/>
          <w:lang w:val="sr-Latn-CS"/>
        </w:rPr>
        <w:t xml:space="preserve"> </w:t>
      </w:r>
      <w:r w:rsidRPr="006B5701">
        <w:rPr>
          <w:szCs w:val="22"/>
        </w:rPr>
        <w:t>kutija</w:t>
      </w:r>
      <w:r w:rsidRPr="006B5701">
        <w:rPr>
          <w:szCs w:val="22"/>
          <w:lang w:val="sr-Latn-CS"/>
        </w:rPr>
        <w:t xml:space="preserve"> </w:t>
      </w:r>
      <w:r w:rsidRPr="006B5701">
        <w:rPr>
          <w:szCs w:val="22"/>
        </w:rPr>
        <w:t>u</w:t>
      </w:r>
      <w:r w:rsidRPr="006B5701">
        <w:rPr>
          <w:szCs w:val="22"/>
          <w:lang w:val="sr-Latn-CS"/>
        </w:rPr>
        <w:t xml:space="preserve"> </w:t>
      </w:r>
      <w:r w:rsidRPr="006B5701">
        <w:rPr>
          <w:szCs w:val="22"/>
        </w:rPr>
        <w:t>kojoj</w:t>
      </w:r>
      <w:r w:rsidRPr="006B5701">
        <w:rPr>
          <w:szCs w:val="22"/>
          <w:lang w:val="sr-Latn-CS"/>
        </w:rPr>
        <w:t xml:space="preserve"> </w:t>
      </w:r>
      <w:r w:rsidRPr="006B5701">
        <w:rPr>
          <w:szCs w:val="22"/>
        </w:rPr>
        <w:t>se</w:t>
      </w:r>
      <w:r w:rsidRPr="006B5701">
        <w:rPr>
          <w:szCs w:val="22"/>
          <w:lang w:val="sr-Latn-CS"/>
        </w:rPr>
        <w:t xml:space="preserve"> </w:t>
      </w:r>
      <w:r w:rsidRPr="006B5701">
        <w:rPr>
          <w:szCs w:val="22"/>
        </w:rPr>
        <w:t>nalazi</w:t>
      </w:r>
      <w:r w:rsidRPr="006B5701">
        <w:rPr>
          <w:szCs w:val="22"/>
          <w:lang w:val="sr-Latn-CS"/>
        </w:rPr>
        <w:t xml:space="preserve"> 3 </w:t>
      </w:r>
      <w:r w:rsidRPr="006B5701">
        <w:rPr>
          <w:szCs w:val="22"/>
        </w:rPr>
        <w:t>blistera</w:t>
      </w:r>
      <w:r w:rsidRPr="006B5701">
        <w:rPr>
          <w:szCs w:val="22"/>
          <w:lang w:val="sr-Latn-CS"/>
        </w:rPr>
        <w:t xml:space="preserve"> </w:t>
      </w:r>
      <w:proofErr w:type="gramStart"/>
      <w:r w:rsidRPr="006B5701">
        <w:rPr>
          <w:szCs w:val="22"/>
        </w:rPr>
        <w:t>sa</w:t>
      </w:r>
      <w:proofErr w:type="gramEnd"/>
      <w:r w:rsidRPr="006B5701">
        <w:rPr>
          <w:szCs w:val="22"/>
          <w:lang w:val="sr-Latn-CS"/>
        </w:rPr>
        <w:t xml:space="preserve"> </w:t>
      </w:r>
      <w:r w:rsidRPr="006B5701">
        <w:rPr>
          <w:szCs w:val="22"/>
        </w:rPr>
        <w:t>po</w:t>
      </w:r>
      <w:r w:rsidRPr="006B5701">
        <w:rPr>
          <w:szCs w:val="22"/>
          <w:lang w:val="sr-Latn-CS"/>
        </w:rPr>
        <w:t xml:space="preserve"> 10 </w:t>
      </w:r>
      <w:r w:rsidRPr="006B5701">
        <w:rPr>
          <w:szCs w:val="22"/>
        </w:rPr>
        <w:t>tableta</w:t>
      </w:r>
      <w:r w:rsidRPr="006B5701">
        <w:rPr>
          <w:szCs w:val="22"/>
          <w:lang w:val="sr-Latn-CS"/>
        </w:rPr>
        <w:t xml:space="preserve"> </w:t>
      </w:r>
      <w:r w:rsidRPr="006B5701">
        <w:rPr>
          <w:szCs w:val="22"/>
        </w:rPr>
        <w:t>i</w:t>
      </w:r>
      <w:r w:rsidRPr="006B5701">
        <w:rPr>
          <w:szCs w:val="22"/>
          <w:lang w:val="sr-Latn-CS"/>
        </w:rPr>
        <w:t xml:space="preserve"> </w:t>
      </w:r>
      <w:r w:rsidRPr="006B5701">
        <w:rPr>
          <w:szCs w:val="22"/>
        </w:rPr>
        <w:t>Uputstvo</w:t>
      </w:r>
      <w:r w:rsidRPr="006B5701">
        <w:rPr>
          <w:szCs w:val="22"/>
          <w:lang w:val="sr-Latn-CS"/>
        </w:rPr>
        <w:t xml:space="preserve"> </w:t>
      </w:r>
      <w:r w:rsidRPr="006B5701">
        <w:rPr>
          <w:szCs w:val="22"/>
        </w:rPr>
        <w:t>za</w:t>
      </w:r>
      <w:r w:rsidRPr="006B5701">
        <w:rPr>
          <w:szCs w:val="22"/>
          <w:lang w:val="sr-Latn-CS"/>
        </w:rPr>
        <w:t xml:space="preserve"> </w:t>
      </w:r>
      <w:r w:rsidRPr="006B5701">
        <w:rPr>
          <w:szCs w:val="22"/>
        </w:rPr>
        <w:t>l</w:t>
      </w:r>
      <w:r w:rsidR="00346B55">
        <w:rPr>
          <w:szCs w:val="22"/>
        </w:rPr>
        <w:t>ij</w:t>
      </w:r>
      <w:r w:rsidRPr="006B5701">
        <w:rPr>
          <w:szCs w:val="22"/>
        </w:rPr>
        <w:t>ek</w:t>
      </w:r>
      <w:r w:rsidRPr="006B5701">
        <w:rPr>
          <w:szCs w:val="22"/>
          <w:lang w:val="sr-Latn-CS"/>
        </w:rPr>
        <w:t>.</w:t>
      </w:r>
    </w:p>
    <w:p w14:paraId="165DCB1B" w14:textId="77777777" w:rsidR="009B7630" w:rsidRPr="006B5701" w:rsidRDefault="009B7630" w:rsidP="00923865">
      <w:pPr>
        <w:rPr>
          <w:szCs w:val="22"/>
          <w:lang w:val="sr-Latn-CS"/>
        </w:rPr>
      </w:pPr>
    </w:p>
    <w:p w14:paraId="274595E3" w14:textId="58C72B84" w:rsidR="00CE09F3" w:rsidRPr="006B5701" w:rsidRDefault="00CE09F3" w:rsidP="00923865">
      <w:pPr>
        <w:rPr>
          <w:b/>
          <w:bCs/>
          <w:szCs w:val="22"/>
          <w:lang w:val="sr-Latn-CS"/>
        </w:rPr>
      </w:pPr>
      <w:r w:rsidRPr="006B5701">
        <w:rPr>
          <w:b/>
          <w:bCs/>
          <w:szCs w:val="22"/>
          <w:lang w:val="sr-Latn-CS"/>
        </w:rPr>
        <w:t xml:space="preserve">6.6. </w:t>
      </w:r>
      <w:r w:rsidRPr="006B5701">
        <w:rPr>
          <w:b/>
          <w:bCs/>
          <w:szCs w:val="22"/>
          <w:lang w:val="ru-RU"/>
        </w:rPr>
        <w:t>Posebne</w:t>
      </w:r>
      <w:r w:rsidRPr="006B5701">
        <w:rPr>
          <w:b/>
          <w:bCs/>
          <w:szCs w:val="22"/>
          <w:lang w:val="sr-Latn-CS"/>
        </w:rPr>
        <w:t xml:space="preserve"> </w:t>
      </w:r>
      <w:r w:rsidRPr="006B5701">
        <w:rPr>
          <w:b/>
          <w:bCs/>
          <w:szCs w:val="22"/>
          <w:lang w:val="ru-RU"/>
        </w:rPr>
        <w:t>m</w:t>
      </w:r>
      <w:r w:rsidR="00346B55">
        <w:rPr>
          <w:b/>
          <w:bCs/>
          <w:szCs w:val="22"/>
          <w:lang w:val="sr-Latn-ME"/>
        </w:rPr>
        <w:t>j</w:t>
      </w:r>
      <w:r w:rsidRPr="006B5701">
        <w:rPr>
          <w:b/>
          <w:bCs/>
          <w:szCs w:val="22"/>
          <w:lang w:val="ru-RU"/>
        </w:rPr>
        <w:t>ere</w:t>
      </w:r>
      <w:r w:rsidRPr="006B5701">
        <w:rPr>
          <w:b/>
          <w:bCs/>
          <w:szCs w:val="22"/>
          <w:lang w:val="sr-Latn-CS"/>
        </w:rPr>
        <w:t xml:space="preserve"> </w:t>
      </w:r>
      <w:r w:rsidRPr="006B5701">
        <w:rPr>
          <w:b/>
          <w:bCs/>
          <w:szCs w:val="22"/>
          <w:lang w:val="ru-RU"/>
        </w:rPr>
        <w:t>opreza</w:t>
      </w:r>
      <w:r w:rsidRPr="006B5701">
        <w:rPr>
          <w:b/>
          <w:bCs/>
          <w:szCs w:val="22"/>
          <w:lang w:val="sr-Latn-CS"/>
        </w:rPr>
        <w:t xml:space="preserve"> </w:t>
      </w:r>
      <w:r w:rsidRPr="006B5701">
        <w:rPr>
          <w:b/>
          <w:bCs/>
          <w:szCs w:val="22"/>
          <w:lang w:val="ru-RU"/>
        </w:rPr>
        <w:t>pri</w:t>
      </w:r>
      <w:r w:rsidRPr="006B5701">
        <w:rPr>
          <w:b/>
          <w:bCs/>
          <w:szCs w:val="22"/>
          <w:lang w:val="sr-Latn-CS"/>
        </w:rPr>
        <w:t xml:space="preserve"> </w:t>
      </w:r>
      <w:r w:rsidRPr="006B5701">
        <w:rPr>
          <w:b/>
          <w:bCs/>
          <w:szCs w:val="22"/>
          <w:lang w:val="ru-RU"/>
        </w:rPr>
        <w:t>odlaganju</w:t>
      </w:r>
      <w:r w:rsidRPr="006B5701">
        <w:rPr>
          <w:b/>
          <w:bCs/>
          <w:szCs w:val="22"/>
          <w:lang w:val="sr-Latn-CS"/>
        </w:rPr>
        <w:t xml:space="preserve"> </w:t>
      </w:r>
      <w:r w:rsidRPr="006B5701">
        <w:rPr>
          <w:b/>
          <w:bCs/>
          <w:szCs w:val="22"/>
          <w:lang w:val="ru-RU"/>
        </w:rPr>
        <w:t>materijala</w:t>
      </w:r>
      <w:r w:rsidRPr="006B5701">
        <w:rPr>
          <w:b/>
          <w:bCs/>
          <w:szCs w:val="22"/>
          <w:lang w:val="sr-Latn-CS"/>
        </w:rPr>
        <w:t xml:space="preserve"> </w:t>
      </w:r>
      <w:r w:rsidRPr="006B5701">
        <w:rPr>
          <w:b/>
          <w:bCs/>
          <w:szCs w:val="22"/>
          <w:lang w:val="ru-RU"/>
        </w:rPr>
        <w:t>koji</w:t>
      </w:r>
      <w:r w:rsidRPr="006B5701">
        <w:rPr>
          <w:b/>
          <w:bCs/>
          <w:szCs w:val="22"/>
          <w:lang w:val="sr-Latn-CS"/>
        </w:rPr>
        <w:t xml:space="preserve"> </w:t>
      </w:r>
      <w:r w:rsidRPr="006B5701">
        <w:rPr>
          <w:b/>
          <w:bCs/>
          <w:szCs w:val="22"/>
          <w:lang w:val="ru-RU"/>
        </w:rPr>
        <w:t>treba</w:t>
      </w:r>
      <w:r w:rsidRPr="006B5701">
        <w:rPr>
          <w:b/>
          <w:bCs/>
          <w:szCs w:val="22"/>
          <w:lang w:val="sr-Latn-CS"/>
        </w:rPr>
        <w:t xml:space="preserve"> </w:t>
      </w:r>
      <w:r w:rsidRPr="006B5701">
        <w:rPr>
          <w:b/>
          <w:bCs/>
          <w:szCs w:val="22"/>
          <w:lang w:val="ru-RU"/>
        </w:rPr>
        <w:t>odbaciti</w:t>
      </w:r>
      <w:r w:rsidRPr="006B5701">
        <w:rPr>
          <w:b/>
          <w:bCs/>
          <w:szCs w:val="22"/>
          <w:lang w:val="sr-Latn-CS"/>
        </w:rPr>
        <w:t xml:space="preserve"> </w:t>
      </w:r>
      <w:r w:rsidRPr="006B5701">
        <w:rPr>
          <w:b/>
          <w:bCs/>
          <w:szCs w:val="22"/>
          <w:lang w:val="ru-RU"/>
        </w:rPr>
        <w:t>nakon</w:t>
      </w:r>
      <w:r w:rsidRPr="006B5701">
        <w:rPr>
          <w:b/>
          <w:bCs/>
          <w:szCs w:val="22"/>
          <w:lang w:val="sr-Latn-CS"/>
        </w:rPr>
        <w:t xml:space="preserve"> </w:t>
      </w:r>
      <w:r w:rsidRPr="006B5701">
        <w:rPr>
          <w:b/>
          <w:bCs/>
          <w:szCs w:val="22"/>
          <w:lang w:val="ru-RU"/>
        </w:rPr>
        <w:t>prim</w:t>
      </w:r>
      <w:r w:rsidR="00346B55">
        <w:rPr>
          <w:b/>
          <w:bCs/>
          <w:szCs w:val="22"/>
          <w:lang w:val="sr-Latn-ME"/>
        </w:rPr>
        <w:t>j</w:t>
      </w:r>
      <w:r w:rsidRPr="006B5701">
        <w:rPr>
          <w:b/>
          <w:bCs/>
          <w:szCs w:val="22"/>
          <w:lang w:val="ru-RU"/>
        </w:rPr>
        <w:t>ene</w:t>
      </w:r>
      <w:r w:rsidRPr="006B5701">
        <w:rPr>
          <w:b/>
          <w:bCs/>
          <w:szCs w:val="22"/>
          <w:lang w:val="sr-Latn-CS"/>
        </w:rPr>
        <w:t xml:space="preserve"> </w:t>
      </w:r>
      <w:r w:rsidRPr="006B5701">
        <w:rPr>
          <w:b/>
          <w:bCs/>
          <w:szCs w:val="22"/>
          <w:lang w:val="ru-RU"/>
        </w:rPr>
        <w:t>le</w:t>
      </w:r>
      <w:r w:rsidR="00346B55">
        <w:rPr>
          <w:b/>
          <w:bCs/>
          <w:szCs w:val="22"/>
          <w:lang w:val="sr-Latn-ME"/>
        </w:rPr>
        <w:t>ij</w:t>
      </w:r>
      <w:r w:rsidRPr="006B5701">
        <w:rPr>
          <w:b/>
          <w:bCs/>
          <w:szCs w:val="22"/>
          <w:lang w:val="ru-RU"/>
        </w:rPr>
        <w:t>ka</w:t>
      </w:r>
      <w:r w:rsidRPr="006B5701">
        <w:rPr>
          <w:b/>
          <w:bCs/>
          <w:szCs w:val="22"/>
          <w:lang w:val="sr-Latn-CS"/>
        </w:rPr>
        <w:t xml:space="preserve"> (i druga uputstva za rukovanje l</w:t>
      </w:r>
      <w:r w:rsidR="00346B55">
        <w:rPr>
          <w:b/>
          <w:bCs/>
          <w:szCs w:val="22"/>
          <w:lang w:val="sr-Latn-CS"/>
        </w:rPr>
        <w:t>ij</w:t>
      </w:r>
      <w:r w:rsidRPr="006B5701">
        <w:rPr>
          <w:b/>
          <w:bCs/>
          <w:szCs w:val="22"/>
          <w:lang w:val="sr-Latn-CS"/>
        </w:rPr>
        <w:t>ekom)</w:t>
      </w:r>
    </w:p>
    <w:p w14:paraId="3393FF74" w14:textId="77777777" w:rsidR="00CE09F3" w:rsidRPr="006B5701" w:rsidRDefault="00CE09F3" w:rsidP="00923865">
      <w:pPr>
        <w:rPr>
          <w:szCs w:val="22"/>
          <w:lang w:val="sr-Latn-CS"/>
        </w:rPr>
      </w:pPr>
    </w:p>
    <w:p w14:paraId="27E5B1BB" w14:textId="4A1F4FBF" w:rsidR="00270265" w:rsidRDefault="00193397" w:rsidP="00C76D6B">
      <w:pPr>
        <w:rPr>
          <w:lang w:val="sr-Latn-CS"/>
        </w:rPr>
      </w:pPr>
      <w:r w:rsidRPr="006B5701">
        <w:rPr>
          <w:szCs w:val="22"/>
          <w:lang w:val="sr-Latn-RS"/>
        </w:rPr>
        <w:t>Svu neiskorišćenu količinu l</w:t>
      </w:r>
      <w:r w:rsidR="00346B55">
        <w:rPr>
          <w:szCs w:val="22"/>
          <w:lang w:val="sr-Latn-RS"/>
        </w:rPr>
        <w:t>ij</w:t>
      </w:r>
      <w:r w:rsidRPr="006B5701">
        <w:rPr>
          <w:szCs w:val="22"/>
          <w:lang w:val="sr-Latn-RS"/>
        </w:rPr>
        <w:t>eka ili otpadnog materijala nakon njegove upotrebe treba ukloniti, u skladu sa važećim propisima.</w:t>
      </w:r>
    </w:p>
    <w:p w14:paraId="1368C888" w14:textId="38A83428" w:rsidR="00CE09F3" w:rsidRPr="006B5701" w:rsidRDefault="00CE09F3" w:rsidP="00923865">
      <w:pPr>
        <w:pStyle w:val="NASLOV123"/>
        <w:rPr>
          <w:lang w:val="sr-Latn-CS"/>
        </w:rPr>
      </w:pPr>
      <w:r w:rsidRPr="006B5701">
        <w:rPr>
          <w:lang w:val="sr-Latn-CS"/>
        </w:rPr>
        <w:t xml:space="preserve">7. </w:t>
      </w:r>
      <w:r w:rsidRPr="006B5701">
        <w:t>NOSILAC</w:t>
      </w:r>
      <w:r w:rsidRPr="006B5701">
        <w:rPr>
          <w:lang w:val="sr-Latn-CS"/>
        </w:rPr>
        <w:t xml:space="preserve"> </w:t>
      </w:r>
      <w:r w:rsidRPr="006B5701">
        <w:t>DOZVOLE</w:t>
      </w:r>
      <w:r w:rsidRPr="006B5701">
        <w:rPr>
          <w:lang w:val="sr-Latn-CS"/>
        </w:rPr>
        <w:t xml:space="preserve"> </w:t>
      </w:r>
    </w:p>
    <w:p w14:paraId="2CA28680" w14:textId="53ACF17D" w:rsidR="00EB5C79" w:rsidRDefault="00346B55" w:rsidP="00EB5C79">
      <w:pPr>
        <w:rPr>
          <w:szCs w:val="22"/>
          <w:lang w:val="sr-Latn-CS"/>
        </w:rPr>
      </w:pPr>
      <w:r>
        <w:rPr>
          <w:szCs w:val="22"/>
          <w:lang w:val="sr-Latn-CS"/>
        </w:rPr>
        <w:t>Glosarij d.o.o. Vojislavljevića 76, Podgorica, Crna Gora</w:t>
      </w:r>
      <w:r w:rsidR="009C5D73">
        <w:rPr>
          <w:szCs w:val="22"/>
          <w:lang w:val="sr-Latn-CS"/>
        </w:rPr>
        <w:t xml:space="preserve">  </w:t>
      </w:r>
    </w:p>
    <w:p w14:paraId="2CB931E9" w14:textId="77777777" w:rsidR="009C5D73" w:rsidRPr="00EB5C79" w:rsidRDefault="009C5D73" w:rsidP="00EB5C79">
      <w:pPr>
        <w:rPr>
          <w:szCs w:val="22"/>
          <w:lang w:val="sr-Latn-CS"/>
        </w:rPr>
      </w:pPr>
    </w:p>
    <w:p w14:paraId="12F2AAF5" w14:textId="7701FC99" w:rsidR="00CE09F3" w:rsidRPr="006B5701" w:rsidRDefault="00CE09F3" w:rsidP="00923865">
      <w:pPr>
        <w:pStyle w:val="NASLOV123"/>
        <w:rPr>
          <w:lang w:val="sr-Latn-CS"/>
        </w:rPr>
      </w:pPr>
      <w:r w:rsidRPr="006B5701">
        <w:rPr>
          <w:lang w:val="sl-SI"/>
        </w:rPr>
        <w:t xml:space="preserve">8. </w:t>
      </w:r>
      <w:r w:rsidR="006E2DDC" w:rsidRPr="006E2DDC">
        <w:rPr>
          <w:bCs/>
        </w:rPr>
        <w:t>BROJ DOZVOLE ZA STAVLJANJE LIJEKA U PROMET</w:t>
      </w:r>
      <w:r w:rsidR="006E2DDC">
        <w:rPr>
          <w:bCs/>
        </w:rPr>
        <w:t xml:space="preserve"> </w:t>
      </w:r>
    </w:p>
    <w:p w14:paraId="02952B0F" w14:textId="2E43372B" w:rsidR="009B7630" w:rsidRPr="006B5701" w:rsidRDefault="0083579A" w:rsidP="009B7630">
      <w:pPr>
        <w:tabs>
          <w:tab w:val="left" w:pos="3240"/>
        </w:tabs>
        <w:jc w:val="left"/>
        <w:rPr>
          <w:szCs w:val="22"/>
          <w:lang w:val="sr-Latn-CS"/>
        </w:rPr>
      </w:pPr>
      <w:r>
        <w:rPr>
          <w:bCs/>
          <w:szCs w:val="22"/>
          <w:lang w:val="sr-Latn-CS"/>
        </w:rPr>
        <w:t>Mirapexin</w:t>
      </w:r>
      <w:r w:rsidR="009B7630" w:rsidRPr="006B5701">
        <w:rPr>
          <w:bCs/>
          <w:szCs w:val="22"/>
          <w:lang w:val="sr-Latn-CS"/>
        </w:rPr>
        <w:t xml:space="preserve">, </w:t>
      </w:r>
      <w:r w:rsidR="00364E31" w:rsidRPr="006B5701">
        <w:rPr>
          <w:bCs/>
          <w:szCs w:val="22"/>
          <w:lang w:val="sr-Latn-CS"/>
        </w:rPr>
        <w:t>0,</w:t>
      </w:r>
      <w:r w:rsidR="005C59E7">
        <w:rPr>
          <w:bCs/>
          <w:szCs w:val="22"/>
          <w:lang w:val="sr-Latn-CS"/>
        </w:rPr>
        <w:t>18</w:t>
      </w:r>
      <w:r w:rsidR="005C59E7" w:rsidRPr="006B5701">
        <w:rPr>
          <w:bCs/>
          <w:szCs w:val="22"/>
          <w:lang w:val="sr-Latn-CS"/>
        </w:rPr>
        <w:t xml:space="preserve"> </w:t>
      </w:r>
      <w:r w:rsidR="009B7630" w:rsidRPr="006B5701">
        <w:rPr>
          <w:bCs/>
          <w:szCs w:val="22"/>
          <w:lang w:val="sr-Latn-CS"/>
        </w:rPr>
        <w:t>mg, tableta</w:t>
      </w:r>
      <w:r w:rsidR="009B7630" w:rsidRPr="006B5701">
        <w:rPr>
          <w:szCs w:val="22"/>
          <w:lang w:val="sr-Latn-CS"/>
        </w:rPr>
        <w:t xml:space="preserve">: </w:t>
      </w:r>
      <w:r w:rsidR="006E2DDC">
        <w:rPr>
          <w:szCs w:val="22"/>
          <w:lang w:val="sr-Latn-CS"/>
        </w:rPr>
        <w:t xml:space="preserve"> 2030/11/73-989</w:t>
      </w:r>
    </w:p>
    <w:p w14:paraId="66566C87" w14:textId="77777777" w:rsidR="009B7630" w:rsidRPr="006B5701" w:rsidRDefault="009B7630" w:rsidP="009B7630">
      <w:pPr>
        <w:tabs>
          <w:tab w:val="left" w:pos="7920"/>
        </w:tabs>
        <w:jc w:val="left"/>
        <w:rPr>
          <w:szCs w:val="22"/>
          <w:lang w:val="sr-Latn-CS"/>
        </w:rPr>
      </w:pPr>
    </w:p>
    <w:p w14:paraId="1C8E5528" w14:textId="63A82BDC" w:rsidR="009B7630" w:rsidRPr="006B5701" w:rsidRDefault="0083579A" w:rsidP="009B7630">
      <w:pPr>
        <w:pStyle w:val="Header"/>
        <w:tabs>
          <w:tab w:val="clear" w:pos="4536"/>
          <w:tab w:val="clear" w:pos="9072"/>
          <w:tab w:val="left" w:pos="284"/>
          <w:tab w:val="left" w:pos="3240"/>
        </w:tabs>
        <w:jc w:val="left"/>
        <w:rPr>
          <w:szCs w:val="22"/>
          <w:lang w:val="sr-Latn-CS"/>
        </w:rPr>
      </w:pPr>
      <w:r>
        <w:rPr>
          <w:bCs/>
          <w:szCs w:val="22"/>
          <w:lang w:val="sr-Latn-CS"/>
        </w:rPr>
        <w:t>Mirapexin</w:t>
      </w:r>
      <w:r w:rsidR="009B7630" w:rsidRPr="006B5701">
        <w:rPr>
          <w:bCs/>
          <w:szCs w:val="22"/>
          <w:lang w:val="sr-Latn-CS"/>
        </w:rPr>
        <w:t xml:space="preserve">, </w:t>
      </w:r>
      <w:r w:rsidR="005C59E7">
        <w:rPr>
          <w:bCs/>
          <w:szCs w:val="22"/>
          <w:lang w:val="sr-Latn-CS"/>
        </w:rPr>
        <w:t>0,7</w:t>
      </w:r>
      <w:r w:rsidR="005C59E7" w:rsidRPr="006B5701">
        <w:rPr>
          <w:bCs/>
          <w:szCs w:val="22"/>
          <w:lang w:val="sr-Latn-CS"/>
        </w:rPr>
        <w:t xml:space="preserve"> </w:t>
      </w:r>
      <w:r w:rsidR="009B7630" w:rsidRPr="006B5701">
        <w:rPr>
          <w:bCs/>
          <w:szCs w:val="22"/>
          <w:lang w:val="sr-Latn-CS"/>
        </w:rPr>
        <w:t>mg, tableta</w:t>
      </w:r>
      <w:r w:rsidR="009B7630" w:rsidRPr="006B5701">
        <w:rPr>
          <w:szCs w:val="22"/>
          <w:lang w:val="sr-Latn-CS"/>
        </w:rPr>
        <w:t xml:space="preserve">: </w:t>
      </w:r>
      <w:r w:rsidR="006E2DDC">
        <w:rPr>
          <w:szCs w:val="22"/>
          <w:lang w:val="sr-Latn-CS"/>
        </w:rPr>
        <w:t>2030/11/72-988</w:t>
      </w:r>
    </w:p>
    <w:p w14:paraId="6A1F393C" w14:textId="4A1B2911" w:rsidR="00EB1434" w:rsidRPr="006B5701" w:rsidRDefault="00EB1434" w:rsidP="00923865">
      <w:pPr>
        <w:rPr>
          <w:szCs w:val="22"/>
          <w:lang w:val="sr-Latn-CS"/>
        </w:rPr>
      </w:pPr>
    </w:p>
    <w:p w14:paraId="4AE3B3E6" w14:textId="34A1A6F8" w:rsidR="00CE09F3" w:rsidRPr="006B5701" w:rsidRDefault="00CE09F3" w:rsidP="009677DF">
      <w:pPr>
        <w:pStyle w:val="NASLOV123"/>
        <w:jc w:val="both"/>
        <w:rPr>
          <w:lang w:val="pl-PL"/>
        </w:rPr>
      </w:pPr>
      <w:r w:rsidRPr="006B5701">
        <w:rPr>
          <w:lang w:val="pl-PL"/>
        </w:rPr>
        <w:t xml:space="preserve">9. </w:t>
      </w:r>
      <w:r w:rsidR="006E2DDC" w:rsidRPr="006E2DDC">
        <w:rPr>
          <w:bCs/>
        </w:rPr>
        <w:t xml:space="preserve"> DATUM PRVE DOZVOLE/OBNOVE DOZVOLE ZA STAVLJANJE LIJEKA U PROMET</w:t>
      </w:r>
    </w:p>
    <w:p w14:paraId="1C79571F" w14:textId="263D688E" w:rsidR="00A3102B" w:rsidRPr="006B5701" w:rsidRDefault="0083579A" w:rsidP="00A3102B">
      <w:pPr>
        <w:pStyle w:val="Header"/>
        <w:tabs>
          <w:tab w:val="clear" w:pos="4536"/>
          <w:tab w:val="clear" w:pos="9072"/>
          <w:tab w:val="left" w:pos="284"/>
          <w:tab w:val="left" w:pos="3240"/>
        </w:tabs>
        <w:jc w:val="left"/>
        <w:rPr>
          <w:szCs w:val="22"/>
          <w:lang w:val="sr-Latn-CS"/>
        </w:rPr>
      </w:pPr>
      <w:r>
        <w:rPr>
          <w:bCs/>
          <w:szCs w:val="22"/>
          <w:lang w:val="sr-Latn-CS"/>
        </w:rPr>
        <w:t>Mirapexin</w:t>
      </w:r>
      <w:r w:rsidR="00A721BA" w:rsidRPr="006B5701">
        <w:rPr>
          <w:bCs/>
          <w:szCs w:val="22"/>
          <w:lang w:val="sr-Latn-CS"/>
        </w:rPr>
        <w:t>, 0,</w:t>
      </w:r>
      <w:r w:rsidR="005C59E7">
        <w:rPr>
          <w:bCs/>
          <w:szCs w:val="22"/>
          <w:lang w:val="sr-Latn-CS"/>
        </w:rPr>
        <w:t>18</w:t>
      </w:r>
      <w:r w:rsidR="005C59E7" w:rsidRPr="006B5701">
        <w:rPr>
          <w:bCs/>
          <w:szCs w:val="22"/>
          <w:lang w:val="sr-Latn-CS"/>
        </w:rPr>
        <w:t xml:space="preserve"> </w:t>
      </w:r>
      <w:r w:rsidR="00A3102B" w:rsidRPr="006B5701">
        <w:rPr>
          <w:bCs/>
          <w:szCs w:val="22"/>
          <w:lang w:val="sr-Latn-CS"/>
        </w:rPr>
        <w:t>mg, tableta</w:t>
      </w:r>
      <w:r w:rsidR="00A3102B" w:rsidRPr="006B5701">
        <w:rPr>
          <w:szCs w:val="22"/>
          <w:lang w:val="sr-Latn-CS"/>
        </w:rPr>
        <w:t>: Datum prve dozvole: 1</w:t>
      </w:r>
      <w:r w:rsidR="00F171D3">
        <w:rPr>
          <w:szCs w:val="22"/>
          <w:lang w:val="sr-Latn-CS"/>
        </w:rPr>
        <w:t>5</w:t>
      </w:r>
      <w:r w:rsidR="00A3102B" w:rsidRPr="006B5701">
        <w:rPr>
          <w:szCs w:val="22"/>
          <w:lang w:val="sr-Latn-CS"/>
        </w:rPr>
        <w:t>.11.20</w:t>
      </w:r>
      <w:r w:rsidR="00F171D3">
        <w:rPr>
          <w:szCs w:val="22"/>
          <w:lang w:val="sr-Latn-CS"/>
        </w:rPr>
        <w:t>11.</w:t>
      </w:r>
      <w:r w:rsidR="009C5D73">
        <w:rPr>
          <w:szCs w:val="22"/>
          <w:lang w:val="sr-Latn-CS"/>
        </w:rPr>
        <w:t xml:space="preserve"> godine</w:t>
      </w:r>
    </w:p>
    <w:p w14:paraId="610B7D08" w14:textId="77777777" w:rsidR="00A3102B" w:rsidRPr="006B5701" w:rsidRDefault="00A3102B" w:rsidP="00A3102B">
      <w:pPr>
        <w:pStyle w:val="Header"/>
        <w:tabs>
          <w:tab w:val="clear" w:pos="4536"/>
          <w:tab w:val="clear" w:pos="9072"/>
          <w:tab w:val="left" w:pos="284"/>
          <w:tab w:val="left" w:pos="3240"/>
        </w:tabs>
        <w:jc w:val="left"/>
        <w:rPr>
          <w:b/>
          <w:bCs/>
          <w:szCs w:val="22"/>
          <w:lang w:val="sr-Latn-CS"/>
        </w:rPr>
      </w:pPr>
    </w:p>
    <w:p w14:paraId="10C88A21" w14:textId="62BF75DD" w:rsidR="00A3102B" w:rsidRDefault="0083579A" w:rsidP="00A3102B">
      <w:pPr>
        <w:pStyle w:val="Header"/>
        <w:tabs>
          <w:tab w:val="clear" w:pos="4536"/>
          <w:tab w:val="clear" w:pos="9072"/>
          <w:tab w:val="left" w:pos="284"/>
          <w:tab w:val="left" w:pos="3240"/>
        </w:tabs>
        <w:jc w:val="left"/>
        <w:rPr>
          <w:szCs w:val="22"/>
          <w:lang w:val="sr-Latn-CS"/>
        </w:rPr>
      </w:pPr>
      <w:r>
        <w:rPr>
          <w:bCs/>
          <w:szCs w:val="22"/>
          <w:lang w:val="sr-Latn-CS"/>
        </w:rPr>
        <w:t>Mirapexin</w:t>
      </w:r>
      <w:r w:rsidR="00A3102B" w:rsidRPr="006B5701">
        <w:rPr>
          <w:bCs/>
          <w:szCs w:val="22"/>
          <w:lang w:val="sr-Latn-CS"/>
        </w:rPr>
        <w:t xml:space="preserve">, </w:t>
      </w:r>
      <w:r w:rsidR="005C59E7">
        <w:rPr>
          <w:bCs/>
          <w:szCs w:val="22"/>
          <w:lang w:val="sr-Latn-CS"/>
        </w:rPr>
        <w:t>0,7</w:t>
      </w:r>
      <w:r w:rsidR="005C59E7" w:rsidRPr="006B5701">
        <w:rPr>
          <w:bCs/>
          <w:szCs w:val="22"/>
          <w:lang w:val="sr-Latn-CS"/>
        </w:rPr>
        <w:t xml:space="preserve"> </w:t>
      </w:r>
      <w:r w:rsidR="00A3102B" w:rsidRPr="006B5701">
        <w:rPr>
          <w:bCs/>
          <w:szCs w:val="22"/>
          <w:lang w:val="sr-Latn-CS"/>
        </w:rPr>
        <w:t>mg, tableta</w:t>
      </w:r>
      <w:r w:rsidR="00A3102B" w:rsidRPr="006B5701">
        <w:rPr>
          <w:szCs w:val="22"/>
          <w:lang w:val="sr-Latn-CS"/>
        </w:rPr>
        <w:t>: Datum prve dozvole: 1</w:t>
      </w:r>
      <w:r w:rsidR="00F171D3">
        <w:rPr>
          <w:szCs w:val="22"/>
          <w:lang w:val="sr-Latn-CS"/>
        </w:rPr>
        <w:t>5</w:t>
      </w:r>
      <w:r w:rsidR="00A3102B" w:rsidRPr="006B5701">
        <w:rPr>
          <w:szCs w:val="22"/>
          <w:lang w:val="sr-Latn-CS"/>
        </w:rPr>
        <w:t>.11.20</w:t>
      </w:r>
      <w:r w:rsidR="00F171D3">
        <w:rPr>
          <w:szCs w:val="22"/>
          <w:lang w:val="sr-Latn-CS"/>
        </w:rPr>
        <w:t>11</w:t>
      </w:r>
      <w:r w:rsidR="009C5D73">
        <w:rPr>
          <w:szCs w:val="22"/>
          <w:lang w:val="sr-Latn-CS"/>
        </w:rPr>
        <w:t>. godine</w:t>
      </w:r>
    </w:p>
    <w:p w14:paraId="22F36F01" w14:textId="77777777" w:rsidR="009C5D73" w:rsidRPr="006B5701" w:rsidRDefault="009C5D73" w:rsidP="00A3102B">
      <w:pPr>
        <w:pStyle w:val="Header"/>
        <w:tabs>
          <w:tab w:val="clear" w:pos="4536"/>
          <w:tab w:val="clear" w:pos="9072"/>
          <w:tab w:val="left" w:pos="284"/>
          <w:tab w:val="left" w:pos="3240"/>
        </w:tabs>
        <w:jc w:val="left"/>
        <w:rPr>
          <w:szCs w:val="22"/>
          <w:lang w:val="sr-Latn-CS"/>
        </w:rPr>
      </w:pPr>
    </w:p>
    <w:p w14:paraId="4796F78F" w14:textId="77777777" w:rsidR="00CE09F3" w:rsidRPr="006B5701" w:rsidRDefault="00CE09F3" w:rsidP="00923865">
      <w:pPr>
        <w:pStyle w:val="NASLOV123"/>
      </w:pPr>
      <w:r w:rsidRPr="006B5701">
        <w:t>10. DATUM REVIZIJE TEKSTA</w:t>
      </w:r>
    </w:p>
    <w:p w14:paraId="7F28BB45" w14:textId="6D8E39CB" w:rsidR="00923865" w:rsidRDefault="00074173" w:rsidP="00923865">
      <w:pPr>
        <w:rPr>
          <w:bCs/>
          <w:szCs w:val="22"/>
        </w:rPr>
      </w:pPr>
      <w:r>
        <w:rPr>
          <w:bCs/>
          <w:szCs w:val="22"/>
        </w:rPr>
        <w:t>Maj, 2021</w:t>
      </w:r>
      <w:r w:rsidR="00581C56">
        <w:rPr>
          <w:bCs/>
          <w:szCs w:val="22"/>
        </w:rPr>
        <w:t>.</w:t>
      </w:r>
    </w:p>
    <w:p w14:paraId="2BCF0EE5" w14:textId="417B278E" w:rsidR="006E2DDC" w:rsidRDefault="006E2DDC" w:rsidP="00923865">
      <w:pPr>
        <w:rPr>
          <w:bCs/>
          <w:szCs w:val="22"/>
        </w:rPr>
      </w:pPr>
    </w:p>
    <w:p w14:paraId="2CA94D8D" w14:textId="77777777" w:rsidR="006E2DDC" w:rsidRPr="006B5701" w:rsidRDefault="006E2DDC" w:rsidP="00923865">
      <w:pPr>
        <w:rPr>
          <w:bCs/>
          <w:szCs w:val="22"/>
        </w:rPr>
      </w:pPr>
    </w:p>
    <w:sectPr w:rsidR="006E2DDC" w:rsidRPr="006B5701" w:rsidSect="00DD2A82">
      <w:footerReference w:type="even" r:id="rId12"/>
      <w:footerReference w:type="default" r:id="rId13"/>
      <w:pgSz w:w="11907" w:h="16840" w:code="9"/>
      <w:pgMar w:top="905" w:right="1134" w:bottom="1701" w:left="1134" w:header="357" w:footer="80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F8BD1" w14:textId="77777777" w:rsidR="001D70C3" w:rsidRDefault="001D70C3">
      <w:r>
        <w:separator/>
      </w:r>
    </w:p>
  </w:endnote>
  <w:endnote w:type="continuationSeparator" w:id="0">
    <w:p w14:paraId="4A9C2DD9" w14:textId="77777777" w:rsidR="001D70C3" w:rsidRDefault="001D7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swiss"/>
    <w:pitch w:val="variable"/>
    <w:sig w:usb0="00000000" w:usb1="00000000" w:usb2="00000000" w:usb3="00000000" w:csb0="0001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altName w:val="Arial Unicode MS"/>
    <w:panose1 w:val="02020603050405020304"/>
    <w:charset w:val="DE"/>
    <w:family w:val="roman"/>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13325" w14:textId="77777777" w:rsidR="0075204F" w:rsidRDefault="0075204F"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C3D0DB" w14:textId="77777777" w:rsidR="0075204F" w:rsidRDefault="007520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6D56B" w14:textId="15631AF5" w:rsidR="0075204F" w:rsidRDefault="001D70C3" w:rsidP="00CE09F3">
    <w:pPr>
      <w:pStyle w:val="Footer"/>
      <w:tabs>
        <w:tab w:val="left" w:pos="5448"/>
      </w:tabs>
      <w:spacing w:before="360"/>
      <w:jc w:val="center"/>
    </w:pPr>
    <w:sdt>
      <w:sdtPr>
        <w:id w:val="25862803"/>
        <w:docPartObj>
          <w:docPartGallery w:val="Page Numbers (Bottom of Page)"/>
          <w:docPartUnique/>
        </w:docPartObj>
      </w:sdtPr>
      <w:sdtEndPr/>
      <w:sdtContent>
        <w:sdt>
          <w:sdtPr>
            <w:id w:val="565050477"/>
            <w:docPartObj>
              <w:docPartGallery w:val="Page Numbers (Top of Page)"/>
              <w:docPartUnique/>
            </w:docPartObj>
          </w:sdtPr>
          <w:sdtEndPr/>
          <w:sdtContent>
            <w:r w:rsidR="0075204F" w:rsidRPr="005A4234">
              <w:rPr>
                <w:sz w:val="18"/>
                <w:szCs w:val="18"/>
              </w:rPr>
              <w:fldChar w:fldCharType="begin"/>
            </w:r>
            <w:r w:rsidR="0075204F" w:rsidRPr="005A4234">
              <w:rPr>
                <w:sz w:val="18"/>
                <w:szCs w:val="18"/>
              </w:rPr>
              <w:instrText xml:space="preserve"> PAGE </w:instrText>
            </w:r>
            <w:r w:rsidR="0075204F" w:rsidRPr="005A4234">
              <w:rPr>
                <w:sz w:val="18"/>
                <w:szCs w:val="18"/>
              </w:rPr>
              <w:fldChar w:fldCharType="separate"/>
            </w:r>
            <w:r w:rsidR="00D350F5">
              <w:rPr>
                <w:noProof/>
                <w:sz w:val="18"/>
                <w:szCs w:val="18"/>
              </w:rPr>
              <w:t>15</w:t>
            </w:r>
            <w:r w:rsidR="0075204F" w:rsidRPr="005A4234">
              <w:rPr>
                <w:sz w:val="18"/>
                <w:szCs w:val="18"/>
              </w:rPr>
              <w:fldChar w:fldCharType="end"/>
            </w:r>
            <w:r w:rsidR="0075204F" w:rsidRPr="005A4234">
              <w:rPr>
                <w:sz w:val="18"/>
                <w:szCs w:val="18"/>
              </w:rPr>
              <w:t xml:space="preserve"> od </w:t>
            </w:r>
            <w:r w:rsidR="0075204F" w:rsidRPr="005A4234">
              <w:rPr>
                <w:sz w:val="18"/>
                <w:szCs w:val="18"/>
              </w:rPr>
              <w:fldChar w:fldCharType="begin"/>
            </w:r>
            <w:r w:rsidR="0075204F" w:rsidRPr="005A4234">
              <w:rPr>
                <w:sz w:val="18"/>
                <w:szCs w:val="18"/>
              </w:rPr>
              <w:instrText xml:space="preserve"> NUMPAGES  </w:instrText>
            </w:r>
            <w:r w:rsidR="0075204F" w:rsidRPr="005A4234">
              <w:rPr>
                <w:sz w:val="18"/>
                <w:szCs w:val="18"/>
              </w:rPr>
              <w:fldChar w:fldCharType="separate"/>
            </w:r>
            <w:r w:rsidR="00D350F5">
              <w:rPr>
                <w:noProof/>
                <w:sz w:val="18"/>
                <w:szCs w:val="18"/>
              </w:rPr>
              <w:t>15</w:t>
            </w:r>
            <w:r w:rsidR="0075204F" w:rsidRPr="005A4234">
              <w:rPr>
                <w:sz w:val="18"/>
                <w:szCs w:val="18"/>
              </w:rPr>
              <w:fldChar w:fldCharType="end"/>
            </w:r>
          </w:sdtContent>
        </w:sdt>
      </w:sdtContent>
    </w:sdt>
  </w:p>
  <w:p w14:paraId="3FD66EDF" w14:textId="77777777" w:rsidR="0075204F" w:rsidRPr="00C536C2" w:rsidRDefault="0075204F"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DEF44" w14:textId="77777777" w:rsidR="001D70C3" w:rsidRDefault="001D70C3">
      <w:r>
        <w:separator/>
      </w:r>
    </w:p>
  </w:footnote>
  <w:footnote w:type="continuationSeparator" w:id="0">
    <w:p w14:paraId="12A557E4" w14:textId="77777777" w:rsidR="001D70C3" w:rsidRDefault="001D70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6B0D2520"/>
    <w:multiLevelType w:val="hybridMultilevel"/>
    <w:tmpl w:val="FEB288DA"/>
    <w:lvl w:ilvl="0" w:tplc="FB52FF7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0"/>
    <w:lvlOverride w:ilvl="0">
      <w:startOverride w:val="7"/>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s-ES_tradnl" w:vendorID="64" w:dllVersion="6" w:nlCheck="1" w:checkStyle="0"/>
  <w:activeWritingStyle w:appName="MSWord" w:lang="en-US" w:vendorID="64" w:dllVersion="6" w:nlCheck="1" w:checkStyle="1"/>
  <w:activeWritingStyle w:appName="MSWord" w:lang="en-GB" w:vendorID="64" w:dllVersion="6" w:nlCheck="1" w:checkStyle="1"/>
  <w:activeWritingStyle w:appName="MSWord" w:lang="es-ES_tradnl"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s-ES_tradnl" w:vendorID="64" w:dllVersion="131078" w:nlCheck="1" w:checkStyle="0"/>
  <w:activeWritingStyle w:appName="MSWord" w:lang="en-GB" w:vendorID="64" w:dllVersion="131078" w:nlCheck="1" w:checkStyle="1"/>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5633"/>
    <w:rsid w:val="00010DDF"/>
    <w:rsid w:val="00014F7D"/>
    <w:rsid w:val="00017801"/>
    <w:rsid w:val="00017D12"/>
    <w:rsid w:val="00027EBB"/>
    <w:rsid w:val="00041FE3"/>
    <w:rsid w:val="0004433A"/>
    <w:rsid w:val="00045F4F"/>
    <w:rsid w:val="00046B53"/>
    <w:rsid w:val="00055CBB"/>
    <w:rsid w:val="0005798D"/>
    <w:rsid w:val="000641E9"/>
    <w:rsid w:val="00064273"/>
    <w:rsid w:val="00074173"/>
    <w:rsid w:val="0008310E"/>
    <w:rsid w:val="00083BE0"/>
    <w:rsid w:val="00084761"/>
    <w:rsid w:val="00095FB6"/>
    <w:rsid w:val="0009758B"/>
    <w:rsid w:val="000A0BAD"/>
    <w:rsid w:val="000A0F4A"/>
    <w:rsid w:val="000A2098"/>
    <w:rsid w:val="000A69B2"/>
    <w:rsid w:val="000B15B8"/>
    <w:rsid w:val="000B323A"/>
    <w:rsid w:val="000B4735"/>
    <w:rsid w:val="000C3752"/>
    <w:rsid w:val="000D158D"/>
    <w:rsid w:val="000D2C7F"/>
    <w:rsid w:val="000D5631"/>
    <w:rsid w:val="000E08A6"/>
    <w:rsid w:val="000E239D"/>
    <w:rsid w:val="000E75C0"/>
    <w:rsid w:val="001018AC"/>
    <w:rsid w:val="0011409B"/>
    <w:rsid w:val="00114A4F"/>
    <w:rsid w:val="00125633"/>
    <w:rsid w:val="00134E65"/>
    <w:rsid w:val="00135FDC"/>
    <w:rsid w:val="00136932"/>
    <w:rsid w:val="00141639"/>
    <w:rsid w:val="00141659"/>
    <w:rsid w:val="0014180A"/>
    <w:rsid w:val="00154875"/>
    <w:rsid w:val="00157887"/>
    <w:rsid w:val="001604B3"/>
    <w:rsid w:val="001737F4"/>
    <w:rsid w:val="0017396D"/>
    <w:rsid w:val="00173D18"/>
    <w:rsid w:val="00175772"/>
    <w:rsid w:val="00175A7E"/>
    <w:rsid w:val="001769C9"/>
    <w:rsid w:val="0018383C"/>
    <w:rsid w:val="0018601D"/>
    <w:rsid w:val="00193397"/>
    <w:rsid w:val="00196979"/>
    <w:rsid w:val="001A4195"/>
    <w:rsid w:val="001B0F87"/>
    <w:rsid w:val="001B706A"/>
    <w:rsid w:val="001C7DAE"/>
    <w:rsid w:val="001D10C9"/>
    <w:rsid w:val="001D70C3"/>
    <w:rsid w:val="001E0A07"/>
    <w:rsid w:val="001E1904"/>
    <w:rsid w:val="001E6145"/>
    <w:rsid w:val="001F0D5D"/>
    <w:rsid w:val="001F2D4E"/>
    <w:rsid w:val="001F39B6"/>
    <w:rsid w:val="001F5B8F"/>
    <w:rsid w:val="00212DDF"/>
    <w:rsid w:val="0022218E"/>
    <w:rsid w:val="0022223A"/>
    <w:rsid w:val="00230223"/>
    <w:rsid w:val="0024132F"/>
    <w:rsid w:val="00241AFF"/>
    <w:rsid w:val="00242DCD"/>
    <w:rsid w:val="00244B5E"/>
    <w:rsid w:val="00247C5C"/>
    <w:rsid w:val="00251B5B"/>
    <w:rsid w:val="00254255"/>
    <w:rsid w:val="00257418"/>
    <w:rsid w:val="002644AA"/>
    <w:rsid w:val="002656AF"/>
    <w:rsid w:val="00270265"/>
    <w:rsid w:val="00273BE0"/>
    <w:rsid w:val="002806EB"/>
    <w:rsid w:val="00282523"/>
    <w:rsid w:val="002832F6"/>
    <w:rsid w:val="00294C75"/>
    <w:rsid w:val="002A2DFC"/>
    <w:rsid w:val="002A5401"/>
    <w:rsid w:val="002B6F6A"/>
    <w:rsid w:val="002C0FBF"/>
    <w:rsid w:val="002C42EB"/>
    <w:rsid w:val="002D0337"/>
    <w:rsid w:val="002D2D2F"/>
    <w:rsid w:val="002E1667"/>
    <w:rsid w:val="002E1C9E"/>
    <w:rsid w:val="002F3A58"/>
    <w:rsid w:val="002F5E2F"/>
    <w:rsid w:val="002F747E"/>
    <w:rsid w:val="0030172D"/>
    <w:rsid w:val="00302B29"/>
    <w:rsid w:val="003037FA"/>
    <w:rsid w:val="003169F3"/>
    <w:rsid w:val="00316FC0"/>
    <w:rsid w:val="003220F4"/>
    <w:rsid w:val="00327473"/>
    <w:rsid w:val="00333181"/>
    <w:rsid w:val="0034283E"/>
    <w:rsid w:val="00344B4A"/>
    <w:rsid w:val="003452C0"/>
    <w:rsid w:val="00346B55"/>
    <w:rsid w:val="00347ECC"/>
    <w:rsid w:val="00351910"/>
    <w:rsid w:val="00351BA3"/>
    <w:rsid w:val="0035634E"/>
    <w:rsid w:val="00357405"/>
    <w:rsid w:val="003638B4"/>
    <w:rsid w:val="00364E31"/>
    <w:rsid w:val="003652BB"/>
    <w:rsid w:val="00366312"/>
    <w:rsid w:val="00383195"/>
    <w:rsid w:val="003A2DF8"/>
    <w:rsid w:val="003A4086"/>
    <w:rsid w:val="003B2082"/>
    <w:rsid w:val="003B5CB7"/>
    <w:rsid w:val="003C18A4"/>
    <w:rsid w:val="003C3750"/>
    <w:rsid w:val="003C49AF"/>
    <w:rsid w:val="003C784F"/>
    <w:rsid w:val="003D0AE0"/>
    <w:rsid w:val="003E1125"/>
    <w:rsid w:val="003E3BC1"/>
    <w:rsid w:val="003E3EC7"/>
    <w:rsid w:val="003F392D"/>
    <w:rsid w:val="00404D1D"/>
    <w:rsid w:val="004077DA"/>
    <w:rsid w:val="004106AA"/>
    <w:rsid w:val="004123CD"/>
    <w:rsid w:val="00420059"/>
    <w:rsid w:val="00422054"/>
    <w:rsid w:val="004234ED"/>
    <w:rsid w:val="0042412A"/>
    <w:rsid w:val="00427D41"/>
    <w:rsid w:val="0044229E"/>
    <w:rsid w:val="00442F00"/>
    <w:rsid w:val="004438E1"/>
    <w:rsid w:val="004527C0"/>
    <w:rsid w:val="00462C33"/>
    <w:rsid w:val="0046573B"/>
    <w:rsid w:val="00467BED"/>
    <w:rsid w:val="00475879"/>
    <w:rsid w:val="0047594F"/>
    <w:rsid w:val="00475B4A"/>
    <w:rsid w:val="00481C98"/>
    <w:rsid w:val="00492248"/>
    <w:rsid w:val="00496FDF"/>
    <w:rsid w:val="00497648"/>
    <w:rsid w:val="004A2C98"/>
    <w:rsid w:val="004A3B79"/>
    <w:rsid w:val="004A6567"/>
    <w:rsid w:val="004B0127"/>
    <w:rsid w:val="004B21C0"/>
    <w:rsid w:val="004B49A8"/>
    <w:rsid w:val="004B5A11"/>
    <w:rsid w:val="004B7A50"/>
    <w:rsid w:val="004B7FBB"/>
    <w:rsid w:val="004D1D48"/>
    <w:rsid w:val="004D230F"/>
    <w:rsid w:val="004D317A"/>
    <w:rsid w:val="004D60FF"/>
    <w:rsid w:val="004D65DC"/>
    <w:rsid w:val="004D72DF"/>
    <w:rsid w:val="00500493"/>
    <w:rsid w:val="00503974"/>
    <w:rsid w:val="0052230B"/>
    <w:rsid w:val="00525A8A"/>
    <w:rsid w:val="005276F0"/>
    <w:rsid w:val="00530909"/>
    <w:rsid w:val="00544702"/>
    <w:rsid w:val="005457A9"/>
    <w:rsid w:val="005516BC"/>
    <w:rsid w:val="005606E1"/>
    <w:rsid w:val="00563D37"/>
    <w:rsid w:val="00567892"/>
    <w:rsid w:val="00572CEC"/>
    <w:rsid w:val="0057455B"/>
    <w:rsid w:val="00576F82"/>
    <w:rsid w:val="005808C9"/>
    <w:rsid w:val="00581C56"/>
    <w:rsid w:val="00581C58"/>
    <w:rsid w:val="00597376"/>
    <w:rsid w:val="005A3D5D"/>
    <w:rsid w:val="005A62DE"/>
    <w:rsid w:val="005B3388"/>
    <w:rsid w:val="005C1F8B"/>
    <w:rsid w:val="005C3F73"/>
    <w:rsid w:val="005C59E7"/>
    <w:rsid w:val="005C7891"/>
    <w:rsid w:val="005D09FC"/>
    <w:rsid w:val="005E6272"/>
    <w:rsid w:val="005F0FF6"/>
    <w:rsid w:val="0060260B"/>
    <w:rsid w:val="00603302"/>
    <w:rsid w:val="00604E4F"/>
    <w:rsid w:val="006054EE"/>
    <w:rsid w:val="006118B6"/>
    <w:rsid w:val="006270C0"/>
    <w:rsid w:val="0062766F"/>
    <w:rsid w:val="00630195"/>
    <w:rsid w:val="006311AB"/>
    <w:rsid w:val="006312DC"/>
    <w:rsid w:val="00631D52"/>
    <w:rsid w:val="00636F08"/>
    <w:rsid w:val="00642EB3"/>
    <w:rsid w:val="0064714D"/>
    <w:rsid w:val="006527C6"/>
    <w:rsid w:val="006559AF"/>
    <w:rsid w:val="006564B0"/>
    <w:rsid w:val="00660ED5"/>
    <w:rsid w:val="00662891"/>
    <w:rsid w:val="00693548"/>
    <w:rsid w:val="00693874"/>
    <w:rsid w:val="00693F46"/>
    <w:rsid w:val="006944D1"/>
    <w:rsid w:val="00696F42"/>
    <w:rsid w:val="006A0C31"/>
    <w:rsid w:val="006A3E42"/>
    <w:rsid w:val="006A4ED2"/>
    <w:rsid w:val="006B1925"/>
    <w:rsid w:val="006B244A"/>
    <w:rsid w:val="006B2962"/>
    <w:rsid w:val="006B379A"/>
    <w:rsid w:val="006B5701"/>
    <w:rsid w:val="006C472C"/>
    <w:rsid w:val="006C5EC6"/>
    <w:rsid w:val="006D1604"/>
    <w:rsid w:val="006E08C6"/>
    <w:rsid w:val="006E2DDC"/>
    <w:rsid w:val="006F158F"/>
    <w:rsid w:val="006F68D7"/>
    <w:rsid w:val="00704A4C"/>
    <w:rsid w:val="007104D9"/>
    <w:rsid w:val="00711A38"/>
    <w:rsid w:val="00724D7A"/>
    <w:rsid w:val="007302F6"/>
    <w:rsid w:val="00731F12"/>
    <w:rsid w:val="0073623D"/>
    <w:rsid w:val="00736755"/>
    <w:rsid w:val="0074314C"/>
    <w:rsid w:val="0075204F"/>
    <w:rsid w:val="00753FF7"/>
    <w:rsid w:val="00760098"/>
    <w:rsid w:val="00764648"/>
    <w:rsid w:val="00765773"/>
    <w:rsid w:val="007672F3"/>
    <w:rsid w:val="00773927"/>
    <w:rsid w:val="00775DAC"/>
    <w:rsid w:val="007850CD"/>
    <w:rsid w:val="007900B1"/>
    <w:rsid w:val="007915F0"/>
    <w:rsid w:val="007979EF"/>
    <w:rsid w:val="007A1B42"/>
    <w:rsid w:val="007A793B"/>
    <w:rsid w:val="007B16C4"/>
    <w:rsid w:val="007B415D"/>
    <w:rsid w:val="007C2452"/>
    <w:rsid w:val="007C2D7E"/>
    <w:rsid w:val="007C5647"/>
    <w:rsid w:val="007C7870"/>
    <w:rsid w:val="007D17FD"/>
    <w:rsid w:val="007D48C5"/>
    <w:rsid w:val="007D7114"/>
    <w:rsid w:val="007E06F0"/>
    <w:rsid w:val="007F3D9E"/>
    <w:rsid w:val="00801426"/>
    <w:rsid w:val="00801F8D"/>
    <w:rsid w:val="00802DFC"/>
    <w:rsid w:val="008108FA"/>
    <w:rsid w:val="00810A79"/>
    <w:rsid w:val="00811DB7"/>
    <w:rsid w:val="00814781"/>
    <w:rsid w:val="00815BB6"/>
    <w:rsid w:val="008201AA"/>
    <w:rsid w:val="00825FAD"/>
    <w:rsid w:val="00830782"/>
    <w:rsid w:val="00834DBB"/>
    <w:rsid w:val="0083579A"/>
    <w:rsid w:val="00836C22"/>
    <w:rsid w:val="00842FFB"/>
    <w:rsid w:val="00855C65"/>
    <w:rsid w:val="0085757C"/>
    <w:rsid w:val="00860C44"/>
    <w:rsid w:val="0086351A"/>
    <w:rsid w:val="008678D2"/>
    <w:rsid w:val="00874B61"/>
    <w:rsid w:val="00877C69"/>
    <w:rsid w:val="00881D6D"/>
    <w:rsid w:val="008838F1"/>
    <w:rsid w:val="00887F3A"/>
    <w:rsid w:val="00893812"/>
    <w:rsid w:val="008A48B7"/>
    <w:rsid w:val="008A674F"/>
    <w:rsid w:val="008A7794"/>
    <w:rsid w:val="008B3EB5"/>
    <w:rsid w:val="008B65BC"/>
    <w:rsid w:val="008C34C6"/>
    <w:rsid w:val="008C4AC1"/>
    <w:rsid w:val="008C5809"/>
    <w:rsid w:val="008D4CC9"/>
    <w:rsid w:val="008D78C9"/>
    <w:rsid w:val="008E0FC9"/>
    <w:rsid w:val="008F4FCF"/>
    <w:rsid w:val="008F5F88"/>
    <w:rsid w:val="00901FFA"/>
    <w:rsid w:val="00902038"/>
    <w:rsid w:val="00905870"/>
    <w:rsid w:val="00910B35"/>
    <w:rsid w:val="00913684"/>
    <w:rsid w:val="009147B4"/>
    <w:rsid w:val="00920DE5"/>
    <w:rsid w:val="00923865"/>
    <w:rsid w:val="0093016E"/>
    <w:rsid w:val="00934B4D"/>
    <w:rsid w:val="00951B29"/>
    <w:rsid w:val="00954CE0"/>
    <w:rsid w:val="00955C75"/>
    <w:rsid w:val="009566C3"/>
    <w:rsid w:val="00962A71"/>
    <w:rsid w:val="00963141"/>
    <w:rsid w:val="00965E50"/>
    <w:rsid w:val="009677DF"/>
    <w:rsid w:val="00983364"/>
    <w:rsid w:val="009848CD"/>
    <w:rsid w:val="00986509"/>
    <w:rsid w:val="009946F8"/>
    <w:rsid w:val="00996E6B"/>
    <w:rsid w:val="009A1D64"/>
    <w:rsid w:val="009B1292"/>
    <w:rsid w:val="009B1D63"/>
    <w:rsid w:val="009B2430"/>
    <w:rsid w:val="009B338B"/>
    <w:rsid w:val="009B4B64"/>
    <w:rsid w:val="009B58AD"/>
    <w:rsid w:val="009B6651"/>
    <w:rsid w:val="009B673A"/>
    <w:rsid w:val="009B7630"/>
    <w:rsid w:val="009B7935"/>
    <w:rsid w:val="009C5730"/>
    <w:rsid w:val="009C5D73"/>
    <w:rsid w:val="009C7BA2"/>
    <w:rsid w:val="009D1161"/>
    <w:rsid w:val="009D2394"/>
    <w:rsid w:val="009D667B"/>
    <w:rsid w:val="009E0879"/>
    <w:rsid w:val="009E7D2B"/>
    <w:rsid w:val="009F12A5"/>
    <w:rsid w:val="009F13EB"/>
    <w:rsid w:val="009F414A"/>
    <w:rsid w:val="009F4449"/>
    <w:rsid w:val="00A0076A"/>
    <w:rsid w:val="00A02252"/>
    <w:rsid w:val="00A03D75"/>
    <w:rsid w:val="00A11EC3"/>
    <w:rsid w:val="00A127F1"/>
    <w:rsid w:val="00A15314"/>
    <w:rsid w:val="00A157A1"/>
    <w:rsid w:val="00A27130"/>
    <w:rsid w:val="00A3102B"/>
    <w:rsid w:val="00A37018"/>
    <w:rsid w:val="00A37497"/>
    <w:rsid w:val="00A51826"/>
    <w:rsid w:val="00A52C91"/>
    <w:rsid w:val="00A56F91"/>
    <w:rsid w:val="00A6204E"/>
    <w:rsid w:val="00A7147C"/>
    <w:rsid w:val="00A721BA"/>
    <w:rsid w:val="00A7493E"/>
    <w:rsid w:val="00A7660B"/>
    <w:rsid w:val="00A80A0F"/>
    <w:rsid w:val="00A80CF7"/>
    <w:rsid w:val="00A85ADE"/>
    <w:rsid w:val="00A86897"/>
    <w:rsid w:val="00A95733"/>
    <w:rsid w:val="00AA1E0A"/>
    <w:rsid w:val="00AA3CD8"/>
    <w:rsid w:val="00AB5465"/>
    <w:rsid w:val="00AC0805"/>
    <w:rsid w:val="00AC33C1"/>
    <w:rsid w:val="00AD1060"/>
    <w:rsid w:val="00AD3BA5"/>
    <w:rsid w:val="00AD483F"/>
    <w:rsid w:val="00AE0670"/>
    <w:rsid w:val="00AE1915"/>
    <w:rsid w:val="00AE7897"/>
    <w:rsid w:val="00B10DEE"/>
    <w:rsid w:val="00B12DE7"/>
    <w:rsid w:val="00B1309B"/>
    <w:rsid w:val="00B26FAC"/>
    <w:rsid w:val="00B31AA2"/>
    <w:rsid w:val="00B372EA"/>
    <w:rsid w:val="00B45F8A"/>
    <w:rsid w:val="00B467C5"/>
    <w:rsid w:val="00B513C6"/>
    <w:rsid w:val="00B60BB9"/>
    <w:rsid w:val="00B74C0B"/>
    <w:rsid w:val="00B81474"/>
    <w:rsid w:val="00B83E37"/>
    <w:rsid w:val="00B8400D"/>
    <w:rsid w:val="00B91B8E"/>
    <w:rsid w:val="00B93A37"/>
    <w:rsid w:val="00B95EAC"/>
    <w:rsid w:val="00BA1819"/>
    <w:rsid w:val="00BA4358"/>
    <w:rsid w:val="00BA5A22"/>
    <w:rsid w:val="00BB163D"/>
    <w:rsid w:val="00BB1D0E"/>
    <w:rsid w:val="00BB3254"/>
    <w:rsid w:val="00BB55E5"/>
    <w:rsid w:val="00BD4449"/>
    <w:rsid w:val="00BD725A"/>
    <w:rsid w:val="00BF3750"/>
    <w:rsid w:val="00BF6602"/>
    <w:rsid w:val="00BF7752"/>
    <w:rsid w:val="00C00CE2"/>
    <w:rsid w:val="00C04024"/>
    <w:rsid w:val="00C06244"/>
    <w:rsid w:val="00C20FC7"/>
    <w:rsid w:val="00C22AA4"/>
    <w:rsid w:val="00C34506"/>
    <w:rsid w:val="00C34FC2"/>
    <w:rsid w:val="00C468D0"/>
    <w:rsid w:val="00C536C2"/>
    <w:rsid w:val="00C55F47"/>
    <w:rsid w:val="00C56E2E"/>
    <w:rsid w:val="00C60BCD"/>
    <w:rsid w:val="00C64A31"/>
    <w:rsid w:val="00C672A3"/>
    <w:rsid w:val="00C75EC0"/>
    <w:rsid w:val="00C76862"/>
    <w:rsid w:val="00C76D6B"/>
    <w:rsid w:val="00C824C4"/>
    <w:rsid w:val="00C8253F"/>
    <w:rsid w:val="00C82E8B"/>
    <w:rsid w:val="00C8654A"/>
    <w:rsid w:val="00CA532D"/>
    <w:rsid w:val="00CB788A"/>
    <w:rsid w:val="00CC4C88"/>
    <w:rsid w:val="00CD0B1F"/>
    <w:rsid w:val="00CD10DB"/>
    <w:rsid w:val="00CD139A"/>
    <w:rsid w:val="00CD3F96"/>
    <w:rsid w:val="00CD513B"/>
    <w:rsid w:val="00CE09F3"/>
    <w:rsid w:val="00CE0C7E"/>
    <w:rsid w:val="00CE3D73"/>
    <w:rsid w:val="00CE76DA"/>
    <w:rsid w:val="00CF4813"/>
    <w:rsid w:val="00CF4EBF"/>
    <w:rsid w:val="00D00485"/>
    <w:rsid w:val="00D035B3"/>
    <w:rsid w:val="00D0777D"/>
    <w:rsid w:val="00D07872"/>
    <w:rsid w:val="00D11211"/>
    <w:rsid w:val="00D11E94"/>
    <w:rsid w:val="00D153E8"/>
    <w:rsid w:val="00D15BE3"/>
    <w:rsid w:val="00D23FAA"/>
    <w:rsid w:val="00D30389"/>
    <w:rsid w:val="00D337F6"/>
    <w:rsid w:val="00D350F5"/>
    <w:rsid w:val="00D35E73"/>
    <w:rsid w:val="00D471D0"/>
    <w:rsid w:val="00D52CDB"/>
    <w:rsid w:val="00D61710"/>
    <w:rsid w:val="00D61A26"/>
    <w:rsid w:val="00D646DD"/>
    <w:rsid w:val="00D6611E"/>
    <w:rsid w:val="00D85F37"/>
    <w:rsid w:val="00D860E9"/>
    <w:rsid w:val="00D90C1D"/>
    <w:rsid w:val="00D95A03"/>
    <w:rsid w:val="00D97507"/>
    <w:rsid w:val="00DA6F10"/>
    <w:rsid w:val="00DB4534"/>
    <w:rsid w:val="00DC67BC"/>
    <w:rsid w:val="00DD1772"/>
    <w:rsid w:val="00DD17B8"/>
    <w:rsid w:val="00DD2A82"/>
    <w:rsid w:val="00DE4291"/>
    <w:rsid w:val="00DF46E4"/>
    <w:rsid w:val="00E04856"/>
    <w:rsid w:val="00E04904"/>
    <w:rsid w:val="00E079DA"/>
    <w:rsid w:val="00E07AAD"/>
    <w:rsid w:val="00E125FE"/>
    <w:rsid w:val="00E13D34"/>
    <w:rsid w:val="00E31E04"/>
    <w:rsid w:val="00E43BAE"/>
    <w:rsid w:val="00E50CD3"/>
    <w:rsid w:val="00E56089"/>
    <w:rsid w:val="00E735A5"/>
    <w:rsid w:val="00E80A89"/>
    <w:rsid w:val="00E85063"/>
    <w:rsid w:val="00E87BE1"/>
    <w:rsid w:val="00E91930"/>
    <w:rsid w:val="00E92443"/>
    <w:rsid w:val="00E92820"/>
    <w:rsid w:val="00EA020F"/>
    <w:rsid w:val="00EA135E"/>
    <w:rsid w:val="00EA1F85"/>
    <w:rsid w:val="00EA2A33"/>
    <w:rsid w:val="00EA3B20"/>
    <w:rsid w:val="00EA798B"/>
    <w:rsid w:val="00EB1434"/>
    <w:rsid w:val="00EB23AF"/>
    <w:rsid w:val="00EB443B"/>
    <w:rsid w:val="00EB5C79"/>
    <w:rsid w:val="00EC77C3"/>
    <w:rsid w:val="00ED4585"/>
    <w:rsid w:val="00ED735F"/>
    <w:rsid w:val="00EE1398"/>
    <w:rsid w:val="00F05E4E"/>
    <w:rsid w:val="00F106D4"/>
    <w:rsid w:val="00F145D1"/>
    <w:rsid w:val="00F171D3"/>
    <w:rsid w:val="00F26F14"/>
    <w:rsid w:val="00F42610"/>
    <w:rsid w:val="00F530BC"/>
    <w:rsid w:val="00F5775F"/>
    <w:rsid w:val="00F63F24"/>
    <w:rsid w:val="00F76696"/>
    <w:rsid w:val="00F96A0A"/>
    <w:rsid w:val="00F96FB1"/>
    <w:rsid w:val="00FA3557"/>
    <w:rsid w:val="00FA3C6B"/>
    <w:rsid w:val="00FD1EBB"/>
    <w:rsid w:val="00FE2AB8"/>
    <w:rsid w:val="00FF0D13"/>
    <w:rsid w:val="00FF778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70B507"/>
  <w15:docId w15:val="{16E8915D-1133-411D-B85A-FBE422A5B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link w:val="CommentTextChar"/>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character" w:customStyle="1" w:styleId="HeaderChar">
    <w:name w:val="Header Char"/>
    <w:link w:val="Header"/>
    <w:uiPriority w:val="99"/>
    <w:rsid w:val="004B21C0"/>
    <w:rPr>
      <w:sz w:val="22"/>
      <w:szCs w:val="24"/>
    </w:rPr>
  </w:style>
  <w:style w:type="paragraph" w:customStyle="1" w:styleId="PIsubheadingnonum1">
    <w:name w:val="PI subheading nonum1"/>
    <w:basedOn w:val="Normal"/>
    <w:next w:val="Normal"/>
    <w:link w:val="PIsubheadingnonum1Char"/>
    <w:rsid w:val="004B21C0"/>
    <w:pPr>
      <w:tabs>
        <w:tab w:val="clear" w:pos="284"/>
      </w:tabs>
      <w:jc w:val="left"/>
    </w:pPr>
    <w:rPr>
      <w:rFonts w:ascii="Humanist777" w:hAnsi="Humanist777"/>
      <w:noProof/>
      <w:u w:val="single"/>
      <w:lang w:val="en-GB"/>
    </w:rPr>
  </w:style>
  <w:style w:type="character" w:customStyle="1" w:styleId="PIsubheadingnonum1Char">
    <w:name w:val="PI subheading nonum1 Char"/>
    <w:link w:val="PIsubheadingnonum1"/>
    <w:rsid w:val="004B21C0"/>
    <w:rPr>
      <w:rFonts w:ascii="Humanist777" w:hAnsi="Humanist777"/>
      <w:noProof/>
      <w:sz w:val="22"/>
      <w:szCs w:val="24"/>
      <w:u w:val="single"/>
      <w:lang w:val="en-GB"/>
    </w:rPr>
  </w:style>
  <w:style w:type="paragraph" w:customStyle="1" w:styleId="PIbodytext">
    <w:name w:val="PI body text"/>
    <w:link w:val="PIbodytextChar"/>
    <w:rsid w:val="004B21C0"/>
    <w:rPr>
      <w:rFonts w:ascii="Humanist777" w:hAnsi="Humanist777"/>
      <w:noProof/>
      <w:sz w:val="22"/>
      <w:szCs w:val="24"/>
      <w:lang w:val="en-GB"/>
    </w:rPr>
  </w:style>
  <w:style w:type="character" w:customStyle="1" w:styleId="PIbodytextChar">
    <w:name w:val="PI body text Char"/>
    <w:link w:val="PIbodytext"/>
    <w:rsid w:val="004B21C0"/>
    <w:rPr>
      <w:rFonts w:ascii="Humanist777" w:hAnsi="Humanist777"/>
      <w:noProof/>
      <w:sz w:val="22"/>
      <w:szCs w:val="24"/>
      <w:lang w:val="en-GB"/>
    </w:rPr>
  </w:style>
  <w:style w:type="paragraph" w:customStyle="1" w:styleId="HeadNoNum1">
    <w:name w:val="HeadNoNum1"/>
    <w:next w:val="Normal"/>
    <w:rsid w:val="004B21C0"/>
    <w:pPr>
      <w:suppressAutoHyphens/>
      <w:ind w:left="567" w:hanging="567"/>
    </w:pPr>
    <w:rPr>
      <w:b/>
      <w:noProof/>
      <w:sz w:val="22"/>
      <w:lang w:val="en-GB"/>
    </w:rPr>
  </w:style>
  <w:style w:type="paragraph" w:customStyle="1" w:styleId="TabelleNebenwirkungen">
    <w:name w:val="Tabelle Nebenwirkungen"/>
    <w:basedOn w:val="Normal"/>
    <w:rsid w:val="004B21C0"/>
    <w:pPr>
      <w:tabs>
        <w:tab w:val="clear" w:pos="284"/>
      </w:tabs>
      <w:ind w:left="1701" w:hanging="1701"/>
      <w:jc w:val="left"/>
    </w:pPr>
    <w:rPr>
      <w:szCs w:val="22"/>
      <w:lang w:val="de-AT" w:eastAsia="de-DE"/>
    </w:rPr>
  </w:style>
  <w:style w:type="character" w:styleId="Hyperlink">
    <w:name w:val="Hyperlink"/>
    <w:uiPriority w:val="99"/>
    <w:unhideWhenUsed/>
    <w:rsid w:val="004B21C0"/>
    <w:rPr>
      <w:color w:val="0000FF"/>
      <w:u w:val="single"/>
    </w:rPr>
  </w:style>
  <w:style w:type="character" w:customStyle="1" w:styleId="CommentTextChar">
    <w:name w:val="Comment Text Char"/>
    <w:basedOn w:val="DefaultParagraphFont"/>
    <w:link w:val="CommentText"/>
    <w:semiHidden/>
    <w:rsid w:val="0046573B"/>
  </w:style>
  <w:style w:type="paragraph" w:styleId="Revision">
    <w:name w:val="Revision"/>
    <w:hidden/>
    <w:uiPriority w:val="99"/>
    <w:semiHidden/>
    <w:rsid w:val="0046573B"/>
    <w:rPr>
      <w:sz w:val="22"/>
      <w:szCs w:val="24"/>
    </w:rPr>
  </w:style>
  <w:style w:type="paragraph" w:customStyle="1" w:styleId="TableParagraph">
    <w:name w:val="Table Paragraph"/>
    <w:basedOn w:val="Normal"/>
    <w:uiPriority w:val="1"/>
    <w:qFormat/>
    <w:rsid w:val="00D471D0"/>
    <w:pPr>
      <w:widowControl w:val="0"/>
      <w:tabs>
        <w:tab w:val="clear" w:pos="284"/>
      </w:tabs>
      <w:jc w:val="left"/>
    </w:pPr>
    <w:rPr>
      <w:rFonts w:asciiTheme="minorHAnsi" w:eastAsiaTheme="minorHAnsi" w:hAnsiTheme="minorHAnsi" w:cstheme="minorBidi"/>
      <w:szCs w:val="22"/>
    </w:rPr>
  </w:style>
  <w:style w:type="table" w:styleId="TableGrid">
    <w:name w:val="Table Grid"/>
    <w:basedOn w:val="TableNormal"/>
    <w:rsid w:val="00D47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79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840CF-9919-4626-A9F0-DB6CB807A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5736</Words>
  <Characters>32701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Boehringer Ingelheim</Company>
  <LinksUpToDate>false</LinksUpToDate>
  <CharactersWithSpaces>38361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Aleksandra Minić</cp:lastModifiedBy>
  <cp:revision>6</cp:revision>
  <cp:lastPrinted>2018-10-03T14:25:00Z</cp:lastPrinted>
  <dcterms:created xsi:type="dcterms:W3CDTF">2021-05-14T07:33:00Z</dcterms:created>
  <dcterms:modified xsi:type="dcterms:W3CDTF">2024-05-16T08:16:00Z</dcterms:modified>
</cp:coreProperties>
</file>